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Calibri" w:hAnsi="Calibri"/>
          <w:b/>
          <w:i w:val="0"/>
          <w:sz w:val="40"/>
        </w:rPr>
        <w:t>Mục lục</w:t>
      </w:r>
    </w:p>
    <w:p>
      <w:pPr>
        <w:spacing w:after="80"/>
        <w:ind w:left="360"/>
      </w:pPr>
      <w:r>
        <w:rPr>
          <w:b w:val="0"/>
          <w:i w:val="0"/>
        </w:rPr>
        <w:t>Bìa</w:t>
      </w:r>
    </w:p>
    <w:p>
      <w:pPr>
        <w:spacing w:after="80"/>
        <w:ind w:left="360"/>
      </w:pPr>
      <w:r>
        <w:rPr>
          <w:b w:val="0"/>
          <w:i w:val="0"/>
        </w:rPr>
        <w:t>Giới thiệu về Bộ công cụ Kiểm soát Nội bộ</w:t>
      </w:r>
    </w:p>
    <w:p>
      <w:pPr>
        <w:spacing w:after="80"/>
        <w:ind w:left="720"/>
      </w:pPr>
      <w:r>
        <w:rPr>
          <w:b w:val="0"/>
          <w:i w:val="0"/>
        </w:rPr>
        <w:t>Giới thiệu</w:t>
      </w:r>
    </w:p>
    <w:p>
      <w:pPr>
        <w:spacing w:after="80"/>
        <w:ind w:left="720"/>
      </w:pPr>
      <w:r>
        <w:rPr>
          <w:b w:val="0"/>
          <w:i w:val="0"/>
        </w:rPr>
        <w:t>Các Tiêu chuẩn Chung về Kiểm soát Nội bộ</w:t>
      </w:r>
    </w:p>
    <w:p>
      <w:pPr>
        <w:spacing w:after="80"/>
        <w:ind w:left="720"/>
      </w:pPr>
      <w:r>
        <w:rPr>
          <w:b w:val="0"/>
          <w:i w:val="0"/>
        </w:rPr>
        <w:t>Bộ công cụ này được tổ chức như thế nào</w:t>
      </w:r>
    </w:p>
    <w:p>
      <w:pPr>
        <w:spacing w:after="80"/>
        <w:ind w:left="360"/>
      </w:pPr>
      <w:r>
        <w:rPr>
          <w:b w:val="0"/>
          <w:i w:val="0"/>
        </w:rPr>
        <w:t>CHƯƠNG 1: Bối cảnh về Kiểm soát Nội bộ</w:t>
      </w:r>
    </w:p>
    <w:p>
      <w:pPr>
        <w:spacing w:after="80"/>
        <w:ind w:left="720"/>
      </w:pPr>
      <w:r>
        <w:rPr>
          <w:b w:val="0"/>
          <w:i w:val="0"/>
        </w:rPr>
        <w:t>MỤC TIÊU VÀ THÁCH THỨC CỦA KIỂM SOÁT NỘI BỘ</w:t>
      </w:r>
    </w:p>
    <w:p>
      <w:pPr>
        <w:spacing w:after="80"/>
        <w:ind w:left="720"/>
      </w:pPr>
      <w:r>
        <w:rPr>
          <w:b w:val="0"/>
          <w:i w:val="0"/>
        </w:rPr>
        <w:t>KHUNG TÍCH HỢP QUẢN TRỊ RỦI RO DOANH NGHIỆP (ERM)—2004 VÀ 2013</w:t>
      </w:r>
    </w:p>
    <w:p>
      <w:pPr>
        <w:spacing w:after="80"/>
        <w:ind w:left="720"/>
      </w:pPr>
      <w:r>
        <w:rPr>
          <w:b w:val="0"/>
          <w:i w:val="0"/>
        </w:rPr>
        <w:t>TẬN DỤNG CÁC TIÊU CHUẨN KIỂM SOÁT NỘI BỘ ĐỂ TRIỂN KHAI CHƯƠNG TRÌNH TỰ ĐÁNH GIÁ KIỂM SOÁT (CSA)</w:t>
      </w:r>
    </w:p>
    <w:p>
      <w:pPr>
        <w:spacing w:after="80"/>
        <w:ind w:left="720"/>
      </w:pPr>
      <w:r>
        <w:rPr>
          <w:b w:val="0"/>
          <w:i w:val="0"/>
        </w:rPr>
        <w:t>ĐẠO ĐỨC VÀ “TÔNG GIỌNG TỪ TRÊN XUỐNG”</w:t>
      </w:r>
    </w:p>
    <w:p>
      <w:pPr>
        <w:spacing w:after="80"/>
        <w:ind w:left="720"/>
      </w:pPr>
      <w:r>
        <w:rPr>
          <w:b w:val="0"/>
          <w:i w:val="0"/>
        </w:rPr>
        <w:t>CÁC CÂN NHẮC VỀ QUY TẮC ỨNG XỬ</w:t>
      </w:r>
    </w:p>
    <w:p>
      <w:pPr>
        <w:spacing w:after="80"/>
        <w:ind w:left="720"/>
      </w:pPr>
      <w:r>
        <w:rPr>
          <w:b w:val="0"/>
          <w:i w:val="0"/>
        </w:rPr>
        <w:t>KIỂM SOÁT CẤP ĐỘ THỰC THỂ</w:t>
      </w:r>
    </w:p>
    <w:p>
      <w:pPr>
        <w:spacing w:after="80"/>
        <w:ind w:left="720"/>
      </w:pPr>
      <w:r>
        <w:rPr>
          <w:b w:val="0"/>
          <w:i w:val="0"/>
        </w:rPr>
        <w:t>VAI TRÒ VÀ TRÁCH NHIỆM ĐỐI VỚI KIỂM SOÁT NỘI BỘ</w:t>
      </w:r>
    </w:p>
    <w:p>
      <w:pPr>
        <w:spacing w:after="80"/>
        <w:ind w:left="720"/>
      </w:pPr>
      <w:r>
        <w:rPr>
          <w:b w:val="0"/>
          <w:i w:val="0"/>
        </w:rPr>
        <w:t>GHI CHÚ</w:t>
      </w:r>
    </w:p>
    <w:p>
      <w:pPr>
        <w:spacing w:after="80"/>
        <w:ind w:left="360"/>
      </w:pPr>
      <w:r>
        <w:rPr>
          <w:b w:val="0"/>
          <w:i w:val="0"/>
        </w:rPr>
        <w:t>CHƯƠNG 2: Quy trình Đơn hàng đến Thu tiền (O2C)</w:t>
      </w:r>
    </w:p>
    <w:p>
      <w:pPr>
        <w:spacing w:after="80"/>
        <w:ind w:left="720"/>
      </w:pPr>
      <w:r>
        <w:rPr>
          <w:b w:val="0"/>
          <w:i w:val="0"/>
        </w:rPr>
        <w:t>GIỚI THIỆU</w:t>
      </w:r>
    </w:p>
    <w:p>
      <w:pPr>
        <w:spacing w:after="80"/>
        <w:ind w:left="720"/>
      </w:pPr>
      <w:r>
        <w:rPr>
          <w:b w:val="0"/>
          <w:i w:val="0"/>
        </w:rPr>
        <w:t>TỔNG QUAN QUY TRÌNH</w:t>
      </w:r>
    </w:p>
    <w:p>
      <w:pPr>
        <w:spacing w:after="80"/>
        <w:ind w:left="720"/>
      </w:pPr>
      <w:r>
        <w:rPr>
          <w:b w:val="0"/>
          <w:i w:val="0"/>
        </w:rPr>
        <w:t>ÁP DỤNG KIỂM SOÁT NỘI BỘ</w:t>
      </w:r>
    </w:p>
    <w:p>
      <w:pPr>
        <w:spacing w:after="80"/>
        <w:ind w:left="720"/>
      </w:pPr>
      <w:r>
        <w:rPr>
          <w:b w:val="0"/>
          <w:i w:val="0"/>
        </w:rPr>
        <w:t>CÁC CHỈ SỐ ĐO LƯỜNG</w:t>
      </w:r>
    </w:p>
    <w:p>
      <w:pPr>
        <w:spacing w:after="80"/>
        <w:ind w:left="720"/>
      </w:pPr>
      <w:r>
        <w:rPr>
          <w:b w:val="0"/>
          <w:i w:val="0"/>
        </w:rPr>
        <w:t>CÁC QUY TRÌNH PHỤ</w:t>
      </w:r>
    </w:p>
    <w:p>
      <w:pPr>
        <w:spacing w:after="80"/>
        <w:ind w:left="720"/>
      </w:pPr>
      <w:r>
        <w:rPr>
          <w:b w:val="0"/>
          <w:i w:val="0"/>
        </w:rPr>
        <w:t>2.1 NHẬP/SỬA ĐƠN HÀNG</w:t>
      </w:r>
    </w:p>
    <w:p>
      <w:pPr>
        <w:spacing w:after="80"/>
        <w:ind w:left="720"/>
      </w:pPr>
      <w:r>
        <w:rPr>
          <w:b w:val="0"/>
          <w:i w:val="0"/>
        </w:rPr>
        <w:t>2.2 KIỂM SOÁT XUẤT KHẨU</w:t>
      </w:r>
    </w:p>
    <w:p>
      <w:pPr>
        <w:spacing w:after="80"/>
        <w:ind w:left="720"/>
      </w:pPr>
      <w:r>
        <w:rPr>
          <w:b w:val="0"/>
          <w:i w:val="0"/>
        </w:rPr>
        <w:t>2.3 HỢP ĐỒNG BÁN HÀNG</w:t>
      </w:r>
    </w:p>
    <w:p>
      <w:pPr>
        <w:spacing w:after="80"/>
        <w:ind w:left="720"/>
      </w:pPr>
      <w:r>
        <w:rPr>
          <w:b w:val="0"/>
          <w:i w:val="0"/>
        </w:rPr>
        <w:t>2.4 TÍN DỤNG</w:t>
      </w:r>
    </w:p>
    <w:p>
      <w:pPr>
        <w:spacing w:after="80"/>
        <w:ind w:left="720"/>
      </w:pPr>
      <w:r>
        <w:rPr>
          <w:b w:val="0"/>
          <w:i w:val="0"/>
        </w:rPr>
        <w:t>2.5 VẬN CHUYỂN</w:t>
      </w:r>
    </w:p>
    <w:p>
      <w:pPr>
        <w:spacing w:after="80"/>
        <w:ind w:left="720"/>
      </w:pPr>
      <w:r>
        <w:rPr>
          <w:b w:val="0"/>
          <w:i w:val="0"/>
        </w:rPr>
        <w:t>2.6 GHI NHẬN DOANH THU/XUẤT HÓA ĐƠN</w:t>
      </w:r>
    </w:p>
    <w:p>
      <w:pPr>
        <w:spacing w:after="80"/>
        <w:ind w:left="720"/>
      </w:pPr>
      <w:r>
        <w:rPr>
          <w:b w:val="0"/>
          <w:i w:val="0"/>
        </w:rPr>
        <w:t>2.7 KHOẢN PHẢI THU (AR)</w:t>
      </w:r>
    </w:p>
    <w:p>
      <w:pPr>
        <w:spacing w:after="80"/>
        <w:ind w:left="720"/>
      </w:pPr>
      <w:r>
        <w:rPr>
          <w:b w:val="0"/>
          <w:i w:val="0"/>
        </w:rPr>
        <w:t>2.8 THU HỒI NỢ</w:t>
      </w:r>
    </w:p>
    <w:p>
      <w:pPr>
        <w:spacing w:after="80"/>
        <w:ind w:left="720"/>
      </w:pPr>
      <w:r>
        <w:rPr>
          <w:b w:val="0"/>
          <w:i w:val="0"/>
        </w:rPr>
        <w:t>2.9 NHẬN TIỀN VÀ HẠCH TOÁN</w:t>
      </w:r>
    </w:p>
    <w:p>
      <w:pPr>
        <w:spacing w:after="80"/>
        <w:ind w:left="720"/>
      </w:pPr>
      <w:r>
        <w:rPr>
          <w:b w:val="0"/>
          <w:i w:val="0"/>
        </w:rPr>
        <w:t>2.10 THIẾT LẬP GIÁ</w:t>
      </w:r>
    </w:p>
    <w:p>
      <w:pPr>
        <w:spacing w:after="80"/>
        <w:ind w:left="720"/>
      </w:pPr>
      <w:r>
        <w:rPr>
          <w:b w:val="0"/>
          <w:i w:val="0"/>
        </w:rPr>
        <w:t>2.11 HOẠT ĐỘNG KHUYẾN MÃI</w:t>
      </w:r>
    </w:p>
    <w:p>
      <w:pPr>
        <w:spacing w:after="80"/>
        <w:ind w:left="720"/>
      </w:pPr>
      <w:r>
        <w:rPr>
          <w:b w:val="0"/>
          <w:i w:val="0"/>
        </w:rPr>
        <w:t>GHI CHÚ</w:t>
      </w:r>
    </w:p>
    <w:p>
      <w:pPr>
        <w:spacing w:after="80"/>
        <w:ind w:left="360"/>
      </w:pPr>
      <w:r>
        <w:rPr>
          <w:b w:val="0"/>
          <w:i w:val="0"/>
        </w:rPr>
        <w:t>CHƯƠNG 3: Quy trình Ngân quỹ (Treasury)</w:t>
      </w:r>
    </w:p>
    <w:p>
      <w:pPr>
        <w:spacing w:after="80"/>
        <w:ind w:left="720"/>
      </w:pPr>
      <w:r>
        <w:rPr>
          <w:b w:val="0"/>
          <w:i w:val="0"/>
        </w:rPr>
        <w:t>GIỚI THIỆU</w:t>
      </w:r>
    </w:p>
    <w:p>
      <w:pPr>
        <w:spacing w:after="80"/>
        <w:ind w:left="720"/>
      </w:pPr>
      <w:r>
        <w:rPr>
          <w:b w:val="0"/>
          <w:i w:val="0"/>
        </w:rPr>
        <w:t>TỔNG QUAN QUY TRÌNH</w:t>
      </w:r>
    </w:p>
    <w:p>
      <w:pPr>
        <w:spacing w:after="80"/>
        <w:ind w:left="720"/>
      </w:pPr>
      <w:r>
        <w:rPr>
          <w:b w:val="0"/>
          <w:i w:val="0"/>
        </w:rPr>
        <w:t>CÁC CHỈ SỐ ĐO LƯỜNG</w:t>
      </w:r>
    </w:p>
    <w:p>
      <w:pPr>
        <w:spacing w:after="80"/>
        <w:ind w:left="720"/>
      </w:pPr>
      <w:r>
        <w:rPr>
          <w:b w:val="0"/>
          <w:i w:val="0"/>
        </w:rPr>
        <w:t>ÁP DỤNG KIỂM SOÁT NỘI BỘ</w:t>
      </w:r>
    </w:p>
    <w:p>
      <w:pPr>
        <w:spacing w:after="80"/>
        <w:ind w:left="720"/>
      </w:pPr>
      <w:r>
        <w:rPr>
          <w:b w:val="0"/>
          <w:i w:val="0"/>
        </w:rPr>
        <w:t>CÁC QUY TRÌNH CON</w:t>
      </w:r>
    </w:p>
    <w:p>
      <w:pPr>
        <w:spacing w:after="80"/>
        <w:ind w:left="720"/>
      </w:pPr>
      <w:r>
        <w:rPr>
          <w:b w:val="0"/>
          <w:i w:val="0"/>
        </w:rPr>
        <w:t>3.1 KIỂM SOÁT NGÂN QUỹ CHUNG</w:t>
      </w:r>
    </w:p>
    <w:p>
      <w:pPr>
        <w:spacing w:after="80"/>
        <w:ind w:left="720"/>
      </w:pPr>
      <w:r>
        <w:rPr>
          <w:b w:val="0"/>
          <w:i w:val="0"/>
        </w:rPr>
        <w:t>3.2 HOẠT ĐỘNG TÀI TRỢ VỐN</w:t>
      </w:r>
    </w:p>
    <w:p>
      <w:pPr>
        <w:spacing w:after="80"/>
        <w:ind w:left="720"/>
      </w:pPr>
      <w:r>
        <w:rPr>
          <w:b w:val="0"/>
          <w:i w:val="0"/>
        </w:rPr>
        <w:t>3.3 ĐẦU TƯ NGUỒN VỐN NHÀN RỖI</w:t>
      </w:r>
    </w:p>
    <w:p>
      <w:pPr>
        <w:spacing w:after="80"/>
        <w:ind w:left="720"/>
      </w:pPr>
      <w:r>
        <w:rPr>
          <w:b w:val="0"/>
          <w:i w:val="0"/>
        </w:rPr>
        <w:t>3.4 NGOẠI HỐI</w:t>
      </w:r>
    </w:p>
    <w:p>
      <w:pPr>
        <w:spacing w:after="80"/>
        <w:ind w:left="360"/>
      </w:pPr>
      <w:r>
        <w:rPr>
          <w:b w:val="0"/>
          <w:i w:val="0"/>
        </w:rPr>
        <w:t>CHƯƠNG 4: Quy trình Mua hàng đến Thanh toán (P2P)</w:t>
      </w:r>
    </w:p>
    <w:p>
      <w:pPr>
        <w:spacing w:after="80"/>
        <w:ind w:left="720"/>
      </w:pPr>
      <w:r>
        <w:rPr>
          <w:b w:val="0"/>
          <w:i w:val="0"/>
        </w:rPr>
        <w:t>GIỚI THIỆU</w:t>
      </w:r>
    </w:p>
    <w:p>
      <w:pPr>
        <w:spacing w:after="80"/>
        <w:ind w:left="720"/>
      </w:pPr>
      <w:r>
        <w:rPr>
          <w:b w:val="0"/>
          <w:i w:val="0"/>
        </w:rPr>
        <w:t>CÂN NHẮC TỰ ĐỘNG HÓA ĐỂ GIẢM THIỂU RỦI RO TRONG QUY TRÌNH P2P</w:t>
      </w:r>
    </w:p>
    <w:p>
      <w:pPr>
        <w:spacing w:after="80"/>
        <w:ind w:left="720"/>
      </w:pPr>
      <w:r>
        <w:rPr>
          <w:b w:val="0"/>
          <w:i w:val="0"/>
        </w:rPr>
        <w:t>TỔNG QUAN QUY TRÌNH</w:t>
      </w:r>
    </w:p>
    <w:p>
      <w:pPr>
        <w:spacing w:after="80"/>
        <w:ind w:left="720"/>
      </w:pPr>
      <w:r>
        <w:rPr>
          <w:b w:val="0"/>
          <w:i w:val="0"/>
        </w:rPr>
        <w:t>ÁP DỤNG KIỂM SOÁT NỘI BỘ</w:t>
      </w:r>
    </w:p>
    <w:p>
      <w:pPr>
        <w:spacing w:after="80"/>
        <w:ind w:left="720"/>
      </w:pPr>
      <w:r>
        <w:rPr>
          <w:b w:val="0"/>
          <w:i w:val="0"/>
        </w:rPr>
        <w:t>CHỈ SỐ</w:t>
      </w:r>
    </w:p>
    <w:p>
      <w:pPr>
        <w:spacing w:after="80"/>
        <w:ind w:left="720"/>
      </w:pPr>
      <w:r>
        <w:rPr>
          <w:b w:val="0"/>
          <w:i w:val="0"/>
        </w:rPr>
        <w:t>CÁC QUY TRÌNH CON</w:t>
      </w:r>
    </w:p>
    <w:p>
      <w:pPr>
        <w:spacing w:after="80"/>
        <w:ind w:left="720"/>
      </w:pPr>
      <w:r>
        <w:rPr>
          <w:b w:val="0"/>
          <w:i w:val="0"/>
        </w:rPr>
        <w:t>4.1 LỰA CHỌN VÀ QUẢN LÝ NHÀ CUNG CẤP</w:t>
      </w:r>
    </w:p>
    <w:p>
      <w:pPr>
        <w:spacing w:after="80"/>
        <w:ind w:left="720"/>
      </w:pPr>
      <w:r>
        <w:rPr>
          <w:b w:val="0"/>
          <w:i w:val="0"/>
        </w:rPr>
        <w:t>4.2 MUA HÀNG/ĐẶT HÀNG</w:t>
      </w:r>
    </w:p>
    <w:p>
      <w:pPr>
        <w:spacing w:after="80"/>
        <w:ind w:left="720"/>
      </w:pPr>
      <w:r>
        <w:rPr>
          <w:b w:val="0"/>
          <w:i w:val="0"/>
        </w:rPr>
        <w:t>4.3 KIỂM SOÁT NHẬP KHẨU</w:t>
      </w:r>
    </w:p>
    <w:p>
      <w:pPr>
        <w:spacing w:after="80"/>
        <w:ind w:left="720"/>
      </w:pPr>
      <w:r>
        <w:rPr>
          <w:b w:val="0"/>
          <w:i w:val="0"/>
        </w:rPr>
        <w:t>4.4 NHẬN HÀNG</w:t>
      </w:r>
    </w:p>
    <w:p>
      <w:pPr>
        <w:spacing w:after="80"/>
        <w:ind w:left="720"/>
      </w:pPr>
      <w:r>
        <w:rPr>
          <w:b w:val="0"/>
          <w:i w:val="0"/>
        </w:rPr>
        <w:t>4.5 CÁC KHOẢN PHẢI TRẢ</w:t>
      </w:r>
    </w:p>
    <w:p>
      <w:pPr>
        <w:spacing w:after="80"/>
        <w:ind w:left="720"/>
      </w:pPr>
      <w:r>
        <w:rPr>
          <w:b w:val="0"/>
          <w:i w:val="0"/>
        </w:rPr>
        <w:t>4.6 QUY TRÌNH THANH TOÁN—TỔNG QUAN</w:t>
      </w:r>
    </w:p>
    <w:p>
      <w:pPr>
        <w:spacing w:after="80"/>
        <w:ind w:left="720"/>
      </w:pPr>
      <w:r>
        <w:rPr>
          <w:b w:val="0"/>
          <w:i w:val="0"/>
        </w:rPr>
        <w:t>4.7 QUY TRÌNH THANH TOÁN—CÔNG TÁC VÀ TIẾP KHÁCH</w:t>
      </w:r>
    </w:p>
    <w:p>
      <w:pPr>
        <w:spacing w:after="80"/>
        <w:ind w:left="720"/>
      </w:pPr>
      <w:r>
        <w:rPr>
          <w:b w:val="0"/>
          <w:i w:val="0"/>
        </w:rPr>
        <w:t>4.8 NGHIÊN CỨU VÀ PHÁT TRIỂN SẢN PHẨM</w:t>
      </w:r>
    </w:p>
    <w:p>
      <w:pPr>
        <w:spacing w:after="80"/>
        <w:ind w:left="720"/>
      </w:pPr>
      <w:r>
        <w:rPr>
          <w:b w:val="0"/>
          <w:i w:val="0"/>
        </w:rPr>
        <w:t>4.9 THẺ MUA HÀNG (P-CARDS)</w:t>
      </w:r>
    </w:p>
    <w:p>
      <w:pPr>
        <w:spacing w:after="80"/>
        <w:ind w:left="720"/>
      </w:pPr>
      <w:r>
        <w:rPr>
          <w:b w:val="0"/>
          <w:i w:val="0"/>
        </w:rPr>
        <w:t>GHI CHÚ</w:t>
      </w:r>
    </w:p>
    <w:p>
      <w:pPr>
        <w:spacing w:after="80"/>
        <w:ind w:left="360"/>
      </w:pPr>
      <w:r>
        <w:rPr>
          <w:b w:val="0"/>
          <w:i w:val="0"/>
        </w:rPr>
        <w:t>CHƯƠNG 5: Quy trình Tuyển dụng đến Nghỉ hưu (H2R)</w:t>
      </w:r>
    </w:p>
    <w:p>
      <w:pPr>
        <w:spacing w:after="80"/>
        <w:ind w:left="720"/>
      </w:pPr>
      <w:r>
        <w:rPr>
          <w:b w:val="0"/>
          <w:i w:val="0"/>
        </w:rPr>
        <w:t>GIỚI THIỆU</w:t>
      </w:r>
    </w:p>
    <w:p>
      <w:pPr>
        <w:spacing w:after="80"/>
        <w:ind w:left="720"/>
      </w:pPr>
      <w:r>
        <w:rPr>
          <w:b w:val="0"/>
          <w:i w:val="0"/>
        </w:rPr>
        <w:t>TỔNG QUAN QUY TRÌNH</w:t>
      </w:r>
    </w:p>
    <w:p>
      <w:pPr>
        <w:spacing w:after="80"/>
        <w:ind w:left="720"/>
      </w:pPr>
      <w:r>
        <w:rPr>
          <w:b w:val="0"/>
          <w:i w:val="0"/>
        </w:rPr>
        <w:t>CHỈ SỐ</w:t>
      </w:r>
    </w:p>
    <w:p>
      <w:pPr>
        <w:spacing w:after="80"/>
        <w:ind w:left="720"/>
      </w:pPr>
      <w:r>
        <w:rPr>
          <w:b w:val="0"/>
          <w:i w:val="0"/>
        </w:rPr>
        <w:t>ỨNG DỤNG KIỂM SOÁT NỘI BỘ</w:t>
      </w:r>
    </w:p>
    <w:p>
      <w:pPr>
        <w:spacing w:after="80"/>
        <w:ind w:left="720"/>
      </w:pPr>
      <w:r>
        <w:rPr>
          <w:b w:val="0"/>
          <w:i w:val="0"/>
        </w:rPr>
        <w:t>LUẬT CẢI CÁCH VÀ TRÁCH NHIỆM GIẢI TRÌNH BẢO HIỂM Y TẾ (HIPAA) - QUY TẮC BẢO MẬT</w:t>
      </w:r>
    </w:p>
    <w:p>
      <w:pPr>
        <w:spacing w:after="80"/>
        <w:ind w:left="720"/>
      </w:pPr>
      <w:r>
        <w:rPr>
          <w:b w:val="0"/>
          <w:i w:val="0"/>
        </w:rPr>
        <w:t>CÁC QUY TRÌNH PHỤ</w:t>
      </w:r>
    </w:p>
    <w:p>
      <w:pPr>
        <w:spacing w:after="80"/>
        <w:ind w:left="720"/>
      </w:pPr>
      <w:r>
        <w:rPr>
          <w:b w:val="0"/>
          <w:i w:val="0"/>
        </w:rPr>
        <w:t>5.1 CHUẨN BỊ BẢNG LƯƠNG VÀ BẢO MẬT</w:t>
      </w:r>
    </w:p>
    <w:p>
      <w:pPr>
        <w:spacing w:after="80"/>
        <w:ind w:left="720"/>
      </w:pPr>
      <w:r>
        <w:rPr>
          <w:b w:val="0"/>
          <w:i w:val="0"/>
        </w:rPr>
        <w:t>5.2 KIỂM SOÁT THANH TOÁN BẢNG LƯƠNG</w:t>
      </w:r>
    </w:p>
    <w:p>
      <w:pPr>
        <w:spacing w:after="80"/>
        <w:ind w:left="720"/>
      </w:pPr>
      <w:r>
        <w:rPr>
          <w:b w:val="0"/>
          <w:i w:val="0"/>
        </w:rPr>
        <w:t>5.3 PHÂN PHỐI BẢNG LƯƠNG</w:t>
      </w:r>
    </w:p>
    <w:p>
      <w:pPr>
        <w:spacing w:after="80"/>
        <w:ind w:left="720"/>
      </w:pPr>
      <w:r>
        <w:rPr>
          <w:b w:val="0"/>
          <w:i w:val="0"/>
        </w:rPr>
        <w:t>5.4 THÙ LAO VÀ PHÚC LỢI</w:t>
      </w:r>
    </w:p>
    <w:p>
      <w:pPr>
        <w:spacing w:after="80"/>
        <w:ind w:left="720"/>
      </w:pPr>
      <w:r>
        <w:rPr>
          <w:b w:val="0"/>
          <w:i w:val="0"/>
        </w:rPr>
        <w:t>5.5 TUYỂN DỤNG VÀ CHẤM DỨT HỢP ĐỒNG</w:t>
      </w:r>
    </w:p>
    <w:p>
      <w:pPr>
        <w:spacing w:after="80"/>
        <w:ind w:left="720"/>
      </w:pPr>
      <w:r>
        <w:rPr>
          <w:b w:val="0"/>
          <w:i w:val="0"/>
        </w:rPr>
        <w:t>5.6 GIÁO DỤC, ĐÀO TẠO VÀ PHÁT TRIỂN</w:t>
      </w:r>
    </w:p>
    <w:p>
      <w:pPr>
        <w:spacing w:after="80"/>
        <w:ind w:left="720"/>
      </w:pPr>
      <w:r>
        <w:rPr>
          <w:b w:val="0"/>
          <w:i w:val="0"/>
        </w:rPr>
        <w:t>5.7 LỰC LƯỢNG LAO ĐỘNG THỜI VỤ</w:t>
      </w:r>
    </w:p>
    <w:p>
      <w:pPr>
        <w:spacing w:after="80"/>
        <w:ind w:left="720"/>
      </w:pPr>
      <w:r>
        <w:rPr>
          <w:b w:val="0"/>
          <w:i w:val="0"/>
        </w:rPr>
        <w:t>GHI CHÚ</w:t>
      </w:r>
    </w:p>
    <w:p>
      <w:pPr>
        <w:spacing w:after="80"/>
        <w:ind w:left="360"/>
      </w:pPr>
      <w:r>
        <w:rPr>
          <w:b w:val="0"/>
          <w:i w:val="0"/>
        </w:rPr>
        <w:t>CHƯƠNG 6: Quy trình chuỗi cung ứng</w:t>
      </w:r>
    </w:p>
    <w:p>
      <w:pPr>
        <w:spacing w:after="80"/>
        <w:ind w:left="720"/>
      </w:pPr>
      <w:r>
        <w:rPr>
          <w:b w:val="0"/>
          <w:i w:val="0"/>
        </w:rPr>
        <w:t>GIỚI THIỆU</w:t>
      </w:r>
    </w:p>
    <w:p>
      <w:pPr>
        <w:spacing w:after="80"/>
        <w:ind w:left="720"/>
      </w:pPr>
      <w:r>
        <w:rPr>
          <w:b w:val="0"/>
          <w:i w:val="0"/>
        </w:rPr>
        <w:t>TỔNG QUAN QUY TRÌNH</w:t>
      </w:r>
    </w:p>
    <w:p>
      <w:pPr>
        <w:spacing w:after="80"/>
        <w:ind w:left="720"/>
      </w:pPr>
      <w:r>
        <w:rPr>
          <w:b w:val="0"/>
          <w:i w:val="0"/>
        </w:rPr>
        <w:t>CÁC CHỈ SỐ ĐO LƯỜNG</w:t>
      </w:r>
    </w:p>
    <w:p>
      <w:pPr>
        <w:spacing w:after="80"/>
        <w:ind w:left="720"/>
      </w:pPr>
      <w:r>
        <w:rPr>
          <w:b w:val="0"/>
          <w:i w:val="0"/>
        </w:rPr>
        <w:t>ỨNG DỤNG KIỂM SOÁT NỘI BỘ</w:t>
      </w:r>
    </w:p>
    <w:p>
      <w:pPr>
        <w:spacing w:after="80"/>
        <w:ind w:left="720"/>
      </w:pPr>
      <w:r>
        <w:rPr>
          <w:b w:val="0"/>
          <w:i w:val="0"/>
        </w:rPr>
        <w:t>CÁC QUY TRÌNH PHỤ</w:t>
      </w:r>
    </w:p>
    <w:p>
      <w:pPr>
        <w:spacing w:after="80"/>
        <w:ind w:left="720"/>
      </w:pPr>
      <w:r>
        <w:rPr>
          <w:b w:val="0"/>
          <w:i w:val="0"/>
        </w:rPr>
        <w:t>6.1 LẬP KẾ HOẠCH VÀ KIỂM SOÁT</w:t>
      </w:r>
    </w:p>
    <w:p>
      <w:pPr>
        <w:spacing w:after="80"/>
        <w:ind w:left="720"/>
      </w:pPr>
      <w:r>
        <w:rPr>
          <w:b w:val="0"/>
          <w:i w:val="0"/>
        </w:rPr>
        <w:t>6.2 KIỂM SOÁT TỒN KHO</w:t>
      </w:r>
    </w:p>
    <w:p>
      <w:pPr>
        <w:spacing w:after="80"/>
        <w:ind w:left="720"/>
      </w:pPr>
      <w:r>
        <w:rPr>
          <w:b w:val="0"/>
          <w:i w:val="0"/>
        </w:rPr>
        <w:t>6.3 XÁC MINH TỒN KHO</w:t>
      </w:r>
    </w:p>
    <w:p>
      <w:pPr>
        <w:spacing w:after="80"/>
        <w:ind w:left="720"/>
      </w:pPr>
      <w:r>
        <w:rPr>
          <w:b w:val="0"/>
          <w:i w:val="0"/>
        </w:rPr>
        <w:t>6.4 ĐỊNH GIÁ TỒN KHO</w:t>
      </w:r>
    </w:p>
    <w:p>
      <w:pPr>
        <w:spacing w:after="80"/>
        <w:ind w:left="720"/>
      </w:pPr>
      <w:r>
        <w:rPr>
          <w:b w:val="0"/>
          <w:i w:val="0"/>
        </w:rPr>
        <w:t>6.5 QUẢN LÝ CHI PHÍ SẢN PHẨM</w:t>
      </w:r>
    </w:p>
    <w:p>
      <w:pPr>
        <w:spacing w:after="80"/>
        <w:ind w:left="720"/>
      </w:pPr>
      <w:r>
        <w:rPr>
          <w:b w:val="0"/>
          <w:i w:val="0"/>
        </w:rPr>
        <w:t>6.6 CÁC NHÀ SẢN XUẤT THIẾT BỊ GỐC (OEMS)/ĐỐI TÁC LIÊN MINH</w:t>
      </w:r>
    </w:p>
    <w:p>
      <w:pPr>
        <w:spacing w:after="80"/>
        <w:ind w:left="720"/>
      </w:pPr>
      <w:r>
        <w:rPr>
          <w:b w:val="0"/>
          <w:i w:val="0"/>
        </w:rPr>
        <w:t>6.7 AN NINH CHUỖI CUNG ỨNG</w:t>
      </w:r>
    </w:p>
    <w:p>
      <w:pPr>
        <w:spacing w:after="80"/>
        <w:ind w:left="720"/>
      </w:pPr>
      <w:r>
        <w:rPr>
          <w:b w:val="0"/>
          <w:i w:val="0"/>
        </w:rPr>
        <w:t>6.8 VẬN TẢI VÀ LOGISTICS</w:t>
      </w:r>
    </w:p>
    <w:p>
      <w:pPr>
        <w:spacing w:after="80"/>
        <w:ind w:left="360"/>
      </w:pPr>
      <w:r>
        <w:rPr>
          <w:b w:val="0"/>
          <w:i w:val="0"/>
        </w:rPr>
        <w:t>CHƯƠNG 7: Ghi nhận đến Báo cáo (R2R)</w:t>
      </w:r>
    </w:p>
    <w:p>
      <w:pPr>
        <w:spacing w:after="80"/>
        <w:ind w:left="720"/>
      </w:pPr>
      <w:r>
        <w:rPr>
          <w:b w:val="0"/>
          <w:i w:val="0"/>
        </w:rPr>
        <w:t>GIỚI THIỆU</w:t>
      </w:r>
    </w:p>
    <w:p>
      <w:pPr>
        <w:spacing w:after="80"/>
        <w:ind w:left="720"/>
      </w:pPr>
      <w:r>
        <w:rPr>
          <w:b w:val="0"/>
          <w:i w:val="0"/>
        </w:rPr>
        <w:t>TỔNG QUAN QUY TRÌNH</w:t>
      </w:r>
    </w:p>
    <w:p>
      <w:pPr>
        <w:spacing w:after="80"/>
        <w:ind w:left="720"/>
      </w:pPr>
      <w:r>
        <w:rPr>
          <w:b w:val="0"/>
          <w:i w:val="0"/>
        </w:rPr>
        <w:t>CÁC CHỈ SỐ ĐO LƯỜNG</w:t>
      </w:r>
    </w:p>
    <w:p>
      <w:pPr>
        <w:spacing w:after="80"/>
        <w:ind w:left="720"/>
      </w:pPr>
      <w:r>
        <w:rPr>
          <w:b w:val="0"/>
          <w:i w:val="0"/>
        </w:rPr>
        <w:t>NHỮNG KHÁC BIỆT GIỮA IFRS VÀ U.S. GAAP ẢNH HƯỞNG ĐẾN QUY TRÌNH R2R</w:t>
      </w:r>
    </w:p>
    <w:p>
      <w:pPr>
        <w:spacing w:after="80"/>
        <w:ind w:left="720"/>
      </w:pPr>
      <w:r>
        <w:rPr>
          <w:b w:val="0"/>
          <w:i w:val="0"/>
        </w:rPr>
        <w:t>ÁP DỤNG KIỂM SOÁT NỘI BỘ</w:t>
      </w:r>
    </w:p>
    <w:p>
      <w:pPr>
        <w:spacing w:after="80"/>
        <w:ind w:left="720"/>
      </w:pPr>
      <w:r>
        <w:rPr>
          <w:b w:val="0"/>
          <w:i w:val="0"/>
        </w:rPr>
        <w:t>CÁC QUY TRÌNH PHỤ</w:t>
      </w:r>
    </w:p>
    <w:p>
      <w:pPr>
        <w:spacing w:after="80"/>
        <w:ind w:left="720"/>
      </w:pPr>
      <w:r>
        <w:rPr>
          <w:b w:val="0"/>
          <w:i w:val="0"/>
        </w:rPr>
        <w:t>7.1 CHUYỂN GIÁ QUỐC TẾ</w:t>
      </w:r>
    </w:p>
    <w:p>
      <w:pPr>
        <w:spacing w:after="80"/>
        <w:ind w:left="720"/>
      </w:pPr>
      <w:r>
        <w:rPr>
          <w:b w:val="0"/>
          <w:i w:val="0"/>
        </w:rPr>
        <w:t>7.2 GIAO DỊCH GIỮA CÁC CÔNG TY TRONG TẬP ĐOÀN</w:t>
      </w:r>
    </w:p>
    <w:p>
      <w:pPr>
        <w:spacing w:after="80"/>
        <w:ind w:left="720"/>
      </w:pPr>
      <w:r>
        <w:rPr>
          <w:b w:val="0"/>
          <w:i w:val="0"/>
        </w:rPr>
        <w:t>7.3 TÍCH LŨY THÔNG TIN TÀI CHÍNH</w:t>
      </w:r>
    </w:p>
    <w:p>
      <w:pPr>
        <w:spacing w:after="80"/>
        <w:ind w:left="720"/>
      </w:pPr>
      <w:r>
        <w:rPr>
          <w:b w:val="0"/>
          <w:i w:val="0"/>
        </w:rPr>
        <w:t>7.4 XỬ LÝ VÀ BÁO CÁO THÔNG TIN TÀI CHÍNH (CHẶNG CUỐI)</w:t>
      </w:r>
    </w:p>
    <w:p>
      <w:pPr>
        <w:spacing w:after="80"/>
        <w:ind w:left="720"/>
      </w:pPr>
      <w:r>
        <w:rPr>
          <w:b w:val="0"/>
          <w:i w:val="0"/>
        </w:rPr>
        <w:t>7.5 TÀI SẢN CỐ ĐỊNH</w:t>
      </w:r>
    </w:p>
    <w:p>
      <w:pPr>
        <w:spacing w:after="80"/>
        <w:ind w:left="720"/>
      </w:pPr>
      <w:r>
        <w:rPr>
          <w:b w:val="0"/>
          <w:i w:val="0"/>
        </w:rPr>
        <w:t>GHI CHÚ</w:t>
      </w:r>
    </w:p>
    <w:p>
      <w:pPr>
        <w:spacing w:after="80"/>
        <w:ind w:left="360"/>
      </w:pPr>
      <w:r>
        <w:rPr>
          <w:b w:val="0"/>
          <w:i w:val="0"/>
        </w:rPr>
        <w:t>CHƯƠNG 8: Hợp đồng Chính phủ</w:t>
      </w:r>
    </w:p>
    <w:p>
      <w:pPr>
        <w:spacing w:after="80"/>
        <w:ind w:left="720"/>
      </w:pPr>
      <w:r>
        <w:rPr>
          <w:b w:val="0"/>
          <w:i w:val="0"/>
        </w:rPr>
        <w:t>GIỚI THIỆU</w:t>
      </w:r>
    </w:p>
    <w:p>
      <w:pPr>
        <w:spacing w:after="80"/>
        <w:ind w:left="720"/>
      </w:pPr>
      <w:r>
        <w:rPr>
          <w:b w:val="0"/>
          <w:i w:val="0"/>
        </w:rPr>
        <w:t>ÁP DỤNG KIỂM SOÁT NỘI BỘ</w:t>
      </w:r>
    </w:p>
    <w:p>
      <w:pPr>
        <w:spacing w:after="80"/>
        <w:ind w:left="720"/>
      </w:pPr>
      <w:r>
        <w:rPr>
          <w:b w:val="0"/>
          <w:i w:val="0"/>
        </w:rPr>
        <w:t>TỔNG QUAN QUY TRÌNH</w:t>
      </w:r>
    </w:p>
    <w:p>
      <w:pPr>
        <w:spacing w:after="80"/>
        <w:ind w:left="720"/>
      </w:pPr>
      <w:r>
        <w:rPr>
          <w:b w:val="0"/>
          <w:i w:val="0"/>
        </w:rPr>
        <w:t>CÁC CHỈ SỐ ĐO LƯỜNG</w:t>
      </w:r>
    </w:p>
    <w:p>
      <w:pPr>
        <w:spacing w:after="80"/>
        <w:ind w:left="720"/>
      </w:pPr>
      <w:r>
        <w:rPr>
          <w:b w:val="0"/>
          <w:i w:val="0"/>
        </w:rPr>
        <w:t>CÁC QUY TRÌNH CON</w:t>
      </w:r>
    </w:p>
    <w:p>
      <w:pPr>
        <w:spacing w:after="80"/>
        <w:ind w:left="720"/>
      </w:pPr>
      <w:r>
        <w:rPr>
          <w:b w:val="0"/>
          <w:i w:val="0"/>
        </w:rPr>
        <w:t>8.1 HỢP ĐỒNG VỚI CHÍNH PHỦ HOA KỲ—TỔNG QUÁT</w:t>
      </w:r>
    </w:p>
    <w:p>
      <w:pPr>
        <w:spacing w:after="80"/>
        <w:ind w:left="720"/>
      </w:pPr>
      <w:r>
        <w:rPr>
          <w:b w:val="0"/>
          <w:i w:val="0"/>
        </w:rPr>
        <w:t>8.2 HỢP ĐỒNG VỚI CHÍNH PHỦ HOA KỲ—SẢN PHẨM PHI THƯƠNG MẠI</w:t>
      </w:r>
    </w:p>
    <w:p>
      <w:pPr>
        <w:spacing w:after="80"/>
        <w:ind w:left="720"/>
      </w:pPr>
      <w:r>
        <w:rPr>
          <w:b w:val="0"/>
          <w:i w:val="0"/>
        </w:rPr>
        <w:t>8.3 HỢP ĐỒNG VỚI CHÍNH PHỦ HOA KỲ—SẢN PHẨM THƯƠNG MẠI</w:t>
      </w:r>
    </w:p>
    <w:p>
      <w:pPr>
        <w:spacing w:after="80"/>
        <w:ind w:left="720"/>
      </w:pPr>
      <w:r>
        <w:rPr>
          <w:b w:val="0"/>
          <w:i w:val="0"/>
        </w:rPr>
        <w:t>8.4 HỢP ĐỒNG VỚI CHÍNH QUYỀN TIỂU BANG VÀ ĐỊA PHƯƠNG VÀ CÁC CƠ SỞ GIÁO DỤC TRONG LÃNH THỔ HOA KỲ</w:t>
      </w:r>
    </w:p>
    <w:p>
      <w:pPr>
        <w:spacing w:after="80"/>
        <w:ind w:left="720"/>
      </w:pPr>
      <w:r>
        <w:rPr>
          <w:b w:val="0"/>
          <w:i w:val="0"/>
        </w:rPr>
        <w:t>8.5 HỢP ĐỒNG VỚI CÁC CHÍNH PHỦ NGOÀI HOA KỲ</w:t>
      </w:r>
    </w:p>
    <w:p>
      <w:pPr>
        <w:spacing w:after="80"/>
        <w:ind w:left="360"/>
      </w:pPr>
      <w:r>
        <w:rPr>
          <w:b w:val="0"/>
          <w:i w:val="0"/>
        </w:rPr>
        <w:t>CHƯƠNG 9: Quản lý Hồ sơ và Thông tin</w:t>
      </w:r>
    </w:p>
    <w:p>
      <w:pPr>
        <w:spacing w:after="80"/>
        <w:ind w:left="720"/>
      </w:pPr>
      <w:r>
        <w:rPr>
          <w:b w:val="0"/>
          <w:i w:val="0"/>
        </w:rPr>
        <w:t>GIỚI THIỆU</w:t>
      </w:r>
    </w:p>
    <w:p>
      <w:pPr>
        <w:spacing w:after="80"/>
        <w:ind w:left="720"/>
      </w:pPr>
      <w:r>
        <w:rPr>
          <w:b w:val="0"/>
          <w:i w:val="0"/>
        </w:rPr>
        <w:t>TỔNG QUAN QUY TRÌNH</w:t>
      </w:r>
    </w:p>
    <w:p>
      <w:pPr>
        <w:spacing w:after="80"/>
        <w:ind w:left="720"/>
      </w:pPr>
      <w:r>
        <w:rPr>
          <w:b w:val="0"/>
          <w:i w:val="0"/>
        </w:rPr>
        <w:t>CÁC CHỈ SỐ ĐO LƯỜNG</w:t>
      </w:r>
    </w:p>
    <w:p>
      <w:pPr>
        <w:spacing w:after="80"/>
        <w:ind w:left="720"/>
      </w:pPr>
      <w:r>
        <w:rPr>
          <w:b w:val="0"/>
          <w:i w:val="0"/>
        </w:rPr>
        <w:t>ÁP DỤNG KIỂM SOÁT NỘI BỘ VÀ CÁC ĐỊNH NGHĨA</w:t>
      </w:r>
    </w:p>
    <w:p>
      <w:pPr>
        <w:spacing w:after="80"/>
        <w:ind w:left="720"/>
      </w:pPr>
      <w:r>
        <w:rPr>
          <w:b w:val="0"/>
          <w:i w:val="0"/>
        </w:rPr>
        <w:t>QUY ĐỊNH CHUNG VỀ BẢO VỆ DỮ LIỆU (GDPR)</w:t>
      </w:r>
    </w:p>
    <w:p>
      <w:pPr>
        <w:spacing w:after="80"/>
        <w:ind w:left="720"/>
      </w:pPr>
      <w:r>
        <w:rPr>
          <w:b w:val="0"/>
          <w:i w:val="0"/>
        </w:rPr>
        <w:t>ĐẠO LUẬT VỀ KHẢ NĂNG CHUYỂN GIAO VÀ TRÁCH NHIỆM GIẢI TRÌNH BẢO HIỂM Y TẾ (HIPAA)</w:t>
      </w:r>
    </w:p>
    <w:p>
      <w:pPr>
        <w:spacing w:after="80"/>
        <w:ind w:left="720"/>
      </w:pPr>
      <w:r>
        <w:rPr>
          <w:b w:val="0"/>
          <w:i w:val="0"/>
        </w:rPr>
        <w:t>CÁC QUY TRÌNH CON</w:t>
      </w:r>
    </w:p>
    <w:p>
      <w:pPr>
        <w:spacing w:after="80"/>
        <w:ind w:left="720"/>
      </w:pPr>
      <w:r>
        <w:rPr>
          <w:b w:val="0"/>
          <w:i w:val="0"/>
        </w:rPr>
        <w:t>9.1 CÁC TIÊU CHUẨN VỀ TRÁCH NHIỆM KIỂM SOÁT NỘI BỘ</w:t>
      </w:r>
    </w:p>
    <w:p>
      <w:pPr>
        <w:spacing w:after="80"/>
        <w:ind w:left="720"/>
      </w:pPr>
      <w:r>
        <w:rPr>
          <w:b w:val="0"/>
          <w:i w:val="0"/>
        </w:rPr>
        <w:t>9.2 CÁC TIÊU CHUẨN VỀ YÊU CẦU LƯU TRỮ HỒ SƠ NỘI BỘ</w:t>
      </w:r>
    </w:p>
    <w:p>
      <w:pPr>
        <w:spacing w:after="80"/>
        <w:ind w:left="720"/>
      </w:pPr>
      <w:r>
        <w:rPr>
          <w:b w:val="0"/>
          <w:i w:val="0"/>
        </w:rPr>
        <w:t>GHI CHÚ</w:t>
      </w:r>
    </w:p>
    <w:p>
      <w:pPr>
        <w:spacing w:after="80"/>
        <w:ind w:left="360"/>
      </w:pPr>
      <w:r>
        <w:rPr>
          <w:b w:val="0"/>
          <w:i w:val="0"/>
        </w:rPr>
        <w:t>CHƯƠNG 10: Kiểm soát Máy tính, Viễn thông và Hệ thống</w:t>
      </w:r>
    </w:p>
    <w:p>
      <w:pPr>
        <w:spacing w:after="80"/>
        <w:ind w:left="720"/>
      </w:pPr>
      <w:r>
        <w:rPr>
          <w:b w:val="0"/>
          <w:i w:val="0"/>
        </w:rPr>
        <w:t>GIỚI THIỆU</w:t>
      </w:r>
    </w:p>
    <w:p>
      <w:pPr>
        <w:spacing w:after="80"/>
        <w:ind w:left="720"/>
      </w:pPr>
      <w:r>
        <w:rPr>
          <w:b w:val="0"/>
          <w:i w:val="0"/>
        </w:rPr>
        <w:t>TỔNG QUAN QUY TRÌNH</w:t>
      </w:r>
    </w:p>
    <w:p>
      <w:pPr>
        <w:spacing w:after="80"/>
        <w:ind w:left="720"/>
      </w:pPr>
      <w:r>
        <w:rPr>
          <w:b w:val="0"/>
          <w:i w:val="0"/>
        </w:rPr>
        <w:t>CÁC CHỈ SỐ ĐO LƯỜNG</w:t>
      </w:r>
    </w:p>
    <w:p>
      <w:pPr>
        <w:spacing w:after="80"/>
        <w:ind w:left="720"/>
      </w:pPr>
      <w:r>
        <w:rPr>
          <w:b w:val="0"/>
          <w:i w:val="0"/>
        </w:rPr>
        <w:t>ỨNG DỤNG CÁC KIỂM SOÁT NỘI BỘ</w:t>
      </w:r>
    </w:p>
    <w:p>
      <w:pPr>
        <w:spacing w:after="80"/>
        <w:ind w:left="720"/>
      </w:pPr>
      <w:r>
        <w:rPr>
          <w:b w:val="0"/>
          <w:i w:val="0"/>
        </w:rPr>
        <w:t>SAE 18</w:t>
      </w:r>
    </w:p>
    <w:p>
      <w:pPr>
        <w:spacing w:after="80"/>
        <w:ind w:left="720"/>
      </w:pPr>
      <w:r>
        <w:rPr>
          <w:b w:val="0"/>
          <w:i w:val="0"/>
        </w:rPr>
        <w:t>CÁC TIỂU QUY TRÌNH</w:t>
      </w:r>
    </w:p>
    <w:p>
      <w:pPr>
        <w:spacing w:after="80"/>
        <w:ind w:left="720"/>
      </w:pPr>
      <w:r>
        <w:rPr>
          <w:b w:val="0"/>
          <w:i w:val="0"/>
        </w:rPr>
        <w:t>10.1 CHỦ SỞ HỮU, NGƯỜI DÙNG VÀ NHÀ CUNG CẤP DỊCH VỤ</w:t>
      </w:r>
    </w:p>
    <w:p>
      <w:pPr>
        <w:spacing w:after="80"/>
        <w:ind w:left="720"/>
      </w:pPr>
      <w:r>
        <w:rPr>
          <w:b w:val="0"/>
          <w:i w:val="0"/>
        </w:rPr>
        <w:t>10.2 AN NINH VẬT LÝ VÀ CÁC KIỂM SOÁT MÔI TRƯỜNG</w:t>
      </w:r>
    </w:p>
    <w:p>
      <w:pPr>
        <w:spacing w:after="80"/>
        <w:ind w:left="720"/>
      </w:pPr>
      <w:r>
        <w:rPr>
          <w:b w:val="0"/>
          <w:i w:val="0"/>
        </w:rPr>
        <w:t>10.3 KIỂM SOÁT TRUY CẬP MÁY TÍNH</w:t>
      </w:r>
    </w:p>
    <w:p>
      <w:pPr>
        <w:spacing w:after="80"/>
        <w:ind w:left="720"/>
      </w:pPr>
      <w:r>
        <w:rPr>
          <w:b w:val="0"/>
          <w:i w:val="0"/>
        </w:rPr>
        <w:t>10.4 VẬN HÀNH MẠNG VÀ CÁC KIỂM SOÁT AN NINH</w:t>
      </w:r>
    </w:p>
    <w:p>
      <w:pPr>
        <w:spacing w:after="80"/>
        <w:ind w:left="720"/>
      </w:pPr>
      <w:r>
        <w:rPr>
          <w:b w:val="0"/>
          <w:i w:val="0"/>
        </w:rPr>
        <w:t>10.5 PHƯƠNG PHÁP LUẬN PHÁT TRIỂN HỆ THỐNG</w:t>
      </w:r>
    </w:p>
    <w:p>
      <w:pPr>
        <w:spacing w:after="80"/>
        <w:ind w:left="720"/>
      </w:pPr>
      <w:r>
        <w:rPr>
          <w:b w:val="0"/>
          <w:i w:val="0"/>
        </w:rPr>
        <w:t>10.6 QUẢN LÝ THAY ĐỔI</w:t>
      </w:r>
    </w:p>
    <w:p>
      <w:pPr>
        <w:spacing w:after="80"/>
        <w:ind w:left="720"/>
      </w:pPr>
      <w:r>
        <w:rPr>
          <w:b w:val="0"/>
          <w:i w:val="0"/>
        </w:rPr>
        <w:t>10.7 SAO LƯU MÁY TÍNH VÀ VIỄN THÔNG ĐỂ KHỞI ĐỘNG LẠI/PHỤC HỒI SẢN XUẤT</w:t>
      </w:r>
    </w:p>
    <w:p>
      <w:pPr>
        <w:spacing w:after="80"/>
        <w:ind w:left="720"/>
      </w:pPr>
      <w:r>
        <w:rPr>
          <w:b w:val="0"/>
          <w:i w:val="0"/>
        </w:rPr>
        <w:t>10.8 PHỤC HỒI SAU THẢM HỌA VÀ LẬP KẾ HOẠCH DỰ PHÒNG KINH DOANH</w:t>
      </w:r>
    </w:p>
    <w:p>
      <w:pPr>
        <w:spacing w:after="80"/>
        <w:ind w:left="720"/>
      </w:pPr>
      <w:r>
        <w:rPr>
          <w:b w:val="0"/>
          <w:i w:val="0"/>
        </w:rPr>
        <w:t>10.9 CÁC KIỂM SOÁT ĐẦU VÀO</w:t>
      </w:r>
    </w:p>
    <w:p>
      <w:pPr>
        <w:spacing w:after="80"/>
        <w:ind w:left="720"/>
      </w:pPr>
      <w:r>
        <w:rPr>
          <w:b w:val="0"/>
          <w:i w:val="0"/>
        </w:rPr>
        <w:t>10.10 CÁC KIỂM SOÁT ĐẦU RA</w:t>
      </w:r>
    </w:p>
    <w:p>
      <w:pPr>
        <w:spacing w:after="80"/>
        <w:ind w:left="720"/>
      </w:pPr>
      <w:r>
        <w:rPr>
          <w:b w:val="0"/>
          <w:i w:val="0"/>
        </w:rPr>
        <w:t>10.11 GIAO DỊCH KHÔNG GIẤY TỜ, THƯƠNG MẠI ĐIỆN TỬ VÀ EDI</w:t>
      </w:r>
    </w:p>
    <w:p>
      <w:pPr>
        <w:spacing w:after="80"/>
        <w:ind w:left="720"/>
      </w:pPr>
      <w:r>
        <w:rPr>
          <w:b w:val="0"/>
          <w:i w:val="0"/>
        </w:rPr>
        <w:t>10.12 MẠNG LƯỚI NGOÀI CÔNG TY VÀ BẢNG TIN</w:t>
      </w:r>
    </w:p>
    <w:p>
      <w:pPr>
        <w:spacing w:after="80"/>
        <w:ind w:left="360"/>
      </w:pPr>
      <w:r>
        <w:rPr>
          <w:b w:val="0"/>
          <w:i w:val="0"/>
        </w:rPr>
        <w:t>CHƯƠNG 11: Bảo vệ tài sản: Con người, Vật chất và Trí tuệ</w:t>
      </w:r>
    </w:p>
    <w:p>
      <w:pPr>
        <w:spacing w:after="80"/>
        <w:ind w:left="720"/>
      </w:pPr>
      <w:r>
        <w:rPr>
          <w:b w:val="0"/>
          <w:i w:val="0"/>
        </w:rPr>
        <w:t>GIỚI THIỆU</w:t>
      </w:r>
    </w:p>
    <w:p>
      <w:pPr>
        <w:spacing w:after="80"/>
        <w:ind w:left="720"/>
      </w:pPr>
      <w:r>
        <w:rPr>
          <w:b w:val="0"/>
          <w:i w:val="0"/>
        </w:rPr>
        <w:t>TỔNG QUAN QUY TRÌNH</w:t>
      </w:r>
    </w:p>
    <w:p>
      <w:pPr>
        <w:spacing w:after="80"/>
        <w:ind w:left="720"/>
      </w:pPr>
      <w:r>
        <w:rPr>
          <w:b w:val="0"/>
          <w:i w:val="0"/>
        </w:rPr>
        <w:t>CÁC CHỈ SỐ ĐO LƯỜNG</w:t>
      </w:r>
    </w:p>
    <w:p>
      <w:pPr>
        <w:spacing w:after="80"/>
        <w:ind w:left="720"/>
      </w:pPr>
      <w:r>
        <w:rPr>
          <w:b w:val="0"/>
          <w:i w:val="0"/>
        </w:rPr>
        <w:t>ÁP DỤNG KIỂM SOÁT NỘI BỘ</w:t>
      </w:r>
    </w:p>
    <w:p>
      <w:pPr>
        <w:spacing w:after="80"/>
        <w:ind w:left="720"/>
      </w:pPr>
      <w:r>
        <w:rPr>
          <w:b w:val="0"/>
          <w:i w:val="0"/>
        </w:rPr>
        <w:t>CÁC QUY TRÌNH PHỤ</w:t>
      </w:r>
    </w:p>
    <w:p>
      <w:pPr>
        <w:spacing w:after="80"/>
        <w:ind w:left="720"/>
      </w:pPr>
      <w:r>
        <w:rPr>
          <w:b w:val="0"/>
          <w:i w:val="0"/>
        </w:rPr>
        <w:t>11.1 KHUNG BẢO MẬT</w:t>
      </w:r>
    </w:p>
    <w:p>
      <w:pPr>
        <w:spacing w:after="80"/>
        <w:ind w:left="720"/>
      </w:pPr>
      <w:r>
        <w:rPr>
          <w:b w:val="0"/>
          <w:i w:val="0"/>
        </w:rPr>
        <w:t>11.2 BẢO MẬT VÀNH NGOÀI</w:t>
      </w:r>
    </w:p>
    <w:p>
      <w:pPr>
        <w:spacing w:after="80"/>
        <w:ind w:left="720"/>
      </w:pPr>
      <w:r>
        <w:rPr>
          <w:b w:val="0"/>
          <w:i w:val="0"/>
        </w:rPr>
        <w:t>11.3 BẢO MẬT BÊN TRONG</w:t>
      </w:r>
    </w:p>
    <w:p>
      <w:pPr>
        <w:spacing w:after="80"/>
        <w:ind w:left="720"/>
      </w:pPr>
      <w:r>
        <w:rPr>
          <w:b w:val="0"/>
          <w:i w:val="0"/>
        </w:rPr>
        <w:t>11.4 BẢO VỆ TÀI SẢN TRÍ TUỆ</w:t>
      </w:r>
    </w:p>
    <w:p>
      <w:pPr>
        <w:spacing w:after="80"/>
        <w:ind w:left="360"/>
      </w:pPr>
      <w:r>
        <w:rPr>
          <w:b w:val="0"/>
          <w:i w:val="0"/>
        </w:rPr>
        <w:t>CHƯƠNG 12: Quy trình Bảo hiểm</w:t>
      </w:r>
    </w:p>
    <w:p>
      <w:pPr>
        <w:spacing w:after="80"/>
        <w:ind w:left="720"/>
      </w:pPr>
      <w:r>
        <w:rPr>
          <w:b w:val="0"/>
          <w:i w:val="0"/>
        </w:rPr>
        <w:t>GIỚI THIỆU</w:t>
      </w:r>
    </w:p>
    <w:p>
      <w:pPr>
        <w:spacing w:after="80"/>
        <w:ind w:left="720"/>
      </w:pPr>
      <w:r>
        <w:rPr>
          <w:b w:val="0"/>
          <w:i w:val="0"/>
        </w:rPr>
        <w:t>TỔNG QUAN QUY TRÌNH</w:t>
      </w:r>
    </w:p>
    <w:p>
      <w:pPr>
        <w:spacing w:after="80"/>
        <w:ind w:left="720"/>
      </w:pPr>
      <w:r>
        <w:rPr>
          <w:b w:val="0"/>
          <w:i w:val="0"/>
        </w:rPr>
        <w:t>CÁC CHỈ SỐ ĐO LƯỜNG</w:t>
      </w:r>
    </w:p>
    <w:p>
      <w:pPr>
        <w:spacing w:after="80"/>
        <w:ind w:left="720"/>
      </w:pPr>
      <w:r>
        <w:rPr>
          <w:b w:val="0"/>
          <w:i w:val="0"/>
        </w:rPr>
        <w:t>ÁP DỤNG KIỂM SOÁT NỘI BỘ</w:t>
      </w:r>
    </w:p>
    <w:p>
      <w:pPr>
        <w:spacing w:after="80"/>
        <w:ind w:left="720"/>
      </w:pPr>
      <w:r>
        <w:rPr>
          <w:b w:val="0"/>
          <w:i w:val="0"/>
        </w:rPr>
        <w:t>CÁC QUY TRÌNH PHỤ</w:t>
      </w:r>
    </w:p>
    <w:p>
      <w:pPr>
        <w:spacing w:after="80"/>
        <w:ind w:left="720"/>
      </w:pPr>
      <w:r>
        <w:rPr>
          <w:b w:val="0"/>
          <w:i w:val="0"/>
        </w:rPr>
        <w:t>12.1 BẢO VỆ CHỐNG THIỆT HẠI VẬT CHẤT VÀ CÁC TAI NẠN KHÁC</w:t>
      </w:r>
    </w:p>
    <w:p>
      <w:pPr>
        <w:spacing w:after="80"/>
        <w:ind w:left="720"/>
      </w:pPr>
      <w:r>
        <w:rPr>
          <w:b w:val="0"/>
          <w:i w:val="0"/>
        </w:rPr>
        <w:t>12.2 BẢO HIỂM (RỦI RO TÀI SẢN VÀ TRÁCH NHIỆM)</w:t>
      </w:r>
    </w:p>
    <w:p>
      <w:pPr>
        <w:spacing w:after="80"/>
        <w:ind w:left="720"/>
      </w:pPr>
      <w:r>
        <w:rPr>
          <w:b w:val="0"/>
          <w:i w:val="0"/>
        </w:rPr>
        <w:t>12.3 DUY TRÌ HOẠT ĐỘNG KINH DOANH LIÊN TỤC</w:t>
      </w:r>
    </w:p>
    <w:p>
      <w:pPr>
        <w:spacing w:after="80"/>
        <w:ind w:left="360"/>
      </w:pPr>
      <w:r>
        <w:rPr>
          <w:b w:val="0"/>
          <w:i w:val="0"/>
        </w:rPr>
        <w:t>CHƯƠNG 13: Môi trường, Sức khỏe và An toàn (EH&amp;S)</w:t>
      </w:r>
    </w:p>
    <w:p>
      <w:pPr>
        <w:spacing w:after="80"/>
        <w:ind w:left="720"/>
      </w:pPr>
      <w:r>
        <w:rPr>
          <w:b w:val="0"/>
          <w:i w:val="0"/>
        </w:rPr>
        <w:t>GIỚI THIỆU</w:t>
      </w:r>
    </w:p>
    <w:p>
      <w:pPr>
        <w:spacing w:after="80"/>
        <w:ind w:left="720"/>
      </w:pPr>
      <w:r>
        <w:rPr>
          <w:b w:val="0"/>
          <w:i w:val="0"/>
        </w:rPr>
        <w:t>TỔNG QUAN QUY TRÌNH</w:t>
      </w:r>
    </w:p>
    <w:p>
      <w:pPr>
        <w:spacing w:after="80"/>
        <w:ind w:left="720"/>
      </w:pPr>
      <w:r>
        <w:rPr>
          <w:b w:val="0"/>
          <w:i w:val="0"/>
        </w:rPr>
        <w:t>CÁC CHỈ SỐ ĐO LƯỜNG</w:t>
      </w:r>
    </w:p>
    <w:p>
      <w:pPr>
        <w:spacing w:after="80"/>
        <w:ind w:left="720"/>
      </w:pPr>
      <w:r>
        <w:rPr>
          <w:b w:val="0"/>
          <w:i w:val="0"/>
        </w:rPr>
        <w:t>ÁP DỤNG KIỂM SOÁT NỘI BỘ</w:t>
      </w:r>
    </w:p>
    <w:p>
      <w:pPr>
        <w:spacing w:after="80"/>
        <w:ind w:left="720"/>
      </w:pPr>
      <w:r>
        <w:rPr>
          <w:b w:val="0"/>
          <w:i w:val="0"/>
        </w:rPr>
        <w:t>CÁC QUY TRÌNH PHỤ</w:t>
      </w:r>
    </w:p>
    <w:p>
      <w:pPr>
        <w:spacing w:after="80"/>
        <w:ind w:left="720"/>
      </w:pPr>
      <w:r>
        <w:rPr>
          <w:b w:val="0"/>
          <w:i w:val="0"/>
        </w:rPr>
        <w:t>13.1 KIỂM SOÁT CHUNG</w:t>
      </w:r>
    </w:p>
    <w:p>
      <w:pPr>
        <w:spacing w:after="80"/>
        <w:ind w:left="720"/>
      </w:pPr>
      <w:r>
        <w:rPr>
          <w:b w:val="0"/>
          <w:i w:val="0"/>
        </w:rPr>
        <w:t>LƯU Ý</w:t>
      </w:r>
    </w:p>
    <w:p>
      <w:pPr>
        <w:spacing w:after="80"/>
        <w:ind w:left="360"/>
      </w:pPr>
      <w:r>
        <w:rPr>
          <w:b w:val="0"/>
          <w:i w:val="0"/>
        </w:rPr>
        <w:t>CHƯƠNG 14: Dịch vụ Khách hàng</w:t>
      </w:r>
    </w:p>
    <w:p>
      <w:pPr>
        <w:spacing w:after="80"/>
        <w:ind w:left="720"/>
      </w:pPr>
      <w:r>
        <w:rPr>
          <w:b w:val="0"/>
          <w:i w:val="0"/>
        </w:rPr>
        <w:t>GIỚI THIỆU</w:t>
      </w:r>
    </w:p>
    <w:p>
      <w:pPr>
        <w:spacing w:after="80"/>
        <w:ind w:left="720"/>
      </w:pPr>
      <w:r>
        <w:rPr>
          <w:b w:val="0"/>
          <w:i w:val="0"/>
        </w:rPr>
        <w:t>TỔNG QUAN QUY TRÌNH</w:t>
      </w:r>
    </w:p>
    <w:p>
      <w:pPr>
        <w:spacing w:after="80"/>
        <w:ind w:left="720"/>
      </w:pPr>
      <w:r>
        <w:rPr>
          <w:b w:val="0"/>
          <w:i w:val="0"/>
        </w:rPr>
        <w:t>CÁC CHỈ SỐ ĐO LƯỜNG</w:t>
      </w:r>
    </w:p>
    <w:p>
      <w:pPr>
        <w:spacing w:after="80"/>
        <w:ind w:left="720"/>
      </w:pPr>
      <w:r>
        <w:rPr>
          <w:b w:val="0"/>
          <w:i w:val="0"/>
        </w:rPr>
        <w:t>ÁP DỤNG KIỂM SOÁT NỘI BỘ</w:t>
      </w:r>
    </w:p>
    <w:p>
      <w:pPr>
        <w:spacing w:after="80"/>
        <w:ind w:left="720"/>
      </w:pPr>
      <w:r>
        <w:rPr>
          <w:b w:val="0"/>
          <w:i w:val="0"/>
        </w:rPr>
        <w:t>CÁC QUY TRÌNH PHỤ</w:t>
      </w:r>
    </w:p>
    <w:p>
      <w:pPr>
        <w:spacing w:after="80"/>
        <w:ind w:left="720"/>
      </w:pPr>
      <w:r>
        <w:rPr>
          <w:b w:val="0"/>
          <w:i w:val="0"/>
        </w:rPr>
        <w:t>14.1 CHÍNH SÁCH</w:t>
      </w:r>
    </w:p>
    <w:p>
      <w:pPr>
        <w:spacing w:after="80"/>
        <w:ind w:left="720"/>
      </w:pPr>
      <w:r>
        <w:rPr>
          <w:b w:val="0"/>
          <w:i w:val="0"/>
        </w:rPr>
        <w:t>14.2 QUẢN LÝ TRUNG TÂM CUỘC GỌI</w:t>
      </w:r>
    </w:p>
    <w:p>
      <w:pPr>
        <w:spacing w:after="80"/>
        <w:ind w:left="720"/>
      </w:pPr>
      <w:r>
        <w:rPr>
          <w:b w:val="0"/>
          <w:i w:val="0"/>
        </w:rPr>
        <w:t>14.3 BẢO HÀNH</w:t>
      </w:r>
    </w:p>
    <w:p>
      <w:pPr>
        <w:spacing w:after="80"/>
        <w:ind w:left="720"/>
      </w:pPr>
      <w:r>
        <w:rPr>
          <w:b w:val="0"/>
          <w:i w:val="0"/>
        </w:rPr>
        <w:t>14.4 HỖ TRỢ BÁN HÀNG</w:t>
      </w:r>
    </w:p>
    <w:p>
      <w:pPr>
        <w:spacing w:after="80"/>
        <w:ind w:left="360"/>
      </w:pPr>
      <w:r>
        <w:rPr>
          <w:b w:val="0"/>
          <w:i w:val="0"/>
        </w:rPr>
        <w:t>CHƯƠNG 15: Dịch vụ Chuyên nghiệp (PS)</w:t>
      </w:r>
    </w:p>
    <w:p>
      <w:pPr>
        <w:spacing w:after="80"/>
        <w:ind w:left="720"/>
      </w:pPr>
      <w:r>
        <w:rPr>
          <w:b w:val="0"/>
          <w:i w:val="0"/>
        </w:rPr>
        <w:t>GIỚI THIỆU</w:t>
      </w:r>
    </w:p>
    <w:p>
      <w:pPr>
        <w:spacing w:after="80"/>
        <w:ind w:left="720"/>
      </w:pPr>
      <w:r>
        <w:rPr>
          <w:b w:val="0"/>
          <w:i w:val="0"/>
        </w:rPr>
        <w:t>TỔNG QUAN QUY TRÌNH</w:t>
      </w:r>
    </w:p>
    <w:p>
      <w:pPr>
        <w:spacing w:after="80"/>
        <w:ind w:left="720"/>
      </w:pPr>
      <w:r>
        <w:rPr>
          <w:b w:val="0"/>
          <w:i w:val="0"/>
        </w:rPr>
        <w:t>CÁC CHỈ SỐ ĐO LƯỜNG</w:t>
      </w:r>
    </w:p>
    <w:p>
      <w:pPr>
        <w:spacing w:after="80"/>
        <w:ind w:left="720"/>
      </w:pPr>
      <w:r>
        <w:rPr>
          <w:b w:val="0"/>
          <w:i w:val="0"/>
        </w:rPr>
        <w:t>ÁP DỤNG KIỂM SOÁT NỘI BỘ</w:t>
      </w:r>
    </w:p>
    <w:p>
      <w:pPr>
        <w:spacing w:after="80"/>
        <w:ind w:left="720"/>
      </w:pPr>
      <w:r>
        <w:rPr>
          <w:b w:val="0"/>
          <w:i w:val="0"/>
        </w:rPr>
        <w:t>CÁC QUY TRÌNH CON</w:t>
      </w:r>
    </w:p>
    <w:p>
      <w:pPr>
        <w:spacing w:after="80"/>
        <w:ind w:left="720"/>
      </w:pPr>
      <w:r>
        <w:rPr>
          <w:b w:val="0"/>
          <w:i w:val="0"/>
        </w:rPr>
        <w:t>15.1 KIỂM SOÁT CHUNG</w:t>
      </w:r>
    </w:p>
    <w:p>
      <w:pPr>
        <w:spacing w:after="80"/>
        <w:ind w:left="720"/>
      </w:pPr>
      <w:r>
        <w:rPr>
          <w:b w:val="0"/>
          <w:i w:val="0"/>
        </w:rPr>
        <w:t>15.2 QUY TRÌNH CƠ HỘI - ĐẤU THẦU</w:t>
      </w:r>
    </w:p>
    <w:p>
      <w:pPr>
        <w:spacing w:after="80"/>
        <w:ind w:left="720"/>
      </w:pPr>
      <w:r>
        <w:rPr>
          <w:b w:val="0"/>
          <w:i w:val="0"/>
        </w:rPr>
        <w:t>15.3 QUẢN LÝ CHƯƠNG TRÌNH</w:t>
      </w:r>
    </w:p>
    <w:p>
      <w:pPr>
        <w:spacing w:after="80"/>
        <w:ind w:left="720"/>
      </w:pPr>
      <w:r>
        <w:rPr>
          <w:b w:val="0"/>
          <w:i w:val="0"/>
        </w:rPr>
        <w:t>15.4 QUẢN LÝ ĐƠN HÀNG KHÁCH HÀNG</w:t>
      </w:r>
    </w:p>
    <w:p>
      <w:pPr>
        <w:spacing w:after="80"/>
        <w:ind w:left="720"/>
      </w:pPr>
      <w:r>
        <w:rPr>
          <w:b w:val="0"/>
          <w:i w:val="0"/>
        </w:rPr>
        <w:t>LƯU Ý</w:t>
      </w:r>
    </w:p>
    <w:p>
      <w:pPr>
        <w:spacing w:after="80"/>
        <w:ind w:left="360"/>
      </w:pPr>
      <w:r>
        <w:rPr>
          <w:b w:val="0"/>
          <w:i w:val="0"/>
        </w:rPr>
        <w:t>CHƯƠNG 16: Kiểm soát ở Cấp độ Thực thể</w:t>
      </w:r>
    </w:p>
    <w:p>
      <w:pPr>
        <w:spacing w:after="80"/>
        <w:ind w:left="720"/>
      </w:pPr>
      <w:r>
        <w:rPr>
          <w:b w:val="0"/>
          <w:i w:val="0"/>
        </w:rPr>
        <w:t>GIỚI THIỆU</w:t>
      </w:r>
    </w:p>
    <w:p>
      <w:pPr>
        <w:spacing w:after="80"/>
        <w:ind w:left="720"/>
      </w:pPr>
      <w:r>
        <w:rPr>
          <w:b w:val="0"/>
          <w:i w:val="0"/>
        </w:rPr>
        <w:t>TỔNG QUAN QUY TRÌNH</w:t>
      </w:r>
    </w:p>
    <w:p>
      <w:pPr>
        <w:spacing w:after="80"/>
        <w:ind w:left="720"/>
      </w:pPr>
      <w:r>
        <w:rPr>
          <w:b w:val="0"/>
          <w:i w:val="0"/>
        </w:rPr>
        <w:t>CÁC CHỈ SỐ ĐO LƯỜNG</w:t>
      </w:r>
    </w:p>
    <w:p>
      <w:pPr>
        <w:spacing w:after="80"/>
        <w:ind w:left="720"/>
      </w:pPr>
      <w:r>
        <w:rPr>
          <w:b w:val="0"/>
          <w:i w:val="0"/>
        </w:rPr>
        <w:t>ÁP DỤNG KIỂM SOÁT NỘI BỘ</w:t>
      </w:r>
    </w:p>
    <w:p>
      <w:pPr>
        <w:spacing w:after="80"/>
        <w:ind w:left="720"/>
      </w:pPr>
      <w:r>
        <w:rPr>
          <w:b w:val="0"/>
          <w:i w:val="0"/>
        </w:rPr>
        <w:t>CÁC QUY TRÌNH CON</w:t>
      </w:r>
    </w:p>
    <w:p>
      <w:pPr>
        <w:spacing w:after="80"/>
        <w:ind w:left="720"/>
      </w:pPr>
      <w:r>
        <w:rPr>
          <w:b w:val="0"/>
          <w:i w:val="0"/>
        </w:rPr>
        <w:t>16.1 TUÂN THỦ VÀ SÀNG LỌC TUÂN THỦ</w:t>
      </w:r>
    </w:p>
    <w:p>
      <w:pPr>
        <w:spacing w:after="80"/>
        <w:ind w:left="720"/>
      </w:pPr>
      <w:r>
        <w:rPr>
          <w:b w:val="0"/>
          <w:i w:val="0"/>
        </w:rPr>
        <w:t>16.2 VAI TRÒ VÀ TRÁCH NHIỆM TRONG KIỂM SOÁT NỘI BỘ</w:t>
      </w:r>
    </w:p>
    <w:p>
      <w:pPr>
        <w:spacing w:after="80"/>
        <w:ind w:left="720"/>
      </w:pPr>
      <w:r>
        <w:rPr>
          <w:b w:val="0"/>
          <w:i w:val="0"/>
        </w:rPr>
        <w:t>16.3 KIỂM SOÁT QUẢN LÝ THỰC THỂ</w:t>
      </w:r>
    </w:p>
    <w:p>
      <w:pPr>
        <w:spacing w:after="80"/>
        <w:ind w:left="720"/>
      </w:pPr>
      <w:r>
        <w:rPr>
          <w:b w:val="0"/>
          <w:i w:val="0"/>
        </w:rPr>
        <w:t>16.4 KIỂM SOÁT CỦA ỦY BAN KIỂM TOÁN</w:t>
      </w:r>
    </w:p>
    <w:p>
      <w:pPr>
        <w:spacing w:after="80"/>
        <w:ind w:left="720"/>
      </w:pPr>
      <w:r>
        <w:rPr>
          <w:b w:val="0"/>
          <w:i w:val="0"/>
        </w:rPr>
        <w:t>LƯU Ý</w:t>
      </w:r>
    </w:p>
    <w:p>
      <w:pPr>
        <w:spacing w:after="80"/>
        <w:ind w:left="360"/>
      </w:pPr>
      <w:r>
        <w:rPr>
          <w:b w:val="0"/>
          <w:i w:val="0"/>
        </w:rPr>
        <w:t>Thuật ngữ</w:t>
      </w:r>
    </w:p>
    <w:p>
      <w:pPr>
        <w:spacing w:after="80"/>
        <w:ind w:left="720"/>
      </w:pPr>
      <w:r>
        <w:rPr>
          <w:b w:val="0"/>
          <w:i w:val="0"/>
        </w:rPr>
        <w:t>GHI CHÚ</w:t>
      </w:r>
    </w:p>
    <w:p>
      <w:pPr>
        <w:spacing w:after="80"/>
        <w:ind w:left="360"/>
      </w:pPr>
      <w:r>
        <w:rPr>
          <w:b w:val="0"/>
          <w:i w:val="0"/>
        </w:rPr>
        <w:t>Phụ lục—Các công cụ bổ sung</w:t>
      </w:r>
    </w:p>
    <w:p>
      <w:pPr>
        <w:spacing w:after="80"/>
        <w:ind w:left="720"/>
      </w:pPr>
      <w:r>
        <w:rPr>
          <w:b w:val="0"/>
          <w:i w:val="0"/>
        </w:rPr>
        <w:t>VÍ DỤ VỀ CHÍNH SÁCH KIỂM SOÁT NỘI BỘ</w:t>
      </w:r>
    </w:p>
    <w:p>
      <w:pPr>
        <w:spacing w:after="80"/>
        <w:ind w:left="720"/>
      </w:pPr>
      <w:r>
        <w:rPr>
          <w:b w:val="0"/>
          <w:i w:val="0"/>
        </w:rPr>
        <w:t>VÍ DỤ VỀ CHÍNH SÁCH PHÂN CẤP THẨM QUYỀN (DOA)</w:t>
      </w:r>
    </w:p>
    <w:p>
      <w:pPr>
        <w:spacing w:after="80"/>
        <w:ind w:left="720"/>
      </w:pPr>
      <w:r>
        <w:rPr>
          <w:b w:val="0"/>
          <w:i w:val="0"/>
        </w:rPr>
        <w:t>VÍ DỤ VỀ CHÍNH SÁCH PHÂN TÁCH NHIỆM VỤ (SOD)</w:t>
      </w:r>
    </w:p>
    <w:p>
      <w:pPr>
        <w:spacing w:after="80"/>
        <w:ind w:left="720"/>
      </w:pPr>
      <w:r>
        <w:rPr>
          <w:b w:val="0"/>
          <w:i w:val="0"/>
        </w:rPr>
        <w:t>VÍ DỤ CHÍNH SÁCH TRUY CẬP HỆ THỐNG (SA)</w:t>
      </w:r>
    </w:p>
    <w:p>
      <w:pPr>
        <w:spacing w:after="80"/>
        <w:ind w:left="720"/>
      </w:pPr>
      <w:r>
        <w:rPr>
          <w:b w:val="0"/>
          <w:i w:val="0"/>
        </w:rPr>
        <w:t>VÍ DỤ CHÍNH SÁCH ĐỊNH GIÁ</w:t>
      </w:r>
    </w:p>
    <w:p>
      <w:pPr>
        <w:spacing w:after="80"/>
        <w:ind w:left="720"/>
      </w:pPr>
      <w:r>
        <w:rPr>
          <w:b w:val="0"/>
          <w:i w:val="0"/>
        </w:rPr>
        <w:t>KIỂM THỬ KIỂM SOÁT NỘI BỘ VÀ CHỌN KÍCH THƯỚC MẪU</w:t>
      </w:r>
    </w:p>
    <w:p>
      <w:pPr>
        <w:spacing w:after="80"/>
        <w:ind w:left="360"/>
      </w:pPr>
      <w:r>
        <w:rPr>
          <w:b w:val="0"/>
          <w:i w:val="0"/>
        </w:rPr>
        <w:t>Mục lục</w:t>
      </w:r>
    </w:p>
    <w:p>
      <w:pPr>
        <w:spacing w:after="80"/>
        <w:ind w:left="360"/>
      </w:pPr>
      <w:r>
        <w:rPr>
          <w:b w:val="0"/>
          <w:i w:val="0"/>
        </w:rPr>
        <w:t>Thỏa thuận Cấp phép Người dùng Cuối</w:t>
      </w:r>
    </w:p>
    <w:p>
      <w:pPr>
        <w:pStyle w:val="Heading2"/>
      </w:pPr>
      <w:r>
        <w:rPr>
          <w:rFonts w:ascii="Calibri" w:hAnsi="Calibri"/>
          <w:b/>
          <w:i w:val="0"/>
          <w:sz w:val="32"/>
        </w:rPr>
        <w:t>Danh sách các Bảng</w:t>
      </w:r>
    </w:p>
    <w:p>
      <w:pPr>
        <w:spacing w:after="80"/>
        <w:ind w:left="360"/>
      </w:pPr>
      <w:r>
        <w:rPr>
          <w:b w:val="0"/>
          <w:i w:val="0"/>
        </w:rPr>
        <w:t>Chương 9</w:t>
      </w:r>
    </w:p>
    <w:p>
      <w:pPr>
        <w:spacing w:after="80"/>
        <w:ind w:left="720"/>
      </w:pPr>
      <w:r>
        <w:rPr>
          <w:b w:val="0"/>
          <w:i w:val="0"/>
        </w:rPr>
        <w:t>BẢNG 9.1 Ví dụ về Danh mục Phân loại theo Loại Thông tin</w:t>
      </w:r>
    </w:p>
    <w:p>
      <w:pPr>
        <w:spacing w:after="80"/>
        <w:ind w:left="720"/>
      </w:pPr>
      <w:r>
        <w:rPr>
          <w:b w:val="0"/>
          <w:i w:val="0"/>
        </w:rPr>
        <w:t>BẢNG 9.2 Yêu cầu Bảo vệ đối với Hồ sơ Vật lý và Điện tử</w:t>
      </w:r>
    </w:p>
    <w:p>
      <w:pPr>
        <w:pStyle w:val="Heading2"/>
      </w:pPr>
      <w:r>
        <w:rPr>
          <w:rFonts w:ascii="Calibri" w:hAnsi="Calibri"/>
          <w:b/>
          <w:i w:val="0"/>
          <w:sz w:val="32"/>
        </w:rPr>
        <w:t>Hướng dẫn</w:t>
      </w:r>
    </w:p>
    <w:p>
      <w:pPr>
        <w:spacing w:after="80"/>
        <w:ind w:left="360"/>
      </w:pPr>
      <w:r>
        <w:rPr>
          <w:b w:val="0"/>
          <w:i w:val="0"/>
        </w:rPr>
        <w:t>Bìa</w:t>
      </w:r>
    </w:p>
    <w:p>
      <w:pPr>
        <w:spacing w:after="80"/>
        <w:ind w:left="360"/>
      </w:pPr>
      <w:r>
        <w:rPr>
          <w:b w:val="0"/>
          <w:i w:val="0"/>
        </w:rPr>
        <w:t>Mục lục</w:t>
      </w:r>
    </w:p>
    <w:p>
      <w:pPr>
        <w:spacing w:after="80"/>
        <w:ind w:left="360"/>
      </w:pPr>
      <w:r>
        <w:rPr>
          <w:b w:val="0"/>
          <w:i w:val="0"/>
        </w:rPr>
        <w:t>Bắt đầu Đọc</w:t>
      </w:r>
    </w:p>
    <w:p>
      <w:pPr>
        <w:pStyle w:val="Heading2"/>
      </w:pPr>
      <w:r>
        <w:rPr>
          <w:rFonts w:ascii="Calibri" w:hAnsi="Calibri"/>
          <w:b/>
          <w:i w:val="0"/>
          <w:sz w:val="32"/>
        </w:rPr>
        <w:t>Các trang</w:t>
      </w:r>
    </w:p>
    <w:p>
      <w:pPr>
        <w:spacing w:after="80"/>
        <w:ind w:left="360"/>
      </w:pPr>
      <w:r>
        <w:rPr>
          <w:b w:val="0"/>
          <w:i w:val="0"/>
        </w:rPr>
        <w:t>ii</w:t>
      </w:r>
    </w:p>
    <w:p>
      <w:pPr>
        <w:spacing w:after="80"/>
        <w:ind w:left="360"/>
      </w:pPr>
      <w:r>
        <w:rPr>
          <w:b w:val="0"/>
          <w:i w:val="0"/>
        </w:rPr>
        <w:t>iii</w:t>
      </w:r>
    </w:p>
    <w:p>
      <w:pPr>
        <w:spacing w:after="80"/>
        <w:ind w:left="360"/>
      </w:pPr>
      <w:r>
        <w:rPr>
          <w:b w:val="0"/>
          <w:i w:val="0"/>
        </w:rPr>
        <w:t>iv</w:t>
      </w:r>
    </w:p>
    <w:p>
      <w:pPr>
        <w:spacing w:after="80"/>
        <w:ind w:left="360"/>
      </w:pPr>
      <w:r>
        <w:rPr>
          <w:b w:val="0"/>
          <w:i w:val="0"/>
        </w:rPr>
        <w:t>1</w:t>
      </w:r>
    </w:p>
    <w:p>
      <w:pPr>
        <w:spacing w:after="80"/>
        <w:ind w:left="360"/>
      </w:pPr>
      <w:r>
        <w:rPr>
          <w:b w:val="0"/>
          <w:i w:val="0"/>
        </w:rPr>
        <w:t>2</w:t>
      </w:r>
    </w:p>
    <w:p>
      <w:pPr>
        <w:spacing w:after="80"/>
        <w:ind w:left="360"/>
      </w:pPr>
      <w:r>
        <w:rPr>
          <w:b w:val="0"/>
          <w:i w:val="0"/>
        </w:rPr>
        <w:t>3</w:t>
      </w:r>
    </w:p>
    <w:p>
      <w:pPr>
        <w:spacing w:after="80"/>
        <w:ind w:left="360"/>
      </w:pPr>
      <w:r>
        <w:rPr>
          <w:b w:val="0"/>
          <w:i w:val="0"/>
        </w:rPr>
        <w:t>4</w:t>
      </w:r>
    </w:p>
    <w:p>
      <w:pPr>
        <w:spacing w:after="80"/>
        <w:ind w:left="360"/>
      </w:pPr>
      <w:r>
        <w:rPr>
          <w:b w:val="0"/>
          <w:i w:val="0"/>
        </w:rPr>
        <w:t>5</w:t>
      </w:r>
    </w:p>
    <w:p>
      <w:pPr>
        <w:spacing w:after="80"/>
        <w:ind w:left="360"/>
      </w:pPr>
      <w:r>
        <w:rPr>
          <w:b w:val="0"/>
          <w:i w:val="0"/>
        </w:rPr>
        <w:t>6</w:t>
      </w:r>
    </w:p>
    <w:p>
      <w:pPr>
        <w:spacing w:after="80"/>
        <w:ind w:left="360"/>
      </w:pPr>
      <w:r>
        <w:rPr>
          <w:b w:val="0"/>
          <w:i w:val="0"/>
        </w:rPr>
        <w:t>7</w:t>
      </w:r>
    </w:p>
    <w:p>
      <w:pPr>
        <w:spacing w:after="80"/>
        <w:ind w:left="360"/>
      </w:pPr>
      <w:r>
        <w:rPr>
          <w:b w:val="0"/>
          <w:i w:val="0"/>
        </w:rPr>
        <w:t>8</w:t>
      </w:r>
    </w:p>
    <w:p>
      <w:pPr>
        <w:spacing w:after="80"/>
        <w:ind w:left="360"/>
      </w:pPr>
      <w:r>
        <w:rPr>
          <w:b w:val="0"/>
          <w:i w:val="0"/>
        </w:rPr>
        <w:t>9</w:t>
      </w:r>
    </w:p>
    <w:p>
      <w:pPr>
        <w:spacing w:after="80"/>
        <w:ind w:left="360"/>
      </w:pPr>
      <w:r>
        <w:rPr>
          <w:b w:val="0"/>
          <w:i w:val="0"/>
        </w:rPr>
        <w:t>11</w:t>
      </w:r>
    </w:p>
    <w:p>
      <w:pPr>
        <w:spacing w:after="80"/>
        <w:ind w:left="360"/>
      </w:pPr>
      <w:r>
        <w:rPr>
          <w:b w:val="0"/>
          <w:i w:val="0"/>
        </w:rPr>
        <w:t>12</w:t>
      </w:r>
    </w:p>
    <w:p>
      <w:pPr>
        <w:spacing w:after="80"/>
        <w:ind w:left="360"/>
      </w:pPr>
      <w:r>
        <w:rPr>
          <w:b w:val="0"/>
          <w:i w:val="0"/>
        </w:rPr>
        <w:t>13</w:t>
      </w:r>
    </w:p>
    <w:p>
      <w:pPr>
        <w:spacing w:after="80"/>
        <w:ind w:left="360"/>
      </w:pPr>
      <w:r>
        <w:rPr>
          <w:b w:val="0"/>
          <w:i w:val="0"/>
        </w:rPr>
        <w:t>14</w:t>
      </w:r>
    </w:p>
    <w:p>
      <w:pPr>
        <w:spacing w:after="80"/>
        <w:ind w:left="360"/>
      </w:pPr>
      <w:r>
        <w:rPr>
          <w:b w:val="0"/>
          <w:i w:val="0"/>
        </w:rPr>
        <w:t>15</w:t>
      </w:r>
    </w:p>
    <w:p>
      <w:pPr>
        <w:spacing w:after="80"/>
        <w:ind w:left="360"/>
      </w:pPr>
      <w:r>
        <w:rPr>
          <w:b w:val="0"/>
          <w:i w:val="0"/>
        </w:rPr>
        <w:t>16</w:t>
      </w:r>
    </w:p>
    <w:p>
      <w:pPr>
        <w:spacing w:after="80"/>
        <w:ind w:left="360"/>
      </w:pPr>
      <w:r>
        <w:rPr>
          <w:b w:val="0"/>
          <w:i w:val="0"/>
        </w:rPr>
        <w:t>17</w:t>
      </w:r>
    </w:p>
    <w:p>
      <w:pPr>
        <w:spacing w:after="80"/>
        <w:ind w:left="360"/>
      </w:pPr>
      <w:r>
        <w:rPr>
          <w:b w:val="0"/>
          <w:i w:val="0"/>
        </w:rPr>
        <w:t>18</w:t>
      </w:r>
    </w:p>
    <w:p>
      <w:pPr>
        <w:spacing w:after="80"/>
        <w:ind w:left="360"/>
      </w:pPr>
      <w:r>
        <w:rPr>
          <w:b w:val="0"/>
          <w:i w:val="0"/>
        </w:rPr>
        <w:t>19</w:t>
      </w:r>
    </w:p>
    <w:p>
      <w:pPr>
        <w:spacing w:after="80"/>
        <w:ind w:left="360"/>
      </w:pPr>
      <w:r>
        <w:rPr>
          <w:b w:val="0"/>
          <w:i w:val="0"/>
        </w:rPr>
        <w:t>20</w:t>
      </w:r>
    </w:p>
    <w:p>
      <w:pPr>
        <w:spacing w:after="80"/>
        <w:ind w:left="360"/>
      </w:pPr>
      <w:r>
        <w:rPr>
          <w:b w:val="0"/>
          <w:i w:val="0"/>
        </w:rPr>
        <w:t>21</w:t>
      </w:r>
    </w:p>
    <w:p>
      <w:pPr>
        <w:spacing w:after="80"/>
        <w:ind w:left="360"/>
      </w:pPr>
      <w:r>
        <w:rPr>
          <w:b w:val="0"/>
          <w:i w:val="0"/>
        </w:rPr>
        <w:t>22</w:t>
      </w:r>
    </w:p>
    <w:p>
      <w:pPr>
        <w:spacing w:after="80"/>
        <w:ind w:left="360"/>
      </w:pPr>
      <w:r>
        <w:rPr>
          <w:b w:val="0"/>
          <w:i w:val="0"/>
        </w:rPr>
        <w:t>23</w:t>
      </w:r>
    </w:p>
    <w:p>
      <w:pPr>
        <w:spacing w:after="80"/>
        <w:ind w:left="360"/>
      </w:pPr>
      <w:r>
        <w:rPr>
          <w:b w:val="0"/>
          <w:i w:val="0"/>
        </w:rPr>
        <w:t>24</w:t>
      </w:r>
    </w:p>
    <w:p>
      <w:pPr>
        <w:spacing w:after="80"/>
        <w:ind w:left="360"/>
      </w:pPr>
      <w:r>
        <w:rPr>
          <w:b w:val="0"/>
          <w:i w:val="0"/>
        </w:rPr>
        <w:t>25</w:t>
      </w:r>
    </w:p>
    <w:p>
      <w:pPr>
        <w:spacing w:after="80"/>
        <w:ind w:left="360"/>
      </w:pPr>
      <w:r>
        <w:rPr>
          <w:b w:val="0"/>
          <w:i w:val="0"/>
        </w:rPr>
        <w:t>26</w:t>
      </w:r>
    </w:p>
    <w:p>
      <w:pPr>
        <w:spacing w:after="80"/>
        <w:ind w:left="360"/>
      </w:pPr>
      <w:r>
        <w:rPr>
          <w:b w:val="0"/>
          <w:i w:val="0"/>
        </w:rPr>
        <w:t>27</w:t>
      </w:r>
    </w:p>
    <w:p>
      <w:pPr>
        <w:spacing w:after="80"/>
        <w:ind w:left="360"/>
      </w:pPr>
      <w:r>
        <w:rPr>
          <w:b w:val="0"/>
          <w:i w:val="0"/>
        </w:rPr>
        <w:t>28</w:t>
      </w:r>
    </w:p>
    <w:p>
      <w:pPr>
        <w:spacing w:after="80"/>
        <w:ind w:left="360"/>
      </w:pPr>
      <w:r>
        <w:rPr>
          <w:b w:val="0"/>
          <w:i w:val="0"/>
        </w:rPr>
        <w:t>29</w:t>
      </w:r>
    </w:p>
    <w:p>
      <w:pPr>
        <w:spacing w:after="80"/>
        <w:ind w:left="360"/>
      </w:pPr>
      <w:r>
        <w:rPr>
          <w:b w:val="0"/>
          <w:i w:val="0"/>
        </w:rPr>
        <w:t>30</w:t>
      </w:r>
    </w:p>
    <w:p>
      <w:pPr>
        <w:spacing w:after="80"/>
        <w:ind w:left="360"/>
      </w:pPr>
      <w:r>
        <w:rPr>
          <w:b w:val="0"/>
          <w:i w:val="0"/>
        </w:rPr>
        <w:t>31</w:t>
      </w:r>
    </w:p>
    <w:p>
      <w:pPr>
        <w:spacing w:after="80"/>
        <w:ind w:left="360"/>
      </w:pPr>
      <w:r>
        <w:rPr>
          <w:b w:val="0"/>
          <w:i w:val="0"/>
        </w:rPr>
        <w:t>32</w:t>
      </w:r>
    </w:p>
    <w:p>
      <w:pPr>
        <w:spacing w:after="80"/>
        <w:ind w:left="360"/>
      </w:pPr>
      <w:r>
        <w:rPr>
          <w:b w:val="0"/>
          <w:i w:val="0"/>
        </w:rPr>
        <w:t>33</w:t>
      </w:r>
    </w:p>
    <w:p>
      <w:pPr>
        <w:spacing w:after="80"/>
        <w:ind w:left="360"/>
      </w:pPr>
      <w:r>
        <w:rPr>
          <w:b w:val="0"/>
          <w:i w:val="0"/>
        </w:rPr>
        <w:t>34</w:t>
      </w:r>
    </w:p>
    <w:p>
      <w:pPr>
        <w:spacing w:after="80"/>
        <w:ind w:left="360"/>
      </w:pPr>
      <w:r>
        <w:rPr>
          <w:b w:val="0"/>
          <w:i w:val="0"/>
        </w:rPr>
        <w:t>35</w:t>
      </w:r>
    </w:p>
    <w:p>
      <w:pPr>
        <w:spacing w:after="80"/>
        <w:ind w:left="360"/>
      </w:pPr>
      <w:r>
        <w:rPr>
          <w:b w:val="0"/>
          <w:i w:val="0"/>
        </w:rPr>
        <w:t>36</w:t>
      </w:r>
    </w:p>
    <w:p>
      <w:pPr>
        <w:spacing w:after="80"/>
        <w:ind w:left="360"/>
      </w:pPr>
      <w:r>
        <w:rPr>
          <w:b w:val="0"/>
          <w:i w:val="0"/>
        </w:rPr>
        <w:t>37</w:t>
      </w:r>
    </w:p>
    <w:p>
      <w:pPr>
        <w:spacing w:after="80"/>
        <w:ind w:left="360"/>
      </w:pPr>
      <w:r>
        <w:rPr>
          <w:b w:val="0"/>
          <w:i w:val="0"/>
        </w:rPr>
        <w:t>38</w:t>
      </w:r>
    </w:p>
    <w:p>
      <w:pPr>
        <w:spacing w:after="80"/>
        <w:ind w:left="360"/>
      </w:pPr>
      <w:r>
        <w:rPr>
          <w:b w:val="0"/>
          <w:i w:val="0"/>
        </w:rPr>
        <w:t>39</w:t>
      </w:r>
    </w:p>
    <w:p>
      <w:pPr>
        <w:spacing w:after="80"/>
        <w:ind w:left="360"/>
      </w:pPr>
      <w:r>
        <w:rPr>
          <w:b w:val="0"/>
          <w:i w:val="0"/>
        </w:rPr>
        <w:t>40</w:t>
      </w:r>
    </w:p>
    <w:p>
      <w:pPr>
        <w:spacing w:after="80"/>
        <w:ind w:left="360"/>
      </w:pPr>
      <w:r>
        <w:rPr>
          <w:b w:val="0"/>
          <w:i w:val="0"/>
        </w:rPr>
        <w:t>41</w:t>
      </w:r>
    </w:p>
    <w:p>
      <w:pPr>
        <w:spacing w:after="80"/>
        <w:ind w:left="360"/>
      </w:pPr>
      <w:r>
        <w:rPr>
          <w:b w:val="0"/>
          <w:i w:val="0"/>
        </w:rPr>
        <w:t>42</w:t>
      </w:r>
    </w:p>
    <w:p>
      <w:pPr>
        <w:spacing w:after="80"/>
        <w:ind w:left="360"/>
      </w:pPr>
      <w:r>
        <w:rPr>
          <w:b w:val="0"/>
          <w:i w:val="0"/>
        </w:rPr>
        <w:t>43</w:t>
      </w:r>
    </w:p>
    <w:p>
      <w:pPr>
        <w:spacing w:after="80"/>
        <w:ind w:left="360"/>
      </w:pPr>
      <w:r>
        <w:rPr>
          <w:b w:val="0"/>
          <w:i w:val="0"/>
        </w:rPr>
        <w:t>44</w:t>
      </w:r>
    </w:p>
    <w:p>
      <w:pPr>
        <w:spacing w:after="80"/>
        <w:ind w:left="360"/>
      </w:pPr>
      <w:r>
        <w:rPr>
          <w:b w:val="0"/>
          <w:i w:val="0"/>
        </w:rPr>
        <w:t>45</w:t>
      </w:r>
    </w:p>
    <w:p>
      <w:pPr>
        <w:spacing w:after="80"/>
        <w:ind w:left="360"/>
      </w:pPr>
      <w:r>
        <w:rPr>
          <w:b w:val="0"/>
          <w:i w:val="0"/>
        </w:rPr>
        <w:t>46</w:t>
      </w:r>
    </w:p>
    <w:p>
      <w:pPr>
        <w:spacing w:after="80"/>
        <w:ind w:left="360"/>
      </w:pPr>
      <w:r>
        <w:rPr>
          <w:b w:val="0"/>
          <w:i w:val="0"/>
        </w:rPr>
        <w:t>47</w:t>
      </w:r>
    </w:p>
    <w:p>
      <w:pPr>
        <w:spacing w:after="80"/>
        <w:ind w:left="360"/>
      </w:pPr>
      <w:r>
        <w:rPr>
          <w:b w:val="0"/>
          <w:i w:val="0"/>
        </w:rPr>
        <w:t>49</w:t>
      </w:r>
    </w:p>
    <w:p>
      <w:pPr>
        <w:spacing w:after="80"/>
        <w:ind w:left="360"/>
      </w:pPr>
      <w:r>
        <w:rPr>
          <w:b w:val="0"/>
          <w:i w:val="0"/>
        </w:rPr>
        <w:t>50</w:t>
      </w:r>
    </w:p>
    <w:p>
      <w:pPr>
        <w:spacing w:after="80"/>
        <w:ind w:left="360"/>
      </w:pPr>
      <w:r>
        <w:rPr>
          <w:b w:val="0"/>
          <w:i w:val="0"/>
        </w:rPr>
        <w:t>51</w:t>
      </w:r>
    </w:p>
    <w:p>
      <w:pPr>
        <w:spacing w:after="80"/>
        <w:ind w:left="360"/>
      </w:pPr>
      <w:r>
        <w:rPr>
          <w:b w:val="0"/>
          <w:i w:val="0"/>
        </w:rPr>
        <w:t>52</w:t>
      </w:r>
    </w:p>
    <w:p>
      <w:pPr>
        <w:spacing w:after="80"/>
        <w:ind w:left="360"/>
      </w:pPr>
      <w:r>
        <w:rPr>
          <w:b w:val="0"/>
          <w:i w:val="0"/>
        </w:rPr>
        <w:t>53</w:t>
      </w:r>
    </w:p>
    <w:p>
      <w:pPr>
        <w:spacing w:after="80"/>
        <w:ind w:left="360"/>
      </w:pPr>
      <w:r>
        <w:rPr>
          <w:b w:val="0"/>
          <w:i w:val="0"/>
        </w:rPr>
        <w:t>54</w:t>
      </w:r>
    </w:p>
    <w:p>
      <w:pPr>
        <w:spacing w:after="80"/>
        <w:ind w:left="360"/>
      </w:pPr>
      <w:r>
        <w:rPr>
          <w:b w:val="0"/>
          <w:i w:val="0"/>
        </w:rPr>
        <w:t>55</w:t>
      </w:r>
    </w:p>
    <w:p>
      <w:pPr>
        <w:spacing w:after="80"/>
        <w:ind w:left="360"/>
      </w:pPr>
      <w:r>
        <w:rPr>
          <w:b w:val="0"/>
          <w:i w:val="0"/>
        </w:rPr>
        <w:t>56</w:t>
      </w:r>
    </w:p>
    <w:p>
      <w:pPr>
        <w:spacing w:after="80"/>
        <w:ind w:left="360"/>
      </w:pPr>
      <w:r>
        <w:rPr>
          <w:b w:val="0"/>
          <w:i w:val="0"/>
        </w:rPr>
        <w:t>57</w:t>
      </w:r>
    </w:p>
    <w:p>
      <w:pPr>
        <w:spacing w:after="80"/>
        <w:ind w:left="360"/>
      </w:pPr>
      <w:r>
        <w:rPr>
          <w:b w:val="0"/>
          <w:i w:val="0"/>
        </w:rPr>
        <w:t>58</w:t>
      </w:r>
    </w:p>
    <w:p>
      <w:pPr>
        <w:spacing w:after="80"/>
        <w:ind w:left="360"/>
      </w:pPr>
      <w:r>
        <w:rPr>
          <w:b w:val="0"/>
          <w:i w:val="0"/>
        </w:rPr>
        <w:t>59</w:t>
      </w:r>
    </w:p>
    <w:p>
      <w:pPr>
        <w:spacing w:after="80"/>
        <w:ind w:left="360"/>
      </w:pPr>
      <w:r>
        <w:rPr>
          <w:b w:val="0"/>
          <w:i w:val="0"/>
        </w:rPr>
        <w:t>60</w:t>
      </w:r>
    </w:p>
    <w:p>
      <w:pPr>
        <w:spacing w:after="80"/>
        <w:ind w:left="360"/>
      </w:pPr>
      <w:r>
        <w:rPr>
          <w:b w:val="0"/>
          <w:i w:val="0"/>
        </w:rPr>
        <w:t>61</w:t>
      </w:r>
    </w:p>
    <w:p>
      <w:pPr>
        <w:spacing w:after="80"/>
        <w:ind w:left="360"/>
      </w:pPr>
      <w:r>
        <w:rPr>
          <w:b w:val="0"/>
          <w:i w:val="0"/>
        </w:rPr>
        <w:t>62</w:t>
      </w:r>
    </w:p>
    <w:p>
      <w:pPr>
        <w:spacing w:after="80"/>
        <w:ind w:left="360"/>
      </w:pPr>
      <w:r>
        <w:rPr>
          <w:b w:val="0"/>
          <w:i w:val="0"/>
        </w:rPr>
        <w:t>63</w:t>
      </w:r>
    </w:p>
    <w:p>
      <w:pPr>
        <w:spacing w:after="80"/>
        <w:ind w:left="360"/>
      </w:pPr>
      <w:r>
        <w:rPr>
          <w:b w:val="0"/>
          <w:i w:val="0"/>
        </w:rPr>
        <w:t>64</w:t>
      </w:r>
    </w:p>
    <w:p>
      <w:pPr>
        <w:spacing w:after="80"/>
        <w:ind w:left="360"/>
      </w:pPr>
      <w:r>
        <w:rPr>
          <w:b w:val="0"/>
          <w:i w:val="0"/>
        </w:rPr>
        <w:t>65</w:t>
      </w:r>
    </w:p>
    <w:p>
      <w:pPr>
        <w:spacing w:after="80"/>
        <w:ind w:left="360"/>
      </w:pPr>
      <w:r>
        <w:rPr>
          <w:b w:val="0"/>
          <w:i w:val="0"/>
        </w:rPr>
        <w:t>66</w:t>
      </w:r>
    </w:p>
    <w:p>
      <w:pPr>
        <w:spacing w:after="80"/>
        <w:ind w:left="360"/>
      </w:pPr>
      <w:r>
        <w:rPr>
          <w:b w:val="0"/>
          <w:i w:val="0"/>
        </w:rPr>
        <w:t>67</w:t>
      </w:r>
    </w:p>
    <w:p>
      <w:pPr>
        <w:spacing w:after="80"/>
        <w:ind w:left="360"/>
      </w:pPr>
      <w:r>
        <w:rPr>
          <w:b w:val="0"/>
          <w:i w:val="0"/>
        </w:rPr>
        <w:t>68</w:t>
      </w:r>
    </w:p>
    <w:p>
      <w:pPr>
        <w:spacing w:after="80"/>
        <w:ind w:left="360"/>
      </w:pPr>
      <w:r>
        <w:rPr>
          <w:b w:val="0"/>
          <w:i w:val="0"/>
        </w:rPr>
        <w:t>69</w:t>
      </w:r>
    </w:p>
    <w:p>
      <w:pPr>
        <w:spacing w:after="80"/>
        <w:ind w:left="360"/>
      </w:pPr>
      <w:r>
        <w:rPr>
          <w:b w:val="0"/>
          <w:i w:val="0"/>
        </w:rPr>
        <w:t>70</w:t>
      </w:r>
    </w:p>
    <w:p>
      <w:pPr>
        <w:spacing w:after="80"/>
        <w:ind w:left="360"/>
      </w:pPr>
      <w:r>
        <w:rPr>
          <w:b w:val="0"/>
          <w:i w:val="0"/>
        </w:rPr>
        <w:t>71</w:t>
      </w:r>
    </w:p>
    <w:p>
      <w:pPr>
        <w:spacing w:after="80"/>
        <w:ind w:left="360"/>
      </w:pPr>
      <w:r>
        <w:rPr>
          <w:b w:val="0"/>
          <w:i w:val="0"/>
        </w:rPr>
        <w:t>72</w:t>
      </w:r>
    </w:p>
    <w:p>
      <w:pPr>
        <w:spacing w:after="80"/>
        <w:ind w:left="360"/>
      </w:pPr>
      <w:r>
        <w:rPr>
          <w:b w:val="0"/>
          <w:i w:val="0"/>
        </w:rPr>
        <w:t>73</w:t>
      </w:r>
    </w:p>
    <w:p>
      <w:pPr>
        <w:spacing w:after="80"/>
        <w:ind w:left="360"/>
      </w:pPr>
      <w:r>
        <w:rPr>
          <w:b w:val="0"/>
          <w:i w:val="0"/>
        </w:rPr>
        <w:t>74</w:t>
      </w:r>
    </w:p>
    <w:p>
      <w:pPr>
        <w:spacing w:after="80"/>
        <w:ind w:left="360"/>
      </w:pPr>
      <w:r>
        <w:rPr>
          <w:b w:val="0"/>
          <w:i w:val="0"/>
        </w:rPr>
        <w:t>75</w:t>
      </w:r>
    </w:p>
    <w:p>
      <w:pPr>
        <w:spacing w:after="80"/>
        <w:ind w:left="360"/>
      </w:pPr>
      <w:r>
        <w:rPr>
          <w:b w:val="0"/>
          <w:i w:val="0"/>
        </w:rPr>
        <w:t>76</w:t>
      </w:r>
    </w:p>
    <w:p>
      <w:pPr>
        <w:spacing w:after="80"/>
        <w:ind w:left="360"/>
      </w:pPr>
      <w:r>
        <w:rPr>
          <w:b w:val="0"/>
          <w:i w:val="0"/>
        </w:rPr>
        <w:t>77</w:t>
      </w:r>
    </w:p>
    <w:p>
      <w:pPr>
        <w:spacing w:after="80"/>
        <w:ind w:left="360"/>
      </w:pPr>
      <w:r>
        <w:rPr>
          <w:b w:val="0"/>
          <w:i w:val="0"/>
        </w:rPr>
        <w:t>78</w:t>
      </w:r>
    </w:p>
    <w:p>
      <w:pPr>
        <w:spacing w:after="80"/>
        <w:ind w:left="360"/>
      </w:pPr>
      <w:r>
        <w:rPr>
          <w:b w:val="0"/>
          <w:i w:val="0"/>
        </w:rPr>
        <w:t>79</w:t>
      </w:r>
    </w:p>
    <w:p>
      <w:pPr>
        <w:spacing w:after="80"/>
        <w:ind w:left="360"/>
      </w:pPr>
      <w:r>
        <w:rPr>
          <w:b w:val="0"/>
          <w:i w:val="0"/>
        </w:rPr>
        <w:t>80</w:t>
      </w:r>
    </w:p>
    <w:p>
      <w:pPr>
        <w:spacing w:after="80"/>
        <w:ind w:left="360"/>
      </w:pPr>
      <w:r>
        <w:rPr>
          <w:b w:val="0"/>
          <w:i w:val="0"/>
        </w:rPr>
        <w:t>81</w:t>
      </w:r>
    </w:p>
    <w:p>
      <w:pPr>
        <w:spacing w:after="80"/>
        <w:ind w:left="360"/>
      </w:pPr>
      <w:r>
        <w:rPr>
          <w:b w:val="0"/>
          <w:i w:val="0"/>
        </w:rPr>
        <w:t>82</w:t>
      </w:r>
    </w:p>
    <w:p>
      <w:pPr>
        <w:spacing w:after="80"/>
        <w:ind w:left="360"/>
      </w:pPr>
      <w:r>
        <w:rPr>
          <w:b w:val="0"/>
          <w:i w:val="0"/>
        </w:rPr>
        <w:t>83</w:t>
      </w:r>
    </w:p>
    <w:p>
      <w:pPr>
        <w:spacing w:after="80"/>
        <w:ind w:left="360"/>
      </w:pPr>
      <w:r>
        <w:rPr>
          <w:b w:val="0"/>
          <w:i w:val="0"/>
        </w:rPr>
        <w:t>84</w:t>
      </w:r>
    </w:p>
    <w:p>
      <w:pPr>
        <w:spacing w:after="80"/>
        <w:ind w:left="360"/>
      </w:pPr>
      <w:r>
        <w:rPr>
          <w:b w:val="0"/>
          <w:i w:val="0"/>
        </w:rPr>
        <w:t>85</w:t>
      </w:r>
    </w:p>
    <w:p>
      <w:pPr>
        <w:spacing w:after="80"/>
        <w:ind w:left="360"/>
      </w:pPr>
      <w:r>
        <w:rPr>
          <w:b w:val="0"/>
          <w:i w:val="0"/>
        </w:rPr>
        <w:t>86</w:t>
      </w:r>
    </w:p>
    <w:p>
      <w:pPr>
        <w:spacing w:after="80"/>
        <w:ind w:left="360"/>
      </w:pPr>
      <w:r>
        <w:rPr>
          <w:b w:val="0"/>
          <w:i w:val="0"/>
        </w:rPr>
        <w:t>87</w:t>
      </w:r>
    </w:p>
    <w:p>
      <w:pPr>
        <w:spacing w:after="80"/>
        <w:ind w:left="360"/>
      </w:pPr>
      <w:r>
        <w:rPr>
          <w:b w:val="0"/>
          <w:i w:val="0"/>
        </w:rPr>
        <w:t>88</w:t>
      </w:r>
    </w:p>
    <w:p>
      <w:pPr>
        <w:spacing w:after="80"/>
        <w:ind w:left="360"/>
      </w:pPr>
      <w:r>
        <w:rPr>
          <w:b w:val="0"/>
          <w:i w:val="0"/>
        </w:rPr>
        <w:t>89</w:t>
      </w:r>
    </w:p>
    <w:p>
      <w:pPr>
        <w:spacing w:after="80"/>
        <w:ind w:left="360"/>
      </w:pPr>
      <w:r>
        <w:rPr>
          <w:b w:val="0"/>
          <w:i w:val="0"/>
        </w:rPr>
        <w:t>90</w:t>
      </w:r>
    </w:p>
    <w:p>
      <w:pPr>
        <w:spacing w:after="80"/>
        <w:ind w:left="360"/>
      </w:pPr>
      <w:r>
        <w:rPr>
          <w:b w:val="0"/>
          <w:i w:val="0"/>
        </w:rPr>
        <w:t>91</w:t>
      </w:r>
    </w:p>
    <w:p>
      <w:pPr>
        <w:spacing w:after="80"/>
        <w:ind w:left="360"/>
      </w:pPr>
      <w:r>
        <w:rPr>
          <w:b w:val="0"/>
          <w:i w:val="0"/>
        </w:rPr>
        <w:t>92</w:t>
      </w:r>
    </w:p>
    <w:p>
      <w:pPr>
        <w:spacing w:after="80"/>
        <w:ind w:left="360"/>
      </w:pPr>
      <w:r>
        <w:rPr>
          <w:b w:val="0"/>
          <w:i w:val="0"/>
        </w:rPr>
        <w:t>93</w:t>
      </w:r>
    </w:p>
    <w:p>
      <w:pPr>
        <w:spacing w:after="80"/>
        <w:ind w:left="360"/>
      </w:pPr>
      <w:r>
        <w:rPr>
          <w:b w:val="0"/>
          <w:i w:val="0"/>
        </w:rPr>
        <w:t>94</w:t>
      </w:r>
    </w:p>
    <w:p>
      <w:pPr>
        <w:spacing w:after="80"/>
        <w:ind w:left="360"/>
      </w:pPr>
      <w:r>
        <w:rPr>
          <w:b w:val="0"/>
          <w:i w:val="0"/>
        </w:rPr>
        <w:t>95</w:t>
      </w:r>
    </w:p>
    <w:p>
      <w:pPr>
        <w:spacing w:after="80"/>
        <w:ind w:left="360"/>
      </w:pPr>
      <w:r>
        <w:rPr>
          <w:b w:val="0"/>
          <w:i w:val="0"/>
        </w:rPr>
        <w:t>97</w:t>
      </w:r>
    </w:p>
    <w:p>
      <w:pPr>
        <w:spacing w:after="80"/>
        <w:ind w:left="360"/>
      </w:pPr>
      <w:r>
        <w:rPr>
          <w:b w:val="0"/>
          <w:i w:val="0"/>
        </w:rPr>
        <w:t>98</w:t>
      </w:r>
    </w:p>
    <w:p>
      <w:pPr>
        <w:spacing w:after="80"/>
        <w:ind w:left="360"/>
      </w:pPr>
      <w:r>
        <w:rPr>
          <w:b w:val="0"/>
          <w:i w:val="0"/>
        </w:rPr>
        <w:t>99</w:t>
      </w:r>
    </w:p>
    <w:p>
      <w:pPr>
        <w:spacing w:after="80"/>
        <w:ind w:left="360"/>
      </w:pPr>
      <w:r>
        <w:rPr>
          <w:b w:val="0"/>
          <w:i w:val="0"/>
        </w:rPr>
        <w:t>100</w:t>
      </w:r>
    </w:p>
    <w:p>
      <w:pPr>
        <w:spacing w:after="80"/>
        <w:ind w:left="360"/>
      </w:pPr>
      <w:r>
        <w:rPr>
          <w:b w:val="0"/>
          <w:i w:val="0"/>
        </w:rPr>
        <w:t>101</w:t>
      </w:r>
    </w:p>
    <w:p>
      <w:pPr>
        <w:spacing w:after="80"/>
        <w:ind w:left="360"/>
      </w:pPr>
      <w:r>
        <w:rPr>
          <w:b w:val="0"/>
          <w:i w:val="0"/>
        </w:rPr>
        <w:t>102</w:t>
      </w:r>
    </w:p>
    <w:p>
      <w:pPr>
        <w:spacing w:after="80"/>
        <w:ind w:left="360"/>
      </w:pPr>
      <w:r>
        <w:rPr>
          <w:b w:val="0"/>
          <w:i w:val="0"/>
        </w:rPr>
        <w:t>103</w:t>
      </w:r>
    </w:p>
    <w:p>
      <w:pPr>
        <w:spacing w:after="80"/>
        <w:ind w:left="360"/>
      </w:pPr>
      <w:r>
        <w:rPr>
          <w:b w:val="0"/>
          <w:i w:val="0"/>
        </w:rPr>
        <w:t>104</w:t>
      </w:r>
    </w:p>
    <w:p>
      <w:pPr>
        <w:spacing w:after="80"/>
        <w:ind w:left="360"/>
      </w:pPr>
      <w:r>
        <w:rPr>
          <w:b w:val="0"/>
          <w:i w:val="0"/>
        </w:rPr>
        <w:t>105</w:t>
      </w:r>
    </w:p>
    <w:p>
      <w:pPr>
        <w:spacing w:after="80"/>
        <w:ind w:left="360"/>
      </w:pPr>
      <w:r>
        <w:rPr>
          <w:b w:val="0"/>
          <w:i w:val="0"/>
        </w:rPr>
        <w:t>106</w:t>
      </w:r>
    </w:p>
    <w:p>
      <w:pPr>
        <w:spacing w:after="80"/>
        <w:ind w:left="360"/>
      </w:pPr>
      <w:r>
        <w:rPr>
          <w:b w:val="0"/>
          <w:i w:val="0"/>
        </w:rPr>
        <w:t>107</w:t>
      </w:r>
    </w:p>
    <w:p>
      <w:pPr>
        <w:spacing w:after="80"/>
        <w:ind w:left="360"/>
      </w:pPr>
      <w:r>
        <w:rPr>
          <w:b w:val="0"/>
          <w:i w:val="0"/>
        </w:rPr>
        <w:t>108</w:t>
      </w:r>
    </w:p>
    <w:p>
      <w:pPr>
        <w:spacing w:after="80"/>
        <w:ind w:left="360"/>
      </w:pPr>
      <w:r>
        <w:rPr>
          <w:b w:val="0"/>
          <w:i w:val="0"/>
        </w:rPr>
        <w:t>109</w:t>
      </w:r>
    </w:p>
    <w:p>
      <w:pPr>
        <w:spacing w:after="80"/>
        <w:ind w:left="360"/>
      </w:pPr>
      <w:r>
        <w:rPr>
          <w:b w:val="0"/>
          <w:i w:val="0"/>
        </w:rPr>
        <w:t>110</w:t>
      </w:r>
    </w:p>
    <w:p>
      <w:pPr>
        <w:spacing w:after="80"/>
        <w:ind w:left="360"/>
      </w:pPr>
      <w:r>
        <w:rPr>
          <w:b w:val="0"/>
          <w:i w:val="0"/>
        </w:rPr>
        <w:t>111</w:t>
      </w:r>
    </w:p>
    <w:p>
      <w:pPr>
        <w:spacing w:after="80"/>
        <w:ind w:left="360"/>
      </w:pPr>
      <w:r>
        <w:rPr>
          <w:b w:val="0"/>
          <w:i w:val="0"/>
        </w:rPr>
        <w:t>112</w:t>
      </w:r>
    </w:p>
    <w:p>
      <w:pPr>
        <w:spacing w:after="80"/>
        <w:ind w:left="360"/>
      </w:pPr>
      <w:r>
        <w:rPr>
          <w:b w:val="0"/>
          <w:i w:val="0"/>
        </w:rPr>
        <w:t>113</w:t>
      </w:r>
    </w:p>
    <w:p>
      <w:pPr>
        <w:spacing w:after="80"/>
        <w:ind w:left="360"/>
      </w:pPr>
      <w:r>
        <w:rPr>
          <w:b w:val="0"/>
          <w:i w:val="0"/>
        </w:rPr>
        <w:t>114</w:t>
      </w:r>
    </w:p>
    <w:p>
      <w:pPr>
        <w:spacing w:after="80"/>
        <w:ind w:left="360"/>
      </w:pPr>
      <w:r>
        <w:rPr>
          <w:b w:val="0"/>
          <w:i w:val="0"/>
        </w:rPr>
        <w:t>115</w:t>
      </w:r>
    </w:p>
    <w:p>
      <w:pPr>
        <w:spacing w:after="80"/>
        <w:ind w:left="360"/>
      </w:pPr>
      <w:r>
        <w:rPr>
          <w:b w:val="0"/>
          <w:i w:val="0"/>
        </w:rPr>
        <w:t>116</w:t>
      </w:r>
    </w:p>
    <w:p>
      <w:pPr>
        <w:spacing w:after="80"/>
        <w:ind w:left="360"/>
      </w:pPr>
      <w:r>
        <w:rPr>
          <w:b w:val="0"/>
          <w:i w:val="0"/>
        </w:rPr>
        <w:t>117</w:t>
      </w:r>
    </w:p>
    <w:p>
      <w:pPr>
        <w:spacing w:after="80"/>
        <w:ind w:left="360"/>
      </w:pPr>
      <w:r>
        <w:rPr>
          <w:b w:val="0"/>
          <w:i w:val="0"/>
        </w:rPr>
        <w:t>118</w:t>
      </w:r>
    </w:p>
    <w:p>
      <w:pPr>
        <w:spacing w:after="80"/>
        <w:ind w:left="360"/>
      </w:pPr>
      <w:r>
        <w:rPr>
          <w:b w:val="0"/>
          <w:i w:val="0"/>
        </w:rPr>
        <w:t>119</w:t>
      </w:r>
    </w:p>
    <w:p>
      <w:pPr>
        <w:spacing w:after="80"/>
        <w:ind w:left="360"/>
      </w:pPr>
      <w:r>
        <w:rPr>
          <w:b w:val="0"/>
          <w:i w:val="0"/>
        </w:rPr>
        <w:t>120</w:t>
      </w:r>
    </w:p>
    <w:p>
      <w:pPr>
        <w:spacing w:after="80"/>
        <w:ind w:left="360"/>
      </w:pPr>
      <w:r>
        <w:rPr>
          <w:b w:val="0"/>
          <w:i w:val="0"/>
        </w:rPr>
        <w:t>121</w:t>
      </w:r>
    </w:p>
    <w:p>
      <w:pPr>
        <w:spacing w:after="80"/>
        <w:ind w:left="360"/>
      </w:pPr>
      <w:r>
        <w:rPr>
          <w:b w:val="0"/>
          <w:i w:val="0"/>
        </w:rPr>
        <w:t>122</w:t>
      </w:r>
    </w:p>
    <w:p>
      <w:pPr>
        <w:spacing w:after="80"/>
        <w:ind w:left="360"/>
      </w:pPr>
      <w:r>
        <w:rPr>
          <w:b w:val="0"/>
          <w:i w:val="0"/>
        </w:rPr>
        <w:t>123</w:t>
      </w:r>
    </w:p>
    <w:p>
      <w:pPr>
        <w:spacing w:after="80"/>
        <w:ind w:left="360"/>
      </w:pPr>
      <w:r>
        <w:rPr>
          <w:b w:val="0"/>
          <w:i w:val="0"/>
        </w:rPr>
        <w:t>124</w:t>
      </w:r>
    </w:p>
    <w:p>
      <w:pPr>
        <w:spacing w:after="80"/>
        <w:ind w:left="360"/>
      </w:pPr>
      <w:r>
        <w:rPr>
          <w:b w:val="0"/>
          <w:i w:val="0"/>
        </w:rPr>
        <w:t>125</w:t>
      </w:r>
    </w:p>
    <w:p>
      <w:pPr>
        <w:spacing w:after="80"/>
        <w:ind w:left="360"/>
      </w:pPr>
      <w:r>
        <w:rPr>
          <w:b w:val="0"/>
          <w:i w:val="0"/>
        </w:rPr>
        <w:t>126</w:t>
      </w:r>
    </w:p>
    <w:p>
      <w:pPr>
        <w:spacing w:after="80"/>
        <w:ind w:left="360"/>
      </w:pPr>
      <w:r>
        <w:rPr>
          <w:b w:val="0"/>
          <w:i w:val="0"/>
        </w:rPr>
        <w:t>127</w:t>
      </w:r>
    </w:p>
    <w:p>
      <w:pPr>
        <w:spacing w:after="80"/>
        <w:ind w:left="360"/>
      </w:pPr>
      <w:r>
        <w:rPr>
          <w:b w:val="0"/>
          <w:i w:val="0"/>
        </w:rPr>
        <w:t>128</w:t>
      </w:r>
    </w:p>
    <w:p>
      <w:pPr>
        <w:spacing w:after="80"/>
        <w:ind w:left="360"/>
      </w:pPr>
      <w:r>
        <w:rPr>
          <w:b w:val="0"/>
          <w:i w:val="0"/>
        </w:rPr>
        <w:t>129</w:t>
      </w:r>
    </w:p>
    <w:p>
      <w:pPr>
        <w:spacing w:after="80"/>
        <w:ind w:left="360"/>
      </w:pPr>
      <w:r>
        <w:rPr>
          <w:b w:val="0"/>
          <w:i w:val="0"/>
        </w:rPr>
        <w:t>130</w:t>
      </w:r>
    </w:p>
    <w:p>
      <w:pPr>
        <w:spacing w:after="80"/>
        <w:ind w:left="360"/>
      </w:pPr>
      <w:r>
        <w:rPr>
          <w:b w:val="0"/>
          <w:i w:val="0"/>
        </w:rPr>
        <w:t>131</w:t>
      </w:r>
    </w:p>
    <w:p>
      <w:pPr>
        <w:spacing w:after="80"/>
        <w:ind w:left="360"/>
      </w:pPr>
      <w:r>
        <w:rPr>
          <w:b w:val="0"/>
          <w:i w:val="0"/>
        </w:rPr>
        <w:t>133</w:t>
      </w:r>
    </w:p>
    <w:p>
      <w:pPr>
        <w:spacing w:after="80"/>
        <w:ind w:left="360"/>
      </w:pPr>
      <w:r>
        <w:rPr>
          <w:b w:val="0"/>
          <w:i w:val="0"/>
        </w:rPr>
        <w:t>134</w:t>
      </w:r>
    </w:p>
    <w:p>
      <w:pPr>
        <w:spacing w:after="80"/>
        <w:ind w:left="360"/>
      </w:pPr>
      <w:r>
        <w:rPr>
          <w:b w:val="0"/>
          <w:i w:val="0"/>
        </w:rPr>
        <w:t>135</w:t>
      </w:r>
    </w:p>
    <w:p>
      <w:pPr>
        <w:spacing w:after="80"/>
        <w:ind w:left="360"/>
      </w:pPr>
      <w:r>
        <w:rPr>
          <w:b w:val="0"/>
          <w:i w:val="0"/>
        </w:rPr>
        <w:t>136</w:t>
      </w:r>
    </w:p>
    <w:p>
      <w:pPr>
        <w:spacing w:after="80"/>
        <w:ind w:left="360"/>
      </w:pPr>
      <w:r>
        <w:rPr>
          <w:b w:val="0"/>
          <w:i w:val="0"/>
        </w:rPr>
        <w:t>137</w:t>
      </w:r>
    </w:p>
    <w:p>
      <w:pPr>
        <w:spacing w:after="80"/>
        <w:ind w:left="360"/>
      </w:pPr>
      <w:r>
        <w:rPr>
          <w:b w:val="0"/>
          <w:i w:val="0"/>
        </w:rPr>
        <w:t>138</w:t>
      </w:r>
    </w:p>
    <w:p>
      <w:pPr>
        <w:spacing w:after="80"/>
        <w:ind w:left="360"/>
      </w:pPr>
      <w:r>
        <w:rPr>
          <w:b w:val="0"/>
          <w:i w:val="0"/>
        </w:rPr>
        <w:t>139</w:t>
      </w:r>
    </w:p>
    <w:p>
      <w:pPr>
        <w:spacing w:after="80"/>
        <w:ind w:left="360"/>
      </w:pPr>
      <w:r>
        <w:rPr>
          <w:b w:val="0"/>
          <w:i w:val="0"/>
        </w:rPr>
        <w:t>140</w:t>
      </w:r>
    </w:p>
    <w:p>
      <w:pPr>
        <w:spacing w:after="80"/>
        <w:ind w:left="360"/>
      </w:pPr>
      <w:r>
        <w:rPr>
          <w:b w:val="0"/>
          <w:i w:val="0"/>
        </w:rPr>
        <w:t>141</w:t>
      </w:r>
    </w:p>
    <w:p>
      <w:pPr>
        <w:spacing w:after="80"/>
        <w:ind w:left="360"/>
      </w:pPr>
      <w:r>
        <w:rPr>
          <w:b w:val="0"/>
          <w:i w:val="0"/>
        </w:rPr>
        <w:t>142</w:t>
      </w:r>
    </w:p>
    <w:p>
      <w:pPr>
        <w:spacing w:after="80"/>
        <w:ind w:left="360"/>
      </w:pPr>
      <w:r>
        <w:rPr>
          <w:b w:val="0"/>
          <w:i w:val="0"/>
        </w:rPr>
        <w:t>143</w:t>
      </w:r>
    </w:p>
    <w:p>
      <w:pPr>
        <w:spacing w:after="80"/>
        <w:ind w:left="360"/>
      </w:pPr>
      <w:r>
        <w:rPr>
          <w:b w:val="0"/>
          <w:i w:val="0"/>
        </w:rPr>
        <w:t>144</w:t>
      </w:r>
    </w:p>
    <w:p>
      <w:pPr>
        <w:spacing w:after="80"/>
        <w:ind w:left="360"/>
      </w:pPr>
      <w:r>
        <w:rPr>
          <w:b w:val="0"/>
          <w:i w:val="0"/>
        </w:rPr>
        <w:t>145</w:t>
      </w:r>
    </w:p>
    <w:p>
      <w:pPr>
        <w:spacing w:after="80"/>
        <w:ind w:left="360"/>
      </w:pPr>
      <w:r>
        <w:rPr>
          <w:b w:val="0"/>
          <w:i w:val="0"/>
        </w:rPr>
        <w:t>146</w:t>
      </w:r>
    </w:p>
    <w:p>
      <w:pPr>
        <w:spacing w:after="80"/>
        <w:ind w:left="360"/>
      </w:pPr>
      <w:r>
        <w:rPr>
          <w:b w:val="0"/>
          <w:i w:val="0"/>
        </w:rPr>
        <w:t>147</w:t>
      </w:r>
    </w:p>
    <w:p>
      <w:pPr>
        <w:spacing w:after="80"/>
        <w:ind w:left="360"/>
      </w:pPr>
      <w:r>
        <w:rPr>
          <w:b w:val="0"/>
          <w:i w:val="0"/>
        </w:rPr>
        <w:t>148</w:t>
      </w:r>
    </w:p>
    <w:p>
      <w:pPr>
        <w:spacing w:after="80"/>
        <w:ind w:left="360"/>
      </w:pPr>
      <w:r>
        <w:rPr>
          <w:b w:val="0"/>
          <w:i w:val="0"/>
        </w:rPr>
        <w:t>149</w:t>
      </w:r>
    </w:p>
    <w:p>
      <w:pPr>
        <w:spacing w:after="80"/>
        <w:ind w:left="360"/>
      </w:pPr>
      <w:r>
        <w:rPr>
          <w:b w:val="0"/>
          <w:i w:val="0"/>
        </w:rPr>
        <w:t>150</w:t>
      </w:r>
    </w:p>
    <w:p>
      <w:pPr>
        <w:spacing w:after="80"/>
        <w:ind w:left="360"/>
      </w:pPr>
      <w:r>
        <w:rPr>
          <w:b w:val="0"/>
          <w:i w:val="0"/>
        </w:rPr>
        <w:t>151</w:t>
      </w:r>
    </w:p>
    <w:p>
      <w:pPr>
        <w:spacing w:after="80"/>
        <w:ind w:left="360"/>
      </w:pPr>
      <w:r>
        <w:rPr>
          <w:b w:val="0"/>
          <w:i w:val="0"/>
        </w:rPr>
        <w:t>153</w:t>
      </w:r>
    </w:p>
    <w:p>
      <w:pPr>
        <w:spacing w:after="80"/>
        <w:ind w:left="360"/>
      </w:pPr>
      <w:r>
        <w:rPr>
          <w:b w:val="0"/>
          <w:i w:val="0"/>
        </w:rPr>
        <w:t>154</w:t>
      </w:r>
    </w:p>
    <w:p>
      <w:pPr>
        <w:spacing w:after="80"/>
        <w:ind w:left="360"/>
      </w:pPr>
      <w:r>
        <w:rPr>
          <w:b w:val="0"/>
          <w:i w:val="0"/>
        </w:rPr>
        <w:t>155</w:t>
      </w:r>
    </w:p>
    <w:p>
      <w:pPr>
        <w:spacing w:after="80"/>
        <w:ind w:left="360"/>
      </w:pPr>
      <w:r>
        <w:rPr>
          <w:b w:val="0"/>
          <w:i w:val="0"/>
        </w:rPr>
        <w:t>156</w:t>
      </w:r>
    </w:p>
    <w:p>
      <w:pPr>
        <w:spacing w:after="80"/>
        <w:ind w:left="360"/>
      </w:pPr>
      <w:r>
        <w:rPr>
          <w:b w:val="0"/>
          <w:i w:val="0"/>
        </w:rPr>
        <w:t>157</w:t>
      </w:r>
    </w:p>
    <w:p>
      <w:pPr>
        <w:spacing w:after="80"/>
        <w:ind w:left="360"/>
      </w:pPr>
      <w:r>
        <w:rPr>
          <w:b w:val="0"/>
          <w:i w:val="0"/>
        </w:rPr>
        <w:t>158</w:t>
      </w:r>
    </w:p>
    <w:p>
      <w:pPr>
        <w:spacing w:after="80"/>
        <w:ind w:left="360"/>
      </w:pPr>
      <w:r>
        <w:rPr>
          <w:b w:val="0"/>
          <w:i w:val="0"/>
        </w:rPr>
        <w:t>159</w:t>
      </w:r>
    </w:p>
    <w:p>
      <w:pPr>
        <w:spacing w:after="80"/>
        <w:ind w:left="360"/>
      </w:pPr>
      <w:r>
        <w:rPr>
          <w:b w:val="0"/>
          <w:i w:val="0"/>
        </w:rPr>
        <w:t>160</w:t>
      </w:r>
    </w:p>
    <w:p>
      <w:pPr>
        <w:spacing w:after="80"/>
        <w:ind w:left="360"/>
      </w:pPr>
      <w:r>
        <w:rPr>
          <w:b w:val="0"/>
          <w:i w:val="0"/>
        </w:rPr>
        <w:t>161</w:t>
      </w:r>
    </w:p>
    <w:p>
      <w:pPr>
        <w:spacing w:after="80"/>
        <w:ind w:left="360"/>
      </w:pPr>
      <w:r>
        <w:rPr>
          <w:b w:val="0"/>
          <w:i w:val="0"/>
        </w:rPr>
        <w:t>162</w:t>
      </w:r>
    </w:p>
    <w:p>
      <w:pPr>
        <w:spacing w:after="80"/>
        <w:ind w:left="360"/>
      </w:pPr>
      <w:r>
        <w:rPr>
          <w:b w:val="0"/>
          <w:i w:val="0"/>
        </w:rPr>
        <w:t>163</w:t>
      </w:r>
    </w:p>
    <w:p>
      <w:pPr>
        <w:spacing w:after="80"/>
        <w:ind w:left="360"/>
      </w:pPr>
      <w:r>
        <w:rPr>
          <w:b w:val="0"/>
          <w:i w:val="0"/>
        </w:rPr>
        <w:t>164</w:t>
      </w:r>
    </w:p>
    <w:p>
      <w:pPr>
        <w:spacing w:after="80"/>
        <w:ind w:left="360"/>
      </w:pPr>
      <w:r>
        <w:rPr>
          <w:b w:val="0"/>
          <w:i w:val="0"/>
        </w:rPr>
        <w:t>165</w:t>
      </w:r>
    </w:p>
    <w:p>
      <w:pPr>
        <w:spacing w:after="80"/>
        <w:ind w:left="360"/>
      </w:pPr>
      <w:r>
        <w:rPr>
          <w:b w:val="0"/>
          <w:i w:val="0"/>
        </w:rPr>
        <w:t>166</w:t>
      </w:r>
    </w:p>
    <w:p>
      <w:pPr>
        <w:spacing w:after="80"/>
        <w:ind w:left="360"/>
      </w:pPr>
      <w:r>
        <w:rPr>
          <w:b w:val="0"/>
          <w:i w:val="0"/>
        </w:rPr>
        <w:t>167</w:t>
      </w:r>
    </w:p>
    <w:p>
      <w:pPr>
        <w:spacing w:after="80"/>
        <w:ind w:left="360"/>
      </w:pPr>
      <w:r>
        <w:rPr>
          <w:b w:val="0"/>
          <w:i w:val="0"/>
        </w:rPr>
        <w:t>168</w:t>
      </w:r>
    </w:p>
    <w:p>
      <w:pPr>
        <w:spacing w:after="80"/>
        <w:ind w:left="360"/>
      </w:pPr>
      <w:r>
        <w:rPr>
          <w:b w:val="0"/>
          <w:i w:val="0"/>
        </w:rPr>
        <w:t>169</w:t>
      </w:r>
    </w:p>
    <w:p>
      <w:pPr>
        <w:spacing w:after="80"/>
        <w:ind w:left="360"/>
      </w:pPr>
      <w:r>
        <w:rPr>
          <w:b w:val="0"/>
          <w:i w:val="0"/>
        </w:rPr>
        <w:t>170</w:t>
      </w:r>
    </w:p>
    <w:p>
      <w:pPr>
        <w:spacing w:after="80"/>
        <w:ind w:left="360"/>
      </w:pPr>
      <w:r>
        <w:rPr>
          <w:b w:val="0"/>
          <w:i w:val="0"/>
        </w:rPr>
        <w:t>171</w:t>
      </w:r>
    </w:p>
    <w:p>
      <w:pPr>
        <w:spacing w:after="80"/>
        <w:ind w:left="360"/>
      </w:pPr>
      <w:r>
        <w:rPr>
          <w:b w:val="0"/>
          <w:i w:val="0"/>
        </w:rPr>
        <w:t>172</w:t>
      </w:r>
    </w:p>
    <w:p>
      <w:pPr>
        <w:spacing w:after="80"/>
        <w:ind w:left="360"/>
      </w:pPr>
      <w:r>
        <w:rPr>
          <w:b w:val="0"/>
          <w:i w:val="0"/>
        </w:rPr>
        <w:t>173</w:t>
      </w:r>
    </w:p>
    <w:p>
      <w:pPr>
        <w:spacing w:after="80"/>
        <w:ind w:left="360"/>
      </w:pPr>
      <w:r>
        <w:rPr>
          <w:b w:val="0"/>
          <w:i w:val="0"/>
        </w:rPr>
        <w:t>174</w:t>
      </w:r>
    </w:p>
    <w:p>
      <w:pPr>
        <w:spacing w:after="80"/>
        <w:ind w:left="360"/>
      </w:pPr>
      <w:r>
        <w:rPr>
          <w:b w:val="0"/>
          <w:i w:val="0"/>
        </w:rPr>
        <w:t>175</w:t>
      </w:r>
    </w:p>
    <w:p>
      <w:pPr>
        <w:spacing w:after="80"/>
        <w:ind w:left="360"/>
      </w:pPr>
      <w:r>
        <w:rPr>
          <w:b w:val="0"/>
          <w:i w:val="0"/>
        </w:rPr>
        <w:t>176</w:t>
      </w:r>
    </w:p>
    <w:p>
      <w:pPr>
        <w:spacing w:after="80"/>
        <w:ind w:left="360"/>
      </w:pPr>
      <w:r>
        <w:rPr>
          <w:b w:val="0"/>
          <w:i w:val="0"/>
        </w:rPr>
        <w:t>177</w:t>
      </w:r>
    </w:p>
    <w:p>
      <w:pPr>
        <w:spacing w:after="80"/>
        <w:ind w:left="360"/>
      </w:pPr>
      <w:r>
        <w:rPr>
          <w:b w:val="0"/>
          <w:i w:val="0"/>
        </w:rPr>
        <w:t>178</w:t>
      </w:r>
    </w:p>
    <w:p>
      <w:pPr>
        <w:spacing w:after="80"/>
        <w:ind w:left="360"/>
      </w:pPr>
      <w:r>
        <w:rPr>
          <w:b w:val="0"/>
          <w:i w:val="0"/>
        </w:rPr>
        <w:t>179</w:t>
      </w:r>
    </w:p>
    <w:p>
      <w:pPr>
        <w:spacing w:after="80"/>
        <w:ind w:left="360"/>
      </w:pPr>
      <w:r>
        <w:rPr>
          <w:b w:val="0"/>
          <w:i w:val="0"/>
        </w:rPr>
        <w:t>180</w:t>
      </w:r>
    </w:p>
    <w:p>
      <w:pPr>
        <w:spacing w:after="80"/>
        <w:ind w:left="360"/>
      </w:pPr>
      <w:r>
        <w:rPr>
          <w:b w:val="0"/>
          <w:i w:val="0"/>
        </w:rPr>
        <w:t>181</w:t>
      </w:r>
    </w:p>
    <w:p>
      <w:pPr>
        <w:spacing w:after="80"/>
        <w:ind w:left="360"/>
      </w:pPr>
      <w:r>
        <w:rPr>
          <w:b w:val="0"/>
          <w:i w:val="0"/>
        </w:rPr>
        <w:t>182</w:t>
      </w:r>
    </w:p>
    <w:p>
      <w:pPr>
        <w:spacing w:after="80"/>
        <w:ind w:left="360"/>
      </w:pPr>
      <w:r>
        <w:rPr>
          <w:b w:val="0"/>
          <w:i w:val="0"/>
        </w:rPr>
        <w:t>183</w:t>
      </w:r>
    </w:p>
    <w:p>
      <w:pPr>
        <w:spacing w:after="80"/>
        <w:ind w:left="360"/>
      </w:pPr>
      <w:r>
        <w:rPr>
          <w:b w:val="0"/>
          <w:i w:val="0"/>
        </w:rPr>
        <w:t>184</w:t>
      </w:r>
    </w:p>
    <w:p>
      <w:pPr>
        <w:spacing w:after="80"/>
        <w:ind w:left="360"/>
      </w:pPr>
      <w:r>
        <w:rPr>
          <w:b w:val="0"/>
          <w:i w:val="0"/>
        </w:rPr>
        <w:t>185</w:t>
      </w:r>
    </w:p>
    <w:p>
      <w:pPr>
        <w:spacing w:after="80"/>
        <w:ind w:left="360"/>
      </w:pPr>
      <w:r>
        <w:rPr>
          <w:b w:val="0"/>
          <w:i w:val="0"/>
        </w:rPr>
        <w:t>186</w:t>
      </w:r>
    </w:p>
    <w:p>
      <w:pPr>
        <w:spacing w:after="80"/>
        <w:ind w:left="360"/>
      </w:pPr>
      <w:r>
        <w:rPr>
          <w:b w:val="0"/>
          <w:i w:val="0"/>
        </w:rPr>
        <w:t>187</w:t>
      </w:r>
    </w:p>
    <w:p>
      <w:pPr>
        <w:spacing w:after="80"/>
        <w:ind w:left="360"/>
      </w:pPr>
      <w:r>
        <w:rPr>
          <w:b w:val="0"/>
          <w:i w:val="0"/>
        </w:rPr>
        <w:t>188</w:t>
      </w:r>
    </w:p>
    <w:p>
      <w:pPr>
        <w:spacing w:after="80"/>
        <w:ind w:left="360"/>
      </w:pPr>
      <w:r>
        <w:rPr>
          <w:b w:val="0"/>
          <w:i w:val="0"/>
        </w:rPr>
        <w:t>189</w:t>
      </w:r>
    </w:p>
    <w:p>
      <w:pPr>
        <w:spacing w:after="80"/>
        <w:ind w:left="360"/>
      </w:pPr>
      <w:r>
        <w:rPr>
          <w:b w:val="0"/>
          <w:i w:val="0"/>
        </w:rPr>
        <w:t>190</w:t>
      </w:r>
    </w:p>
    <w:p>
      <w:pPr>
        <w:spacing w:after="80"/>
        <w:ind w:left="360"/>
      </w:pPr>
      <w:r>
        <w:rPr>
          <w:b w:val="0"/>
          <w:i w:val="0"/>
        </w:rPr>
        <w:t>191</w:t>
      </w:r>
    </w:p>
    <w:p>
      <w:pPr>
        <w:spacing w:after="80"/>
        <w:ind w:left="360"/>
      </w:pPr>
      <w:r>
        <w:rPr>
          <w:b w:val="0"/>
          <w:i w:val="0"/>
        </w:rPr>
        <w:t>192</w:t>
      </w:r>
    </w:p>
    <w:p>
      <w:pPr>
        <w:spacing w:after="80"/>
        <w:ind w:left="360"/>
      </w:pPr>
      <w:r>
        <w:rPr>
          <w:b w:val="0"/>
          <w:i w:val="0"/>
        </w:rPr>
        <w:t>193</w:t>
      </w:r>
    </w:p>
    <w:p>
      <w:pPr>
        <w:spacing w:after="80"/>
        <w:ind w:left="360"/>
      </w:pPr>
      <w:r>
        <w:rPr>
          <w:b w:val="0"/>
          <w:i w:val="0"/>
        </w:rPr>
        <w:t>194</w:t>
      </w:r>
    </w:p>
    <w:p>
      <w:pPr>
        <w:spacing w:after="80"/>
        <w:ind w:left="360"/>
      </w:pPr>
      <w:r>
        <w:rPr>
          <w:b w:val="0"/>
          <w:i w:val="0"/>
        </w:rPr>
        <w:t>195</w:t>
      </w:r>
    </w:p>
    <w:p>
      <w:pPr>
        <w:spacing w:after="80"/>
        <w:ind w:left="360"/>
      </w:pPr>
      <w:r>
        <w:rPr>
          <w:b w:val="0"/>
          <w:i w:val="0"/>
        </w:rPr>
        <w:t>196</w:t>
      </w:r>
    </w:p>
    <w:p>
      <w:pPr>
        <w:spacing w:after="80"/>
        <w:ind w:left="360"/>
      </w:pPr>
      <w:r>
        <w:rPr>
          <w:b w:val="0"/>
          <w:i w:val="0"/>
        </w:rPr>
        <w:t>197</w:t>
      </w:r>
    </w:p>
    <w:p>
      <w:pPr>
        <w:spacing w:after="80"/>
        <w:ind w:left="360"/>
      </w:pPr>
      <w:r>
        <w:rPr>
          <w:b w:val="0"/>
          <w:i w:val="0"/>
        </w:rPr>
        <w:t>198</w:t>
      </w:r>
    </w:p>
    <w:p>
      <w:pPr>
        <w:spacing w:after="80"/>
        <w:ind w:left="360"/>
      </w:pPr>
      <w:r>
        <w:rPr>
          <w:b w:val="0"/>
          <w:i w:val="0"/>
        </w:rPr>
        <w:t>199</w:t>
      </w:r>
    </w:p>
    <w:p>
      <w:pPr>
        <w:spacing w:after="80"/>
        <w:ind w:left="360"/>
      </w:pPr>
      <w:r>
        <w:rPr>
          <w:b w:val="0"/>
          <w:i w:val="0"/>
        </w:rPr>
        <w:t>200</w:t>
      </w:r>
    </w:p>
    <w:p>
      <w:pPr>
        <w:spacing w:after="80"/>
        <w:ind w:left="360"/>
      </w:pPr>
      <w:r>
        <w:rPr>
          <w:b w:val="0"/>
          <w:i w:val="0"/>
        </w:rPr>
        <w:t>201</w:t>
      </w:r>
    </w:p>
    <w:p>
      <w:pPr>
        <w:spacing w:after="80"/>
        <w:ind w:left="360"/>
      </w:pPr>
      <w:r>
        <w:rPr>
          <w:b w:val="0"/>
          <w:i w:val="0"/>
        </w:rPr>
        <w:t>202</w:t>
      </w:r>
    </w:p>
    <w:p>
      <w:pPr>
        <w:spacing w:after="80"/>
        <w:ind w:left="360"/>
      </w:pPr>
      <w:r>
        <w:rPr>
          <w:b w:val="0"/>
          <w:i w:val="0"/>
        </w:rPr>
        <w:t>203</w:t>
      </w:r>
    </w:p>
    <w:p>
      <w:pPr>
        <w:spacing w:after="80"/>
        <w:ind w:left="360"/>
      </w:pPr>
      <w:r>
        <w:rPr>
          <w:b w:val="0"/>
          <w:i w:val="0"/>
        </w:rPr>
        <w:t>204</w:t>
      </w:r>
    </w:p>
    <w:p>
      <w:pPr>
        <w:spacing w:after="80"/>
        <w:ind w:left="360"/>
      </w:pPr>
      <w:r>
        <w:rPr>
          <w:b w:val="0"/>
          <w:i w:val="0"/>
        </w:rPr>
        <w:t>205</w:t>
      </w:r>
    </w:p>
    <w:p>
      <w:pPr>
        <w:spacing w:after="80"/>
        <w:ind w:left="360"/>
      </w:pPr>
      <w:r>
        <w:rPr>
          <w:b w:val="0"/>
          <w:i w:val="0"/>
        </w:rPr>
        <w:t>207</w:t>
      </w:r>
    </w:p>
    <w:p>
      <w:pPr>
        <w:spacing w:after="80"/>
        <w:ind w:left="360"/>
      </w:pPr>
      <w:r>
        <w:rPr>
          <w:b w:val="0"/>
          <w:i w:val="0"/>
        </w:rPr>
        <w:t>208</w:t>
      </w:r>
    </w:p>
    <w:p>
      <w:pPr>
        <w:spacing w:after="80"/>
        <w:ind w:left="360"/>
      </w:pPr>
      <w:r>
        <w:rPr>
          <w:b w:val="0"/>
          <w:i w:val="0"/>
        </w:rPr>
        <w:t>209</w:t>
      </w:r>
    </w:p>
    <w:p>
      <w:pPr>
        <w:spacing w:after="80"/>
        <w:ind w:left="360"/>
      </w:pPr>
      <w:r>
        <w:rPr>
          <w:b w:val="0"/>
          <w:i w:val="0"/>
        </w:rPr>
        <w:t>210</w:t>
      </w:r>
    </w:p>
    <w:p>
      <w:pPr>
        <w:spacing w:after="80"/>
        <w:ind w:left="360"/>
      </w:pPr>
      <w:r>
        <w:rPr>
          <w:b w:val="0"/>
          <w:i w:val="0"/>
        </w:rPr>
        <w:t>211</w:t>
      </w:r>
    </w:p>
    <w:p>
      <w:pPr>
        <w:spacing w:after="80"/>
        <w:ind w:left="360"/>
      </w:pPr>
      <w:r>
        <w:rPr>
          <w:b w:val="0"/>
          <w:i w:val="0"/>
        </w:rPr>
        <w:t>212</w:t>
      </w:r>
    </w:p>
    <w:p>
      <w:pPr>
        <w:spacing w:after="80"/>
        <w:ind w:left="360"/>
      </w:pPr>
      <w:r>
        <w:rPr>
          <w:b w:val="0"/>
          <w:i w:val="0"/>
        </w:rPr>
        <w:t>213</w:t>
      </w:r>
    </w:p>
    <w:p>
      <w:pPr>
        <w:spacing w:after="80"/>
        <w:ind w:left="360"/>
      </w:pPr>
      <w:r>
        <w:rPr>
          <w:b w:val="0"/>
          <w:i w:val="0"/>
        </w:rPr>
        <w:t>214</w:t>
      </w:r>
    </w:p>
    <w:p>
      <w:pPr>
        <w:spacing w:after="80"/>
        <w:ind w:left="360"/>
      </w:pPr>
      <w:r>
        <w:rPr>
          <w:b w:val="0"/>
          <w:i w:val="0"/>
        </w:rPr>
        <w:t>215</w:t>
      </w:r>
    </w:p>
    <w:p>
      <w:pPr>
        <w:spacing w:after="80"/>
        <w:ind w:left="360"/>
      </w:pPr>
      <w:r>
        <w:rPr>
          <w:b w:val="0"/>
          <w:i w:val="0"/>
        </w:rPr>
        <w:t>216</w:t>
      </w:r>
    </w:p>
    <w:p>
      <w:pPr>
        <w:spacing w:after="80"/>
        <w:ind w:left="360"/>
      </w:pPr>
      <w:r>
        <w:rPr>
          <w:b w:val="0"/>
          <w:i w:val="0"/>
        </w:rPr>
        <w:t>217</w:t>
      </w:r>
    </w:p>
    <w:p>
      <w:pPr>
        <w:spacing w:after="80"/>
        <w:ind w:left="360"/>
      </w:pPr>
      <w:r>
        <w:rPr>
          <w:b w:val="0"/>
          <w:i w:val="0"/>
        </w:rPr>
        <w:t>218</w:t>
      </w:r>
    </w:p>
    <w:p>
      <w:pPr>
        <w:spacing w:after="80"/>
        <w:ind w:left="360"/>
      </w:pPr>
      <w:r>
        <w:rPr>
          <w:b w:val="0"/>
          <w:i w:val="0"/>
        </w:rPr>
        <w:t>219</w:t>
      </w:r>
    </w:p>
    <w:p>
      <w:pPr>
        <w:spacing w:after="80"/>
        <w:ind w:left="360"/>
      </w:pPr>
      <w:r>
        <w:rPr>
          <w:b w:val="0"/>
          <w:i w:val="0"/>
        </w:rPr>
        <w:t>220</w:t>
      </w:r>
    </w:p>
    <w:p>
      <w:pPr>
        <w:spacing w:after="80"/>
        <w:ind w:left="360"/>
      </w:pPr>
      <w:r>
        <w:rPr>
          <w:b w:val="0"/>
          <w:i w:val="0"/>
        </w:rPr>
        <w:t>221</w:t>
      </w:r>
    </w:p>
    <w:p>
      <w:pPr>
        <w:spacing w:after="80"/>
        <w:ind w:left="360"/>
      </w:pPr>
      <w:r>
        <w:rPr>
          <w:b w:val="0"/>
          <w:i w:val="0"/>
        </w:rPr>
        <w:t>222</w:t>
      </w:r>
    </w:p>
    <w:p>
      <w:pPr>
        <w:spacing w:after="80"/>
        <w:ind w:left="360"/>
      </w:pPr>
      <w:r>
        <w:rPr>
          <w:b w:val="0"/>
          <w:i w:val="0"/>
        </w:rPr>
        <w:t>223</w:t>
      </w:r>
    </w:p>
    <w:p>
      <w:pPr>
        <w:spacing w:after="80"/>
        <w:ind w:left="360"/>
      </w:pPr>
      <w:r>
        <w:rPr>
          <w:b w:val="0"/>
          <w:i w:val="0"/>
        </w:rPr>
        <w:t>224</w:t>
      </w:r>
    </w:p>
    <w:p>
      <w:pPr>
        <w:spacing w:after="80"/>
        <w:ind w:left="360"/>
      </w:pPr>
      <w:r>
        <w:rPr>
          <w:b w:val="0"/>
          <w:i w:val="0"/>
        </w:rPr>
        <w:t>225</w:t>
      </w:r>
    </w:p>
    <w:p>
      <w:pPr>
        <w:spacing w:after="80"/>
        <w:ind w:left="360"/>
      </w:pPr>
      <w:r>
        <w:rPr>
          <w:b w:val="0"/>
          <w:i w:val="0"/>
        </w:rPr>
        <w:t>226</w:t>
      </w:r>
    </w:p>
    <w:p>
      <w:pPr>
        <w:spacing w:after="80"/>
        <w:ind w:left="360"/>
      </w:pPr>
      <w:r>
        <w:rPr>
          <w:b w:val="0"/>
          <w:i w:val="0"/>
        </w:rPr>
        <w:t>227</w:t>
      </w:r>
    </w:p>
    <w:p>
      <w:pPr>
        <w:spacing w:after="80"/>
        <w:ind w:left="360"/>
      </w:pPr>
      <w:r>
        <w:rPr>
          <w:b w:val="0"/>
          <w:i w:val="0"/>
        </w:rPr>
        <w:t>228</w:t>
      </w:r>
    </w:p>
    <w:p>
      <w:pPr>
        <w:spacing w:after="80"/>
        <w:ind w:left="360"/>
      </w:pPr>
      <w:r>
        <w:rPr>
          <w:b w:val="0"/>
          <w:i w:val="0"/>
        </w:rPr>
        <w:t>229</w:t>
      </w:r>
    </w:p>
    <w:p>
      <w:pPr>
        <w:spacing w:after="80"/>
        <w:ind w:left="360"/>
      </w:pPr>
      <w:r>
        <w:rPr>
          <w:b w:val="0"/>
          <w:i w:val="0"/>
        </w:rPr>
        <w:t>230</w:t>
      </w:r>
    </w:p>
    <w:p>
      <w:pPr>
        <w:spacing w:after="80"/>
        <w:ind w:left="360"/>
      </w:pPr>
      <w:r>
        <w:rPr>
          <w:b w:val="0"/>
          <w:i w:val="0"/>
        </w:rPr>
        <w:t>231</w:t>
      </w:r>
    </w:p>
    <w:p>
      <w:pPr>
        <w:spacing w:after="80"/>
        <w:ind w:left="360"/>
      </w:pPr>
      <w:r>
        <w:rPr>
          <w:b w:val="0"/>
          <w:i w:val="0"/>
        </w:rPr>
        <w:t>232</w:t>
      </w:r>
    </w:p>
    <w:p>
      <w:pPr>
        <w:spacing w:after="80"/>
        <w:ind w:left="360"/>
      </w:pPr>
      <w:r>
        <w:rPr>
          <w:b w:val="0"/>
          <w:i w:val="0"/>
        </w:rPr>
        <w:t>233</w:t>
      </w:r>
    </w:p>
    <w:p>
      <w:pPr>
        <w:spacing w:after="80"/>
        <w:ind w:left="360"/>
      </w:pPr>
      <w:r>
        <w:rPr>
          <w:b w:val="0"/>
          <w:i w:val="0"/>
        </w:rPr>
        <w:t>234</w:t>
      </w:r>
    </w:p>
    <w:p>
      <w:pPr>
        <w:spacing w:after="80"/>
        <w:ind w:left="360"/>
      </w:pPr>
      <w:r>
        <w:rPr>
          <w:b w:val="0"/>
          <w:i w:val="0"/>
        </w:rPr>
        <w:t>235</w:t>
      </w:r>
    </w:p>
    <w:p>
      <w:pPr>
        <w:spacing w:after="80"/>
        <w:ind w:left="360"/>
      </w:pPr>
      <w:r>
        <w:rPr>
          <w:b w:val="0"/>
          <w:i w:val="0"/>
        </w:rPr>
        <w:t>236</w:t>
      </w:r>
    </w:p>
    <w:p>
      <w:pPr>
        <w:spacing w:after="80"/>
        <w:ind w:left="360"/>
      </w:pPr>
      <w:r>
        <w:rPr>
          <w:b w:val="0"/>
          <w:i w:val="0"/>
        </w:rPr>
        <w:t>237</w:t>
      </w:r>
    </w:p>
    <w:p>
      <w:pPr>
        <w:spacing w:after="80"/>
        <w:ind w:left="360"/>
      </w:pPr>
      <w:r>
        <w:rPr>
          <w:b w:val="0"/>
          <w:i w:val="0"/>
        </w:rPr>
        <w:t>238</w:t>
      </w:r>
    </w:p>
    <w:p>
      <w:pPr>
        <w:spacing w:after="80"/>
        <w:ind w:left="360"/>
      </w:pPr>
      <w:r>
        <w:rPr>
          <w:b w:val="0"/>
          <w:i w:val="0"/>
        </w:rPr>
        <w:t>239</w:t>
      </w:r>
    </w:p>
    <w:p>
      <w:pPr>
        <w:spacing w:after="80"/>
        <w:ind w:left="360"/>
      </w:pPr>
      <w:r>
        <w:rPr>
          <w:b w:val="0"/>
          <w:i w:val="0"/>
        </w:rPr>
        <w:t>240</w:t>
      </w:r>
    </w:p>
    <w:p>
      <w:pPr>
        <w:spacing w:after="80"/>
        <w:ind w:left="360"/>
      </w:pPr>
      <w:r>
        <w:rPr>
          <w:b w:val="0"/>
          <w:i w:val="0"/>
        </w:rPr>
        <w:t>241</w:t>
      </w:r>
    </w:p>
    <w:p>
      <w:pPr>
        <w:spacing w:after="80"/>
        <w:ind w:left="360"/>
      </w:pPr>
      <w:r>
        <w:rPr>
          <w:b w:val="0"/>
          <w:i w:val="0"/>
        </w:rPr>
        <w:t>242</w:t>
      </w:r>
    </w:p>
    <w:p>
      <w:pPr>
        <w:spacing w:after="80"/>
        <w:ind w:left="360"/>
      </w:pPr>
      <w:r>
        <w:rPr>
          <w:b w:val="0"/>
          <w:i w:val="0"/>
        </w:rPr>
        <w:t>243</w:t>
      </w:r>
    </w:p>
    <w:p>
      <w:pPr>
        <w:spacing w:after="80"/>
        <w:ind w:left="360"/>
      </w:pPr>
      <w:r>
        <w:rPr>
          <w:b w:val="0"/>
          <w:i w:val="0"/>
        </w:rPr>
        <w:t>244</w:t>
      </w:r>
    </w:p>
    <w:p>
      <w:pPr>
        <w:spacing w:after="80"/>
        <w:ind w:left="360"/>
      </w:pPr>
      <w:r>
        <w:rPr>
          <w:b w:val="0"/>
          <w:i w:val="0"/>
        </w:rPr>
        <w:t>245</w:t>
      </w:r>
    </w:p>
    <w:p>
      <w:pPr>
        <w:spacing w:after="80"/>
        <w:ind w:left="360"/>
      </w:pPr>
      <w:r>
        <w:rPr>
          <w:b w:val="0"/>
          <w:i w:val="0"/>
        </w:rPr>
        <w:t>246</w:t>
      </w:r>
    </w:p>
    <w:p>
      <w:pPr>
        <w:spacing w:after="80"/>
        <w:ind w:left="360"/>
      </w:pPr>
      <w:r>
        <w:rPr>
          <w:b w:val="0"/>
          <w:i w:val="0"/>
        </w:rPr>
        <w:t>247</w:t>
      </w:r>
    </w:p>
    <w:p>
      <w:pPr>
        <w:spacing w:after="80"/>
        <w:ind w:left="360"/>
      </w:pPr>
      <w:r>
        <w:rPr>
          <w:b w:val="0"/>
          <w:i w:val="0"/>
        </w:rPr>
        <w:t>248</w:t>
      </w:r>
    </w:p>
    <w:p>
      <w:pPr>
        <w:spacing w:after="80"/>
        <w:ind w:left="360"/>
      </w:pPr>
      <w:r>
        <w:rPr>
          <w:b w:val="0"/>
          <w:i w:val="0"/>
        </w:rPr>
        <w:t>249</w:t>
      </w:r>
    </w:p>
    <w:p>
      <w:pPr>
        <w:spacing w:after="80"/>
        <w:ind w:left="360"/>
      </w:pPr>
      <w:r>
        <w:rPr>
          <w:b w:val="0"/>
          <w:i w:val="0"/>
        </w:rPr>
        <w:t>250</w:t>
      </w:r>
    </w:p>
    <w:p>
      <w:pPr>
        <w:spacing w:after="80"/>
        <w:ind w:left="360"/>
      </w:pPr>
      <w:r>
        <w:rPr>
          <w:b w:val="0"/>
          <w:i w:val="0"/>
        </w:rPr>
        <w:t>251</w:t>
      </w:r>
    </w:p>
    <w:p>
      <w:pPr>
        <w:spacing w:after="80"/>
        <w:ind w:left="360"/>
      </w:pPr>
      <w:r>
        <w:rPr>
          <w:b w:val="0"/>
          <w:i w:val="0"/>
        </w:rPr>
        <w:t>252</w:t>
      </w:r>
    </w:p>
    <w:p>
      <w:pPr>
        <w:spacing w:after="80"/>
        <w:ind w:left="360"/>
      </w:pPr>
      <w:r>
        <w:rPr>
          <w:b w:val="0"/>
          <w:i w:val="0"/>
        </w:rPr>
        <w:t>253</w:t>
      </w:r>
    </w:p>
    <w:p>
      <w:pPr>
        <w:spacing w:after="80"/>
        <w:ind w:left="360"/>
      </w:pPr>
      <w:r>
        <w:rPr>
          <w:b w:val="0"/>
          <w:i w:val="0"/>
        </w:rPr>
        <w:t>254</w:t>
      </w:r>
    </w:p>
    <w:p>
      <w:pPr>
        <w:spacing w:after="80"/>
        <w:ind w:left="360"/>
      </w:pPr>
      <w:r>
        <w:rPr>
          <w:b w:val="0"/>
          <w:i w:val="0"/>
        </w:rPr>
        <w:t>255</w:t>
      </w:r>
    </w:p>
    <w:p>
      <w:pPr>
        <w:spacing w:after="80"/>
        <w:ind w:left="360"/>
      </w:pPr>
      <w:r>
        <w:rPr>
          <w:b w:val="0"/>
          <w:i w:val="0"/>
        </w:rPr>
        <w:t>256</w:t>
      </w:r>
    </w:p>
    <w:p>
      <w:pPr>
        <w:spacing w:after="80"/>
        <w:ind w:left="360"/>
      </w:pPr>
      <w:r>
        <w:rPr>
          <w:b w:val="0"/>
          <w:i w:val="0"/>
        </w:rPr>
        <w:t>257</w:t>
      </w:r>
    </w:p>
    <w:p>
      <w:pPr>
        <w:spacing w:after="80"/>
        <w:ind w:left="360"/>
      </w:pPr>
      <w:r>
        <w:rPr>
          <w:b w:val="0"/>
          <w:i w:val="0"/>
        </w:rPr>
        <w:t>258</w:t>
      </w:r>
    </w:p>
    <w:p>
      <w:pPr>
        <w:spacing w:after="80"/>
        <w:ind w:left="360"/>
      </w:pPr>
      <w:r>
        <w:rPr>
          <w:b w:val="0"/>
          <w:i w:val="0"/>
        </w:rPr>
        <w:t>259</w:t>
      </w:r>
    </w:p>
    <w:p>
      <w:pPr>
        <w:spacing w:after="80"/>
        <w:ind w:left="360"/>
      </w:pPr>
      <w:r>
        <w:rPr>
          <w:b w:val="0"/>
          <w:i w:val="0"/>
        </w:rPr>
        <w:t>260</w:t>
      </w:r>
    </w:p>
    <w:p>
      <w:pPr>
        <w:spacing w:after="80"/>
        <w:ind w:left="360"/>
      </w:pPr>
      <w:r>
        <w:rPr>
          <w:b w:val="0"/>
          <w:i w:val="0"/>
        </w:rPr>
        <w:t>261</w:t>
      </w:r>
    </w:p>
    <w:p>
      <w:pPr>
        <w:spacing w:after="80"/>
        <w:ind w:left="360"/>
      </w:pPr>
      <w:r>
        <w:rPr>
          <w:b w:val="0"/>
          <w:i w:val="0"/>
        </w:rPr>
        <w:t>262</w:t>
      </w:r>
    </w:p>
    <w:p>
      <w:pPr>
        <w:spacing w:after="80"/>
        <w:ind w:left="360"/>
      </w:pPr>
      <w:r>
        <w:rPr>
          <w:b w:val="0"/>
          <w:i w:val="0"/>
        </w:rPr>
        <w:t>263</w:t>
      </w:r>
    </w:p>
    <w:p>
      <w:pPr>
        <w:spacing w:after="80"/>
        <w:ind w:left="360"/>
      </w:pPr>
      <w:r>
        <w:rPr>
          <w:b w:val="0"/>
          <w:i w:val="0"/>
        </w:rPr>
        <w:t>264</w:t>
      </w:r>
    </w:p>
    <w:p>
      <w:pPr>
        <w:spacing w:after="80"/>
        <w:ind w:left="360"/>
      </w:pPr>
      <w:r>
        <w:rPr>
          <w:b w:val="0"/>
          <w:i w:val="0"/>
        </w:rPr>
        <w:t>265</w:t>
      </w:r>
    </w:p>
    <w:p>
      <w:pPr>
        <w:spacing w:after="80"/>
        <w:ind w:left="360"/>
      </w:pPr>
      <w:r>
        <w:rPr>
          <w:b w:val="0"/>
          <w:i w:val="0"/>
        </w:rPr>
        <w:t>266</w:t>
      </w:r>
    </w:p>
    <w:p>
      <w:pPr>
        <w:spacing w:after="80"/>
        <w:ind w:left="360"/>
      </w:pPr>
      <w:r>
        <w:rPr>
          <w:b w:val="0"/>
          <w:i w:val="0"/>
        </w:rPr>
        <w:t>267</w:t>
      </w:r>
    </w:p>
    <w:p>
      <w:pPr>
        <w:spacing w:after="80"/>
        <w:ind w:left="360"/>
      </w:pPr>
      <w:r>
        <w:rPr>
          <w:b w:val="0"/>
          <w:i w:val="0"/>
        </w:rPr>
        <w:t>268</w:t>
      </w:r>
    </w:p>
    <w:p>
      <w:pPr>
        <w:spacing w:after="80"/>
        <w:ind w:left="360"/>
      </w:pPr>
      <w:r>
        <w:rPr>
          <w:b w:val="0"/>
          <w:i w:val="0"/>
        </w:rPr>
        <w:t>269</w:t>
      </w:r>
    </w:p>
    <w:p>
      <w:pPr>
        <w:spacing w:after="80"/>
        <w:ind w:left="360"/>
      </w:pPr>
      <w:r>
        <w:rPr>
          <w:b w:val="0"/>
          <w:i w:val="0"/>
        </w:rPr>
        <w:t>271</w:t>
      </w:r>
    </w:p>
    <w:p>
      <w:pPr>
        <w:spacing w:after="80"/>
        <w:ind w:left="360"/>
      </w:pPr>
      <w:r>
        <w:rPr>
          <w:b w:val="0"/>
          <w:i w:val="0"/>
        </w:rPr>
        <w:t>272</w:t>
      </w:r>
    </w:p>
    <w:p>
      <w:pPr>
        <w:spacing w:after="80"/>
        <w:ind w:left="360"/>
      </w:pPr>
      <w:r>
        <w:rPr>
          <w:b w:val="0"/>
          <w:i w:val="0"/>
        </w:rPr>
        <w:t>273</w:t>
      </w:r>
    </w:p>
    <w:p>
      <w:pPr>
        <w:spacing w:after="80"/>
        <w:ind w:left="360"/>
      </w:pPr>
      <w:r>
        <w:rPr>
          <w:b w:val="0"/>
          <w:i w:val="0"/>
        </w:rPr>
        <w:t>274</w:t>
      </w:r>
    </w:p>
    <w:p>
      <w:pPr>
        <w:spacing w:after="80"/>
        <w:ind w:left="360"/>
      </w:pPr>
      <w:r>
        <w:rPr>
          <w:b w:val="0"/>
          <w:i w:val="0"/>
        </w:rPr>
        <w:t>275</w:t>
      </w:r>
    </w:p>
    <w:p>
      <w:pPr>
        <w:spacing w:after="80"/>
        <w:ind w:left="360"/>
      </w:pPr>
      <w:r>
        <w:rPr>
          <w:b w:val="0"/>
          <w:i w:val="0"/>
        </w:rPr>
        <w:t>276</w:t>
      </w:r>
    </w:p>
    <w:p>
      <w:pPr>
        <w:spacing w:after="80"/>
        <w:ind w:left="360"/>
      </w:pPr>
      <w:r>
        <w:rPr>
          <w:b w:val="0"/>
          <w:i w:val="0"/>
        </w:rPr>
        <w:t>277</w:t>
      </w:r>
    </w:p>
    <w:p>
      <w:pPr>
        <w:spacing w:after="80"/>
        <w:ind w:left="360"/>
      </w:pPr>
      <w:r>
        <w:rPr>
          <w:b w:val="0"/>
          <w:i w:val="0"/>
        </w:rPr>
        <w:t>278</w:t>
      </w:r>
    </w:p>
    <w:p>
      <w:pPr>
        <w:spacing w:after="80"/>
        <w:ind w:left="360"/>
      </w:pPr>
      <w:r>
        <w:rPr>
          <w:b w:val="0"/>
          <w:i w:val="0"/>
        </w:rPr>
        <w:t>279</w:t>
      </w:r>
    </w:p>
    <w:p>
      <w:pPr>
        <w:spacing w:after="80"/>
        <w:ind w:left="360"/>
      </w:pPr>
      <w:r>
        <w:rPr>
          <w:b w:val="0"/>
          <w:i w:val="0"/>
        </w:rPr>
        <w:t>280</w:t>
      </w:r>
    </w:p>
    <w:p>
      <w:pPr>
        <w:spacing w:after="80"/>
        <w:ind w:left="360"/>
      </w:pPr>
      <w:r>
        <w:rPr>
          <w:b w:val="0"/>
          <w:i w:val="0"/>
        </w:rPr>
        <w:t>281</w:t>
      </w:r>
    </w:p>
    <w:p>
      <w:pPr>
        <w:spacing w:after="80"/>
        <w:ind w:left="360"/>
      </w:pPr>
      <w:r>
        <w:rPr>
          <w:b w:val="0"/>
          <w:i w:val="0"/>
        </w:rPr>
        <w:t>282</w:t>
      </w:r>
    </w:p>
    <w:p>
      <w:pPr>
        <w:spacing w:after="80"/>
        <w:ind w:left="360"/>
      </w:pPr>
      <w:r>
        <w:rPr>
          <w:b w:val="0"/>
          <w:i w:val="0"/>
        </w:rPr>
        <w:t>283</w:t>
      </w:r>
    </w:p>
    <w:p>
      <w:pPr>
        <w:spacing w:after="80"/>
        <w:ind w:left="360"/>
      </w:pPr>
      <w:r>
        <w:rPr>
          <w:b w:val="0"/>
          <w:i w:val="0"/>
        </w:rPr>
        <w:t>285</w:t>
      </w:r>
    </w:p>
    <w:p>
      <w:pPr>
        <w:spacing w:after="80"/>
        <w:ind w:left="360"/>
      </w:pPr>
      <w:r>
        <w:rPr>
          <w:b w:val="0"/>
          <w:i w:val="0"/>
        </w:rPr>
        <w:t>286</w:t>
      </w:r>
    </w:p>
    <w:p>
      <w:pPr>
        <w:spacing w:after="80"/>
        <w:ind w:left="360"/>
      </w:pPr>
      <w:r>
        <w:rPr>
          <w:b w:val="0"/>
          <w:i w:val="0"/>
        </w:rPr>
        <w:t>287</w:t>
      </w:r>
    </w:p>
    <w:p>
      <w:pPr>
        <w:spacing w:after="80"/>
        <w:ind w:left="360"/>
      </w:pPr>
      <w:r>
        <w:rPr>
          <w:b w:val="0"/>
          <w:i w:val="0"/>
        </w:rPr>
        <w:t>288</w:t>
      </w:r>
    </w:p>
    <w:p>
      <w:pPr>
        <w:spacing w:after="80"/>
        <w:ind w:left="360"/>
      </w:pPr>
      <w:r>
        <w:rPr>
          <w:b w:val="0"/>
          <w:i w:val="0"/>
        </w:rPr>
        <w:t>289</w:t>
      </w:r>
    </w:p>
    <w:p>
      <w:pPr>
        <w:spacing w:after="80"/>
        <w:ind w:left="360"/>
      </w:pPr>
      <w:r>
        <w:rPr>
          <w:b w:val="0"/>
          <w:i w:val="0"/>
        </w:rPr>
        <w:t>290</w:t>
      </w:r>
    </w:p>
    <w:p>
      <w:pPr>
        <w:spacing w:after="80"/>
        <w:ind w:left="360"/>
      </w:pPr>
      <w:r>
        <w:rPr>
          <w:b w:val="0"/>
          <w:i w:val="0"/>
        </w:rPr>
        <w:t>291</w:t>
      </w:r>
    </w:p>
    <w:p>
      <w:pPr>
        <w:spacing w:after="80"/>
        <w:ind w:left="360"/>
      </w:pPr>
      <w:r>
        <w:rPr>
          <w:b w:val="0"/>
          <w:i w:val="0"/>
        </w:rPr>
        <w:t>292</w:t>
      </w:r>
    </w:p>
    <w:p>
      <w:pPr>
        <w:spacing w:after="80"/>
        <w:ind w:left="360"/>
      </w:pPr>
      <w:r>
        <w:rPr>
          <w:b w:val="0"/>
          <w:i w:val="0"/>
        </w:rPr>
        <w:t>293</w:t>
      </w:r>
    </w:p>
    <w:p>
      <w:pPr>
        <w:spacing w:after="80"/>
        <w:ind w:left="360"/>
      </w:pPr>
      <w:r>
        <w:rPr>
          <w:b w:val="0"/>
          <w:i w:val="0"/>
        </w:rPr>
        <w:t>294</w:t>
      </w:r>
    </w:p>
    <w:p>
      <w:pPr>
        <w:spacing w:after="80"/>
        <w:ind w:left="360"/>
      </w:pPr>
      <w:r>
        <w:rPr>
          <w:b w:val="0"/>
          <w:i w:val="0"/>
        </w:rPr>
        <w:t>295</w:t>
      </w:r>
    </w:p>
    <w:p>
      <w:pPr>
        <w:spacing w:after="80"/>
        <w:ind w:left="360"/>
      </w:pPr>
      <w:r>
        <w:rPr>
          <w:b w:val="0"/>
          <w:i w:val="0"/>
        </w:rPr>
        <w:t>297</w:t>
      </w:r>
    </w:p>
    <w:p>
      <w:pPr>
        <w:spacing w:after="80"/>
        <w:ind w:left="360"/>
      </w:pPr>
      <w:r>
        <w:rPr>
          <w:b w:val="0"/>
          <w:i w:val="0"/>
        </w:rPr>
        <w:t>298</w:t>
      </w:r>
    </w:p>
    <w:p>
      <w:pPr>
        <w:spacing w:after="80"/>
        <w:ind w:left="360"/>
      </w:pPr>
      <w:r>
        <w:rPr>
          <w:b w:val="0"/>
          <w:i w:val="0"/>
        </w:rPr>
        <w:t>299</w:t>
      </w:r>
    </w:p>
    <w:p>
      <w:pPr>
        <w:spacing w:after="80"/>
        <w:ind w:left="360"/>
      </w:pPr>
      <w:r>
        <w:rPr>
          <w:b w:val="0"/>
          <w:i w:val="0"/>
        </w:rPr>
        <w:t>300</w:t>
      </w:r>
    </w:p>
    <w:p>
      <w:pPr>
        <w:spacing w:after="80"/>
        <w:ind w:left="360"/>
      </w:pPr>
      <w:r>
        <w:rPr>
          <w:b w:val="0"/>
          <w:i w:val="0"/>
        </w:rPr>
        <w:t>301</w:t>
      </w:r>
    </w:p>
    <w:p>
      <w:pPr>
        <w:spacing w:after="80"/>
        <w:ind w:left="360"/>
      </w:pPr>
      <w:r>
        <w:rPr>
          <w:b w:val="0"/>
          <w:i w:val="0"/>
        </w:rPr>
        <w:t>302</w:t>
      </w:r>
    </w:p>
    <w:p>
      <w:pPr>
        <w:spacing w:after="80"/>
        <w:ind w:left="360"/>
      </w:pPr>
      <w:r>
        <w:rPr>
          <w:b w:val="0"/>
          <w:i w:val="0"/>
        </w:rPr>
        <w:t>303</w:t>
      </w:r>
    </w:p>
    <w:p>
      <w:pPr>
        <w:spacing w:after="80"/>
        <w:ind w:left="360"/>
      </w:pPr>
      <w:r>
        <w:rPr>
          <w:b w:val="0"/>
          <w:i w:val="0"/>
        </w:rPr>
        <w:t>304</w:t>
      </w:r>
    </w:p>
    <w:p>
      <w:pPr>
        <w:spacing w:after="80"/>
        <w:ind w:left="360"/>
      </w:pPr>
      <w:r>
        <w:rPr>
          <w:b w:val="0"/>
          <w:i w:val="0"/>
        </w:rPr>
        <w:t>305</w:t>
      </w:r>
    </w:p>
    <w:p>
      <w:pPr>
        <w:spacing w:after="80"/>
        <w:ind w:left="360"/>
      </w:pPr>
      <w:r>
        <w:rPr>
          <w:b w:val="0"/>
          <w:i w:val="0"/>
        </w:rPr>
        <w:t>306</w:t>
      </w:r>
    </w:p>
    <w:p>
      <w:pPr>
        <w:spacing w:after="80"/>
        <w:ind w:left="360"/>
      </w:pPr>
      <w:r>
        <w:rPr>
          <w:b w:val="0"/>
          <w:i w:val="0"/>
        </w:rPr>
        <w:t>307</w:t>
      </w:r>
    </w:p>
    <w:p>
      <w:pPr>
        <w:spacing w:after="80"/>
        <w:ind w:left="360"/>
      </w:pPr>
      <w:r>
        <w:rPr>
          <w:b w:val="0"/>
          <w:i w:val="0"/>
        </w:rPr>
        <w:t>308</w:t>
      </w:r>
    </w:p>
    <w:p>
      <w:pPr>
        <w:spacing w:after="80"/>
        <w:ind w:left="360"/>
      </w:pPr>
      <w:r>
        <w:rPr>
          <w:b w:val="0"/>
          <w:i w:val="0"/>
        </w:rPr>
        <w:t>309</w:t>
      </w:r>
    </w:p>
    <w:p>
      <w:pPr>
        <w:spacing w:after="80"/>
        <w:ind w:left="360"/>
      </w:pPr>
      <w:r>
        <w:rPr>
          <w:b w:val="0"/>
          <w:i w:val="0"/>
        </w:rPr>
        <w:t>310</w:t>
      </w:r>
    </w:p>
    <w:p>
      <w:pPr>
        <w:spacing w:after="80"/>
        <w:ind w:left="360"/>
      </w:pPr>
      <w:r>
        <w:rPr>
          <w:b w:val="0"/>
          <w:i w:val="0"/>
        </w:rPr>
        <w:t>311</w:t>
      </w:r>
    </w:p>
    <w:p>
      <w:pPr>
        <w:spacing w:after="80"/>
        <w:ind w:left="360"/>
      </w:pPr>
      <w:r>
        <w:rPr>
          <w:b w:val="0"/>
          <w:i w:val="0"/>
        </w:rPr>
        <w:t>312</w:t>
      </w:r>
    </w:p>
    <w:p>
      <w:pPr>
        <w:spacing w:after="80"/>
        <w:ind w:left="360"/>
      </w:pPr>
      <w:r>
        <w:rPr>
          <w:b w:val="0"/>
          <w:i w:val="0"/>
        </w:rPr>
        <w:t>313</w:t>
      </w:r>
    </w:p>
    <w:p>
      <w:pPr>
        <w:spacing w:after="80"/>
        <w:ind w:left="360"/>
      </w:pPr>
      <w:r>
        <w:rPr>
          <w:b w:val="0"/>
          <w:i w:val="0"/>
        </w:rPr>
        <w:t>314</w:t>
      </w:r>
    </w:p>
    <w:p>
      <w:pPr>
        <w:spacing w:after="80"/>
        <w:ind w:left="360"/>
      </w:pPr>
      <w:r>
        <w:rPr>
          <w:b w:val="0"/>
          <w:i w:val="0"/>
        </w:rPr>
        <w:t>315</w:t>
      </w:r>
    </w:p>
    <w:p>
      <w:pPr>
        <w:spacing w:after="80"/>
        <w:ind w:left="360"/>
      </w:pPr>
      <w:r>
        <w:rPr>
          <w:b w:val="0"/>
          <w:i w:val="0"/>
        </w:rPr>
        <w:t>316</w:t>
      </w:r>
    </w:p>
    <w:p>
      <w:pPr>
        <w:spacing w:after="80"/>
        <w:ind w:left="360"/>
      </w:pPr>
      <w:r>
        <w:rPr>
          <w:b w:val="0"/>
          <w:i w:val="0"/>
        </w:rPr>
        <w:t>317</w:t>
      </w:r>
    </w:p>
    <w:p>
      <w:pPr>
        <w:spacing w:after="80"/>
        <w:ind w:left="360"/>
      </w:pPr>
      <w:r>
        <w:rPr>
          <w:b w:val="0"/>
          <w:i w:val="0"/>
        </w:rPr>
        <w:t>318</w:t>
      </w:r>
    </w:p>
    <w:p>
      <w:pPr>
        <w:spacing w:after="80"/>
        <w:ind w:left="360"/>
      </w:pPr>
      <w:r>
        <w:rPr>
          <w:b w:val="0"/>
          <w:i w:val="0"/>
        </w:rPr>
        <w:t>319</w:t>
      </w:r>
    </w:p>
    <w:p>
      <w:pPr>
        <w:spacing w:after="80"/>
        <w:ind w:left="360"/>
      </w:pPr>
      <w:r>
        <w:rPr>
          <w:b w:val="0"/>
          <w:i w:val="0"/>
        </w:rPr>
        <w:t>320</w:t>
      </w:r>
    </w:p>
    <w:p>
      <w:pPr>
        <w:spacing w:after="80"/>
        <w:ind w:left="360"/>
      </w:pPr>
      <w:r>
        <w:rPr>
          <w:b w:val="0"/>
          <w:i w:val="0"/>
        </w:rPr>
        <w:t>321</w:t>
      </w:r>
    </w:p>
    <w:p>
      <w:pPr>
        <w:spacing w:after="80"/>
        <w:ind w:left="360"/>
      </w:pPr>
      <w:r>
        <w:rPr>
          <w:b w:val="0"/>
          <w:i w:val="0"/>
        </w:rPr>
        <w:t>322</w:t>
      </w:r>
    </w:p>
    <w:p>
      <w:pPr>
        <w:spacing w:after="80"/>
        <w:ind w:left="360"/>
      </w:pPr>
      <w:r>
        <w:rPr>
          <w:b w:val="0"/>
          <w:i w:val="0"/>
        </w:rPr>
        <w:t>323</w:t>
      </w:r>
    </w:p>
    <w:p>
      <w:pPr>
        <w:spacing w:after="80"/>
        <w:ind w:left="360"/>
      </w:pPr>
      <w:r>
        <w:rPr>
          <w:b w:val="0"/>
          <w:i w:val="0"/>
        </w:rPr>
        <w:t>324</w:t>
      </w:r>
    </w:p>
    <w:p>
      <w:pPr>
        <w:spacing w:after="80"/>
        <w:ind w:left="360"/>
      </w:pPr>
      <w:r>
        <w:rPr>
          <w:b w:val="0"/>
          <w:i w:val="0"/>
        </w:rPr>
        <w:t>325</w:t>
      </w:r>
    </w:p>
    <w:p>
      <w:pPr>
        <w:spacing w:after="80"/>
        <w:ind w:left="360"/>
      </w:pPr>
      <w:r>
        <w:rPr>
          <w:b w:val="0"/>
          <w:i w:val="0"/>
        </w:rPr>
        <w:t>326</w:t>
      </w:r>
    </w:p>
    <w:p>
      <w:pPr>
        <w:spacing w:after="80"/>
        <w:ind w:left="360"/>
      </w:pPr>
      <w:r>
        <w:rPr>
          <w:b w:val="0"/>
          <w:i w:val="0"/>
        </w:rPr>
        <w:t>327</w:t>
      </w:r>
    </w:p>
    <w:p>
      <w:pPr>
        <w:spacing w:after="80"/>
        <w:ind w:left="360"/>
      </w:pPr>
      <w:r>
        <w:rPr>
          <w:b w:val="0"/>
          <w:i w:val="0"/>
        </w:rPr>
        <w:t>328</w:t>
      </w:r>
    </w:p>
    <w:p>
      <w:pPr>
        <w:spacing w:after="80"/>
        <w:ind w:left="360"/>
      </w:pPr>
      <w:r>
        <w:rPr>
          <w:b w:val="0"/>
          <w:i w:val="0"/>
        </w:rPr>
        <w:t>329</w:t>
      </w:r>
    </w:p>
    <w:p>
      <w:pPr>
        <w:spacing w:after="80"/>
        <w:ind w:left="360"/>
      </w:pPr>
      <w:r>
        <w:rPr>
          <w:b w:val="0"/>
          <w:i w:val="0"/>
        </w:rPr>
        <w:t>330</w:t>
      </w:r>
    </w:p>
    <w:p>
      <w:pPr>
        <w:spacing w:after="80"/>
        <w:ind w:left="360"/>
      </w:pPr>
      <w:r>
        <w:rPr>
          <w:b w:val="0"/>
          <w:i w:val="0"/>
        </w:rPr>
        <w:t>331</w:t>
      </w:r>
    </w:p>
    <w:p>
      <w:pPr>
        <w:spacing w:after="80"/>
        <w:ind w:left="360"/>
      </w:pPr>
      <w:r>
        <w:rPr>
          <w:b w:val="0"/>
          <w:i w:val="0"/>
        </w:rPr>
        <w:t>332</w:t>
      </w:r>
    </w:p>
    <w:p>
      <w:pPr>
        <w:spacing w:after="80"/>
        <w:ind w:left="360"/>
      </w:pPr>
      <w:r>
        <w:rPr>
          <w:b w:val="0"/>
          <w:i w:val="0"/>
        </w:rPr>
        <w:t>333</w:t>
      </w:r>
    </w:p>
    <w:p>
      <w:pPr>
        <w:spacing w:after="80"/>
        <w:ind w:left="360"/>
      </w:pPr>
      <w:r>
        <w:rPr>
          <w:b w:val="0"/>
          <w:i w:val="0"/>
        </w:rPr>
        <w:t>334</w:t>
      </w:r>
    </w:p>
    <w:p>
      <w:pPr>
        <w:spacing w:after="80"/>
        <w:ind w:left="360"/>
      </w:pPr>
      <w:r>
        <w:rPr>
          <w:b w:val="0"/>
          <w:i w:val="0"/>
        </w:rPr>
        <w:t>335</w:t>
      </w:r>
    </w:p>
    <w:p>
      <w:pPr>
        <w:spacing w:after="80"/>
        <w:ind w:left="360"/>
      </w:pPr>
      <w:r>
        <w:rPr>
          <w:b w:val="0"/>
          <w:i w:val="0"/>
        </w:rPr>
        <w:t>336</w:t>
      </w:r>
    </w:p>
    <w:p>
      <w:pPr>
        <w:spacing w:after="80"/>
        <w:ind w:left="360"/>
      </w:pPr>
      <w:r>
        <w:rPr>
          <w:b w:val="0"/>
          <w:i w:val="0"/>
        </w:rPr>
        <w:t>337</w:t>
      </w:r>
    </w:p>
    <w:p>
      <w:pPr>
        <w:spacing w:after="80"/>
        <w:ind w:left="360"/>
      </w:pPr>
      <w:r>
        <w:rPr>
          <w:b w:val="0"/>
          <w:i w:val="0"/>
        </w:rPr>
        <w:t>338</w:t>
      </w:r>
    </w:p>
    <w:p>
      <w:pPr>
        <w:spacing w:after="80"/>
        <w:ind w:left="360"/>
      </w:pPr>
      <w:r>
        <w:rPr>
          <w:b w:val="0"/>
          <w:i w:val="0"/>
        </w:rPr>
        <w:t>339</w:t>
      </w:r>
    </w:p>
    <w:p>
      <w:pPr>
        <w:spacing w:after="80"/>
        <w:ind w:left="360"/>
      </w:pPr>
      <w:r>
        <w:rPr>
          <w:b w:val="0"/>
          <w:i w:val="0"/>
        </w:rPr>
        <w:t>341</w:t>
      </w:r>
    </w:p>
    <w:p>
      <w:pPr>
        <w:spacing w:after="80"/>
        <w:ind w:left="360"/>
      </w:pPr>
      <w:r>
        <w:rPr>
          <w:b w:val="0"/>
          <w:i w:val="0"/>
        </w:rPr>
        <w:t>342</w:t>
      </w:r>
    </w:p>
    <w:p>
      <w:pPr>
        <w:spacing w:after="80"/>
        <w:ind w:left="360"/>
      </w:pPr>
      <w:r>
        <w:rPr>
          <w:b w:val="0"/>
          <w:i w:val="0"/>
        </w:rPr>
        <w:t>343</w:t>
      </w:r>
    </w:p>
    <w:p>
      <w:pPr>
        <w:spacing w:after="80"/>
        <w:ind w:left="360"/>
      </w:pPr>
      <w:r>
        <w:rPr>
          <w:b w:val="0"/>
          <w:i w:val="0"/>
        </w:rPr>
        <w:t>344</w:t>
      </w:r>
    </w:p>
    <w:p>
      <w:pPr>
        <w:spacing w:after="80"/>
        <w:ind w:left="360"/>
      </w:pPr>
      <w:r>
        <w:rPr>
          <w:b w:val="0"/>
          <w:i w:val="0"/>
        </w:rPr>
        <w:t>345</w:t>
      </w:r>
    </w:p>
    <w:p>
      <w:pPr>
        <w:spacing w:after="80"/>
        <w:ind w:left="360"/>
      </w:pPr>
      <w:r>
        <w:rPr>
          <w:b w:val="0"/>
          <w:i w:val="0"/>
        </w:rPr>
        <w:t>346</w:t>
      </w:r>
    </w:p>
    <w:p>
      <w:pPr>
        <w:spacing w:after="80"/>
        <w:ind w:left="360"/>
      </w:pPr>
      <w:r>
        <w:rPr>
          <w:b w:val="0"/>
          <w:i w:val="0"/>
        </w:rPr>
        <w:t>347</w:t>
      </w:r>
    </w:p>
    <w:p>
      <w:pPr>
        <w:spacing w:after="80"/>
        <w:ind w:left="360"/>
      </w:pPr>
      <w:r>
        <w:rPr>
          <w:b w:val="0"/>
          <w:i w:val="0"/>
        </w:rPr>
        <w:t>348</w:t>
      </w:r>
    </w:p>
    <w:p>
      <w:pPr>
        <w:spacing w:after="80"/>
        <w:ind w:left="360"/>
      </w:pPr>
      <w:r>
        <w:rPr>
          <w:b w:val="0"/>
          <w:i w:val="0"/>
        </w:rPr>
        <w:t>349</w:t>
      </w:r>
    </w:p>
    <w:p>
      <w:pPr>
        <w:spacing w:after="80"/>
        <w:ind w:left="360"/>
      </w:pPr>
      <w:r>
        <w:rPr>
          <w:b w:val="0"/>
          <w:i w:val="0"/>
        </w:rPr>
        <w:t>350</w:t>
      </w:r>
    </w:p>
    <w:p>
      <w:pPr>
        <w:spacing w:after="80"/>
        <w:ind w:left="360"/>
      </w:pPr>
      <w:r>
        <w:rPr>
          <w:b w:val="0"/>
          <w:i w:val="0"/>
        </w:rPr>
        <w:t>351</w:t>
      </w:r>
    </w:p>
    <w:p>
      <w:pPr>
        <w:spacing w:after="80"/>
        <w:ind w:left="360"/>
      </w:pPr>
      <w:r>
        <w:rPr>
          <w:b w:val="0"/>
          <w:i w:val="0"/>
        </w:rPr>
        <w:t>352</w:t>
      </w:r>
    </w:p>
    <w:p>
      <w:pPr>
        <w:spacing w:after="80"/>
        <w:ind w:left="360"/>
      </w:pPr>
      <w:r>
        <w:rPr>
          <w:b w:val="0"/>
          <w:i w:val="0"/>
        </w:rPr>
        <w:t>353</w:t>
      </w:r>
    </w:p>
    <w:p>
      <w:pPr>
        <w:spacing w:after="80"/>
        <w:ind w:left="360"/>
      </w:pPr>
      <w:r>
        <w:rPr>
          <w:b w:val="0"/>
          <w:i w:val="0"/>
        </w:rPr>
        <w:t>354</w:t>
      </w:r>
    </w:p>
    <w:p>
      <w:pPr>
        <w:spacing w:after="80"/>
        <w:ind w:left="360"/>
      </w:pPr>
      <w:r>
        <w:rPr>
          <w:b w:val="0"/>
          <w:i w:val="0"/>
        </w:rPr>
        <w:t>355</w:t>
      </w:r>
    </w:p>
    <w:p>
      <w:pPr>
        <w:spacing w:after="80"/>
        <w:ind w:left="360"/>
      </w:pPr>
      <w:r>
        <w:rPr>
          <w:b w:val="0"/>
          <w:i w:val="0"/>
        </w:rPr>
        <w:t>356</w:t>
      </w:r>
    </w:p>
    <w:p>
      <w:pPr>
        <w:spacing w:after="80"/>
        <w:ind w:left="360"/>
      </w:pPr>
      <w:r>
        <w:rPr>
          <w:b w:val="0"/>
          <w:i w:val="0"/>
        </w:rPr>
        <w:t>357</w:t>
      </w:r>
    </w:p>
    <w:p>
      <w:pPr>
        <w:spacing w:after="80"/>
        <w:ind w:left="360"/>
      </w:pPr>
      <w:r>
        <w:rPr>
          <w:b w:val="0"/>
          <w:i w:val="0"/>
        </w:rPr>
        <w:t>358</w:t>
      </w:r>
    </w:p>
    <w:p>
      <w:pPr>
        <w:spacing w:after="80"/>
        <w:ind w:left="360"/>
      </w:pPr>
      <w:r>
        <w:rPr>
          <w:b w:val="0"/>
          <w:i w:val="0"/>
        </w:rPr>
        <w:t>359</w:t>
      </w:r>
    </w:p>
    <w:p>
      <w:pPr>
        <w:spacing w:after="80"/>
        <w:ind w:left="360"/>
      </w:pPr>
      <w:r>
        <w:rPr>
          <w:b w:val="0"/>
          <w:i w:val="0"/>
        </w:rPr>
        <w:t>360</w:t>
      </w:r>
    </w:p>
    <w:p>
      <w:pPr>
        <w:spacing w:after="80"/>
        <w:ind w:left="360"/>
      </w:pPr>
      <w:r>
        <w:rPr>
          <w:b w:val="0"/>
          <w:i w:val="0"/>
        </w:rPr>
        <w:t>361</w:t>
      </w:r>
    </w:p>
    <w:p>
      <w:pPr>
        <w:spacing w:after="80"/>
        <w:ind w:left="360"/>
      </w:pPr>
      <w:r>
        <w:rPr>
          <w:b w:val="0"/>
          <w:i w:val="0"/>
        </w:rPr>
        <w:t>362</w:t>
      </w:r>
    </w:p>
    <w:p>
      <w:pPr>
        <w:spacing w:after="80"/>
        <w:ind w:left="360"/>
      </w:pPr>
      <w:r>
        <w:rPr>
          <w:b w:val="0"/>
          <w:i w:val="0"/>
        </w:rPr>
        <w:t>363</w:t>
      </w:r>
    </w:p>
    <w:p>
      <w:pPr>
        <w:spacing w:after="80"/>
        <w:ind w:left="360"/>
      </w:pPr>
      <w:r>
        <w:rPr>
          <w:b w:val="0"/>
          <w:i w:val="0"/>
        </w:rPr>
        <w:t>364</w:t>
      </w:r>
    </w:p>
    <w:p>
      <w:pPr>
        <w:spacing w:after="80"/>
        <w:ind w:left="360"/>
      </w:pPr>
      <w:r>
        <w:rPr>
          <w:b w:val="0"/>
          <w:i w:val="0"/>
        </w:rPr>
        <w:t>365</w:t>
      </w:r>
    </w:p>
    <w:p>
      <w:pPr>
        <w:spacing w:after="80"/>
        <w:ind w:left="360"/>
      </w:pPr>
      <w:r>
        <w:rPr>
          <w:b w:val="0"/>
          <w:i w:val="0"/>
        </w:rPr>
        <w:t>366</w:t>
      </w:r>
    </w:p>
    <w:p>
      <w:pPr>
        <w:spacing w:after="80"/>
        <w:ind w:left="360"/>
      </w:pPr>
      <w:r>
        <w:rPr>
          <w:b w:val="0"/>
          <w:i w:val="0"/>
        </w:rPr>
        <w:t>367</w:t>
      </w:r>
    </w:p>
    <w:p>
      <w:pPr>
        <w:spacing w:after="80"/>
        <w:ind w:left="360"/>
      </w:pPr>
      <w:r>
        <w:rPr>
          <w:b w:val="0"/>
          <w:i w:val="0"/>
        </w:rPr>
        <w:t>368</w:t>
      </w:r>
    </w:p>
    <w:p>
      <w:pPr>
        <w:spacing w:after="80"/>
        <w:ind w:left="360"/>
      </w:pPr>
      <w:r>
        <w:rPr>
          <w:b w:val="0"/>
          <w:i w:val="0"/>
        </w:rPr>
        <w:t>369</w:t>
      </w:r>
    </w:p>
    <w:p>
      <w:pPr>
        <w:spacing w:after="80"/>
        <w:ind w:left="360"/>
      </w:pPr>
      <w:r>
        <w:rPr>
          <w:b w:val="0"/>
          <w:i w:val="0"/>
        </w:rPr>
        <w:t>370</w:t>
      </w:r>
    </w:p>
    <w:p>
      <w:pPr>
        <w:spacing w:after="80"/>
        <w:ind w:left="360"/>
      </w:pPr>
      <w:r>
        <w:rPr>
          <w:b w:val="0"/>
          <w:i w:val="0"/>
        </w:rPr>
        <w:t>371</w:t>
      </w:r>
    </w:p>
    <w:p>
      <w:pPr>
        <w:spacing w:after="80"/>
        <w:ind w:left="360"/>
      </w:pPr>
      <w:r>
        <w:rPr>
          <w:b w:val="0"/>
          <w:i w:val="0"/>
        </w:rPr>
        <w:t>372</w:t>
      </w:r>
    </w:p>
    <w:p>
      <w:pPr>
        <w:spacing w:after="80"/>
        <w:ind w:left="360"/>
      </w:pPr>
      <w:r>
        <w:rPr>
          <w:b w:val="0"/>
          <w:i w:val="0"/>
        </w:rPr>
        <w:t>373</w:t>
      </w:r>
    </w:p>
    <w:p>
      <w:pPr>
        <w:spacing w:after="80"/>
        <w:ind w:left="360"/>
      </w:pPr>
      <w:r>
        <w:rPr>
          <w:b w:val="0"/>
          <w:i w:val="0"/>
        </w:rPr>
        <w:t>374</w:t>
      </w:r>
    </w:p>
    <w:p>
      <w:pPr>
        <w:spacing w:after="80"/>
        <w:ind w:left="360"/>
      </w:pPr>
      <w:r>
        <w:rPr>
          <w:b w:val="0"/>
          <w:i w:val="0"/>
        </w:rPr>
        <w:t>375</w:t>
      </w:r>
    </w:p>
    <w:p>
      <w:pPr>
        <w:spacing w:after="80"/>
        <w:ind w:left="360"/>
      </w:pPr>
      <w:r>
        <w:rPr>
          <w:b w:val="0"/>
          <w:i w:val="0"/>
        </w:rPr>
        <w:t>376</w:t>
      </w:r>
    </w:p>
    <w:p>
      <w:pPr>
        <w:spacing w:after="80"/>
        <w:ind w:left="360"/>
      </w:pPr>
      <w:r>
        <w:rPr>
          <w:b w:val="0"/>
          <w:i w:val="0"/>
        </w:rPr>
        <w:t>377</w:t>
      </w:r>
    </w:p>
    <w:p>
      <w:pPr>
        <w:spacing w:after="80"/>
        <w:ind w:left="360"/>
      </w:pPr>
      <w:r>
        <w:rPr>
          <w:b w:val="0"/>
          <w:i w:val="0"/>
        </w:rPr>
        <w:t>378</w:t>
      </w:r>
    </w:p>
    <w:p>
      <w:pPr>
        <w:spacing w:after="80"/>
        <w:ind w:left="360"/>
      </w:pPr>
      <w:r>
        <w:rPr>
          <w:b w:val="0"/>
          <w:i w:val="0"/>
        </w:rPr>
        <w:t>379</w:t>
      </w:r>
    </w:p>
    <w:p>
      <w:pPr>
        <w:spacing w:after="80"/>
        <w:ind w:left="360"/>
      </w:pPr>
      <w:r>
        <w:rPr>
          <w:b w:val="0"/>
          <w:i w:val="0"/>
        </w:rPr>
        <w:t>380</w:t>
      </w:r>
    </w:p>
    <w:p>
      <w:pPr>
        <w:spacing w:after="80"/>
        <w:ind w:left="360"/>
      </w:pPr>
      <w:r>
        <w:rPr>
          <w:b w:val="0"/>
          <w:i w:val="0"/>
        </w:rPr>
        <w:t>381</w:t>
      </w:r>
    </w:p>
    <w:p>
      <w:pPr>
        <w:spacing w:after="80"/>
        <w:ind w:left="360"/>
      </w:pPr>
      <w:r>
        <w:rPr>
          <w:b w:val="0"/>
          <w:i w:val="0"/>
        </w:rPr>
        <w:t>382</w:t>
      </w:r>
    </w:p>
    <w:p>
      <w:pPr>
        <w:spacing w:after="80"/>
        <w:ind w:left="360"/>
      </w:pPr>
      <w:r>
        <w:rPr>
          <w:b w:val="0"/>
          <w:i w:val="0"/>
        </w:rPr>
        <w:t>383</w:t>
      </w:r>
    </w:p>
    <w:p>
      <w:pPr>
        <w:spacing w:after="80"/>
        <w:ind w:left="360"/>
      </w:pPr>
      <w:r>
        <w:rPr>
          <w:b w:val="0"/>
          <w:i w:val="0"/>
        </w:rPr>
        <w:t>385</w:t>
      </w:r>
    </w:p>
    <w:p>
      <w:pPr>
        <w:spacing w:after="80"/>
        <w:ind w:left="360"/>
      </w:pPr>
      <w:r>
        <w:rPr>
          <w:b w:val="0"/>
          <w:i w:val="0"/>
        </w:rPr>
        <w:t>386</w:t>
      </w:r>
    </w:p>
    <w:p>
      <w:pPr>
        <w:spacing w:after="80"/>
        <w:ind w:left="360"/>
      </w:pPr>
      <w:r>
        <w:rPr>
          <w:b w:val="0"/>
          <w:i w:val="0"/>
        </w:rPr>
        <w:t>387</w:t>
      </w:r>
    </w:p>
    <w:p>
      <w:pPr>
        <w:spacing w:after="80"/>
        <w:ind w:left="360"/>
      </w:pPr>
      <w:r>
        <w:rPr>
          <w:b w:val="0"/>
          <w:i w:val="0"/>
        </w:rPr>
        <w:t>388</w:t>
      </w:r>
    </w:p>
    <w:p>
      <w:pPr>
        <w:spacing w:after="80"/>
        <w:ind w:left="360"/>
      </w:pPr>
      <w:r>
        <w:rPr>
          <w:b w:val="0"/>
          <w:i w:val="0"/>
        </w:rPr>
        <w:t>389</w:t>
      </w:r>
    </w:p>
    <w:p>
      <w:pPr>
        <w:spacing w:after="80"/>
        <w:ind w:left="360"/>
      </w:pPr>
      <w:r>
        <w:rPr>
          <w:b w:val="0"/>
          <w:i w:val="0"/>
        </w:rPr>
        <w:t>390</w:t>
      </w:r>
    </w:p>
    <w:p>
      <w:pPr>
        <w:spacing w:after="80"/>
        <w:ind w:left="360"/>
      </w:pPr>
      <w:r>
        <w:rPr>
          <w:b w:val="0"/>
          <w:i w:val="0"/>
        </w:rPr>
        <w:t>391</w:t>
      </w:r>
    </w:p>
    <w:p>
      <w:pPr>
        <w:spacing w:after="80"/>
        <w:ind w:left="360"/>
      </w:pPr>
      <w:r>
        <w:rPr>
          <w:b w:val="0"/>
          <w:i w:val="0"/>
        </w:rPr>
        <w:t>392</w:t>
      </w:r>
    </w:p>
    <w:p>
      <w:pPr>
        <w:spacing w:after="80"/>
        <w:ind w:left="360"/>
      </w:pPr>
      <w:r>
        <w:rPr>
          <w:b w:val="0"/>
          <w:i w:val="0"/>
        </w:rPr>
        <w:t>393</w:t>
      </w:r>
    </w:p>
    <w:p>
      <w:pPr>
        <w:spacing w:after="80"/>
        <w:ind w:left="360"/>
      </w:pPr>
      <w:r>
        <w:rPr>
          <w:b w:val="0"/>
          <w:i w:val="0"/>
        </w:rPr>
        <w:t>394</w:t>
      </w:r>
    </w:p>
    <w:p>
      <w:pPr>
        <w:spacing w:after="80"/>
        <w:ind w:left="360"/>
      </w:pPr>
      <w:r>
        <w:rPr>
          <w:b w:val="0"/>
          <w:i w:val="0"/>
        </w:rPr>
        <w:t>395</w:t>
      </w:r>
    </w:p>
    <w:p>
      <w:pPr>
        <w:spacing w:after="80"/>
        <w:ind w:left="360"/>
      </w:pPr>
      <w:r>
        <w:rPr>
          <w:b w:val="0"/>
          <w:i w:val="0"/>
        </w:rPr>
        <w:t>396</w:t>
      </w:r>
    </w:p>
    <w:p>
      <w:pPr>
        <w:spacing w:after="80"/>
        <w:ind w:left="360"/>
      </w:pPr>
      <w:r>
        <w:rPr>
          <w:b w:val="0"/>
          <w:i w:val="0"/>
        </w:rPr>
        <w:t>397</w:t>
      </w:r>
    </w:p>
    <w:p>
      <w:pPr>
        <w:spacing w:after="80"/>
        <w:ind w:left="360"/>
      </w:pPr>
      <w:r>
        <w:rPr>
          <w:b w:val="0"/>
          <w:i w:val="0"/>
        </w:rPr>
        <w:t>398</w:t>
      </w:r>
    </w:p>
    <w:p>
      <w:pPr>
        <w:spacing w:after="80"/>
        <w:ind w:left="360"/>
      </w:pPr>
      <w:r>
        <w:rPr>
          <w:b w:val="0"/>
          <w:i w:val="0"/>
        </w:rPr>
        <w:t>399</w:t>
      </w:r>
    </w:p>
    <w:p>
      <w:pPr>
        <w:spacing w:after="80"/>
        <w:ind w:left="360"/>
      </w:pPr>
      <w:r>
        <w:rPr>
          <w:b w:val="0"/>
          <w:i w:val="0"/>
        </w:rPr>
        <w:t>400</w:t>
      </w:r>
    </w:p>
    <w:p>
      <w:pPr>
        <w:spacing w:after="80"/>
        <w:ind w:left="360"/>
      </w:pPr>
      <w:r>
        <w:rPr>
          <w:b w:val="0"/>
          <w:i w:val="0"/>
        </w:rPr>
        <w:t>401</w:t>
      </w:r>
    </w:p>
    <w:p>
      <w:pPr>
        <w:spacing w:after="80"/>
        <w:ind w:left="360"/>
      </w:pPr>
      <w:r>
        <w:rPr>
          <w:b w:val="0"/>
          <w:i w:val="0"/>
        </w:rPr>
        <w:t>402</w:t>
      </w:r>
    </w:p>
    <w:p>
      <w:pPr>
        <w:spacing w:after="80"/>
        <w:ind w:left="360"/>
      </w:pPr>
      <w:r>
        <w:rPr>
          <w:b w:val="0"/>
          <w:i w:val="0"/>
        </w:rPr>
        <w:t>403</w:t>
      </w:r>
    </w:p>
    <w:p>
      <w:pPr>
        <w:spacing w:after="80"/>
        <w:ind w:left="360"/>
      </w:pPr>
      <w:r>
        <w:rPr>
          <w:b w:val="0"/>
          <w:i w:val="0"/>
        </w:rPr>
        <w:t>404</w:t>
      </w:r>
    </w:p>
    <w:p>
      <w:pPr>
        <w:spacing w:after="80"/>
        <w:ind w:left="360"/>
      </w:pPr>
      <w:r>
        <w:rPr>
          <w:b w:val="0"/>
          <w:i w:val="0"/>
        </w:rPr>
        <w:t>405</w:t>
      </w:r>
    </w:p>
    <w:p>
      <w:pPr>
        <w:spacing w:after="80"/>
        <w:ind w:left="360"/>
      </w:pPr>
      <w:r>
        <w:rPr>
          <w:b w:val="0"/>
          <w:i w:val="0"/>
        </w:rPr>
        <w:t>406</w:t>
      </w:r>
    </w:p>
    <w:p>
      <w:pPr>
        <w:spacing w:after="80"/>
      </w:pPr>
      <w:r>
        <w:rPr>
          <w:b w:val="0"/>
          <w:i w:val="0"/>
        </w:rPr>
        <w:t>Được thành lập vào năm 1807, John Wiley &amp; Sons là công ty xuất bản độc lập lâu đời nhất tại Hoa Kỳ. Với các văn phòng ở Bắc Mỹ, Châu Âu, Châu Á và Châu Úc, Wiley cam kết trên toàn cầu trong việc phát triển và tiếp thị các sản phẩm và dịch vụ in ấn lẫn điện tử nhằm phục vụ kiến thức và sự hiểu biết chuyên môn cũng như cá nhân của khách hàng.</w:t>
      </w:r>
    </w:p>
    <w:p>
      <w:pPr>
        <w:spacing w:after="80"/>
      </w:pPr>
      <w:r>
        <w:rPr>
          <w:b w:val="0"/>
          <w:i w:val="0"/>
        </w:rPr>
        <w:t>Bộ sách Wiley Corporate F&amp;A cung cấp thông tin, công cụ và góc nhìn cho các chuyên gia doanh nghiệp, những người chịu trách nhiệm về các vấn đề ảnh hưởng đến lợi nhuận của công ty, từ kế toán và tài chính đến kiểm soát nội bộ và quản lý hiệu suất.</w:t>
      </w:r>
    </w:p>
    <w:p>
      <w:pPr>
        <w:pStyle w:val="Heading1"/>
      </w:pPr>
      <w:r>
        <w:rPr>
          <w:rFonts w:ascii="Calibri" w:hAnsi="Calibri"/>
          <w:b/>
          <w:i w:val="0"/>
          <w:sz w:val="40"/>
        </w:rPr>
        <w:t>Bộ công cụ Kiểm soát Nội bộ</w:t>
      </w:r>
    </w:p>
    <w:p>
      <w:pPr>
        <w:spacing w:after="80"/>
      </w:pPr>
      <w:r>
        <w:rPr>
          <w:b/>
          <w:i w:val="0"/>
        </w:rPr>
        <w:t>Christine H. Doxey</w:t>
      </w:r>
    </w:p>
    <w:p>
      <w:pPr>
        <w:jc w:val="center"/>
      </w:pPr>
      <w:r>
        <w:drawing>
          <wp:inline xmlns:a="http://schemas.openxmlformats.org/drawingml/2006/main" xmlns:pic="http://schemas.openxmlformats.org/drawingml/2006/picture">
            <wp:extent cx="1685925" cy="352424"/>
            <wp:docPr id="1" name="Picture 1"/>
            <wp:cNvGraphicFramePr>
              <a:graphicFrameLocks noChangeAspect="1"/>
            </wp:cNvGraphicFramePr>
            <a:graphic>
              <a:graphicData uri="http://schemas.openxmlformats.org/drawingml/2006/picture">
                <pic:pic>
                  <pic:nvPicPr>
                    <pic:cNvPr id="0" name="Image00002.jpg"/>
                    <pic:cNvPicPr/>
                  </pic:nvPicPr>
                  <pic:blipFill>
                    <a:blip r:embed="rId9"/>
                    <a:stretch>
                      <a:fillRect/>
                    </a:stretch>
                  </pic:blipFill>
                  <pic:spPr>
                    <a:xfrm>
                      <a:off x="0" y="0"/>
                      <a:ext cx="1685925" cy="352424"/>
                    </a:xfrm>
                    <a:prstGeom prst="rect"/>
                  </pic:spPr>
                </pic:pic>
              </a:graphicData>
            </a:graphic>
          </wp:inline>
        </w:drawing>
      </w:r>
    </w:p>
    <w:p>
      <w:pPr>
        <w:spacing w:after="80"/>
      </w:pPr>
      <w:r>
        <w:rPr>
          <w:b w:val="0"/>
          <w:i w:val="0"/>
        </w:rPr>
        <w:t>Bản quyền © 2019 thuộc John Wiley &amp; Sons, Inc. Mọi quyền được bảo lưu.</w:t>
      </w:r>
    </w:p>
    <w:p>
      <w:pPr>
        <w:spacing w:after="80"/>
      </w:pPr>
      <w:r>
        <w:rPr>
          <w:b w:val="0"/>
          <w:i w:val="0"/>
        </w:rPr>
        <w:t>Được xuất bản bởi John Wiley &amp; Sons, Inc., Hoboken, New Jersey.</w:t>
      </w:r>
      <w:r>
        <w:br/>
      </w:r>
      <w:r>
        <w:rPr>
          <w:b w:val="0"/>
          <w:i w:val="0"/>
        </w:rPr>
        <w:t xml:space="preserve"> Đồng thời phát hành tại Canada.</w:t>
      </w:r>
    </w:p>
    <w:p>
      <w:pPr>
        <w:spacing w:after="80"/>
      </w:pPr>
      <w:r>
        <w:rPr>
          <w:b w:val="0"/>
          <w:i w:val="0"/>
        </w:rPr>
        <w:t>Không phần nào của ấn phẩm này được phép sao chép, lưu trữ trong hệ thống truy xuất, hoặc truyền tải dưới bất kỳ hình thức nào hoặc bằng bất kỳ phương tiện nào, điện tử, cơ học, photocopy, ghi âm, quét, hoặc cách khác, ngoại trừ trường hợp được cho phép theo Mục 107 hoặc 108 của Đạo luật Bản quyền Hoa Kỳ năm 1976, mà không có sự cho phép trước bằng văn bản của Nhà xuất bản, hoặc được ủy quyền thông qua việc thanh toán khoản phí sao chép phù hợp cho Copyright Clearance Center, Inc., 222 Rosewood Drive, Danvers, MA 01923, (978) 750–8400, fax (978) 646–8600, hoặc trên Web tại www.copyright.com . Yêu cầu gửi đến Nhà xuất bản để xin phép nên được gửi đến Bộ phận Cấp phép, John Wiley &amp; Sons, Inc., 111 River Street, Hoboken, NJ 07030, (201) 748–6011, fax (201) 748–6008, hoặc trực tuyến tại www.wiley.com/go/permissions .</w:t>
      </w:r>
    </w:p>
    <w:p>
      <w:pPr>
        <w:spacing w:after="80"/>
      </w:pPr>
      <w:r>
        <w:rPr>
          <w:b w:val="0"/>
          <w:i w:val="0"/>
        </w:rPr>
        <w:t>Giới hạn Trách nhiệm/Tuyên bố Miễn trừ Bảo hành: Mặc dù nhà xuất bản và tác giả đã nỗ lực hết sức trong việc chuẩn bị cuốn sách này, họ không đưa ra bất kỳ tuyên bố hay bảo đảm nào liên quan đến tính chính xác hoặc đầy đủ của nội dung cuốn sách này và đặc biệt từ chối mọi bảo đảm ngụ ý về khả năng thương mại hoặc sự phù hợp cho một mục đích cụ thể. Không có bảo hành nào có thể được tạo ra hoặc mở rộng bởi đại diện bán hàng hoặc tài liệu bán hàng bằng văn bản. Những lời khuyên và chiến lược trong đây có thể không phù hợp với tình huống của bạn. Bạn nên tham khảo ý kiến chuyên gia khi thích hợp. Cả nhà xuất bản lẫn tác giả đều không chịu trách nhiệm cho bất kỳ tổn thất lợi nhuận nào hoặc bất kỳ thiệt hại thương mại nào khác, bao gồm nhưng không giới hạn ở thiệt hại đặc biệt, ngẫu nhiên, do hậu quả, hoặc thiệt hại khác.</w:t>
      </w:r>
    </w:p>
    <w:p>
      <w:pPr>
        <w:spacing w:after="80"/>
      </w:pPr>
      <w:r>
        <w:rPr>
          <w:b w:val="0"/>
          <w:i w:val="0"/>
        </w:rPr>
        <w:t>Để biết thông tin chung về các sản phẩm và dịch vụ khác của chúng tôi hoặc để được hỗ trợ kỹ thuật, vui lòng liên hệ Bộ phận Chăm sóc Khách hàng của chúng tôi trong lãnh thổ Hoa Kỳ theo số (800) 762–2974, ngoài Hoa Kỳ theo số (317) 572–3993, hoặc fax (317) 572–4002.</w:t>
      </w:r>
    </w:p>
    <w:p>
      <w:pPr>
        <w:spacing w:after="80"/>
      </w:pPr>
      <w:r>
        <w:rPr>
          <w:b w:val="0"/>
          <w:i w:val="0"/>
        </w:rPr>
        <w:t>Wiley xuất bản dưới nhiều định dạng in và điện tử khác nhau và theo hình thức in theo yêu cầu. Một số tài liệu đi kèm với các phiên bản in tiêu chuẩn của cuốn sách này có thể không được bao gồm trong sách điện tử hoặc bản in theo yêu cầu. Nếu cuốn sách này đề cập đến phương tiện như CD hoặc DVD không được bao gồm trong phiên bản bạn đã mua, bạn có thể tải tài liệu đó xuống tại http://booksupport.wiley.com . Để biết thêm thông tin về các sản phẩm của Wiley, hãy truy cập www.wiley.com .</w:t>
      </w:r>
    </w:p>
    <w:p>
      <w:pPr>
        <w:spacing w:after="80"/>
      </w:pPr>
      <w:r>
        <w:rPr>
          <w:b/>
          <w:i w:val="0"/>
        </w:rPr>
        <w:t xml:space="preserve"> </w:t>
      </w:r>
      <w:r>
        <w:rPr>
          <w:b/>
          <w:i/>
        </w:rPr>
        <w:t>Dữ liệu Biên mục Xuất bản của Thư viện Quốc hội</w:t>
      </w:r>
      <w:r>
        <w:rPr>
          <w:b/>
          <w:i w:val="0"/>
        </w:rPr>
        <w:t xml:space="preserve"> </w:t>
      </w:r>
    </w:p>
    <w:p>
      <w:pPr>
        <w:spacing w:after="80"/>
      </w:pPr>
      <w:r>
        <w:rPr>
          <w:b w:val="0"/>
          <w:i w:val="0"/>
        </w:rPr>
        <w:t>Tên: Doxey, Christine H., 1955- tác giả.</w:t>
      </w:r>
    </w:p>
    <w:p>
      <w:pPr>
        <w:spacing w:after="80"/>
      </w:pPr>
      <w:r>
        <w:rPr>
          <w:b w:val="0"/>
          <w:i w:val="0"/>
        </w:rPr>
        <w:t>Tiêu đề: Bộ công cụ Kiểm soát Nội bộ / Christine H. Doxey.</w:t>
      </w:r>
    </w:p>
    <w:p>
      <w:pPr>
        <w:spacing w:after="80"/>
      </w:pPr>
      <w:r>
        <w:rPr>
          <w:b w:val="0"/>
          <w:i w:val="0"/>
        </w:rPr>
        <w:t>Mô tả: Ấn bản Đầu tiên. | Wiley : Hoboken, New Jersey, [2019] | Bộ sách: Wiley corporate F&amp;A series | Bao gồm chỉ mục. |</w:t>
      </w:r>
    </w:p>
    <w:p>
      <w:pPr>
        <w:spacing w:after="80"/>
      </w:pPr>
      <w:r>
        <w:rPr>
          <w:b w:val="0"/>
          <w:i w:val="0"/>
        </w:rPr>
        <w:t>Mã định danh: LCCN 2019011646 (bản in) | LCCN 2019021944 (sách điện tử) | ISBN 9781119554400 (Adobe PDF) | ISBN 9781119554417 (ePub) | ISBN 9781119554394 (bìa cứng)</w:t>
      </w:r>
    </w:p>
    <w:p>
      <w:pPr>
        <w:spacing w:after="80"/>
      </w:pPr>
      <w:r>
        <w:rPr>
          <w:b w:val="0"/>
          <w:i w:val="0"/>
        </w:rPr>
        <w:t>Chủ đề: LCSH: Kế toán quản trị. | Kiểm toán nội bộ. | Quản trị doanh nghiệp.</w:t>
      </w:r>
    </w:p>
    <w:p>
      <w:pPr>
        <w:spacing w:after="80"/>
      </w:pPr>
      <w:r>
        <w:rPr>
          <w:b w:val="0"/>
          <w:i w:val="0"/>
        </w:rPr>
        <w:t>Phân loại: LCC HF5657.4 (sách điện tử) | LCC HF5657.4 .D69 2019 (bản in) | DDC 658.15/11—dc23</w:t>
      </w:r>
    </w:p>
    <w:p>
      <w:pPr>
        <w:spacing w:after="80"/>
      </w:pPr>
      <w:r>
        <w:rPr>
          <w:b w:val="0"/>
          <w:i w:val="0"/>
        </w:rPr>
        <w:t>Hồ sơ LC có sẵn tại https://lccn.loc.gov/2019011646</w:t>
      </w:r>
    </w:p>
    <w:p>
      <w:pPr>
        <w:spacing w:after="80"/>
      </w:pPr>
      <w:r>
        <w:rPr>
          <w:b w:val="0"/>
          <w:i w:val="0"/>
        </w:rPr>
        <w:t>Thiết kế bìa: Wiley</w:t>
      </w:r>
      <w:r>
        <w:br/>
      </w:r>
      <w:r>
        <w:rPr>
          <w:b w:val="0"/>
          <w:i w:val="0"/>
        </w:rPr>
        <w:t xml:space="preserve"> Hình ảnh bìa: © Liyao Xie/Getty Images</w:t>
      </w:r>
    </w:p>
    <w:p>
      <w:pPr>
        <w:pStyle w:val="Heading1"/>
      </w:pPr>
      <w:r>
        <w:rPr>
          <w:rFonts w:ascii="Calibri" w:hAnsi="Calibri"/>
          <w:b/>
          <w:i w:val="0"/>
          <w:sz w:val="40"/>
        </w:rPr>
        <w:t>Giới thiệu về Bộ công cụ Kiểm soát Nội bộ</w:t>
      </w:r>
    </w:p>
    <w:p>
      <w:pPr>
        <w:pStyle w:val="Heading2"/>
      </w:pPr>
      <w:r>
        <w:rPr>
          <w:rFonts w:ascii="Calibri" w:hAnsi="Calibri"/>
          <w:b/>
          <w:i w:val="0"/>
          <w:sz w:val="32"/>
        </w:rPr>
        <w:t>Giới thiệu</w:t>
      </w:r>
    </w:p>
    <w:p>
      <w:pPr>
        <w:spacing w:after="80"/>
      </w:pPr>
      <w:r>
        <w:rPr>
          <w:b w:val="0"/>
          <w:i w:val="0"/>
        </w:rPr>
        <w:t>Các công ty thuộc mọi quy mô đều phải đối mặt với nhiều loại rủi ro khác nhau. Trong số đó có rủi ro pháp lý, quy định, chiến lược, vận hành, tài chính và danh tiếng. Mỗi tổ chức chức năng đều chịu một hoặc nhiều loại rủi ro này, và mỗi loại đều có thể ảnh hưởng đến lợi nhuận cuối cùng của công ty. Các công ty sử dụng nhiều chính sách và công cụ, chẳng hạn như bảo hiểm, lập quỹ dự phòng, chính sách đầu tư và các tiêu chuẩn kiểm soát để quản lý rủi ro.</w:t>
      </w:r>
    </w:p>
    <w:p>
      <w:pPr>
        <w:spacing w:after="80"/>
      </w:pPr>
      <w:r>
        <w:rPr>
          <w:b w:val="0"/>
          <w:i w:val="0"/>
        </w:rPr>
        <w:t>Khái niệm kiểm soát nội bộ là một trong những dấu ấn của quản trị hiệu quả và hoạt động kinh doanh tốt. Nếu không có một hệ thống kiểm soát nội bộ vững mạnh, các tổ chức không thể đảm bảo rằng lợi ích của các bên liên quan trong công ty được bảo vệ. Kiểm soát nội bộ vững mạnh hỗ trợ các mục tiêu và định hướng của tổ chức, đồng thời giúp bảo vệ chống lại các rủi ro như tổn thất tài chính, lãng phí trong vận hành, thiếu trách nhiệm với môi trường, gian lận doanh nghiệp và thậm chí là tổn hại danh tiếng không thể khắc phục. Kiểm soát nội bộ đối với báo cáo tài chính vẫn tiếp tục là một lĩnh vực quan trọng hàng đầu trong quản trị của một tổ chức.</w:t>
      </w:r>
    </w:p>
    <w:p>
      <w:pPr>
        <w:spacing w:after="80"/>
      </w:pPr>
      <w:r>
        <w:rPr>
          <w:b w:val="0"/>
          <w:i w:val="0"/>
        </w:rPr>
        <w:t>Bộ công cụ này cung cấp một loạt các tiêu chuẩn kiểm soát nội bộ và những rủi ro mà chúng giúp giảm thiểu cho toàn bộ hoạt động của doanh nghiệp. Các rủi ro gian lận trong môi trường doanh nghiệp ngày nay là rất lớn, như được thể hiện qua các số liệu thống kê trong các phần sau. Các tiêu chuẩn này sẽ đặt nền tảng cho việc kiểm soát tốt và giúp giảm thiểu rủi ro gian lận. Theo Báo cáo gửi các Quốc gia năm 2018 do Hiệp hội Các Chuyên gia Điều tra Gian lận (ACFE) lập, các biện pháp kiểm soát chống gian lận có hiệu quả. ACFE đã phân tích 18 biện pháp kiểm soát chống gian lận và mỗi biện pháp đều tương quan với việc giảm tổn thất do gian lận và phát hiện gian lận nhanh hơn.</w:t>
      </w:r>
    </w:p>
    <w:p>
      <w:pPr>
        <w:pStyle w:val="Heading3"/>
      </w:pPr>
      <w:r>
        <w:rPr>
          <w:rFonts w:ascii="Calibri" w:hAnsi="Calibri"/>
          <w:b/>
          <w:i w:val="0"/>
          <w:sz w:val="26"/>
        </w:rPr>
        <w:t>Kiểm soát Nội bộ và Phòng chống Gian lận</w:t>
      </w:r>
    </w:p>
    <w:p>
      <w:pPr>
        <w:spacing w:after="80"/>
      </w:pPr>
      <w:r>
        <w:rPr>
          <w:b w:val="0"/>
          <w:i w:val="0"/>
        </w:rPr>
        <w:t>Khảo sát Toàn cầu về Tội phạm Kinh tế và Gian lận năm 2018 của PwC cho biết rằng:</w:t>
      </w:r>
    </w:p>
    <w:p>
      <w:pPr>
        <w:spacing w:after="80"/>
        <w:ind w:left="360"/>
      </w:pPr>
      <w:r>
        <w:t xml:space="preserve">• </w:t>
      </w:r>
      <w:r>
        <w:rPr>
          <w:b w:val="0"/>
          <w:i w:val="0"/>
        </w:rPr>
        <w:t>49% tổ chức trên toàn cầu cho biết họ từng là nạn nhân của gian lận và tội phạm kinh tế—tăng từ 36%.</w:t>
      </w:r>
    </w:p>
    <w:p>
      <w:pPr>
        <w:spacing w:after="80"/>
        <w:ind w:left="360"/>
      </w:pPr>
      <w:r>
        <w:t xml:space="preserve">• </w:t>
      </w:r>
      <w:r>
        <w:rPr>
          <w:b w:val="0"/>
          <w:i w:val="0"/>
        </w:rPr>
        <w:t>64% người được hỏi cho biết tổn thất trực tiếp do vụ gian lận gây gián đoạn nhất của họ có thể lên tới 1 triệu đô la Mỹ.</w:t>
      </w:r>
    </w:p>
    <w:p>
      <w:pPr>
        <w:spacing w:after="80"/>
        <w:ind w:left="360"/>
      </w:pPr>
      <w:r>
        <w:t xml:space="preserve">• </w:t>
      </w:r>
      <w:r>
        <w:rPr>
          <w:b w:val="0"/>
          <w:i w:val="0"/>
        </w:rPr>
        <w:t>52% tất cả các vụ gian lận được thực hiện bởi người bên trong tổ chức.</w:t>
      </w:r>
    </w:p>
    <w:p>
      <w:pPr>
        <w:spacing w:after="80"/>
        <w:ind w:left="360"/>
      </w:pPr>
      <w:r>
        <w:t xml:space="preserve">• </w:t>
      </w:r>
      <w:r>
        <w:rPr>
          <w:b w:val="0"/>
          <w:i w:val="0"/>
        </w:rPr>
        <w:t>31% người được hỏi từng bị gian lận cho biết họ đã trải qua tội phạm mạng.</w:t>
      </w:r>
    </w:p>
    <w:p>
      <w:pPr>
        <w:pStyle w:val="Heading3"/>
      </w:pPr>
      <w:r>
        <w:rPr>
          <w:rFonts w:ascii="Calibri" w:hAnsi="Calibri"/>
          <w:b/>
          <w:i w:val="0"/>
          <w:sz w:val="26"/>
        </w:rPr>
        <w:t>Kiểm soát Nội bộ và Phòng chống Gian lận: Số liệu Thống kê Bổ sung</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Số liệu Thống kê về Gian lận trong Thanh toán và Quy trình Kinh doanh</w:t>
            </w:r>
          </w:p>
        </w:tc>
      </w:tr>
      <w:tr>
        <w:tc>
          <w:tcPr>
            <w:tcW w:type="dxa" w:w="2340"/>
          </w:tcPr>
          <w:p>
            <w:r/>
            <w:r>
              <w:rPr>
                <w:b/>
                <w:i w:val="0"/>
                <w:sz w:val="19"/>
              </w:rPr>
              <w:t>Tổ chức</w:t>
            </w:r>
          </w:p>
        </w:tc>
        <w:tc>
          <w:tcPr>
            <w:tcW w:type="dxa" w:w="2340"/>
          </w:tcPr>
          <w:p>
            <w:r/>
            <w:r>
              <w:rPr>
                <w:b/>
                <w:i w:val="0"/>
                <w:sz w:val="19"/>
              </w:rPr>
              <w:t>Báo cáo</w:t>
            </w:r>
          </w:p>
        </w:tc>
        <w:tc>
          <w:tcPr>
            <w:tcW w:type="dxa" w:w="2340"/>
          </w:tcPr>
          <w:p>
            <w:r/>
            <w:r>
              <w:rPr>
                <w:b/>
                <w:i w:val="0"/>
                <w:sz w:val="19"/>
              </w:rPr>
              <w:t>Phát hiện Chính</w:t>
            </w:r>
          </w:p>
        </w:tc>
        <w:tc>
          <w:tcPr>
            <w:tcW w:type="dxa" w:w="2340"/>
          </w:tcPr>
          <w:p>
            <w:r/>
            <w:r>
              <w:rPr>
                <w:b/>
                <w:i w:val="0"/>
                <w:sz w:val="19"/>
              </w:rPr>
              <w:t>Nguồn Thông tin</w:t>
            </w:r>
          </w:p>
        </w:tc>
      </w:tr>
      <w:tr>
        <w:tc>
          <w:tcPr>
            <w:tcW w:type="dxa" w:w="2340"/>
          </w:tcPr>
          <w:p>
            <w:r/>
            <w:r>
              <w:rPr>
                <w:b w:val="0"/>
                <w:i w:val="0"/>
                <w:sz w:val="19"/>
              </w:rPr>
              <w:t>Hiệp hội Các Chuyên gia Điều tra Gian lận (ACFE)</w:t>
            </w:r>
          </w:p>
        </w:tc>
        <w:tc>
          <w:tcPr>
            <w:tcW w:type="dxa" w:w="2340"/>
          </w:tcPr>
          <w:p>
            <w:r/>
            <w:r>
              <w:rPr>
                <w:b w:val="0"/>
                <w:i w:val="0"/>
                <w:sz w:val="19"/>
              </w:rPr>
              <w:t>Báo cáo năm 2018 gửi các Quốc gia</w:t>
            </w:r>
          </w:p>
        </w:tc>
        <w:tc>
          <w:tcPr>
            <w:tcW w:type="dxa" w:w="2340"/>
          </w:tcPr>
          <w:p>
            <w:r/>
            <w:r>
              <w:rPr>
                <w:b w:val="0"/>
                <w:i w:val="0"/>
                <w:sz w:val="19"/>
              </w:rPr>
              <w:t>Gian lận nghề nghiệp gây tốn kém cực kỳ lớn. Hai mươi hai phần trăm các vụ gian lận nghề nghiệp gây thiệt hại ít nhất 1 triệu đô la. Các thủ đoạn gian lận có thể rất khó phát hiện. Một vụ gian lận nghề nghiệp điển hình kéo dài 16 tháng trước khi bị phát hiện. Các nguồn tin báo (tip) là cách hiệu quả nhất để phát hiện gian lận. Bốn mươi phần trăm các vụ việc được phát hiện nhờ một nguồn tin báo—nhiều hơn hẳn so với bất kỳ phương pháp nào khác. Các biện pháp kiểm soát chống gian lận có hiệu quả. Mười tám biện pháp kiểm soát chống gian lận đã được phân tích, và mỗi biện pháp đều tương quan với việc giảm thiệt hại do gian lận và phát hiện gian lận nhanh hơn. Những kẻ thực hiện ở cấp cao gây thiệt hại nhiều nhất. Thiệt hại trung vị trong các vụ gian lận do chủ sở hữu/giám đốc điều hành thực hiện là 850.000 đô la. Trong số những người không phải chủ sở hữu/giám đốc điều hành, thiệt hại trung vị là 100.000 đô la. Các vụ chuyển giao gian lận cho cơ quan hình sự đang giảm. Trong 10 năm qua, tỷ lệ các vụ gian lận nghề nghiệp được chuyển cho cơ quan thực thi pháp luật đã giảm 16 phần trăm.</w:t>
            </w:r>
          </w:p>
        </w:tc>
        <w:tc>
          <w:tcPr>
            <w:tcW w:type="dxa" w:w="2340"/>
          </w:tcPr>
          <w:p>
            <w:r/>
            <w:r>
              <w:rPr>
                <w:b w:val="0"/>
                <w:i w:val="0"/>
                <w:sz w:val="19"/>
              </w:rPr>
              <w:t>https://www.acfe.com/article.aspx?id=4295001895</w:t>
            </w:r>
          </w:p>
        </w:tc>
      </w:tr>
      <w:tr>
        <w:tc>
          <w:tcPr>
            <w:tcW w:type="dxa" w:w="2340"/>
          </w:tcPr>
          <w:p>
            <w:r/>
            <w:r>
              <w:rPr>
                <w:b w:val="0"/>
                <w:i w:val="0"/>
                <w:sz w:val="19"/>
              </w:rPr>
              <w:t>Hiệp hội Các Chuyên gia Tài chính (AFP)</w:t>
            </w:r>
          </w:p>
        </w:tc>
        <w:tc>
          <w:tcPr>
            <w:tcW w:type="dxa" w:w="2340"/>
          </w:tcPr>
          <w:p>
            <w:r/>
            <w:r>
              <w:rPr>
                <w:b w:val="0"/>
                <w:i w:val="0"/>
                <w:sz w:val="19"/>
              </w:rPr>
              <w:t>Báo cáo Khảo sát Gian lận và Kiểm soát Thanh toán năm 2018 của AFP</w:t>
            </w:r>
          </w:p>
        </w:tc>
        <w:tc>
          <w:tcPr>
            <w:tcW w:type="dxa" w:w="2340"/>
          </w:tcPr>
          <w:p>
            <w:r/>
            <w:r>
              <w:rPr>
                <w:b w:val="0"/>
                <w:i w:val="0"/>
                <w:sz w:val="19"/>
              </w:rPr>
              <w:t>Bảy mươi bảy phần trăm các tổ chức đã từng gặp tình trạng xâm phạm email doanh nghiệp (BEC). Năm mươi bốn phần trăm các vụ lừa đảo BEC nhắm vào chuyển khoản điện tử, tiếp theo là séc với 34%. Bảy mươi bảy phần trăm các tổ chức đã triển khai các biện pháp kiểm soát để ngăn chặn các vụ lừa đảo BEC. Bảy mươi bốn phần trăm các tổ chức đã từng gặp gian lận séc, giảm nhẹ so với năm 2016. Hai mươi tám phần trăm bị gian lận ghi nợ ACH và 13% bị gian lận ghi có ACH. Sáu mươi bảy phần trăm các vụ gian lận thanh toán được phát hiện bởi nhân viên ngân quỹ của tổ chức.</w:t>
            </w:r>
          </w:p>
        </w:tc>
        <w:tc>
          <w:tcPr>
            <w:tcW w:type="dxa" w:w="2340"/>
          </w:tcPr>
          <w:p>
            <w:r/>
            <w:r>
              <w:rPr>
                <w:b w:val="0"/>
                <w:i w:val="0"/>
                <w:sz w:val="19"/>
              </w:rPr>
              <w:t>https://commercial.jpmorganchase.com/pages/commercial-banking/services/2018-AFP-Survey</w:t>
            </w:r>
          </w:p>
        </w:tc>
      </w:tr>
      <w:tr>
        <w:tc>
          <w:tcPr>
            <w:tcW w:type="dxa" w:w="2340"/>
          </w:tcPr>
          <w:p>
            <w:r/>
            <w:r>
              <w:rPr>
                <w:b w:val="0"/>
                <w:i w:val="0"/>
                <w:sz w:val="19"/>
              </w:rPr>
              <w:t>Kroll</w:t>
            </w:r>
          </w:p>
        </w:tc>
        <w:tc>
          <w:tcPr>
            <w:tcW w:type="dxa" w:w="2340"/>
          </w:tcPr>
          <w:p>
            <w:r/>
            <w:r>
              <w:rPr>
                <w:b w:val="0"/>
                <w:i w:val="0"/>
                <w:sz w:val="19"/>
              </w:rPr>
              <w:t>Báo cáo Gian lận &amp; Rủi ro Toàn cầu Ấn bản Thường niên lần thứ 10 năm 2017–2018</w:t>
            </w:r>
          </w:p>
        </w:tc>
        <w:tc>
          <w:tcPr>
            <w:tcW w:type="dxa" w:w="2340"/>
          </w:tcPr>
          <w:p>
            <w:r/>
            <w:r>
              <w:rPr>
                <w:b w:val="0"/>
                <w:i w:val="0"/>
                <w:sz w:val="19"/>
              </w:rPr>
              <w:t>84% các công ty được khảo sát trên toàn thế giới đã từng gặp một sự cố gian lận trong năm 2017. 86% báo cáo ít nhất một sự cố mạng, và 70% báo cáo các sự cố an ninh. Thông tin mật đang ngày càng bị đe dọa nhiều hơn. Các giám đốc điều hành đang cảm thấy mức độ dễ bị tổn thương cao hơn trước các rủi ro gian lận, mạng và an ninh. Đánh cắp, mất mát hoặc tấn công thông tin (29%), tấn công virus/sâu máy tính (36%), đánh cắp hoặc mất mát vật lý tài sản trí tuệ (41%). Đánh cắp tài sản vật chất hoặc hàng tồn kho (27%), tấn công lừa đảo qua email (33%), rủi ro môi trường (bao gồm thiệt hại do thiên tai như bão, lốc xoáy, lũ lụt, động đất, v.v.) (28%). Xung đột lợi ích trong ban quản lý (26%), vi phạm dữ liệu dẫn đến mất dữ liệu khách hàng hoặc nhân viên, tài sản trí tuệ/bí mật thương mại/R&amp;D (27%), bạo lực nơi làm việc (23%).</w:t>
            </w:r>
          </w:p>
        </w:tc>
        <w:tc>
          <w:tcPr>
            <w:tcW w:type="dxa" w:w="2340"/>
          </w:tcPr>
          <w:p>
            <w:r/>
            <w:r>
              <w:rPr>
                <w:b w:val="0"/>
                <w:i w:val="0"/>
                <w:sz w:val="19"/>
              </w:rPr>
              <w:t>https://www.kroll.com/en-us/global-fraud-and-risk-report-2018</w:t>
            </w:r>
          </w:p>
        </w:tc>
      </w:tr>
      <w:tr>
        <w:tc>
          <w:tcPr>
            <w:tcW w:type="dxa" w:w="2340"/>
          </w:tcPr>
          <w:p>
            <w:r/>
            <w:r>
              <w:rPr>
                <w:b w:val="0"/>
                <w:i w:val="0"/>
                <w:sz w:val="19"/>
              </w:rPr>
              <w:t>Experion</w:t>
            </w:r>
          </w:p>
        </w:tc>
        <w:tc>
          <w:tcPr>
            <w:tcW w:type="dxa" w:w="2340"/>
          </w:tcPr>
          <w:p>
            <w:r/>
            <w:r>
              <w:rPr>
                <w:b w:val="0"/>
                <w:i w:val="0"/>
                <w:sz w:val="19"/>
              </w:rPr>
              <w:t>Báo cáo Gian lận và Danh tính Toàn cầu năm 2018</w:t>
            </w:r>
          </w:p>
        </w:tc>
        <w:tc>
          <w:tcPr>
            <w:tcW w:type="dxa" w:w="2340"/>
          </w:tcPr>
          <w:p>
            <w:r/>
            <w:r>
              <w:rPr>
                <w:b w:val="0"/>
                <w:i w:val="0"/>
                <w:sz w:val="19"/>
              </w:rPr>
              <w:t>Với việc hầu hết người tiêu dùng sở hữu điện thoại thông minh và thiết bị di động (91%), tiếp theo sát nút là máy tính xách tay (83%), thị trường kỹ thuật số đã hiện diện ngay lúc này. Công nghệ đang hỗ trợ khối lượng lớn các tương tác trực tuyến giữa doanh nghiệp và người tiêu dùng. Nhưng "đồng tiền" thực sự của thương mại kỹ thuật số chính là niềm tin. Khi nói đến tương tác trực tuyến, ba phần tư (75%) doanh nghiệp quan tâm đến các biện pháp bảo mật và quy trình xác thực tiên tiến hơn mà ít hoặc không ảnh hưởng đến khách hàng. Đồng thời, doanh nghiệp hiểu rằng khách hàng của họ cảm thấy yên tâm với các biện pháp bảo mật mà họ đã có sẵn cho các giao dịch kỹ thuật số. Ngược lại, gần ba phần tư doanh nghiệp (72%) cho biết gian lận là mối lo ngại ngày càng tăng trong 12 tháng qua và gần hai phần ba (63%) báo cáo mức thiệt hại do gian lận tương đương hoặc cao hơn trong cùng giai đoạn đó.</w:t>
            </w:r>
          </w:p>
        </w:tc>
        <w:tc>
          <w:tcPr>
            <w:tcW w:type="dxa" w:w="2340"/>
          </w:tcPr>
          <w:p>
            <w:r/>
            <w:r>
              <w:rPr>
                <w:b w:val="0"/>
                <w:i w:val="0"/>
                <w:sz w:val="19"/>
              </w:rPr>
              <w:t>https://www.experian.com/assets/decision-analytics/reports/global-fraud-report-2018.pdf</w:t>
            </w:r>
          </w:p>
        </w:tc>
      </w:tr>
    </w:tbl>
    <w:p>
      <w:pPr>
        <w:spacing w:after="0"/>
      </w:pPr>
    </w:p>
    <w:p>
      <w:pPr>
        <w:pStyle w:val="Heading3"/>
      </w:pPr>
      <w:r>
        <w:rPr>
          <w:rFonts w:ascii="Calibri" w:hAnsi="Calibri"/>
          <w:b/>
          <w:i w:val="0"/>
          <w:sz w:val="26"/>
        </w:rPr>
        <w:t>Ai sẽ hưởng lợi từ Bộ công cụ này</w:t>
      </w:r>
    </w:p>
    <w:p>
      <w:pPr>
        <w:spacing w:after="80"/>
      </w:pPr>
      <w:r>
        <w:rPr>
          <w:b w:val="0"/>
          <w:i w:val="0"/>
        </w:rPr>
        <w:t>Đối tượng độc giả mà bộ công cụ này hướng đến bao gồm những cá nhân có trách nhiệm thuộc các chức năng được trình bày ở phần sau. Trong các công ty, những vai trò đó có thể bao gồm giám đốc điều hành (CEO), giám đốc tài chính (CFO), giám đốc nhân sự, kiểm soát viên, quản lý kiểm soát nội bộ, quản lý kiểm toán nội bộ, thủ quỹ, và bất kỳ ai trong chuỗi chỉ huy phụ trách mua sắm, AP, xử lý thanh toán, bảng lương, bán hàng, AR, thu hồi nợ, ngân quỹ, vận hành công ty, an ninh và IT.</w:t>
      </w:r>
    </w:p>
    <w:p>
      <w:pPr>
        <w:spacing w:after="80"/>
      </w:pPr>
      <w:r>
        <w:rPr>
          <w:b w:val="0"/>
          <w:i w:val="0"/>
        </w:rPr>
        <w:t>Bộ công cụ này định nghĩa các tiêu chuẩn kiểm soát nội bộ cho mọi khía cạnh của một doanh nghiệp sản xuất đồng thời cung cấp dịch vụ khách hàng và dịch vụ chuyên nghiệp. Ngoài phạm vi bao quát rộng, bộ công cụ này còn đề cập đến chiều sâu của các quy trình trong từng danh mục, và cung cấp một lượng thông tin phong phú về các chức năng cùng những kiểm soát sẵn có để quản lý rủi ro gắn với từng quy trình. Nhờ đó, đây là tài liệu tham khảo tuyệt vời cho nhiều vai trò trong các chức năng doanh nghiệp đa dạng này tại các công ty với đủ mọi quy mô. Nó có thể đóng vai trò công cụ đào tạo cho nhân viên doanh nghiệp muốn tìm hiểu thêm về các tiêu chuẩn kiểm soát nội bộ và quy trình quản lý rủi ro.</w:t>
      </w:r>
    </w:p>
    <w:p>
      <w:pPr>
        <w:spacing w:after="80"/>
      </w:pPr>
      <w:r>
        <w:rPr>
          <w:b w:val="0"/>
          <w:i w:val="0"/>
        </w:rPr>
        <w:t>Bộ công cụ này cũng cung cấp các hướng dẫn, thực hành tốt nhất và những công cụ khác để hỗ trợ các công ty trong nỗ lực quản lý rủi ro trên toàn doanh nghiệp thông qua các tiêu chuẩn kiểm soát nội bộ.</w:t>
      </w:r>
    </w:p>
    <w:p>
      <w:pPr>
        <w:pStyle w:val="Heading3"/>
      </w:pPr>
      <w:r>
        <w:rPr>
          <w:rFonts w:ascii="Calibri" w:hAnsi="Calibri"/>
          <w:b/>
          <w:i w:val="0"/>
          <w:sz w:val="26"/>
        </w:rPr>
        <w:t>Giới thiệu về các Tiêu chuẩn Kiểm soát Nội bộ</w:t>
      </w:r>
    </w:p>
    <w:p>
      <w:pPr>
        <w:pStyle w:val="Heading4"/>
      </w:pPr>
      <w:r>
        <w:rPr>
          <w:rFonts w:ascii="Calibri" w:hAnsi="Calibri"/>
          <w:b/>
          <w:i/>
          <w:sz w:val="23"/>
        </w:rPr>
        <w:t>Các tiêu chuẩn này được xây dựng như thế nào?</w:t>
      </w:r>
    </w:p>
    <w:p>
      <w:pPr>
        <w:spacing w:after="80"/>
      </w:pPr>
      <w:r>
        <w:rPr>
          <w:b w:val="0"/>
          <w:i w:val="0"/>
        </w:rPr>
        <w:t>Các tiêu chuẩn này là sản phẩm của hơn 30 năm kinh nghiệm trong lĩnh vực tài chính, kế toán và kiểm soát nội bộ. Các tiêu chuẩn là một khối công trình tận dụng kinh nghiệm tại các công ty công nghệ, viễn thông và sản xuất lớn. Chúng được xây dựng trong quá trình triển khai các chương trình kiểm soát nội bộ cho khoảng 100 quy trình và quy trình con kinh doanh, bao gồm mọi khía cạnh của hoạt động tài chính, quy trình khóa sổ tài chính, logistics và mua sắm.</w:t>
      </w:r>
    </w:p>
    <w:p>
      <w:pPr>
        <w:pStyle w:val="Heading4"/>
      </w:pPr>
      <w:r>
        <w:rPr>
          <w:rFonts w:ascii="Calibri" w:hAnsi="Calibri"/>
          <w:b/>
          <w:i/>
          <w:sz w:val="23"/>
        </w:rPr>
        <w:t>Các tiêu chuẩn này được sử dụng như thế nào?</w:t>
      </w:r>
    </w:p>
    <w:p>
      <w:pPr>
        <w:spacing w:after="80"/>
      </w:pPr>
      <w:r>
        <w:rPr>
          <w:b w:val="0"/>
          <w:i w:val="0"/>
        </w:rPr>
        <w:t>Vì các tiêu chuẩn được tổng hợp từ những thực hành tốt nhất về kiểm soát nội bộ dùng để giảm thiểu rủi ro, chúng có thể được dùng để đặt nền tảng cho các yêu cầu của Mục 404 Luật Sarbanes Oxley (SOX). Đây là sự kết hợp hoàn hảo, bởi các tiêu chuẩn tuân theo khuôn khổ và triết lý kiểm soát nội bộ COSO và dễ dàng tùy chỉnh để đáp ứng nhu cầu của một tổ chức. Khi khái niệm này được khởi xướng tại các công ty công nghệ lớn, các tiêu chuẩn được dùng như một phần của quy trình xem xét bảng cân đối kế toán hàng quý nhằm xác thực tính hiệu quả của các chương trình kiểm soát nội bộ, đảm bảo rủi ro được giảm thiểu, và xác định rằng các hoạt động khắc phục đã hoàn tất. Các tiêu chuẩn kiểm soát nội bộ có thể được tận dụng để nâng cao một chương trình kiểm soát hiện có hoặc để xác thực công việc SOX 404 hiện tại của bạn.</w:t>
      </w:r>
    </w:p>
    <w:p>
      <w:pPr>
        <w:pStyle w:val="Heading4"/>
      </w:pPr>
      <w:r>
        <w:rPr>
          <w:rFonts w:ascii="Calibri" w:hAnsi="Calibri"/>
          <w:b/>
          <w:i/>
          <w:sz w:val="23"/>
        </w:rPr>
        <w:t>Tiền đề cơ bản của các tiêu chuẩn là gì?</w:t>
      </w:r>
    </w:p>
    <w:p>
      <w:pPr>
        <w:spacing w:after="80"/>
      </w:pPr>
      <w:r>
        <w:rPr>
          <w:b w:val="0"/>
          <w:i w:val="0"/>
        </w:rPr>
        <w:t>Tiền đề cơ bản của các tiêu chuẩn là những kiểm soát doanh nghiệp trọng yếu nên là nền tảng cho mọi chương trình kiểm soát nội bộ, bất kể quy mô hay ngành nghề của công ty. Ba kiểm soát trọng yếu là: (1) Phân tách nhiệm vụ, (2) Phân cấp thẩm quyền, và (3) Quyền truy cập hệ thống. Các tiêu chuẩn nhấn mạnh rằng những kiểm soát trọng yếu này cần được gắn kết vào mọi quy trình và quy trình con kinh doanh để giảm thiểu rủi ro một cách đúng đắn.</w:t>
      </w:r>
    </w:p>
    <w:p>
      <w:pPr>
        <w:pStyle w:val="Heading4"/>
      </w:pPr>
      <w:r>
        <w:rPr>
          <w:rFonts w:ascii="Calibri" w:hAnsi="Calibri"/>
          <w:b/>
          <w:i/>
          <w:sz w:val="23"/>
        </w:rPr>
        <w:t>Khi nào thì tiêu chuẩn cần được cập nhật?</w:t>
      </w:r>
    </w:p>
    <w:p>
      <w:pPr>
        <w:spacing w:after="80"/>
      </w:pPr>
      <w:r>
        <w:rPr>
          <w:b w:val="0"/>
          <w:i w:val="0"/>
        </w:rPr>
        <w:t>Các tiêu chuẩn được cập nhật khi có thay đổi đáng kể đối với quy trình kinh doanh hoặc môi trường hệ thống. Ví dụ, các tiêu chuẩn được cập nhật khi một quy trình kinh doanh được tự động hóa, hoặc một hệ thống ERP mới được triển khai, nâng cấp hay hợp nhất.</w:t>
      </w:r>
    </w:p>
    <w:p>
      <w:pPr>
        <w:spacing w:after="80"/>
      </w:pPr>
      <w:r>
        <w:rPr>
          <w:b w:val="0"/>
          <w:i w:val="0"/>
        </w:rPr>
        <w:t>Các tiêu chuẩn cần được sửa đổi ngay lập tức nếu xảy ra gian lận. Gian lận cho thấy rủi ro chưa được đánh giá đúng mức hoặc một kiểm soát trọng yếu chưa được triển khai thỏa đáng. Cuối cùng, các tiêu chuẩn cần được xem xét lại nếu chi phí của kiểm soát không tương xứng với lợi ích tổng thể cho tổ chức.</w:t>
      </w:r>
    </w:p>
    <w:p>
      <w:pPr>
        <w:pStyle w:val="Heading4"/>
      </w:pPr>
      <w:r>
        <w:rPr>
          <w:rFonts w:ascii="Calibri" w:hAnsi="Calibri"/>
          <w:b/>
          <w:i/>
          <w:sz w:val="23"/>
        </w:rPr>
        <w:t>Thực hành tốt nhất để triển khai và sử dụng các tiêu chuẩn là gì?</w:t>
      </w:r>
    </w:p>
    <w:p>
      <w:pPr>
        <w:spacing w:after="80"/>
      </w:pPr>
      <w:r>
        <w:rPr>
          <w:b w:val="0"/>
          <w:i w:val="0"/>
        </w:rPr>
        <w:t>Như đã nêu, các tiêu chuẩn kiểm soát nội bộ có thể dễ dàng được tùy chỉnh để phù hợp với bất kỳ công ty nào và có thể được liên kết với các chính sách doanh nghiệp của một thực thể như gợi ý trong sơ đồ bên dưới. Các tiêu chuẩn cũng có thể được tích hợp với các chính sách chức năng, quy trình, hướng dẫn công việc và hệ thống kiểm soát, dựa trên nền tảng vững chắc về đạo đức kinh doanh để tạo sự hỗ trợ cho toàn bộ chương trình.</w:t>
      </w:r>
    </w:p>
    <w:p>
      <w:pPr>
        <w:spacing w:after="80"/>
      </w:pPr>
      <w:r>
        <w:rPr>
          <w:b w:val="0"/>
          <w:i w:val="0"/>
        </w:rPr>
        <w:t xml:space="preserve">Quy trình đánh giá theo quý rất được khuyến khích, bao gồm một loạt các hoạt động tự đánh giá, xác nhận và theo dõi các hạng mục hành động để đảm bảo rằng các vấn đề còn tồn đọng được khắc phục kịp thời. Một ví dụ là chương trình đánh giá bảng cân đối kế toán theo quý đã đề cập trước đó. Đợt đánh giá này bao gồm việc xem xét các tiêu chuẩn áp dụng cho quy trình kinh doanh, xem xét các hạng mục khắc phục và kế hoạch đang chờ xử lý, và rà soát các đối chiếu tài khoản. Cách tiếp cận này không chỉ hỗ trợ các yêu cầu cho chương trình SOX mà còn định hình cụ thể quy trình </w:t>
      </w:r>
      <w:r>
        <w:rPr>
          <w:b w:val="0"/>
          <w:i/>
        </w:rPr>
        <w:t>giám sát kiểm soát liên tục</w:t>
      </w:r>
      <w:r>
        <w:rPr>
          <w:b w:val="0"/>
          <w:i w:val="0"/>
        </w:rPr>
        <w:t xml:space="preserve"> (continuous control monitoring - CCM).</w:t>
      </w:r>
    </w:p>
    <w:p>
      <w:pPr>
        <w:spacing w:after="80"/>
      </w:pPr>
      <w:r>
        <w:rPr>
          <w:b/>
          <w:i w:val="0"/>
        </w:rPr>
        <w:t>Điểm chính:</w:t>
      </w:r>
      <w:r>
        <w:rPr>
          <w:b w:val="0"/>
          <w:i w:val="0"/>
        </w:rPr>
        <w:t xml:space="preserve"> Các tiêu chuẩn định nghĩa một loạt kiểm soát nội bộ nhằm giải quyết các rủi ro liên quan đến các quy trình kinh doanh chính, quy trình phụ và quy trình cấp đơn vị. Ví dụ sau đây xem xét tiêu chuẩn cho quy trình phụ xử lý hóa đơn trong bộ phận tài khoản phải trả.</w:t>
      </w:r>
    </w:p>
    <w:p>
      <w:pPr>
        <w:pStyle w:val="Heading2"/>
      </w:pPr>
      <w:r>
        <w:rPr>
          <w:rFonts w:ascii="Calibri" w:hAnsi="Calibri"/>
          <w:b/>
          <w:i w:val="0"/>
          <w:sz w:val="32"/>
        </w:rPr>
        <w:t>Các tiêu chuẩn chung về kiểm soát nội bộ</w:t>
      </w:r>
    </w:p>
    <w:p>
      <w:pPr>
        <w:spacing w:after="80"/>
      </w:pPr>
      <w:r>
        <w:rPr>
          <w:b w:val="0"/>
          <w:i w:val="0"/>
        </w:rPr>
        <w:t>Các tiêu chuẩn chung về kiểm soát nội bộ sau đây áp dụng cho tất cả các quy trình kinh doanh. Cần lưu ý rằng bất kỳ yêu cầu chung nào trong số này đều có thể bị thay thế bởi một kiểm soát chặt chẽ hơn hoặc cụ thể hơn trong một quy trình kinh doanh riêng lẻ.</w:t>
      </w:r>
    </w:p>
    <w:tbl>
      <w:tblPr>
        <w:tblStyle w:val="TableGrid"/>
        <w:tblW w:type="auto" w:w="0"/>
        <w:tblLook w:firstColumn="1" w:firstRow="1" w:lastColumn="0" w:lastRow="0" w:noHBand="0" w:noVBand="1" w:val="04A0"/>
      </w:tblPr>
      <w:tblGrid>
        <w:gridCol w:w="4680"/>
        <w:gridCol w:w="4680"/>
      </w:tblGrid>
      <w:tr>
        <w:tc>
          <w:tcPr>
            <w:tcW w:type="dxa" w:w="9360"/>
            <w:gridSpan w:val="2"/>
          </w:tcPr>
          <w:p>
            <w:r/>
            <w:r>
              <w:rPr>
                <w:b/>
                <w:i w:val="0"/>
                <w:sz w:val="19"/>
              </w:rPr>
              <w:t>Các tiêu chuẩn chung về kiểm soát nội bộ</w:t>
            </w:r>
          </w:p>
        </w:tc>
      </w:tr>
      <w:tr>
        <w:tc>
          <w:tcPr>
            <w:tcW w:type="dxa" w:w="4680"/>
          </w:tcPr>
          <w:p>
            <w:r/>
            <w:r>
              <w:rPr>
                <w:b w:val="0"/>
                <w:i w:val="0"/>
                <w:sz w:val="19"/>
              </w:rPr>
              <w:t>1.1</w:t>
            </w:r>
          </w:p>
        </w:tc>
        <w:tc>
          <w:tcPr>
            <w:tcW w:type="dxa" w:w="4680"/>
          </w:tcPr>
          <w:p>
            <w:r/>
            <w:r>
              <w:rPr>
                <w:b w:val="0"/>
                <w:i w:val="0"/>
                <w:sz w:val="19"/>
              </w:rPr>
              <w:t>Các nhà quản lý chịu trách nhiệm tích hợp kiểm soát nội bộ hiệu quả vào tất cả hoạt động của công ty. Trách nhiệm này bao gồm việc nhận diện, đánh giá và quản lý các rủi ro ảnh hưởng đến việc đạt được các mục tiêu kinh doanh của họ. Các hoạt động kiểm soát nội bộ thu được phải được giám sát để xác minh rằng chúng hiệu quả và hoạt động đúng như dự định.</w:t>
            </w:r>
          </w:p>
        </w:tc>
      </w:tr>
      <w:tr>
        <w:tc>
          <w:tcPr>
            <w:tcW w:type="dxa" w:w="4680"/>
          </w:tcPr>
          <w:p>
            <w:r/>
            <w:r>
              <w:rPr>
                <w:b w:val="0"/>
                <w:i w:val="0"/>
                <w:sz w:val="19"/>
              </w:rPr>
              <w:t>1.2</w:t>
            </w:r>
          </w:p>
        </w:tc>
        <w:tc>
          <w:tcPr>
            <w:tcW w:type="dxa" w:w="4680"/>
          </w:tcPr>
          <w:p>
            <w:r/>
            <w:r>
              <w:rPr>
                <w:b w:val="0"/>
                <w:i w:val="0"/>
                <w:sz w:val="19"/>
              </w:rPr>
              <w:t>Tất cả nhân viên phải tuân thủ quy tắc ứng xử của công ty.</w:t>
            </w:r>
          </w:p>
        </w:tc>
      </w:tr>
      <w:tr>
        <w:tc>
          <w:tcPr>
            <w:tcW w:type="dxa" w:w="4680"/>
          </w:tcPr>
          <w:p>
            <w:r/>
            <w:r>
              <w:rPr>
                <w:b w:val="0"/>
                <w:i w:val="0"/>
                <w:sz w:val="19"/>
              </w:rPr>
              <w:t>1.3</w:t>
            </w:r>
          </w:p>
        </w:tc>
        <w:tc>
          <w:tcPr>
            <w:tcW w:type="dxa" w:w="4680"/>
          </w:tcPr>
          <w:p>
            <w:r/>
            <w:r>
              <w:rPr>
                <w:b w:val="0"/>
                <w:i w:val="0"/>
                <w:sz w:val="19"/>
              </w:rPr>
              <w:t>Các tuyên bố về chính sách của công ty phải được tất cả các đơn vị vận hành tuân thủ. Các chính sách và thủ tục được thiết lập trong các đơn vị vận hành tối thiểu phải đáp ứng và không được xung đột với các yêu cầu kiểm soát được quy định bởi chính sách của công ty. Các chính sách và thủ tục phải được xem xét và cập nhật định kỳ.</w:t>
            </w:r>
          </w:p>
        </w:tc>
      </w:tr>
      <w:tr>
        <w:tc>
          <w:tcPr>
            <w:tcW w:type="dxa" w:w="4680"/>
          </w:tcPr>
          <w:p>
            <w:r/>
            <w:r>
              <w:rPr>
                <w:b w:val="0"/>
                <w:i w:val="0"/>
                <w:sz w:val="19"/>
              </w:rPr>
              <w:t>1.4</w:t>
            </w:r>
          </w:p>
        </w:tc>
        <w:tc>
          <w:tcPr>
            <w:tcW w:type="dxa" w:w="4680"/>
          </w:tcPr>
          <w:p>
            <w:r/>
            <w:r>
              <w:rPr>
                <w:b w:val="0"/>
                <w:i w:val="0"/>
                <w:sz w:val="19"/>
              </w:rPr>
              <w:t>Báo cáo tài chính của công ty phải được lập phù hợp với các nguyên tắc kế toán. Ngoài ra, không được ghi bất kỳ bút toán sai lệch hoặc cố ý gây hiểu nhầm nào vào sổ sách kế toán của công ty.</w:t>
            </w:r>
          </w:p>
        </w:tc>
      </w:tr>
      <w:tr>
        <w:tc>
          <w:tcPr>
            <w:tcW w:type="dxa" w:w="4680"/>
          </w:tcPr>
          <w:p>
            <w:r/>
            <w:r>
              <w:rPr>
                <w:b w:val="0"/>
                <w:i w:val="0"/>
                <w:sz w:val="19"/>
              </w:rPr>
              <w:t>1.5</w:t>
            </w:r>
          </w:p>
        </w:tc>
        <w:tc>
          <w:tcPr>
            <w:tcW w:type="dxa" w:w="4680"/>
          </w:tcPr>
          <w:p>
            <w:r/>
            <w:r>
              <w:rPr>
                <w:b w:val="0"/>
                <w:i w:val="0"/>
                <w:sz w:val="19"/>
              </w:rPr>
              <w:t>Việc phân tách đầy đủ nhiệm vụ và trách nhiệm kiểm soát phải được thiết lập và duy trì trong tất cả các lĩnh vực chức năng của công ty như một trong ba kiểm soát trọng yếu của doanh nghiệp. Nói chung, trách nhiệm trông coi, xử lý/vận hành và kế toán nên được tách biệt để thúc đẩy việc xem xét và đánh giá độc lập các hoạt động của công ty. Khi không thể đạt được sự phân tách đầy đủ, phải thiết lập và ghi nhận các kiểm soát bù đắp khác.</w:t>
            </w:r>
          </w:p>
        </w:tc>
      </w:tr>
      <w:tr>
        <w:tc>
          <w:tcPr>
            <w:tcW w:type="dxa" w:w="4680"/>
          </w:tcPr>
          <w:p>
            <w:r/>
            <w:r>
              <w:rPr>
                <w:b w:val="0"/>
                <w:i w:val="0"/>
                <w:sz w:val="19"/>
              </w:rPr>
              <w:t>1.6</w:t>
            </w:r>
          </w:p>
        </w:tc>
        <w:tc>
          <w:tcPr>
            <w:tcW w:type="dxa" w:w="4680"/>
          </w:tcPr>
          <w:p>
            <w:r/>
            <w:r>
              <w:rPr>
                <w:b w:val="0"/>
                <w:i w:val="0"/>
                <w:sz w:val="19"/>
              </w:rPr>
              <w:t>Mọi tuyên bố được đưa ra trong thư đại diện hàng năm đều phải được hỗ trợ và phải tồn tại tài liệu phù hợp, đồng thời được lưu giữ theo quy trình kiểm soát viên, đại diện tài chính và đảm bảo kiểm soát cũng như các tuyên bố về chính sách công ty.</w:t>
            </w:r>
          </w:p>
        </w:tc>
      </w:tr>
      <w:tr>
        <w:tc>
          <w:tcPr>
            <w:tcW w:type="dxa" w:w="4680"/>
          </w:tcPr>
          <w:p>
            <w:r/>
            <w:r>
              <w:rPr>
                <w:b w:val="0"/>
                <w:i w:val="0"/>
                <w:sz w:val="19"/>
              </w:rPr>
              <w:t>1.7</w:t>
            </w:r>
          </w:p>
        </w:tc>
        <w:tc>
          <w:tcPr>
            <w:tcW w:type="dxa" w:w="4680"/>
          </w:tcPr>
          <w:p>
            <w:r/>
            <w:r>
              <w:rPr>
                <w:b w:val="0"/>
                <w:i w:val="0"/>
                <w:sz w:val="19"/>
              </w:rPr>
              <w:t>Chi phí và phí tổn của tất cả các đơn vị hoạt động phải được duy trì trong tầm kiểm soát ngân sách. Việc so sánh chi phí thực tế với các khoản ngân sách phải được thực hiện thường xuyên, và mọi chênh lệch đáng kể đều phải được giải thích.</w:t>
            </w:r>
          </w:p>
        </w:tc>
      </w:tr>
      <w:tr>
        <w:tc>
          <w:tcPr>
            <w:tcW w:type="dxa" w:w="4680"/>
          </w:tcPr>
          <w:p>
            <w:r/>
            <w:r>
              <w:rPr>
                <w:b w:val="0"/>
                <w:i w:val="0"/>
                <w:sz w:val="19"/>
              </w:rPr>
              <w:t>1.8</w:t>
            </w:r>
          </w:p>
        </w:tc>
        <w:tc>
          <w:tcPr>
            <w:tcW w:type="dxa" w:w="4680"/>
          </w:tcPr>
          <w:p>
            <w:r/>
            <w:r>
              <w:rPr>
                <w:b w:val="0"/>
                <w:i w:val="0"/>
                <w:sz w:val="19"/>
              </w:rPr>
              <w:t>Tất cả các đơn vị hoạt động phải xây dựng một hệ thống kiểm soát nội bộ để đảm bảo rằng tài sản và hồ sơ của công ty được bảo vệ đầy đủ khỏi mất mát, phá hủy, trộm cắp, thay đổi hoặc truy cập trái phép.</w:t>
            </w:r>
          </w:p>
        </w:tc>
      </w:tr>
      <w:tr>
        <w:tc>
          <w:tcPr>
            <w:tcW w:type="dxa" w:w="4680"/>
          </w:tcPr>
          <w:p>
            <w:r/>
            <w:r>
              <w:rPr>
                <w:b w:val="0"/>
                <w:i w:val="0"/>
                <w:sz w:val="19"/>
              </w:rPr>
              <w:t>1.9</w:t>
            </w:r>
          </w:p>
        </w:tc>
        <w:tc>
          <w:tcPr>
            <w:tcW w:type="dxa" w:w="4680"/>
          </w:tcPr>
          <w:p>
            <w:r/>
            <w:r>
              <w:rPr>
                <w:b w:val="0"/>
                <w:i w:val="0"/>
                <w:sz w:val="19"/>
              </w:rPr>
              <w:t>Các giao dịch quan trọng trong quy trình kinh doanh của công ty phải có thể truy vết, được ủy quyền, được xác thực, có tính toàn vẹn và được lưu giữ theo đúng chính sách của công ty.</w:t>
            </w:r>
          </w:p>
        </w:tc>
      </w:tr>
      <w:tr>
        <w:tc>
          <w:tcPr>
            <w:tcW w:type="dxa" w:w="4680"/>
          </w:tcPr>
          <w:p>
            <w:r/>
            <w:r>
              <w:rPr>
                <w:b w:val="0"/>
                <w:i w:val="0"/>
                <w:sz w:val="19"/>
              </w:rPr>
              <w:t>1.10</w:t>
            </w:r>
          </w:p>
        </w:tc>
        <w:tc>
          <w:tcPr>
            <w:tcW w:type="dxa" w:w="4680"/>
          </w:tcPr>
          <w:p>
            <w:r/>
            <w:r>
              <w:rPr>
                <w:b w:val="0"/>
                <w:i w:val="0"/>
                <w:sz w:val="19"/>
              </w:rPr>
              <w:t>Hồ sơ kinh doanh của công ty phải được duy trì và lưu giữ theo đúng chính sách của công ty.</w:t>
            </w:r>
          </w:p>
        </w:tc>
      </w:tr>
      <w:tr>
        <w:tc>
          <w:tcPr>
            <w:tcW w:type="dxa" w:w="4680"/>
          </w:tcPr>
          <w:p>
            <w:r/>
            <w:r>
              <w:rPr>
                <w:b w:val="0"/>
                <w:i w:val="0"/>
                <w:sz w:val="19"/>
              </w:rPr>
              <w:t>1.11</w:t>
            </w:r>
          </w:p>
        </w:tc>
        <w:tc>
          <w:tcPr>
            <w:tcW w:type="dxa" w:w="4680"/>
          </w:tcPr>
          <w:p>
            <w:r/>
            <w:r>
              <w:rPr>
                <w:b w:val="0"/>
                <w:i w:val="0"/>
                <w:sz w:val="19"/>
              </w:rPr>
              <w:t>Chính sách của công ty về thông tin độc quyền, bảo mật hoặc bí mật thương mại phải được tuân thủ. Do đó, nhân viên và nhà thầu phải tránh tiết lộ trái phép thông tin nhạy cảm hoặc bảo mật. Đồng thời phải duy trì biện pháp bảo mật đầy đủ khi tiêu hủy thông tin này.</w:t>
            </w:r>
          </w:p>
        </w:tc>
      </w:tr>
      <w:tr>
        <w:tc>
          <w:tcPr>
            <w:tcW w:type="dxa" w:w="4680"/>
          </w:tcPr>
          <w:p>
            <w:r/>
            <w:r>
              <w:rPr>
                <w:b w:val="0"/>
                <w:i w:val="0"/>
                <w:sz w:val="19"/>
              </w:rPr>
              <w:t>1.12</w:t>
              <w:br/>
              <w:br/>
              <w:t>Tất cả các hệ thống máy tính và/hoặc ứng dụng phần mềm có ảnh hưởng đến hoạt động của một quy trình kinh doanh đều phải được xác minh tính đầy đủ của các kiểm soát nội bộ thông qua quy trình chấp nhận của người dùng trước khi triển khai.</w:t>
            </w:r>
          </w:p>
        </w:tc>
        <w:tc>
          <w:tcPr>
            <w:tcW w:type="dxa" w:w="4680"/>
          </w:tcPr>
          <w:p>
            <w:r/>
            <w:r>
              <w:rPr>
                <w:b w:val="0"/>
                <w:i w:val="0"/>
                <w:sz w:val="19"/>
              </w:rPr>
              <w:t>1.13</w:t>
            </w:r>
          </w:p>
        </w:tc>
      </w:tr>
      <w:tr>
        <w:tc>
          <w:tcPr>
            <w:tcW w:type="dxa" w:w="4680"/>
          </w:tcPr>
          <w:p>
            <w:r/>
            <w:r>
              <w:rPr>
                <w:b w:val="0"/>
                <w:i w:val="0"/>
                <w:sz w:val="19"/>
              </w:rPr>
              <w:t>Các hợp đồng ràng buộc về mặt pháp lý đối với công ty hoặc công ty con đối với bất kỳ nghĩa vụ nào chỉ có thể được ký kết bởi nhân viên thu mua (đối với các thỏa thuận liên quan đến lĩnh vực trách nhiệm của họ) hoặc những cá nhân được ủy quyền hợp lệ theo chính sách phân cấp thẩm quyền của công ty. Bộ phận pháp lý phải xem xét và phê duyệt tất cả các hợp đồng và các điều khoản "quyền kiểm toán" nên được đưa vào hợp đồng.</w:t>
            </w:r>
          </w:p>
        </w:tc>
        <w:tc>
          <w:tcPr>
            <w:tcW w:type="dxa" w:w="4680"/>
          </w:tcPr>
          <w:p>
            <w:r/>
            <w:r>
              <w:rPr>
                <w:b w:val="0"/>
                <w:i w:val="0"/>
                <w:sz w:val="19"/>
              </w:rPr>
              <w:t>1.14</w:t>
            </w:r>
          </w:p>
        </w:tc>
      </w:tr>
      <w:tr>
        <w:tc>
          <w:tcPr>
            <w:tcW w:type="dxa" w:w="4680"/>
          </w:tcPr>
          <w:p>
            <w:r/>
          </w:p>
        </w:tc>
        <w:tc>
          <w:tcPr>
            <w:tcW w:type="dxa" w:w="4680"/>
          </w:tcPr>
          <w:p>
            <w:r/>
            <w:r>
              <w:rPr>
                <w:b w:val="0"/>
                <w:i w:val="0"/>
                <w:sz w:val="19"/>
              </w:rPr>
              <w:t>Các tiêu chuẩn kiểm soát nội bộ của công ty áp dụng cho tất cả các bên thứ ba đang nắm giữ tài sản của công ty. Ví dụ về các bên thứ ba như vậy bao gồm đối tác thuê ngoài, nhà thầu phụ, hoặc kho hàng công cộng. Các đơn vị vận hành được yêu cầu thực hiện các hành động phù hợp để đảm bảo tuân thủ.</w:t>
            </w:r>
          </w:p>
        </w:tc>
      </w:tr>
      <w:tr>
        <w:tc>
          <w:tcPr>
            <w:tcW w:type="dxa" w:w="4680"/>
          </w:tcPr>
          <w:p>
            <w:r/>
            <w:r>
              <w:rPr>
                <w:b w:val="0"/>
                <w:i w:val="0"/>
                <w:sz w:val="19"/>
              </w:rPr>
              <w:t>1.15</w:t>
            </w:r>
          </w:p>
        </w:tc>
        <w:tc>
          <w:tcPr>
            <w:tcW w:type="dxa" w:w="4680"/>
          </w:tcPr>
          <w:p>
            <w:r/>
            <w:r>
              <w:rPr>
                <w:b w:val="0"/>
                <w:i w:val="0"/>
                <w:sz w:val="19"/>
              </w:rPr>
              <w:t>Tất cả các đơn vị vận hành phải xây dựng, duy trì và thực thi các chính sách và quy trình bằng văn bản bao gồm kiểm soát nội bộ, các quy trình, vai trò và trách nhiệm.</w:t>
            </w:r>
          </w:p>
        </w:tc>
      </w:tr>
    </w:tbl>
    <w:p>
      <w:pPr>
        <w:spacing w:after="0"/>
      </w:pPr>
    </w:p>
    <w:p>
      <w:pPr>
        <w:pStyle w:val="Heading2"/>
      </w:pPr>
      <w:r>
        <w:rPr>
          <w:rFonts w:ascii="Calibri" w:hAnsi="Calibri"/>
          <w:b/>
          <w:i w:val="0"/>
          <w:sz w:val="32"/>
        </w:rPr>
        <w:t>Bộ công cụ này được tổ chức như thế nào</w:t>
      </w:r>
    </w:p>
    <w:p>
      <w:pPr>
        <w:spacing w:after="80"/>
      </w:pPr>
      <w:r>
        <w:rPr>
          <w:b w:val="0"/>
          <w:i w:val="0"/>
        </w:rPr>
        <w:t>Bộ công cụ này được tổ chức theo 16 quy trình và quy trình phụ kinh doanh. Mỗi phần quy trình kinh doanh bao gồm phần Giới thiệu, Tổng quan quy trình, Các chỉ số, và Tuyên bố về việc Áp dụng Kiểm soát Nội bộ.</w:t>
      </w:r>
    </w:p>
    <w:p>
      <w:pPr>
        <w:spacing w:after="80"/>
      </w:pPr>
      <w:r>
        <w:rPr>
          <w:b w:val="0"/>
          <w:i w:val="0"/>
        </w:rPr>
        <w:t>Các chỉ số được đưa vào bộ công cụ này cung cấp các khuyến nghị và định nghĩa cho việc đo lường, các chỉ báo, và phân tích cho mỗi quy trình trong 16 quy trình kinh doanh được bao gồm. Các chỉ số có thể được sử dụng để phân tích một quy trình và xác định xem có sự biến động trong kết quả có thể chỉ ra rủi ro gian lận hoặc bất thường hay không.</w:t>
      </w:r>
    </w:p>
    <w:p>
      <w:pPr>
        <w:spacing w:after="80"/>
      </w:pPr>
      <w:r>
        <w:rPr>
          <w:b w:val="0"/>
          <w:i w:val="0"/>
        </w:rPr>
        <w:t>Một số phần quy trình kinh doanh bao gồm các định nghĩa chính sẽ giúp hiểu rõ chi tiết của quy trình kinh doanh và các tiêu chuẩn kiểm soát nội bộ cần thiết. Mỗi quy trình phụ có phần giới thiệu và định nghĩa các tiêu chuẩn kiểm soát nội bộ áp dụng cũng như xác định rủi ro nếu tiêu chuẩn không được thực hiện. Một bảng thuật ngữ và phụ lục cũng được cung cấp như các tài liệu tham khảo bổ sung.</w:t>
      </w:r>
    </w:p>
    <w:p>
      <w:pPr>
        <w:spacing w:after="80"/>
      </w:pPr>
      <w:r>
        <w:rPr>
          <w:b w:val="0"/>
          <w:i w:val="0"/>
        </w:rPr>
        <w:t>Bảng dưới đây mô tả cấu trúc tổ chức của tài liệu được cung cấp trong "Bộ công cụ Kiểm soát Nội bộ."</w:t>
      </w:r>
    </w:p>
    <w:p>
      <w:pPr>
        <w:jc w:val="center"/>
      </w:pPr>
      <w:r>
        <w:drawing>
          <wp:inline xmlns:a="http://schemas.openxmlformats.org/drawingml/2006/main" xmlns:pic="http://schemas.openxmlformats.org/drawingml/2006/picture">
            <wp:extent cx="5486400" cy="3548785"/>
            <wp:docPr id="2" name="Picture 2"/>
            <wp:cNvGraphicFramePr>
              <a:graphicFrameLocks noChangeAspect="1"/>
            </wp:cNvGraphicFramePr>
            <a:graphic>
              <a:graphicData uri="http://schemas.openxmlformats.org/drawingml/2006/picture">
                <pic:pic>
                  <pic:nvPicPr>
                    <pic:cNvPr id="0" name="Image00003.jpg"/>
                    <pic:cNvPicPr/>
                  </pic:nvPicPr>
                  <pic:blipFill>
                    <a:blip r:embed="rId10"/>
                    <a:stretch>
                      <a:fillRect/>
                    </a:stretch>
                  </pic:blipFill>
                  <pic:spPr>
                    <a:xfrm>
                      <a:off x="0" y="0"/>
                      <a:ext cx="5486400" cy="3548785"/>
                    </a:xfrm>
                    <a:prstGeom prst="rect"/>
                  </pic:spPr>
                </pic:pic>
              </a:graphicData>
            </a:graphic>
          </wp:inline>
        </w:drawing>
      </w:r>
    </w:p>
    <w:p>
      <w:pPr>
        <w:spacing w:after="160"/>
        <w:jc w:val="center"/>
      </w:pPr>
      <w:r>
        <w:rPr>
          <w:rFonts w:ascii="Calibri" w:hAnsi="Calibri"/>
          <w:b/>
          <w:i/>
          <w:sz w:val="19"/>
        </w:rPr>
        <w:t>Cấu trúc của "Bộ công cụ Kiểm soát Nội bộ"</w:t>
      </w:r>
    </w:p>
    <w:p>
      <w:pPr>
        <w:pStyle w:val="Heading1"/>
      </w:pPr>
      <w:r>
        <w:rPr>
          <w:rFonts w:ascii="Calibri" w:hAnsi="Calibri"/>
          <w:b/>
          <w:i w:val="0"/>
          <w:sz w:val="40"/>
        </w:rPr>
        <w:t xml:space="preserve">CHƯƠNG 1 </w:t>
      </w:r>
      <w:r>
        <w:br/>
      </w:r>
      <w:r>
        <w:rPr>
          <w:rFonts w:ascii="Calibri" w:hAnsi="Calibri"/>
          <w:b/>
          <w:i w:val="0"/>
          <w:sz w:val="40"/>
        </w:rPr>
        <w:t xml:space="preserve"> Bối cảnh về Kiểm soát Nội bộ</w:t>
      </w:r>
    </w:p>
    <w:p>
      <w:pPr>
        <w:pStyle w:val="Heading2"/>
      </w:pPr>
      <w:r>
        <w:rPr>
          <w:rFonts w:ascii="Calibri" w:hAnsi="Calibri"/>
          <w:b/>
          <w:i w:val="0"/>
          <w:sz w:val="32"/>
        </w:rPr>
        <w:t>CÁC MỤC TIÊU VÀ THÁCH THỨC CỦA KIỂM SOÁT NỘI BỘ</w:t>
      </w:r>
    </w:p>
    <w:p>
      <w:pPr>
        <w:spacing w:after="80"/>
      </w:pPr>
      <w:r>
        <w:rPr>
          <w:b w:val="0"/>
          <w:i w:val="0"/>
        </w:rPr>
        <w:t>Sự thành công của một chương trình kiểm soát nội bộ phụ thuộc vào cam kết liên tục của ban quản lý như một yêu cầu vận hành được đo lường với đơn vị vận hành phải chịu trách nhiệm. Dù cấu trúc kiểm soát nội bộ quan trọng đối với một tổ chức đến đâu, một hệ thống hiệu quả không phải là sự đảm bảo rằng tổ chức sẽ thành công. Một cấu trúc kiểm soát nội bộ hiệu quả sẽ giữ cho những người phù hợp được thông tin về tiến độ (hoặc thiếu tiến độ) của tổ chức trong việc đạt được các mục tiêu, nhưng nó không thể biến một nhà quản lý kém thành một nhà quản lý giỏi.</w:t>
      </w:r>
    </w:p>
    <w:p>
      <w:pPr>
        <w:spacing w:after="80"/>
      </w:pPr>
      <w:r>
        <w:rPr>
          <w:b w:val="0"/>
          <w:i w:val="0"/>
        </w:rPr>
        <w:t>Ngay cả kiểm soát nội bộ hiệu quả cũng chỉ có thể giúp một thực thể đạt được các mục tiêu này. Nó có thể cung cấp thông tin quản lý về tiến độ của thực thể hướng tới việc đạt được các mục tiêu kinh doanh. Tuy nhiên, kiểm soát nội bộ không thể biến một nhà quản lý vốn dĩ kém thành một nhà quản lý giỏi. Ngoài ra, những thay đổi trong chính sách hoặc chương trình của chính phủ, hành động của đối thủ cạnh tranh, hoặc điều kiện kinh tế có thể nằm ngoài tầm kiểm soát của ban quản lý. Kiểm soát nội bộ không thể đảm bảo thành công, hoặc thậm chí là sự tồn tại.</w:t>
      </w:r>
    </w:p>
    <w:p>
      <w:pPr>
        <w:spacing w:after="80"/>
      </w:pPr>
      <w:r>
        <w:rPr>
          <w:b w:val="0"/>
          <w:i w:val="0"/>
        </w:rPr>
        <w:t>Kiểm soát nội bộ không phải là sự đảm bảo tuyệt đối cho ban quản lý và hội đồng quản trị về việc tổ chức đạt được các mục tiêu của mình. Nó chỉ có thể cung cấp sự đảm bảo hợp lý do những hạn chế vốn có trong tất cả các hệ thống kiểm soát nội bộ.</w:t>
      </w:r>
    </w:p>
    <w:p>
      <w:pPr>
        <w:spacing w:after="80"/>
      </w:pPr>
      <w:r>
        <w:rPr>
          <w:b w:val="0"/>
          <w:i w:val="0"/>
        </w:rPr>
        <w:t>Ví dụ, sự cố trong cấu trúc kiểm soát nội bộ có thể xảy ra do một lỗi hoặc sai sót đơn giản, cũng như những phán đoán sai lầm có thể được đưa ra ở bất kỳ cấp quản lý nào. Ngoài ra, các kiểm soát có thể bị lách qua bằng cách thông đồng hoặc bằng việc ban quản lý ghi đè và một khoản thanh toán gian lận.</w:t>
      </w:r>
    </w:p>
    <w:p>
      <w:pPr>
        <w:spacing w:after="80"/>
      </w:pPr>
      <w:r>
        <w:rPr>
          <w:b w:val="0"/>
          <w:i w:val="0"/>
        </w:rPr>
        <w:t>Cuối cùng, việc thiết kế hệ thống kiểm soát nội bộ là một hàm của các nguồn lực sẵn có, nghĩa là phải có một phân tích chi phí-lợi ích trong việc thiết kế hệ thống. Chi phí của các kiểm soát thanh toán không bao giờ được vượt quá lợi ích của hệ thống nội bộ. Và giá trị của một hệ thống kiểm soát nội bộ tốt phải luôn giảm thiểu và giúp giảm thiểu rủi ro một cách thỏa đáng cho quy trình thanh toán của công ty.</w:t>
      </w:r>
    </w:p>
    <w:p>
      <w:pPr>
        <w:pStyle w:val="Heading3"/>
      </w:pPr>
      <w:r>
        <w:rPr>
          <w:rFonts w:ascii="Calibri" w:hAnsi="Calibri"/>
          <w:b/>
          <w:i w:val="0"/>
          <w:sz w:val="26"/>
        </w:rPr>
        <w:t>Kiểm soát nội bộ dựa trên rủi ro</w:t>
      </w:r>
    </w:p>
    <w:p>
      <w:pPr>
        <w:spacing w:after="80"/>
      </w:pPr>
      <w:r>
        <w:rPr>
          <w:b w:val="0"/>
          <w:i w:val="0"/>
        </w:rPr>
        <w:t>Nhiều công ty có các chương trình kiểm soát nội bộ kém hiệu quả do có quá nhiều kiểm soát mà không xem xét đầy đủ đến rủi ro. Những tổ chức này chỉ tập trung vào việc kiểm tra các kiểm soát mà không đánh giá đúng mức hiệu quả của kiểm soát khi thực hiện tự đánh giá hoặc chuẩn bị cho quy trình đánh giá kiểm soát nội bộ SOX 404 hàng năm.</w:t>
      </w:r>
    </w:p>
    <w:p>
      <w:pPr>
        <w:spacing w:after="80"/>
      </w:pPr>
      <w:r>
        <w:rPr>
          <w:b w:val="0"/>
          <w:i w:val="0"/>
        </w:rPr>
        <w:t>Phương pháp kiểm soát dựa trên rủi ro tận dụng đúng nguồn lực và có thể giảm chi phí của toàn bộ chương trình kiểm soát nội bộ, và quan trọng hơn, phương pháp này đảm bảo rằng kiểm soát giảm thiểu rủi ro một cách thích hợp. Kiểm soát dựa trên rủi ro tập trung vào các kiểm soát then chốt sẽ giảm thiểu rủi ro trong quy trình kinh doanh. Việc không thực hiện một phương pháp thực sự dựa trên rủi ro có thể dẫn đến việc xác định nhiều kiểm soát hơn mức hoạt động cần. Hoạt động có thể tập trung sai lầm vào những "kiểm soát then chốt" được cho là như vậy nhưng không giải quyết đúng mức rủi ro cho một quy trình kinh doanh cụ thể.</w:t>
      </w:r>
    </w:p>
    <w:p>
      <w:pPr>
        <w:spacing w:after="80"/>
      </w:pPr>
      <w:r>
        <w:rPr>
          <w:b w:val="0"/>
          <w:i w:val="0"/>
        </w:rPr>
        <w:t>Tất cả các công ty, bất kể quy mô, cơ cấu, tính chất hay ngành nghề, đều gặp phải rủi ro ở mọi cấp độ trong tổ chức của mình. Rủi ro ảnh hưởng đến khả năng tồn tại của mỗi công ty, cạnh tranh thành công trong ngành, duy trì sức mạnh tài chính và hình ảnh công chúng tích cực, cũng như duy trì chất lượng tổng thể của sản phẩm, dịch vụ và con người. Vì không có cách nào thiết thực để giảm rủi ro xuống bằng không, ban lãnh đạo nên xác định mức độ rủi ro nào nên được chấp nhận một cách thận trọng, và cố gắng duy trì rủi ro trong mức chấp nhận được bằng cách xem xét việc triển khai các kiểm soát dựa trên rủi ro.</w:t>
      </w:r>
    </w:p>
    <w:p>
      <w:pPr>
        <w:spacing w:after="80"/>
      </w:pPr>
      <w:r>
        <w:rPr>
          <w:b w:val="0"/>
          <w:i w:val="0"/>
        </w:rPr>
        <w:t>Rủi ro là sự phơi nhiễm trước một tổn thất tiềm tàng do hậu quả của sự không chắc chắn. Có những rủi ro toàn cầu và rủi ro trong mọi giai đoạn và mọi bước của một quy trình kinh doanh, với một số rủi ro có tầm quan trọng lớn hơn trong mỗi giai đoạn. Hiểu rõ các loại rủi ro phải đối mặt trong mỗi quy trình đặt nền tảng cho việc phát triển các kiểm soát dựa trên rủi ro.</w:t>
      </w:r>
    </w:p>
    <w:p>
      <w:pPr>
        <w:spacing w:after="80"/>
      </w:pPr>
      <w:r>
        <w:rPr>
          <w:b w:val="0"/>
          <w:i w:val="0"/>
        </w:rPr>
        <w:t>Như một tài liệu tham khảo bổ sung, đây là mười mẹo để triển khai kiểm soát dựa trên rủi ro:</w:t>
      </w:r>
    </w:p>
    <w:p>
      <w:pPr>
        <w:spacing w:after="80"/>
        <w:ind w:left="360"/>
      </w:pPr>
      <w:r>
        <w:t xml:space="preserve">1. </w:t>
      </w:r>
      <w:r>
        <w:rPr>
          <w:b w:val="0"/>
          <w:i w:val="0"/>
        </w:rPr>
        <w:t>Trọng tâm nên đặt vào quy trình kinh doanh và bất kỳ quy trình phụ nào thay vì chỉ vào quy trình kiểm toán.</w:t>
      </w:r>
    </w:p>
    <w:p>
      <w:pPr>
        <w:spacing w:after="80"/>
        <w:ind w:left="360"/>
      </w:pPr>
      <w:r>
        <w:t xml:space="preserve">2. </w:t>
      </w:r>
      <w:r>
        <w:rPr>
          <w:b w:val="0"/>
          <w:i w:val="0"/>
        </w:rPr>
        <w:t>Kiểm soát nên tập trung vào quy trình từ đầu đến cuối và các phụ thuộc của nó thay vì chỉ vào các giao dịch. Mặc dù kiểm soát nên giải quyết tính chính xác của một giao dịch, nhưng kiểm soát dựa trên rủi ro giải quyết toàn bộ quy trình kinh doanh chứ không chỉ một giao dịch đơn lẻ.</w:t>
      </w:r>
    </w:p>
    <w:p>
      <w:pPr>
        <w:spacing w:after="80"/>
        <w:ind w:left="360"/>
      </w:pPr>
      <w:r>
        <w:t xml:space="preserve">3. </w:t>
      </w:r>
      <w:r>
        <w:rPr>
          <w:b w:val="0"/>
          <w:i w:val="0"/>
        </w:rPr>
        <w:t>Kết quả mong đợi là xác định và giảm thiểu rủi ro cũng như xác định các cơ hội cải tiến quy trình trong hoạt động.</w:t>
      </w:r>
    </w:p>
    <w:p>
      <w:pPr>
        <w:spacing w:after="80"/>
        <w:ind w:left="360"/>
      </w:pPr>
      <w:r>
        <w:t xml:space="preserve">4. </w:t>
      </w:r>
      <w:r>
        <w:rPr>
          <w:b w:val="0"/>
          <w:i w:val="0"/>
        </w:rPr>
        <w:t>Nên tập trung vào quản lý rủi ro thay vì chỉ vào các chính sách và thủ tục hiện hành. Các chính sách và thủ tục hiện hành có thể đã lỗi thời hoặc không chính xác.</w:t>
      </w:r>
    </w:p>
    <w:p>
      <w:pPr>
        <w:spacing w:after="80"/>
        <w:ind w:left="360"/>
      </w:pPr>
      <w:r>
        <w:t xml:space="preserve">5. </w:t>
      </w:r>
      <w:r>
        <w:rPr>
          <w:b w:val="0"/>
          <w:i w:val="0"/>
        </w:rPr>
        <w:t>Mục tiêu nên là bao phủ đánh giá rủi ro liên tục thông qua quy trình giám sát kiểm soát liên tục (CCM).</w:t>
      </w:r>
    </w:p>
    <w:p>
      <w:pPr>
        <w:spacing w:after="80"/>
        <w:ind w:left="360"/>
      </w:pPr>
      <w:r>
        <w:t xml:space="preserve">6. </w:t>
      </w:r>
      <w:r>
        <w:rPr>
          <w:b w:val="0"/>
          <w:i w:val="0"/>
        </w:rPr>
        <w:t>Kiểm soát nội bộ dựa trên rủi ro tạo điều kiện thuận lợi cho sự thay đổi vì chúng nên được cập nhật khi có sự thay đổi đáng kể đối với quy trình kinh doanh hoặc nếu kiểm soát được phát hiện là giảm thiểu không đầy đủ một rủi ro tiềm tàng.</w:t>
      </w:r>
    </w:p>
    <w:p>
      <w:pPr>
        <w:spacing w:after="80"/>
        <w:ind w:left="360"/>
      </w:pPr>
      <w:r>
        <w:t xml:space="preserve">7. </w:t>
      </w:r>
      <w:r>
        <w:rPr>
          <w:b w:val="0"/>
          <w:i w:val="0"/>
        </w:rPr>
        <w:t>Phương pháp này nên đặt nền tảng cho việc triển khai các chỉ số và phân tích hoạt động.</w:t>
      </w:r>
    </w:p>
    <w:p>
      <w:pPr>
        <w:spacing w:after="80"/>
        <w:ind w:left="360"/>
      </w:pPr>
      <w:r>
        <w:t xml:space="preserve">8. </w:t>
      </w:r>
      <w:r>
        <w:rPr>
          <w:b w:val="0"/>
          <w:i w:val="0"/>
        </w:rPr>
        <w:t>Kiểm soát dựa trên rủi ro có thể xác định rủi ro và các lỗ hổng trong quy trình kinh doanh trên khắp các hoạt động tài chính.</w:t>
      </w:r>
    </w:p>
    <w:p>
      <w:pPr>
        <w:spacing w:after="80"/>
        <w:ind w:left="360"/>
      </w:pPr>
      <w:r>
        <w:t xml:space="preserve">9. </w:t>
      </w:r>
      <w:r>
        <w:rPr>
          <w:b w:val="0"/>
          <w:i w:val="0"/>
        </w:rPr>
        <w:t>Kiểm soát dựa trên rủi ro có thể giúp ngăn ngừa và phát hiện gian lận vì chúng nên đại diện cho quy trình kinh doanh từ đầu đến cuối.</w:t>
      </w:r>
    </w:p>
    <w:p>
      <w:pPr>
        <w:spacing w:after="80"/>
        <w:ind w:left="360"/>
      </w:pPr>
      <w:r>
        <w:t xml:space="preserve">10. </w:t>
      </w:r>
      <w:r>
        <w:rPr>
          <w:b w:val="0"/>
          <w:i w:val="0"/>
        </w:rPr>
        <w:t>Kiểm soát dựa trên rủi ro nên luôn được phát triển bởi các chủ sở hữu quy trình kinh doanh, nhưng được ban lãnh đạo phê duyệt với các kế hoạch triển khai và khắc phục được xác định rõ ràng.</w:t>
      </w:r>
    </w:p>
    <w:p>
      <w:pPr>
        <w:spacing w:after="80"/>
      </w:pPr>
      <w:r>
        <w:rPr>
          <w:b w:val="0"/>
          <w:i w:val="0"/>
        </w:rPr>
        <w:t>Dưới đây là năm câu hỏi cần đặt ra khi xây dựng một chuỗi các biện pháp kiểm soát dựa trên rủi ro, cùng với năm chỉ số đo lường quan trọng cần cân nhắc khi đánh giá kết quả.</w:t>
      </w:r>
    </w:p>
    <w:p>
      <w:pPr>
        <w:pStyle w:val="Heading3"/>
      </w:pPr>
      <w:r>
        <w:rPr>
          <w:rFonts w:ascii="Calibri" w:hAnsi="Calibri"/>
          <w:b/>
          <w:i w:val="0"/>
          <w:sz w:val="26"/>
        </w:rPr>
        <w:t>Năm câu hỏi cần đặt ra</w:t>
      </w:r>
    </w:p>
    <w:p>
      <w:pPr>
        <w:spacing w:after="80"/>
        <w:ind w:left="360"/>
      </w:pPr>
      <w:r>
        <w:t xml:space="preserve">1. </w:t>
      </w:r>
      <w:r>
        <w:rPr>
          <w:b w:val="0"/>
          <w:i w:val="0"/>
        </w:rPr>
        <w:t>Liệu biện pháp kiểm soát có tính đến một sai sót có thể lên tới mức được coi là điểm yếu trọng yếu (material weakness) hay không?</w:t>
      </w:r>
    </w:p>
    <w:p>
      <w:pPr>
        <w:spacing w:after="80"/>
        <w:ind w:left="360"/>
      </w:pPr>
      <w:r>
        <w:t xml:space="preserve">2. </w:t>
      </w:r>
      <w:r>
        <w:rPr>
          <w:b w:val="0"/>
          <w:i w:val="0"/>
        </w:rPr>
        <w:t>Liệu có thể tin cậy rằng biện pháp kiểm soát sẽ ngăn chặn hoặc phát hiện (một cách kịp thời) một sai lệch trọng yếu trong báo cáo tài chính đã nộp hay không?</w:t>
      </w:r>
    </w:p>
    <w:p>
      <w:pPr>
        <w:spacing w:after="80"/>
        <w:ind w:left="360"/>
      </w:pPr>
      <w:r>
        <w:t xml:space="preserve">3. </w:t>
      </w:r>
      <w:r>
        <w:rPr>
          <w:b w:val="0"/>
          <w:i w:val="0"/>
        </w:rPr>
        <w:t>Biện pháp kiểm soát đã được cập nhật gần đây để phản ánh quy trình kinh doanh hiện tại chưa?</w:t>
      </w:r>
    </w:p>
    <w:p>
      <w:pPr>
        <w:spacing w:after="80"/>
        <w:ind w:left="360"/>
      </w:pPr>
      <w:r>
        <w:t xml:space="preserve">4. </w:t>
      </w:r>
      <w:r>
        <w:rPr>
          <w:b w:val="0"/>
          <w:i w:val="0"/>
        </w:rPr>
        <w:t>Tổ chức của bạn đã cân nhắc các hành động khắc phục phát sinh từ một hoạt động gian lận, các phát hiện từ kiểm toán bên ngoài và nội bộ, cùng các quy trình tự đánh giá kiểm soát khác chưa?</w:t>
      </w:r>
    </w:p>
    <w:p>
      <w:pPr>
        <w:spacing w:after="80"/>
        <w:ind w:left="360"/>
      </w:pPr>
      <w:r>
        <w:t xml:space="preserve">5. </w:t>
      </w:r>
      <w:r>
        <w:rPr>
          <w:b w:val="0"/>
          <w:i w:val="0"/>
        </w:rPr>
        <w:t>Biện pháp kiểm soát có phải là một thành phần then chốt trong sáng kiến giám sát kiểm soát liên tục (continuous controls monitoring - CCM) của bạn không?</w:t>
      </w:r>
    </w:p>
    <w:p>
      <w:pPr>
        <w:pStyle w:val="Heading3"/>
      </w:pPr>
      <w:r>
        <w:rPr>
          <w:rFonts w:ascii="Calibri" w:hAnsi="Calibri"/>
          <w:b/>
          <w:i w:val="0"/>
          <w:sz w:val="26"/>
        </w:rPr>
        <w:t>Năm chỉ số cần cân nhắc</w:t>
      </w:r>
    </w:p>
    <w:p>
      <w:pPr>
        <w:spacing w:after="80"/>
        <w:ind w:left="360"/>
      </w:pPr>
      <w:r>
        <w:t xml:space="preserve">1. </w:t>
      </w:r>
      <w:r>
        <w:rPr>
          <w:b w:val="0"/>
          <w:i w:val="0"/>
        </w:rPr>
        <w:t>Số lượng sự cố mỗi kỳ</w:t>
      </w:r>
    </w:p>
    <w:p>
      <w:pPr>
        <w:spacing w:after="80"/>
        <w:ind w:left="360"/>
      </w:pPr>
      <w:r>
        <w:t xml:space="preserve">2. </w:t>
      </w:r>
      <w:r>
        <w:rPr>
          <w:b w:val="0"/>
          <w:i w:val="0"/>
        </w:rPr>
        <w:t>Giá trị trung bình của các sự cố được phát hiện mỗi kỳ</w:t>
      </w:r>
    </w:p>
    <w:p>
      <w:pPr>
        <w:spacing w:after="80"/>
        <w:ind w:left="360"/>
      </w:pPr>
      <w:r>
        <w:t xml:space="preserve">3. </w:t>
      </w:r>
      <w:r>
        <w:rPr>
          <w:b w:val="0"/>
          <w:i w:val="0"/>
        </w:rPr>
        <w:t>Ước tính tổng giá trị của các sự cố được phát hiện mỗi kỳ</w:t>
      </w:r>
    </w:p>
    <w:p>
      <w:pPr>
        <w:spacing w:after="80"/>
        <w:ind w:left="360"/>
      </w:pPr>
      <w:r>
        <w:t xml:space="preserve">4. </w:t>
      </w:r>
      <w:r>
        <w:rPr>
          <w:b w:val="0"/>
          <w:i w:val="0"/>
        </w:rPr>
        <w:t>Mức lương trung bình theo giờ của người khắc phục sự cố mỗi kỳ</w:t>
      </w:r>
    </w:p>
    <w:p>
      <w:pPr>
        <w:spacing w:after="80"/>
        <w:ind w:left="360"/>
      </w:pPr>
      <w:r>
        <w:t xml:space="preserve">5. </w:t>
      </w:r>
      <w:r>
        <w:rPr>
          <w:b w:val="0"/>
          <w:i w:val="0"/>
        </w:rPr>
        <w:t>Tỷ lệ phần trăm giao dịch được kiểm tra mỗi kỳ</w:t>
      </w:r>
    </w:p>
    <w:p>
      <w:pPr>
        <w:pStyle w:val="Heading3"/>
      </w:pPr>
      <w:r>
        <w:rPr>
          <w:rFonts w:ascii="Calibri" w:hAnsi="Calibri"/>
          <w:b/>
          <w:i w:val="0"/>
          <w:sz w:val="26"/>
        </w:rPr>
        <w:t>Áp dụng kiểm soát nội bộ</w:t>
      </w:r>
    </w:p>
    <w:p>
      <w:pPr>
        <w:spacing w:after="80"/>
      </w:pPr>
      <w:r>
        <w:rPr>
          <w:b w:val="0"/>
          <w:i w:val="0"/>
        </w:rPr>
        <w:t>Kiểm soát nội bộ cần được áp dụng trong một đơn vị hoạt động của một công ty một cách hiệu quả và hiệu suất, đồng thời đưa ra sự đảm bảo hợp lý rằng đơn vị hoạt động đó và quy trình kinh doanh tương ứng sẽ đạt được các mục tiêu của mình.</w:t>
      </w:r>
    </w:p>
    <w:p>
      <w:pPr>
        <w:spacing w:after="80"/>
      </w:pPr>
      <w:r>
        <w:rPr>
          <w:b w:val="0"/>
          <w:i w:val="0"/>
        </w:rPr>
        <w:t>Các mục tiêu kiểm soát nội bộ được đạt được thông qua năng lực và tính chính trực của nhân sự, tính độc lập của chức năng được giao cho họ, sự hiểu biết của họ về các quy trình đã được quy định, và tính hiệu quả của việc giám sát rủi ro được chấp nhận.</w:t>
      </w:r>
    </w:p>
    <w:p>
      <w:pPr>
        <w:spacing w:after="80"/>
      </w:pPr>
      <w:r>
        <w:rPr>
          <w:b w:val="0"/>
          <w:i w:val="0"/>
        </w:rPr>
        <w:t>Hiệu quả của một hệ thống kiểm soát nội bộ phụ thuộc vào những yếu tố sau:</w:t>
      </w:r>
    </w:p>
    <w:p>
      <w:pPr>
        <w:spacing w:after="80"/>
        <w:ind w:left="360"/>
      </w:pPr>
      <w:r>
        <w:t xml:space="preserve">• </w:t>
      </w:r>
      <w:r>
        <w:rPr>
          <w:b w:val="0"/>
          <w:i w:val="0"/>
        </w:rPr>
        <w:t>Sự cam kết và truyền đạt của ban lãnh đạo cấp cao</w:t>
      </w:r>
    </w:p>
    <w:p>
      <w:pPr>
        <w:spacing w:after="80"/>
        <w:ind w:left="720"/>
      </w:pPr>
      <w:r>
        <w:t xml:space="preserve">• </w:t>
      </w:r>
      <w:r>
        <w:rPr>
          <w:b w:val="0"/>
          <w:i w:val="0"/>
        </w:rPr>
        <w:t>Phong cách mà ban lãnh đạo cấp cao thể hiện là yếu tố quan trọng nhất góp phần vào sự thành công lâu dài của hệ thống kiểm soát nội bộ. Điều này được gọi là "tông giọng từ trên xuống" (tone at the top) và được hỗ trợ bởi quy tắc ứng xử của công ty.</w:t>
      </w:r>
    </w:p>
    <w:p>
      <w:pPr>
        <w:spacing w:after="80"/>
        <w:ind w:left="360"/>
      </w:pPr>
      <w:r>
        <w:t xml:space="preserve">• </w:t>
      </w:r>
      <w:r>
        <w:rPr>
          <w:b w:val="0"/>
          <w:i w:val="0"/>
        </w:rPr>
        <w:t>Các nhà quản lý và nhân viên hiểu rõ hệ thống kiểm soát nội bộ cùng với trách nhiệm của họ với tư cách là chủ sở hữu quy trình kinh doanh</w:t>
      </w:r>
    </w:p>
    <w:p>
      <w:pPr>
        <w:spacing w:after="80"/>
        <w:ind w:left="720"/>
      </w:pPr>
      <w:r>
        <w:t xml:space="preserve">• </w:t>
      </w:r>
      <w:r>
        <w:rPr>
          <w:b w:val="0"/>
          <w:i w:val="0"/>
        </w:rPr>
        <w:t>Kiểm soát nội bộ cần được hiểu, ủng hộ và thúc đẩy trong toàn công ty. Điều này đạt được thông qua các chương trình đào tạo và truyền đạt chính thức cho từng quy trình của công ty.</w:t>
      </w:r>
    </w:p>
    <w:p>
      <w:pPr>
        <w:spacing w:after="80"/>
        <w:ind w:left="360"/>
      </w:pPr>
      <w:r>
        <w:t xml:space="preserve">• </w:t>
      </w:r>
      <w:r>
        <w:rPr>
          <w:b w:val="0"/>
          <w:i w:val="0"/>
        </w:rPr>
        <w:t>Phương thức truyền đạt phù hợp</w:t>
      </w:r>
    </w:p>
    <w:p>
      <w:pPr>
        <w:spacing w:after="80"/>
        <w:ind w:left="720"/>
      </w:pPr>
      <w:r>
        <w:t xml:space="preserve">• </w:t>
      </w:r>
      <w:r>
        <w:rPr>
          <w:b w:val="0"/>
          <w:i w:val="0"/>
        </w:rPr>
        <w:t>Sự phối hợp và hợp tác giữa các nhân viên là yếu tố phụ thuộc then chốt. Những trở ngại đối với việc truyền đạt cần thiết cần được giảm thiểu.</w:t>
      </w:r>
    </w:p>
    <w:p>
      <w:pPr>
        <w:spacing w:after="80"/>
        <w:ind w:left="360"/>
      </w:pPr>
      <w:r>
        <w:t xml:space="preserve">• </w:t>
      </w:r>
      <w:r>
        <w:rPr>
          <w:b w:val="0"/>
          <w:i w:val="0"/>
        </w:rPr>
        <w:t>Thời gian và nguồn lực đầy đủ</w:t>
      </w:r>
    </w:p>
    <w:p>
      <w:pPr>
        <w:spacing w:after="80"/>
        <w:ind w:left="720"/>
      </w:pPr>
      <w:r>
        <w:t xml:space="preserve">• </w:t>
      </w:r>
      <w:r>
        <w:rPr>
          <w:b w:val="0"/>
          <w:i w:val="0"/>
        </w:rPr>
        <w:t>Hoạt động kinh doanh cần đủ thời gian và nguồn lực để tạo ra, duy trì và xem xét lại các kiểm soát nội bộ.</w:t>
      </w:r>
    </w:p>
    <w:p>
      <w:pPr>
        <w:spacing w:after="80"/>
      </w:pPr>
      <w:r>
        <w:rPr>
          <w:b/>
          <w:i w:val="0"/>
        </w:rPr>
        <w:t>Điểm chính:</w:t>
      </w:r>
      <w:r>
        <w:rPr>
          <w:b w:val="0"/>
          <w:i w:val="0"/>
        </w:rPr>
        <w:t xml:space="preserve"> Một công ty cần kiểm soát nội bộ để đảm bảo hoạt động kinh doanh được tiến hành tuân theo các luật và quy định hiện hành cũng như các chỉ đạo và thẩm quyền của ban lãnh đạo. Kiểm soát nội bộ hiệu quả sẽ hỗ trợ công ty đạt được các mục tiêu giảm thiểu rủi ro mất tính chính trực trong hoạt động và hồ sơ tài chính, bao gồm:</w:t>
      </w:r>
    </w:p>
    <w:p>
      <w:pPr>
        <w:spacing w:after="80"/>
        <w:ind w:left="360"/>
      </w:pPr>
      <w:r>
        <w:t xml:space="preserve">• </w:t>
      </w:r>
      <w:r>
        <w:rPr>
          <w:b w:val="0"/>
          <w:i w:val="0"/>
        </w:rPr>
        <w:t>Mất mát tài sản</w:t>
      </w:r>
    </w:p>
    <w:p>
      <w:pPr>
        <w:spacing w:after="80"/>
        <w:ind w:left="360"/>
      </w:pPr>
      <w:r>
        <w:t xml:space="preserve">• </w:t>
      </w:r>
      <w:r>
        <w:rPr>
          <w:b w:val="0"/>
          <w:i w:val="0"/>
        </w:rPr>
        <w:t>Các sai sót không được phát hiện</w:t>
      </w:r>
    </w:p>
    <w:p>
      <w:pPr>
        <w:spacing w:after="80"/>
        <w:ind w:left="360"/>
      </w:pPr>
      <w:r>
        <w:t xml:space="preserve">• </w:t>
      </w:r>
      <w:r>
        <w:rPr>
          <w:b w:val="0"/>
          <w:i w:val="0"/>
        </w:rPr>
        <w:t>Xâm phạm dữ liệu độc quyền, v.v.</w:t>
      </w:r>
    </w:p>
    <w:p>
      <w:pPr>
        <w:spacing w:after="80"/>
        <w:ind w:left="360"/>
      </w:pPr>
      <w:r>
        <w:t xml:space="preserve">• </w:t>
      </w:r>
      <w:r>
        <w:rPr>
          <w:b w:val="0"/>
          <w:i w:val="0"/>
        </w:rPr>
        <w:t>Quản lý các rủi ro đã nhận diện xuống mức chấp nhận được</w:t>
      </w:r>
    </w:p>
    <w:p>
      <w:pPr>
        <w:spacing w:after="80"/>
        <w:ind w:left="360"/>
      </w:pPr>
      <w:r>
        <w:t xml:space="preserve">• </w:t>
      </w:r>
      <w:r>
        <w:rPr>
          <w:b w:val="0"/>
          <w:i w:val="0"/>
        </w:rPr>
        <w:t>Cung cấp cho công ty việc quản lý quy trình một cách có kỷ luật</w:t>
      </w:r>
    </w:p>
    <w:p>
      <w:pPr>
        <w:spacing w:after="80"/>
        <w:ind w:left="360"/>
      </w:pPr>
      <w:r>
        <w:t xml:space="preserve">• </w:t>
      </w:r>
      <w:r>
        <w:rPr>
          <w:b w:val="0"/>
          <w:i w:val="0"/>
        </w:rPr>
        <w:t>Tạo điều kiện đạt được các mục tiêu kinh doanh một cách hiệu quả và hiệu suất</w:t>
      </w:r>
    </w:p>
    <w:p>
      <w:pPr>
        <w:spacing w:after="80"/>
      </w:pPr>
      <w:r>
        <w:rPr>
          <w:b/>
          <w:i w:val="0"/>
        </w:rPr>
        <w:t>Điểm chính:</w:t>
      </w:r>
      <w:r>
        <w:rPr>
          <w:b w:val="0"/>
          <w:i w:val="0"/>
        </w:rPr>
        <w:t xml:space="preserve"> Dưới đây là một số nguyên nhân gốc rễ của các vấn đề kiểm soát nội bộ.</w:t>
      </w:r>
    </w:p>
    <w:p>
      <w:pPr>
        <w:spacing w:after="80"/>
        <w:ind w:left="360"/>
      </w:pPr>
      <w:r>
        <w:t xml:space="preserve">• </w:t>
      </w:r>
      <w:r>
        <w:rPr>
          <w:b w:val="0"/>
          <w:i w:val="0"/>
        </w:rPr>
        <w:t>Nhu cầu về kiểm soát không được nhận thức đầy đủ trong toàn tổ chức</w:t>
      </w:r>
    </w:p>
    <w:p>
      <w:pPr>
        <w:spacing w:after="80"/>
        <w:ind w:left="360"/>
      </w:pPr>
      <w:r>
        <w:t xml:space="preserve">• </w:t>
      </w:r>
      <w:r>
        <w:rPr>
          <w:b w:val="0"/>
          <w:i w:val="0"/>
        </w:rPr>
        <w:t>Hướng dẫn/đào tạo chưa đầy đủ</w:t>
      </w:r>
    </w:p>
    <w:p>
      <w:pPr>
        <w:spacing w:after="80"/>
        <w:ind w:left="360"/>
      </w:pPr>
      <w:r>
        <w:t xml:space="preserve">• </w:t>
      </w:r>
      <w:r>
        <w:rPr>
          <w:b w:val="0"/>
          <w:i w:val="0"/>
        </w:rPr>
        <w:t>Không đủ vốn hoặc nguồn nhân lực để hỗ trợ sáng kiến kiểm soát</w:t>
      </w:r>
    </w:p>
    <w:p>
      <w:pPr>
        <w:spacing w:after="80"/>
        <w:ind w:left="360"/>
      </w:pPr>
      <w:r>
        <w:t xml:space="preserve">• </w:t>
      </w:r>
      <w:r>
        <w:rPr>
          <w:b w:val="0"/>
          <w:i w:val="0"/>
        </w:rPr>
        <w:t>Phân bổ ưu tiên không hợp lý</w:t>
      </w:r>
    </w:p>
    <w:p>
      <w:pPr>
        <w:spacing w:after="80"/>
        <w:ind w:left="360"/>
      </w:pPr>
      <w:r>
        <w:t xml:space="preserve">• </w:t>
      </w:r>
      <w:r>
        <w:rPr>
          <w:b w:val="0"/>
          <w:i w:val="0"/>
        </w:rPr>
        <w:t>Thái độ của nhân viên, giám sát viên và quản lý</w:t>
      </w:r>
    </w:p>
    <w:p>
      <w:pPr>
        <w:spacing w:after="80"/>
        <w:ind w:left="360"/>
      </w:pPr>
      <w:r>
        <w:t xml:space="preserve">• </w:t>
      </w:r>
      <w:r>
        <w:rPr>
          <w:b w:val="0"/>
          <w:i w:val="0"/>
        </w:rPr>
        <w:t>Lỗi của con người</w:t>
      </w:r>
    </w:p>
    <w:p>
      <w:pPr>
        <w:spacing w:after="80"/>
        <w:ind w:left="360"/>
      </w:pPr>
      <w:r>
        <w:t xml:space="preserve">• </w:t>
      </w:r>
      <w:r>
        <w:rPr>
          <w:b w:val="0"/>
          <w:i w:val="0"/>
        </w:rPr>
        <w:t>Ban quản lý không nhận thức được hoặc không được thông báo về các vấn đề trong quy trình kinh doanh</w:t>
      </w:r>
    </w:p>
    <w:p>
      <w:pPr>
        <w:spacing w:after="80"/>
        <w:ind w:left="360"/>
      </w:pPr>
      <w:r>
        <w:t xml:space="preserve">• </w:t>
      </w:r>
      <w:r>
        <w:rPr>
          <w:b w:val="0"/>
          <w:i w:val="0"/>
        </w:rPr>
        <w:t>Giám sát viên không theo dõi quy trình đang diễn ra</w:t>
      </w:r>
    </w:p>
    <w:p>
      <w:pPr>
        <w:pStyle w:val="Heading3"/>
      </w:pPr>
      <w:r>
        <w:rPr>
          <w:rFonts w:ascii="Calibri" w:hAnsi="Calibri"/>
          <w:b/>
          <w:i w:val="0"/>
          <w:sz w:val="26"/>
        </w:rPr>
        <w:t>Ba kiểm soát doanh nghiệp then chốt</w:t>
      </w:r>
    </w:p>
    <w:p>
      <w:pPr>
        <w:spacing w:after="80"/>
      </w:pPr>
      <w:r>
        <w:rPr>
          <w:b w:val="0"/>
          <w:i w:val="0"/>
        </w:rPr>
        <w:t>Ba kiểm soát nội bộ then chốt nhất đối với bất kỳ công ty nào đều có thể được thiết lập thông qua các chính sách doanh nghiệp, những chính sách này cần được "vận hành hóa" (operationalized) vào quy trình kinh doanh của công ty bạn và được giám sát bởi các chương trình kiểm soát nội bộ phù hợp. Việc triển khai các kiểm soát này đặt nền tảng cho kiểm soát thanh toán tốt và giảm thiểu rủi ro. Các kiểm soát này là: (1) phân tách nhiệm vụ (segregation of duties), (2) quyền truy cập hệ thống (systems access), và (3) ủy quyền (delegation of authority). Nhiều công ty đã triển khai các kiểm soát này như "kiểm soát cốt lõi" (core controls) nhưng cần cập nhật chúng thường xuyên bằng cách tuân theo một số thực hành tốt nhất được khuyến nghị dưới đây. Ba kiểm soát then chốt này sẽ được tham chiếu xuyên suốt các tiêu chuẩn kiểm soát nội bộ được cung cấp trong bộ công cụ này.</w:t>
      </w:r>
    </w:p>
    <w:p>
      <w:pPr>
        <w:spacing w:after="80"/>
        <w:ind w:left="360"/>
      </w:pPr>
      <w:r>
        <w:t xml:space="preserve">1. </w:t>
      </w:r>
      <w:r>
        <w:rPr>
          <w:b/>
          <w:i w:val="0"/>
        </w:rPr>
        <w:t>Kiểm soát Phân tách Nhiệm vụ (Segregation of Duties - SoD)</w:t>
      </w:r>
      <w:r>
        <w:rPr>
          <w:b w:val="0"/>
          <w:i w:val="0"/>
        </w:rPr>
        <w:t xml:space="preserve"> là một trong những kiểm soát quan trọng nhất mà công ty bạn có thể có. Việc phân tách nhiệm vụ đầy đủ làm giảm khả năng các sai sót (cố ý hoặc vô ý) không bị phát hiện bằng cách bố trí xử lý riêng biệt bởi các cá nhân khác nhau ở các giai đoạn khác nhau của một giao dịch và bằng cách đánh giá độc lập công việc đã thực hiện. Kiểm soát SoD mang lại bốn lợi ích chính: (1) rủi ro gian lận có chủ đích được giảm thiểu vì cần có sự thông đồng của hai hoặc nhiều người để lách qua các kiểm soát; (2) rủi ro sai sót hợp pháp được giảm thiểu vì khả năng phát hiện được tăng lên; (3) chi phí cho các hành động khắc phục được giảm thiểu vì sai sót thường được phát hiện sớm hơn trong vòng đời của chúng; và (4) danh tiếng về sự chính trực và chất lượng của tổ chức được nâng cao thông qua hệ thống kiểm tra và cân đối (checks and balances). Mặc dù SoD là một kiểm soát nội bộ cơ bản, then chốt, nhưng nó lại là một trong những kiểm soát khó thực hiện nhất, thường do hạn chế về số lượng nhân sự, trách nhiệm được định nghĩa rộng, và trách nhiệm thay đổi liên tục. Về cơ bản, các nhiệm vụ chung cần được phân tách là: lập kế hoạch/khởi tạo, phê duyệt, giám hộ tài sản, và ghi chép hoặc báo cáo giao dịch. Ngoài ra, các nhiệm vụ kiểm soát như đánh giá, kiểm toán và đối chiếu không nên được thực hiện bởi cùng một cá nhân chịu trách nhiệm ghi chép hoặc báo cáo giao dịch. </w:t>
      </w:r>
      <w:r>
        <w:rPr>
          <w:b/>
          <w:i w:val="0"/>
        </w:rPr>
        <w:t>Thực hành tốt nhất:</w:t>
      </w:r>
      <w:r>
        <w:rPr>
          <w:b w:val="0"/>
          <w:i w:val="0"/>
        </w:rPr>
        <w:t xml:space="preserve"> Trong số những nguyên nhân gốc rễ phổ biến nhất của gian lận là thiếu kiểm soát SoD, kiểm soát SoD yếu, kiểm soát bù trừ không phù hợp, hoặc không cập nhật kiểm soát SoD khi trách nhiệm thay đổi. Như một thực hành tốt nhất, nhiều tổ chức xem xét lại các kiểm soát SoD của họ theo quý, và bất cứ khi nào có thay đổi nhân sự, như một phần của quy trình tự đánh giá kiểm soát (control self-assessment - CSA). Kết quả của việc xem xét này là các kiểm soát SoD phù hợp được cập nhật một cách thích đáng.</w:t>
      </w:r>
    </w:p>
    <w:p>
      <w:pPr>
        <w:spacing w:after="80"/>
        <w:ind w:left="360"/>
      </w:pPr>
      <w:r>
        <w:t xml:space="preserve">2. </w:t>
      </w:r>
      <w:r>
        <w:rPr>
          <w:b/>
          <w:i w:val="0"/>
        </w:rPr>
        <w:t>Quyền truy cập hệ thống:</w:t>
      </w:r>
      <w:r>
        <w:rPr>
          <w:b w:val="0"/>
          <w:i w:val="0"/>
        </w:rPr>
        <w:t xml:space="preserve"> Nguyên tắc SoD trong môi trường hệ thống thông tin cũng rất quan trọng vì nó đảm bảo sự tách biệt của các chức năng khác nhau như nhập giao dịch, phê duyệt giao dịch trực tuyến, khởi tạo tệp chính, bảo trì tệp chính, quyền truy cập hệ thống, và xem xét giao dịch. Trong bối cảnh kiểm soát ở cấp ứng dụng, điều này có nghĩa là một cá nhân chỉ nên có quyền truy cập cho phép họ nhập, phê duyệt, hoặc xem xét giao dịch, nhưng không được kết hợp hai quyền cho cùng một giao dịch. Do đó, việc gán các hồ sơ bảo mật khác nhau cho các cá nhân khác nhau hỗ trợ nguyên tắc SoD. Ví dụ, SoD về vận hành hoặc quy trình trong một bộ phận AP sẽ xác định quyền truy cập hệ thống nên được cấp cho mỗi nhân viên dựa trên vai trò và trách nhiệm. </w:t>
      </w:r>
      <w:r>
        <w:rPr>
          <w:b/>
          <w:i w:val="0"/>
        </w:rPr>
        <w:t>Thực hành tốt nhất:</w:t>
      </w:r>
      <w:r>
        <w:rPr>
          <w:b w:val="0"/>
          <w:i w:val="0"/>
        </w:rPr>
        <w:t xml:space="preserve"> Quyền truy cập hệ thống được xem xét định kỳ (thường là hàng tháng hoặc hàng quý) để đảm bảo rằng khả năng truy cập hệ thống phù hợp với nhân viên hiện tại và phản ánh mọi thay đổi về trách nhiệm hoặc việc chuyển sang bộ phận khác.</w:t>
      </w:r>
    </w:p>
    <w:p>
      <w:pPr>
        <w:spacing w:after="80"/>
        <w:ind w:left="360"/>
      </w:pPr>
      <w:r>
        <w:t xml:space="preserve">3. </w:t>
      </w:r>
      <w:r>
        <w:rPr>
          <w:b/>
          <w:i w:val="0"/>
        </w:rPr>
        <w:t>Ủy quyền (Delegation of Authority - DoA):</w:t>
      </w:r>
      <w:r>
        <w:rPr>
          <w:b w:val="0"/>
          <w:i w:val="0"/>
        </w:rPr>
        <w:t xml:space="preserve"> Kiểm soát then chốt cuối cùng cho công ty bạn là chính sách và kiểm soát DoA. Mục đích của DoA là đảm bảo hoạt động hiệu quả của công ty trong khi duy trì tính chính trực về tài chính và tuân thủ chính sách. Trách nhiệm giải trình đối với việc quản lý tổng thể tài sản, nguồn lực tài chính và nhân sự của công ty thuộc về giám đốc điều hành (CEO). Trong nhiều trường hợp, việc quản trị DoA là trách nhiệm của kiểm soát viên (controller). Các cá nhân được giao quyền theo các điều khoản của DoA phải bảo vệ nguồn lực của công ty bằng cách thiết lập và duy trì các kiểm soát nội bộ nhằm ngăn chặn và phát hiện mọi hành vi lạm dụng nguồn lực tiềm ẩn. </w:t>
      </w:r>
      <w:r>
        <w:rPr>
          <w:b/>
          <w:i w:val="0"/>
        </w:rPr>
        <w:t>Thực hành tốt nhất:</w:t>
      </w:r>
      <w:r>
        <w:rPr>
          <w:b w:val="0"/>
          <w:i w:val="0"/>
        </w:rPr>
        <w:t xml:space="preserve"> Nhiều công ty gán các cấp quyền hạn cho các cấp bậc hoặc mức độ công việc trong tổ chức và áp dụng quy trình công việc (workflow) để hợp lý hóa quy trình phê duyệt. Nếu một cá nhân được thăng chức hoặc chuyển sang bộ phận khác, cấp quyền hạn của họ sẽ tự động được cập nhật trong tệp chính của nhân viên.</w:t>
      </w:r>
    </w:p>
    <w:p>
      <w:pPr>
        <w:pStyle w:val="Heading3"/>
      </w:pPr>
      <w:r>
        <w:rPr>
          <w:rFonts w:ascii="Calibri" w:hAnsi="Calibri"/>
          <w:b/>
          <w:i w:val="0"/>
          <w:sz w:val="26"/>
        </w:rPr>
        <w:t>Bối cảnh và Lịch sử của Kiểm soát Nội bộ</w:t>
      </w:r>
    </w:p>
    <w:p>
      <w:pPr>
        <w:spacing w:after="80"/>
      </w:pPr>
      <w:r>
        <w:rPr>
          <w:b w:val="0"/>
          <w:i w:val="0"/>
        </w:rPr>
        <w:t>Ý tưởng về kiểm soát nội bộ không có gì mới. Trên thực tế, nó đã có từ các nền văn minh cổ đại sớm nhất là vào thế kỷ thứ mười ba. Tuy nhiên, phải đến khi các Đạo luật của Ủy ban Chứng khoán và Giao dịch (Security and Exchange Commission - SEC) năm 1933 và 1934 được ký kết, một hình thức kiểm soát nội bộ mới được quy định bắt buộc tại Hoa Kỳ. Vào thời điểm này, các tổ chức chính thức được đưa lên con đường trách nhiệm giải trình doanh nghiệp bằng cách giảm thiểu rủi ro nhờ các kiểm soát nội bộ tốt hơn, hiệu quả hơn. Chương này xem xét các cột mốc, yêu cầu, trở ngại và sự kiện then chốt khác nhau trên chặng đường đó.</w:t>
      </w:r>
    </w:p>
    <w:p>
      <w:pPr>
        <w:pStyle w:val="Heading4"/>
      </w:pPr>
      <w:r>
        <w:rPr>
          <w:rFonts w:ascii="Calibri" w:hAnsi="Calibri"/>
          <w:b/>
          <w:i/>
          <w:sz w:val="23"/>
        </w:rPr>
        <w:t>Đạo luật Chứng khoán năm 1933</w:t>
      </w:r>
    </w:p>
    <w:p>
      <w:pPr>
        <w:spacing w:after="80"/>
      </w:pPr>
      <w:r>
        <w:rPr>
          <w:b w:val="0"/>
          <w:i w:val="0"/>
        </w:rPr>
        <w:t>Khi thị trường chứng khoán sụp đổ vào năm 1929 và hàng tỷ đô-la của nhà đầu tư biến mất, công chúng mất niềm tin vào thị trường vốn và nước Mỹ rơi vào cuộc Đại Suy thoái. Để tìm kiếm giải pháp, Quốc hội đã tổ chức các phiên điều trần dẫn đến việc thông qua Đạo luật Chứng khoán năm 1933, thường được gọi là luật “sự thật trong chứng khoán”. Đạo luật này yêu cầu nhà đầu tư phải được cung cấp thông tin quan trọng về chứng khoán bán ra công chúng và cấm các hành vi gian lận trong việc bán chứng khoán, chẳng hạn như giao dịch nội gián. Đạo luật quy định rằng chứng khoán, ngoại trừ những loại được miễn trừ, phải được đăng ký và thông tin tài chính liên quan phải được công bố.</w:t>
      </w:r>
    </w:p>
    <w:p>
      <w:pPr>
        <w:pStyle w:val="Heading4"/>
      </w:pPr>
      <w:r>
        <w:rPr>
          <w:rFonts w:ascii="Calibri" w:hAnsi="Calibri"/>
          <w:b/>
          <w:i/>
          <w:sz w:val="23"/>
        </w:rPr>
        <w:t>Đạo luật Giao dịch Chứng khoán năm 1934</w:t>
      </w:r>
    </w:p>
    <w:p>
      <w:pPr>
        <w:spacing w:after="80"/>
      </w:pPr>
      <w:r>
        <w:rPr>
          <w:b w:val="0"/>
          <w:i w:val="0"/>
        </w:rPr>
        <w:t>Với việc thông qua Đạo luật Giao dịch Chứng khoán năm 1934, Quốc hội đã thành lập Ủy ban Chứng khoán và Giao dịch (SEC) và trao cho cơ quan này quyền hạn đối với mọi khía cạnh của ngành chứng khoán. Đạo luật trao cho SEC quyền kỷ luật và quyền yêu cầu báo cáo, công bố thông tin và đăng ký đối với các thực thể được quản lý. Đạo luật Chứng khoán năm 1933 và Đạo luật Giao dịch Chứng khoán năm 1934 đã thiết lập một cơ chế giám sát ngành chứng khoán nhằm đảm bảo rằng các công ty nhận tiền đầu tư nói sự thật, minh bạch về các rủi ro và bảo vệ lợi ích của các bên liên quan.</w:t>
      </w:r>
    </w:p>
    <w:p>
      <w:pPr>
        <w:pStyle w:val="Heading4"/>
      </w:pPr>
      <w:r>
        <w:rPr>
          <w:rFonts w:ascii="Calibri" w:hAnsi="Calibri"/>
          <w:b/>
          <w:i/>
          <w:sz w:val="23"/>
        </w:rPr>
        <w:t>Đạo luật Hợp đồng Tín thác năm 1939</w:t>
      </w:r>
    </w:p>
    <w:p>
      <w:pPr>
        <w:spacing w:after="80"/>
      </w:pPr>
      <w:r>
        <w:rPr>
          <w:b w:val="0"/>
          <w:i w:val="0"/>
        </w:rPr>
        <w:t>Được thiết kế để ngăn chặn gian lận bằng cách cung cấp sự công bố đầy đủ và công bằng về tính chất của chứng khoán được bán trong thương mại liên bang và quốc tế cũng như qua đường bưu điện, Đạo luật Hợp đồng Tín thác năm 1939 áp dụng cho chứng khoán nợ được chào bán ra công chúng. Đạo luật yêu cầu những người phát hành trái phiếu và trái chủ phải ký kết một thỏa thuận chính thức phù hợp với các tiêu chuẩn được quy định trong Đạo luật.</w:t>
      </w:r>
    </w:p>
    <w:p>
      <w:pPr>
        <w:pStyle w:val="Heading4"/>
      </w:pPr>
      <w:r>
        <w:rPr>
          <w:rFonts w:ascii="Calibri" w:hAnsi="Calibri"/>
          <w:b/>
          <w:i/>
          <w:sz w:val="23"/>
        </w:rPr>
        <w:t>Đạo luật Công ty Đầu tư năm 1940</w:t>
      </w:r>
    </w:p>
    <w:p>
      <w:pPr>
        <w:spacing w:after="80"/>
      </w:pPr>
      <w:r>
        <w:rPr>
          <w:b w:val="0"/>
          <w:i w:val="0"/>
        </w:rPr>
        <w:t>Đạo luật này yêu cầu các công ty chào bán chứng khoán ra công chúng và chủ yếu hoạt động trong lĩnh vực đầu tư và giao dịch phải công bố cho công chúng về tình hình tài chính, cơ cấu và hoạt động, cũng như các chính sách đầu tư của mình. Mặc dù Đạo luật không cho phép SEC giám sát trực tiếp các hành động của công ty, nhưng nó được thiết kế để giảm thiểu xung đột lợi ích trong các hoạt động phức tạp.</w:t>
      </w:r>
    </w:p>
    <w:p>
      <w:pPr>
        <w:pStyle w:val="Heading4"/>
      </w:pPr>
      <w:r>
        <w:rPr>
          <w:rFonts w:ascii="Calibri" w:hAnsi="Calibri"/>
          <w:b/>
          <w:i/>
          <w:sz w:val="23"/>
        </w:rPr>
        <w:t>Đạo luật Cố vấn Đầu tư năm 1940</w:t>
      </w:r>
    </w:p>
    <w:p>
      <w:pPr>
        <w:spacing w:after="80"/>
      </w:pPr>
      <w:r>
        <w:rPr>
          <w:b w:val="0"/>
          <w:i w:val="0"/>
        </w:rPr>
        <w:t>Đạo luật này, được sửa đổi vào năm 1996, bảo vệ nhà đầu tư bằng cách yêu cầu một số cố vấn tài chính phải đăng ký với SEC. Các công ty và cá nhân chịu sự điều chỉnh của quy định này là những người quản lý tài sản trị giá ít nhất 25 triệu đô-la hoặc những người tư vấn về chứng khoán cho khách hàng là công ty đầu tư đã đăng ký.</w:t>
      </w:r>
    </w:p>
    <w:p>
      <w:pPr>
        <w:pStyle w:val="Heading4"/>
      </w:pPr>
      <w:r>
        <w:rPr>
          <w:rFonts w:ascii="Calibri" w:hAnsi="Calibri"/>
          <w:b/>
          <w:i/>
          <w:sz w:val="23"/>
        </w:rPr>
        <w:t>Đạo luật Chống Tham nhũng Nước ngoài (FCPA) năm 1977</w:t>
      </w:r>
    </w:p>
    <w:p>
      <w:pPr>
        <w:spacing w:after="80"/>
      </w:pPr>
      <w:r>
        <w:rPr>
          <w:b w:val="0"/>
          <w:i w:val="0"/>
        </w:rPr>
        <w:t>Do các tập đoàn Mỹ đã thực hiện các khoản thanh toán không đúng đắn cho quan chức chính phủ ở một số quốc gia, Quốc hội đã thông qua Đạo luật Chống Tham nhũng Nước ngoài năm 1977 nhằm loại bỏ những khoản thanh toán như vậy cho chính phủ nước ngoài, chính trị gia và đảng phái chính trị, đồng thời khôi phục danh tiếng của doanh nghiệp Mỹ. Đạo luật này thường áp dụng cho các tập đoàn, công ty hợp danh và các doanh nghiệp khác của Mỹ cũng như những người hành động thay mặt họ, và cấm mọi khoản thanh toán, đề nghị thanh toán hoặc hứa hẹn trao bất cứ thứ gì có giá trị cho quan chức nước ngoài nhằm mục đích giành được hợp đồng kinh doanh.</w:t>
      </w:r>
    </w:p>
    <w:p>
      <w:pPr>
        <w:spacing w:after="80"/>
      </w:pPr>
      <w:r>
        <w:rPr>
          <w:b w:val="0"/>
          <w:i w:val="0"/>
        </w:rPr>
        <w:t>Ngoài các quy định chống hối lộ, đạo luật còn bao gồm các quy tắc kế toán và lưu trữ hồ sơ rộng rãi đối với các công ty được yêu cầu nộp báo cáo tài chính. FCPA yêu cầu các công ty phải duy trì bộ công cụ, hồ sơ và sổ sách phản ánh chính xác các giao dịch và hoạt động của công ty. Việc vi phạm FCPA bởi một công ty và nhân viên của công ty đó có thể dẫn đến các hình phạt nghiêm khắc và án tù, như được chứng minh qua vụ Wal-Mart được truyền thông đưa tin rộng rãi gần đây.</w:t>
      </w:r>
    </w:p>
    <w:p>
      <w:pPr>
        <w:pStyle w:val="Heading4"/>
      </w:pPr>
      <w:r>
        <w:rPr>
          <w:rFonts w:ascii="Calibri" w:hAnsi="Calibri"/>
          <w:b/>
          <w:i/>
          <w:sz w:val="23"/>
        </w:rPr>
        <w:t>Đạo luật Kiểm soát Tội phạm Toàn diện—1984</w:t>
      </w:r>
    </w:p>
    <w:p>
      <w:pPr>
        <w:spacing w:after="80"/>
      </w:pPr>
      <w:r>
        <w:rPr>
          <w:b w:val="0"/>
          <w:i w:val="0"/>
        </w:rPr>
        <w:t>Đạo luật này mở rộng quyền hạn liên bang trong việc tịch thu tài sản trong các vụ án dân sự. Đạo luật bao gồm điều khoản của Đạo luật Cải cách Tuyên án, trong đó thành lập Ủy ban Tuyên án Hoa Kỳ, một cơ quan độc lập thuộc nhánh tư pháp của chính phủ. Ủy ban Tuyên án thiết lập các chính sách và thông lệ tuyên án cho các tòa án liên bang, tư vấn cho Quốc hội và nhánh hành pháp về các chính sách tội phạm hiệu quả và hiệu suất, đồng thời đóng vai trò là nguồn thông tin về các vấn đề tội phạm và tuyên án liên bang.</w:t>
      </w:r>
    </w:p>
    <w:p>
      <w:pPr>
        <w:pStyle w:val="Heading4"/>
      </w:pPr>
      <w:r>
        <w:rPr>
          <w:rFonts w:ascii="Calibri" w:hAnsi="Calibri"/>
          <w:b/>
          <w:i/>
          <w:sz w:val="23"/>
        </w:rPr>
        <w:t>Hướng dẫn Tuyên án Liên bang cho các Tổ chức—1991</w:t>
      </w:r>
    </w:p>
    <w:p>
      <w:pPr>
        <w:spacing w:after="80"/>
      </w:pPr>
      <w:r>
        <w:rPr>
          <w:b w:val="0"/>
          <w:i w:val="0"/>
        </w:rPr>
        <w:t>Sau cuộc khủng hoảng tiết kiệm và cho vay thập niên 1980, Ủy ban Tuyên án Hoa Kỳ (U.S. Sentencing Commission) đã phản hồi sự bất mãn của công chúng đối với hệ thống tư pháp hình sự bằng việc ban hành Hướng dẫn Tuyên án Liên bang (Federal Sentencing Guidelines) dành cho các tổ chức, trong đó áp đặt các hình phạt nghiêm khắc lên những tổ chức mà nhân viên hoặc đại lý của họ đã phạm tội liên bang. Bộ hướng dẫn này—gồm bảy bước để giảm thiểu rủi ro phạm phải những tội danh như vậy—bao gồm: triển khai các tiêu chuẩn và quy trình tuân thủ; giao trách nhiệm giám sát tuân thủ cho nhân sự cấp cao; tránh giao phó cho những cá nhân dễ có xu hướng phạm tội; cung cấp thông tin và đào tạo về các tiêu chuẩn; thiết lập hệ thống giám sát và báo cáo hành vi phạm tội mà không sợ bị trả đũa; thực thi các tiêu chuẩn và giao trách nhiệm phát hiện hành vi vi phạm; và thực hiện mọi bước hợp lý để phòng ngừa các hành vi vi phạm trong tương lai.</w:t>
      </w:r>
    </w:p>
    <w:p>
      <w:pPr>
        <w:pStyle w:val="Heading4"/>
      </w:pPr>
      <w:r>
        <w:rPr>
          <w:rFonts w:ascii="Calibri" w:hAnsi="Calibri"/>
          <w:b/>
          <w:i/>
          <w:sz w:val="23"/>
        </w:rPr>
        <w:t>Kiểm soát Nội bộ—Khuôn khổ Tích hợp—1992 và 2013</w:t>
      </w:r>
    </w:p>
    <w:p>
      <w:pPr>
        <w:spacing w:after="80"/>
      </w:pPr>
      <w:r>
        <w:rPr>
          <w:b w:val="0"/>
          <w:i w:val="0"/>
        </w:rPr>
        <w:t>Là hướng dẫn mang tính bước ngoặt đã được đón nhận trên toàn thế giới, Kiểm soát Nội bộ—Khuôn khổ Tích hợp được phát triển bởi Ủy ban các Tổ chức Bảo trợ thuộc Ủy ban Treadway (Committee of Sponsoring Organizations of the Treadway Commission - COSO).</w:t>
      </w:r>
    </w:p>
    <w:p>
      <w:pPr>
        <w:spacing w:after="80"/>
      </w:pPr>
      <w:r>
        <w:rPr>
          <w:b w:val="0"/>
          <w:i w:val="0"/>
        </w:rPr>
        <w:t>Một ủy ban do James C. Treadway, Jr., khi đó là Phó Chủ tịch Điều hành kiêm Tổng Cố vấn của Paine Webber Incorporated và là cựu Ủy viên của Ủy ban Chứng khoán và Giao dịch Hoa Kỳ (U.S. Securities and Exchange Commission), lãnh đạo đã được thành lập. Ủy ban này được bảo trợ và tài trợ bởi năm tổ chức thuộc khu vực tư nhân Hoa Kỳ, gồm Hiệp hội Kế toán Hoa Kỳ (American Accounting Association - AAA), Viện Kế toán Công chứng Hoa Kỳ (American Institute of Certified Public Accountants - AICPA), Financial Executives International (FEI), Viện Kiểm toán Nội bộ (The Institute of Internal Auditors - IIA), và Hiệp hội Kế toán Quốc gia (nay là Viện Kế toán Quản trị [Institute of Management Accountants - IMA]). Các tổ chức này được gọi chung là Ủy ban các Tổ chức Bảo trợ thuộc Ủy ban Treadway (Committee of Sponsoring Organizations of the Treadway Commission - COSO).</w:t>
      </w:r>
    </w:p>
    <w:p>
      <w:pPr>
        <w:spacing w:after="80"/>
      </w:pPr>
      <w:r>
        <w:rPr>
          <w:b w:val="0"/>
          <w:i w:val="0"/>
        </w:rPr>
        <w:t>Ủy ban các Tổ chức Bảo trợ được Ủy ban Treadway giao nhiệm vụ phát triển một hướng dẫn tích hợp về Kiểm soát Nội bộ. Kết quả là một khuôn khổ để thiết kế, triển khai và đánh giá kiểm soát nội bộ cho các tổ chức đã được ban hành.</w:t>
      </w:r>
    </w:p>
    <w:p>
      <w:pPr>
        <w:spacing w:after="80"/>
      </w:pPr>
      <w:r>
        <w:rPr>
          <w:b w:val="0"/>
          <w:i w:val="0"/>
        </w:rPr>
        <w:t xml:space="preserve">Khuôn khổ COSO được thiết kế để giúp các doanh nghiệp thiết lập, đánh giá và nâng cao kiểm soát nội bộ của mình. Tầm quan trọng của </w:t>
      </w:r>
      <w:r>
        <w:rPr>
          <w:b w:val="0"/>
          <w:i/>
        </w:rPr>
        <w:t>kiểm soát nội bộ trong hoạt động và báo cáo tài chính</w:t>
      </w:r>
      <w:r>
        <w:rPr>
          <w:b w:val="0"/>
          <w:i w:val="0"/>
        </w:rPr>
        <w:t xml:space="preserve"> của một thực thể không thể được nhấn mạnh quá mức, vì sự hiện diện hay vắng mặt của quy trình này quyết định chất lượng đầu ra được trình bày trong báo cáo tài chính. Một </w:t>
      </w:r>
      <w:r>
        <w:rPr>
          <w:b w:val="0"/>
          <w:i/>
        </w:rPr>
        <w:t>quy trình kiểm soát nội bộ</w:t>
      </w:r>
      <w:r>
        <w:rPr>
          <w:b w:val="0"/>
          <w:i w:val="0"/>
        </w:rPr>
        <w:t xml:space="preserve"> hiện hữu và vận hành tốt mang lại cho người sử dụng “sự đảm bảo hợp lý” rằng các số liệu được trình bày trong báo cáo tài chính là chính xác và có thể được tin cậy để đưa ra quyết định sáng suốt.</w:t>
      </w:r>
    </w:p>
    <w:p>
      <w:pPr>
        <w:spacing w:after="80"/>
      </w:pPr>
      <w:r>
        <w:rPr>
          <w:b w:val="0"/>
          <w:i w:val="0"/>
        </w:rPr>
        <w:t>Những khái niệm trường tồn của khuôn khổ này là: Kiểm soát nội bộ là một quy trình chịu ảnh hưởng bởi con người; nó mang lại sự đảm bảo hợp lý; và nó hướng tới việc đạt được các mục tiêu liên quan đến hoạt động, tuân thủ và báo cáo tài chính.</w:t>
      </w:r>
    </w:p>
    <w:p>
      <w:pPr>
        <w:spacing w:after="80"/>
      </w:pPr>
      <w:r>
        <w:rPr>
          <w:b w:val="0"/>
          <w:i w:val="0"/>
        </w:rPr>
        <w:t>Khuôn khổ kiểm soát nội bộ bao gồm năm thành phần có liên quan chặt chẽ với nhau của một hệ thống kiểm soát nội bộ:</w:t>
      </w:r>
    </w:p>
    <w:p>
      <w:pPr>
        <w:spacing w:after="80"/>
        <w:ind w:left="360"/>
      </w:pPr>
      <w:r>
        <w:t xml:space="preserve">1. </w:t>
      </w:r>
      <w:r>
        <w:rPr>
          <w:b/>
          <w:i w:val="0"/>
        </w:rPr>
        <w:t>Môi trường Kiểm soát</w:t>
      </w:r>
      <w:r>
        <w:rPr>
          <w:b w:val="0"/>
          <w:i w:val="0"/>
        </w:rPr>
        <w:t xml:space="preserve"> , yếu tố thiết lập tông đạo đức của một tổ chức và ảnh hưởng đến ý thức kiểm soát của con người trong tổ chức đó</w:t>
      </w:r>
    </w:p>
    <w:p>
      <w:pPr>
        <w:spacing w:after="80"/>
        <w:ind w:left="360"/>
      </w:pPr>
      <w:r>
        <w:t xml:space="preserve">2. </w:t>
      </w:r>
      <w:r>
        <w:rPr>
          <w:b/>
          <w:i w:val="0"/>
        </w:rPr>
        <w:t>Đánh giá Rủi ro</w:t>
      </w:r>
      <w:r>
        <w:rPr>
          <w:b w:val="0"/>
          <w:i w:val="0"/>
        </w:rPr>
        <w:t xml:space="preserve"> , yếu tố nhận diện và phân tích các rủi ro đối với việc đạt được mục tiêu, và xác định cách thức quản lý những rủi ro đó</w:t>
      </w:r>
    </w:p>
    <w:p>
      <w:pPr>
        <w:spacing w:after="80"/>
        <w:ind w:left="360"/>
      </w:pPr>
      <w:r>
        <w:t xml:space="preserve">3. </w:t>
      </w:r>
      <w:r>
        <w:rPr>
          <w:b/>
          <w:i w:val="0"/>
        </w:rPr>
        <w:t>Hoạt động Kiểm soát</w:t>
      </w:r>
      <w:r>
        <w:rPr>
          <w:b w:val="0"/>
          <w:i w:val="0"/>
        </w:rPr>
        <w:t xml:space="preserve"> , là các chính sách và quy trình giúp đảm bảo rủi ro được xử lý và các chỉ đạo của ban lãnh đạo được thực thi</w:t>
      </w:r>
    </w:p>
    <w:p>
      <w:pPr>
        <w:spacing w:after="80"/>
        <w:ind w:left="360"/>
      </w:pPr>
      <w:r>
        <w:t xml:space="preserve">4. </w:t>
      </w:r>
      <w:r>
        <w:rPr>
          <w:b/>
          <w:i w:val="0"/>
        </w:rPr>
        <w:t>Thông tin và Truyền thông</w:t>
      </w:r>
      <w:r>
        <w:rPr>
          <w:b w:val="0"/>
          <w:i w:val="0"/>
        </w:rPr>
        <w:t xml:space="preserve"> , bao gồm các báo cáo liên quan đến hoạt động, tài chính và tuân thủ được thiết kế để giúp đảm bảo thông tin luân chuyển xuống dưới, xuyên suốt và lên trên trong tổ chức; cùng với việc truyền thông hiệu quả với các bên liên quan</w:t>
      </w:r>
    </w:p>
    <w:p>
      <w:pPr>
        <w:spacing w:after="80"/>
        <w:ind w:left="360"/>
      </w:pPr>
      <w:r>
        <w:t xml:space="preserve">5. </w:t>
      </w:r>
      <w:r>
        <w:rPr>
          <w:b/>
          <w:i w:val="0"/>
        </w:rPr>
        <w:t>Giám sát</w:t>
      </w:r>
      <w:r>
        <w:rPr>
          <w:b w:val="0"/>
          <w:i w:val="0"/>
        </w:rPr>
        <w:t xml:space="preserve"> , yếu tố đánh giá chất lượng hoạt động của hệ thống kiểm soát nội bộ một cách liên tục, thông qua các đánh giá riêng biệt, hoặc kết hợp cả hai; báo cáo về các phát hiện; và giúp đảm bảo sự cải tiến liên tục của hệ thống, hiệu quả của tổ chức và giảm thiểu chi phí</w:t>
      </w:r>
    </w:p>
    <w:p>
      <w:pPr>
        <w:spacing w:after="80"/>
      </w:pPr>
      <w:r>
        <w:rPr>
          <w:b w:val="0"/>
          <w:i w:val="0"/>
        </w:rPr>
        <w:t>Năm thành phần của mô hình COSO được mô tả trong biểu đồ dưới đây. Mô hình COSO đã thúc đẩy nhiều hệ thống kiểm soát nội bộ và các nỗ lực tuân thủ Sarbanes-Oxley trong môi trường doanh nghiệp.</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Thành phần</w:t>
            </w:r>
          </w:p>
        </w:tc>
        <w:tc>
          <w:tcPr>
            <w:tcW w:type="dxa" w:w="4680"/>
          </w:tcPr>
          <w:p>
            <w:r/>
            <w:r>
              <w:rPr>
                <w:b/>
                <w:i w:val="0"/>
                <w:sz w:val="19"/>
              </w:rPr>
              <w:t>Nguyên tắc</w:t>
            </w:r>
          </w:p>
        </w:tc>
      </w:tr>
      <w:tr>
        <w:tc>
          <w:tcPr>
            <w:tcW w:type="dxa" w:w="4680"/>
          </w:tcPr>
          <w:p>
            <w:r/>
            <w:r>
              <w:rPr>
                <w:b w:val="0"/>
                <w:i w:val="0"/>
                <w:sz w:val="19"/>
              </w:rPr>
              <w:t>Môi trường kiểm soát</w:t>
            </w:r>
          </w:p>
        </w:tc>
        <w:tc>
          <w:tcPr>
            <w:tcW w:type="dxa" w:w="4680"/>
          </w:tcPr>
          <w:p>
            <w:r/>
            <w:r>
              <w:rPr>
                <w:b w:val="0"/>
                <w:i w:val="0"/>
                <w:sz w:val="19"/>
              </w:rPr>
              <w:t>1. Thể hiện cam kết với tính chính trực và các giá trị đạo đức</w:t>
            </w:r>
            <w:r>
              <w:br/>
            </w:r>
            <w:r>
              <w:rPr>
                <w:b w:val="0"/>
                <w:i w:val="0"/>
                <w:sz w:val="19"/>
              </w:rPr>
              <w:t>2. Thực hiện trách nhiệm giám sát</w:t>
            </w:r>
            <w:r>
              <w:br/>
            </w:r>
            <w:r>
              <w:rPr>
                <w:b w:val="0"/>
                <w:i w:val="0"/>
                <w:sz w:val="19"/>
              </w:rPr>
              <w:t>3. Thiết lập cơ cấu, thẩm quyền và trách nhiệm</w:t>
            </w:r>
            <w:r>
              <w:br/>
            </w:r>
            <w:r>
              <w:rPr>
                <w:b w:val="0"/>
                <w:i w:val="0"/>
                <w:sz w:val="19"/>
              </w:rPr>
              <w:t>4. Thể hiện cam kết với năng lực</w:t>
            </w:r>
            <w:r>
              <w:br/>
            </w:r>
            <w:r>
              <w:rPr>
                <w:b w:val="0"/>
                <w:i w:val="0"/>
                <w:sz w:val="19"/>
              </w:rPr>
              <w:t>5. Thực thi trách nhiệm giải trình</w:t>
            </w:r>
          </w:p>
        </w:tc>
      </w:tr>
      <w:tr>
        <w:tc>
          <w:tcPr>
            <w:tcW w:type="dxa" w:w="4680"/>
          </w:tcPr>
          <w:p>
            <w:r/>
            <w:r>
              <w:rPr>
                <w:b w:val="0"/>
                <w:i w:val="0"/>
                <w:sz w:val="19"/>
              </w:rPr>
              <w:t>Đánh giá rủi ro</w:t>
            </w:r>
          </w:p>
        </w:tc>
        <w:tc>
          <w:tcPr>
            <w:tcW w:type="dxa" w:w="4680"/>
          </w:tcPr>
          <w:p>
            <w:r/>
            <w:r>
              <w:rPr>
                <w:b w:val="0"/>
                <w:i w:val="0"/>
                <w:sz w:val="19"/>
              </w:rPr>
              <w:t>6. Xác định các mục tiêu liên quan</w:t>
            </w:r>
            <w:r>
              <w:br/>
            </w:r>
            <w:r>
              <w:rPr>
                <w:b w:val="0"/>
                <w:i w:val="0"/>
                <w:sz w:val="19"/>
              </w:rPr>
              <w:t>7. Nhận diện và phân tích rủi ro</w:t>
            </w:r>
            <w:r>
              <w:br/>
            </w:r>
            <w:r>
              <w:rPr>
                <w:b w:val="0"/>
                <w:i w:val="0"/>
                <w:sz w:val="19"/>
              </w:rPr>
              <w:t>8. Đánh giá rủi ro gian lận</w:t>
            </w:r>
            <w:r>
              <w:br/>
            </w:r>
            <w:r>
              <w:rPr>
                <w:b w:val="0"/>
                <w:i w:val="0"/>
                <w:sz w:val="19"/>
              </w:rPr>
              <w:t>9. Nhận diện và phân tích những thay đổi quan trọng</w:t>
            </w:r>
          </w:p>
        </w:tc>
      </w:tr>
      <w:tr>
        <w:tc>
          <w:tcPr>
            <w:tcW w:type="dxa" w:w="4680"/>
          </w:tcPr>
          <w:p>
            <w:r/>
            <w:r>
              <w:rPr>
                <w:b w:val="0"/>
                <w:i w:val="0"/>
                <w:sz w:val="19"/>
              </w:rPr>
              <w:t>Hoạt động kiểm soát</w:t>
            </w:r>
          </w:p>
        </w:tc>
        <w:tc>
          <w:tcPr>
            <w:tcW w:type="dxa" w:w="4680"/>
          </w:tcPr>
          <w:p>
            <w:r/>
            <w:r>
              <w:rPr>
                <w:b w:val="0"/>
                <w:i w:val="0"/>
                <w:sz w:val="19"/>
              </w:rPr>
              <w:t>10. Lựa chọn và phát triển các hoạt động kiểm soát</w:t>
            </w:r>
            <w:r>
              <w:br/>
            </w:r>
            <w:r>
              <w:rPr>
                <w:b w:val="0"/>
                <w:i w:val="0"/>
                <w:sz w:val="19"/>
              </w:rPr>
              <w:t>11. Lựa chọn và phát triển các kiểm soát chung đối với công nghệ</w:t>
            </w:r>
            <w:r>
              <w:br/>
            </w:r>
            <w:r>
              <w:rPr>
                <w:b w:val="0"/>
                <w:i w:val="0"/>
                <w:sz w:val="19"/>
              </w:rPr>
              <w:t>12. Triển khai thông qua các chính sách và thủ tục</w:t>
            </w:r>
          </w:p>
        </w:tc>
      </w:tr>
      <w:tr>
        <w:tc>
          <w:tcPr>
            <w:tcW w:type="dxa" w:w="4680"/>
          </w:tcPr>
          <w:p>
            <w:r/>
            <w:r>
              <w:rPr>
                <w:b w:val="0"/>
                <w:i w:val="0"/>
                <w:sz w:val="19"/>
              </w:rPr>
              <w:t>Thông tin và Truyền thông</w:t>
            </w:r>
          </w:p>
        </w:tc>
        <w:tc>
          <w:tcPr>
            <w:tcW w:type="dxa" w:w="4680"/>
          </w:tcPr>
          <w:p>
            <w:r/>
            <w:r>
              <w:rPr>
                <w:b w:val="0"/>
                <w:i w:val="0"/>
                <w:sz w:val="19"/>
              </w:rPr>
              <w:t>13. Sử dụng thông tin liên quan</w:t>
            </w:r>
            <w:r>
              <w:br/>
            </w:r>
            <w:r>
              <w:rPr>
                <w:b w:val="0"/>
                <w:i w:val="0"/>
                <w:sz w:val="19"/>
              </w:rPr>
              <w:t>14. Truyền thông nội bộ</w:t>
            </w:r>
            <w:r>
              <w:br/>
            </w:r>
            <w:r>
              <w:rPr>
                <w:b w:val="0"/>
                <w:i w:val="0"/>
                <w:sz w:val="19"/>
              </w:rPr>
              <w:t>15. Truyền thông ra bên ngoài</w:t>
            </w:r>
          </w:p>
        </w:tc>
      </w:tr>
      <w:tr>
        <w:tc>
          <w:tcPr>
            <w:tcW w:type="dxa" w:w="4680"/>
          </w:tcPr>
          <w:p>
            <w:r/>
            <w:r>
              <w:rPr>
                <w:b w:val="0"/>
                <w:i w:val="0"/>
                <w:sz w:val="19"/>
              </w:rPr>
              <w:t>Hoạt động giám sát</w:t>
            </w:r>
          </w:p>
        </w:tc>
        <w:tc>
          <w:tcPr>
            <w:tcW w:type="dxa" w:w="4680"/>
          </w:tcPr>
          <w:p>
            <w:r/>
            <w:r>
              <w:rPr>
                <w:b w:val="0"/>
                <w:i w:val="0"/>
                <w:sz w:val="19"/>
              </w:rPr>
              <w:t>16. Thực hiện các đánh giá thường xuyên và/hoặc riêng biệt</w:t>
            </w:r>
            <w:r>
              <w:br/>
            </w:r>
            <w:r>
              <w:rPr>
                <w:b w:val="0"/>
                <w:i w:val="0"/>
                <w:sz w:val="19"/>
              </w:rPr>
              <w:t>17. Đánh giá và truyền thông các khiếm khuyết</w:t>
            </w:r>
          </w:p>
        </w:tc>
      </w:tr>
    </w:tbl>
    <w:p>
      <w:pPr>
        <w:spacing w:after="0"/>
      </w:pPr>
    </w:p>
    <w:p>
      <w:pPr>
        <w:pStyle w:val="Heading4"/>
      </w:pPr>
      <w:r>
        <w:rPr>
          <w:rFonts w:ascii="Calibri" w:hAnsi="Calibri"/>
          <w:b/>
          <w:i/>
          <w:sz w:val="23"/>
        </w:rPr>
        <w:t>Hướng dẫn giám sát của COSO</w:t>
      </w:r>
    </w:p>
    <w:p>
      <w:pPr>
        <w:spacing w:after="80"/>
      </w:pPr>
      <w:r>
        <w:rPr>
          <w:b w:val="0"/>
          <w:i w:val="0"/>
        </w:rPr>
        <w:t>Hướng dẫn giám sát của COSO, được cập nhật vào năm 2009, xây dựng dựa trên hai nguyên tắc cơ bản được thiết lập ban đầu trong Hướng dẫn năm 2006 của COSO:</w:t>
      </w:r>
    </w:p>
    <w:p>
      <w:pPr>
        <w:spacing w:after="80"/>
        <w:ind w:left="360"/>
      </w:pPr>
      <w:r>
        <w:t xml:space="preserve">1. </w:t>
      </w:r>
      <w:r>
        <w:rPr>
          <w:b w:val="0"/>
          <w:i w:val="0"/>
        </w:rPr>
        <w:t>Các đánh giá thường xuyên và/hoặc riêng biệt cho phép ban quản lý xác định liệu các thành phần khác của kiểm soát nội bộ có tiếp tục vận hành theo thời gian hay không.</w:t>
      </w:r>
    </w:p>
    <w:p>
      <w:pPr>
        <w:spacing w:after="80"/>
        <w:ind w:left="360"/>
      </w:pPr>
      <w:r>
        <w:t xml:space="preserve">2. </w:t>
      </w:r>
      <w:r>
        <w:rPr>
          <w:b w:val="0"/>
          <w:i w:val="0"/>
        </w:rPr>
        <w:t>Các khiếm khuyết trong kiểm soát nội bộ được nhận diện và truyền thông kịp thời đến những bên chịu trách nhiệm thực hiện hành động khắc phục cũng như đến ban quản lý và hội đồng quản trị khi thích hợp.</w:t>
      </w:r>
    </w:p>
    <w:p>
      <w:pPr>
        <w:spacing w:after="80"/>
      </w:pPr>
      <w:r>
        <w:rPr>
          <w:b w:val="0"/>
          <w:i w:val="0"/>
        </w:rPr>
        <w:t>Hướng dẫn giám sát được cập nhật còn gợi ý rằng những nguyên tắc này được thực hiện tốt nhất thông qua việc giám sát dựa trên ba yếu tố bao quát:</w:t>
      </w:r>
    </w:p>
    <w:p>
      <w:pPr>
        <w:spacing w:after="80"/>
        <w:ind w:left="360"/>
      </w:pPr>
      <w:r>
        <w:t xml:space="preserve">1. </w:t>
      </w:r>
      <w:r>
        <w:rPr>
          <w:b w:val="0"/>
          <w:i w:val="0"/>
        </w:rPr>
        <w:t>Thiết lập nền tảng cho việc giám sát, bao gồm (a) tông giọng phù hợp từ cấp lãnh đạo cao nhất; (b) một cơ cấu tổ chức hiệu quả phân công vai trò giám sát cho những người có năng lực, tính khách quan và thẩm quyền phù hợp; và (c) một điểm khởi đầu hay đường cơ sở về kiểm soát nội bộ hữu hiệu đã biết, từ đó việc giám sát thường xuyên và các đánh giá riêng biệt có thể được triển khai</w:t>
      </w:r>
    </w:p>
    <w:p>
      <w:pPr>
        <w:spacing w:after="80"/>
        <w:ind w:left="360"/>
      </w:pPr>
      <w:r>
        <w:t xml:space="preserve">2. </w:t>
      </w:r>
      <w:r>
        <w:rPr>
          <w:b w:val="0"/>
          <w:i w:val="0"/>
        </w:rPr>
        <w:t>Thiết kế và thực hiện các thủ tục giám sát tập trung vào thông tin thuyết phục về hoạt động của các kiểm soát then chốt nhằm giải quyết những rủi ro có ý nghĩa đối với các mục tiêu của tổ chức</w:t>
      </w:r>
    </w:p>
    <w:p>
      <w:pPr>
        <w:spacing w:after="80"/>
        <w:ind w:left="360"/>
      </w:pPr>
      <w:r>
        <w:t xml:space="preserve">3. </w:t>
      </w:r>
      <w:r>
        <w:rPr>
          <w:b w:val="0"/>
          <w:i w:val="0"/>
        </w:rPr>
        <w:t>Đánh giá và báo cáo kết quả, bao gồm việc đánh giá mức độ nghiêm trọng của bất kỳ thiếu sót nào được phát hiện và báo cáo kết quả giám sát cho nhân sự phù hợp cùng hội đồng quản trị để có hành động kịp thời và theo dõi tiếp nếu cần</w:t>
      </w:r>
    </w:p>
    <w:p>
      <w:pPr>
        <w:spacing w:after="80"/>
      </w:pPr>
      <w:r>
        <w:rPr>
          <w:b w:val="0"/>
          <w:i w:val="0"/>
        </w:rPr>
        <w:t>Như được khuyến nghị trong Hướng dẫn Giám sát Hệ thống Kiểm soát Nội bộ của COSO (do AICPA xuất bản), các tổ chức có thể lựa chọn từ nhiều thủ tục giám sát khác nhau, bao gồm nhưng không giới hạn ở danh sách dưới đây. Các thủ tục giám sát được lựa chọn cùng với kỹ năng và tính khách quan của những người đánh giá kiểm soát nội bộ sẽ xác lập vai trò và trách nhiệm.</w:t>
      </w:r>
    </w:p>
    <w:p>
      <w:pPr>
        <w:spacing w:after="80"/>
        <w:ind w:left="360"/>
      </w:pPr>
      <w:r>
        <w:t xml:space="preserve">• </w:t>
      </w:r>
      <w:r>
        <w:rPr>
          <w:b w:val="0"/>
          <w:i w:val="0"/>
        </w:rPr>
        <w:t>Đánh giá định kỳ và kiểm thử các kiểm soát bởi kiểm toán nội bộ</w:t>
      </w:r>
    </w:p>
    <w:p>
      <w:pPr>
        <w:spacing w:after="80"/>
        <w:ind w:left="360"/>
      </w:pPr>
      <w:r>
        <w:t xml:space="preserve">• </w:t>
      </w:r>
      <w:r>
        <w:rPr>
          <w:b w:val="0"/>
          <w:i w:val="0"/>
        </w:rPr>
        <w:t>Các chương trình giám sát liên tục được tích hợp vào hệ thống thông tin</w:t>
      </w:r>
    </w:p>
    <w:p>
      <w:pPr>
        <w:spacing w:after="80"/>
        <w:ind w:left="360"/>
      </w:pPr>
      <w:r>
        <w:t xml:space="preserve">• </w:t>
      </w:r>
      <w:r>
        <w:rPr>
          <w:b w:val="0"/>
          <w:i w:val="0"/>
        </w:rPr>
        <w:t>Phân tích và theo dõi tiếp phù hợp đối với các báo cáo vận hành hoặc chỉ số có thể nhận diện những bất thường cho thấy dấu hiệu kiểm soát bị thất bại</w:t>
      </w:r>
    </w:p>
    <w:p>
      <w:pPr>
        <w:spacing w:after="80"/>
        <w:ind w:left="360"/>
      </w:pPr>
      <w:r>
        <w:t xml:space="preserve">• </w:t>
      </w:r>
      <w:r>
        <w:rPr>
          <w:b w:val="0"/>
          <w:i w:val="0"/>
        </w:rPr>
        <w:t>Các đánh giá giám sát của cấp trên đối với kiểm soát, chẳng hạn như đánh giá đối chiếu như một phần bình thường của quá trình xử lý</w:t>
      </w:r>
    </w:p>
    <w:p>
      <w:pPr>
        <w:spacing w:after="80"/>
        <w:ind w:left="360"/>
      </w:pPr>
      <w:r>
        <w:t xml:space="preserve">• </w:t>
      </w:r>
      <w:r>
        <w:rPr>
          <w:b w:val="0"/>
          <w:i w:val="0"/>
        </w:rPr>
        <w:t>Tự đánh giá của hội đồng quản trị và ban điều hành về tông giọng mà họ tạo dựng trong tổ chức và tính hiệu quả của các chức năng giám sát của họ</w:t>
      </w:r>
    </w:p>
    <w:p>
      <w:pPr>
        <w:spacing w:after="80"/>
        <w:ind w:left="360"/>
      </w:pPr>
      <w:r>
        <w:t xml:space="preserve">• </w:t>
      </w:r>
      <w:r>
        <w:rPr>
          <w:b w:val="0"/>
          <w:i w:val="0"/>
        </w:rPr>
        <w:t>Các cuộc điều tra của ủy ban kiểm toán đối với kiểm toán viên nội bộ và bên ngoài</w:t>
      </w:r>
    </w:p>
    <w:p>
      <w:pPr>
        <w:spacing w:after="80"/>
        <w:ind w:left="360"/>
      </w:pPr>
      <w:r>
        <w:t xml:space="preserve">• </w:t>
      </w:r>
      <w:r>
        <w:rPr>
          <w:b w:val="0"/>
          <w:i w:val="0"/>
        </w:rPr>
        <w:t>Các đánh giá đảm bảo chất lượng đối với bộ phận kiểm toán nội bộ</w:t>
      </w:r>
    </w:p>
    <w:p>
      <w:pPr>
        <w:spacing w:after="80"/>
      </w:pPr>
      <w:r>
        <w:rPr>
          <w:b w:val="0"/>
          <w:i w:val="0"/>
        </w:rPr>
        <w:t>Những tiến bộ không ngừng trong công nghệ và kỹ thuật quản lý đảm bảo rằng kiểm soát nội bộ và các quy trình giám sát liên quan sẽ thay đổi theo thời gian. Tuy nhiên, các khái niệm nền tảng của giám sát, như được nêu trong Hướng dẫn Giám sát của COSO, được thiết kế để trường tồn theo thời gian. Hướng dẫn này cũng đề cập đến những khái niệm khác quan trọng đối với việc giám sát hiệu quả và hiệu suất, bao gồm:</w:t>
      </w:r>
    </w:p>
    <w:p>
      <w:pPr>
        <w:spacing w:after="80"/>
        <w:ind w:left="360"/>
      </w:pPr>
      <w:r>
        <w:t xml:space="preserve">• </w:t>
      </w:r>
      <w:r>
        <w:rPr>
          <w:b w:val="0"/>
          <w:i w:val="0"/>
        </w:rPr>
        <w:t>Các đặc điểm gắn liền với tính khách quan của người đánh giá</w:t>
      </w:r>
    </w:p>
    <w:p>
      <w:pPr>
        <w:spacing w:after="80"/>
        <w:ind w:left="360"/>
      </w:pPr>
      <w:r>
        <w:t xml:space="preserve">• </w:t>
      </w:r>
      <w:r>
        <w:rPr>
          <w:b w:val="0"/>
          <w:i w:val="0"/>
        </w:rPr>
        <w:t>Khoảng thời gian và các tình huống mà một tổ chức có thể dựa vào thông tin gián tiếp được thiết kế đầy đủ—khi được sử dụng kết hợp với thông tin trực tiếp thuyết phục liên tục hoặc định kỳ—để kết luận rằng kiểm soát nội bộ vẫn còn hiệu quả</w:t>
      </w:r>
    </w:p>
    <w:p>
      <w:pPr>
        <w:spacing w:after="80"/>
        <w:ind w:left="360"/>
      </w:pPr>
      <w:r>
        <w:t xml:space="preserve">• </w:t>
      </w:r>
      <w:r>
        <w:rPr>
          <w:b w:val="0"/>
          <w:i w:val="0"/>
        </w:rPr>
        <w:t>Xác định tính đầy đủ và tính phù hợp của thông tin được sử dụng trong giám sát để đảm bảo rằng các kết quả có thể hỗ trợ đầy đủ cho các kết luận về kiểm soát nội bộ</w:t>
      </w:r>
    </w:p>
    <w:p>
      <w:pPr>
        <w:spacing w:after="80"/>
        <w:ind w:left="360"/>
      </w:pPr>
      <w:r>
        <w:t xml:space="preserve">• </w:t>
      </w:r>
      <w:r>
        <w:rPr>
          <w:b w:val="0"/>
          <w:i w:val="0"/>
        </w:rPr>
        <w:t>Những cách thức mà tổ chức có thể làm cho việc giám sát hiệu quả hơn mà không làm giảm tính hiệu lực của nó</w:t>
      </w:r>
    </w:p>
    <w:p>
      <w:pPr>
        <w:pStyle w:val="Heading4"/>
      </w:pPr>
      <w:r>
        <w:rPr>
          <w:rFonts w:ascii="Calibri" w:hAnsi="Calibri"/>
          <w:b/>
          <w:i/>
          <w:sz w:val="23"/>
        </w:rPr>
        <w:t>COBIT—1996</w:t>
      </w:r>
    </w:p>
    <w:p>
      <w:pPr>
        <w:spacing w:after="80"/>
      </w:pPr>
      <w:r>
        <w:rPr>
          <w:b w:val="0"/>
          <w:i w:val="0"/>
        </w:rPr>
        <w:t>Kiểm soát Mục tiêu cho Công nghệ Thông tin và Công nghệ Liên quan (COBIT) được tạo ra vào năm 1996 bởi Hiệp hội Kiểm toán và Kiểm soát Hệ thống Thông tin (ISACA) và Viện Quản trị CNTT. COBIT giúp ban lãnh đạo thu được lợi ích lớn nhất từ công nghệ thông tin thông qua quản trị và kiểm soát CNTT phù hợp. Khung của nó phác họa các quy trình và mục tiêu kiểm soát cho việc lập kế hoạch/tổ chức, thu nhận/triển khai, cung cấp/hỗ trợ, và giám sát/đánh giá. Khung này cũng tập trung vào các tiêu chí—hiệu quả, hiệu suất, bảo mật, toàn vẹn, sẵn sàng, tuân thủ, và độ tin cậy—các nguồn lực, và các mục tiêu kiểm soát cần thiết cho hệ thống CNTT thành công. Ngoài ra, COBIT cung cấp các hướng dẫn quản lý bao gồm mô hình trưởng thành, yếu tố thành công then chốt, chỉ số mục tiêu then chốt, và chỉ số hiệu suất then chốt.</w:t>
      </w:r>
    </w:p>
    <w:p>
      <w:pPr>
        <w:pStyle w:val="Heading4"/>
      </w:pPr>
      <w:r>
        <w:rPr>
          <w:rFonts w:ascii="Calibri" w:hAnsi="Calibri"/>
          <w:b/>
          <w:i/>
          <w:sz w:val="23"/>
        </w:rPr>
        <w:t>SysTrust—1999</w:t>
      </w:r>
    </w:p>
    <w:p>
      <w:pPr>
        <w:spacing w:after="80"/>
      </w:pPr>
      <w:r>
        <w:rPr>
          <w:b w:val="0"/>
          <w:i w:val="0"/>
        </w:rPr>
        <w:t>Được phát triển chung bởi Viện Kế toán Công chứng Hoa Kỳ (AICPA) và Viện Kế toán Công chứng Canada (CICA), SysTrust là một dịch vụ chuyên nghiệp được thiết kế để xây dựng sự tự tin và giành được lòng tin vào các hệ thống hỗ trợ một thực thể hoặc hoạt động. Nó cho phép đo lường độ tin cậy liên quan đến tính sẵn sàng, bảo mật, toàn vẹn, và khả năng bảo trì của một hệ thống. Kế toán Công chứng (CPA) sử dụng SysTrust để xác minh và đưa ra đảm bảo rằng các kiểm soát hệ thống đang hoạt động hiệu quả.</w:t>
      </w:r>
    </w:p>
    <w:p>
      <w:pPr>
        <w:pStyle w:val="Heading4"/>
      </w:pPr>
      <w:r>
        <w:rPr>
          <w:rFonts w:ascii="Calibri" w:hAnsi="Calibri"/>
          <w:b/>
          <w:i/>
          <w:sz w:val="23"/>
        </w:rPr>
        <w:t>Gian lận Doanh nghiệp—2001–2002</w:t>
      </w:r>
    </w:p>
    <w:p>
      <w:pPr>
        <w:spacing w:after="80"/>
      </w:pPr>
      <w:r>
        <w:rPr>
          <w:b w:val="0"/>
          <w:i w:val="0"/>
        </w:rPr>
        <w:t>Cuối thập niên 1990 và đầu thập niên 2000 đã vẽ nên một bức tranh đáng xấu hổ về nước Mỹ doanh nghiệp—một bức tranh của lòng tham và sự kiêu ngạo không kiềm chế với cách tiếp cận không giới hạn để đạt lợi ích cá nhân, sự thiếu vắng toàn vẹn và đạo đức doanh nghiệp, việc tham gia tích cực vào các thực tiễn kinh doanh đáng ngờ hoặc gian lận, quản trị doanh nghiệp bị tổn hại nghiêm trọng, và—không đáng ngạc nhiên—sự sụp đổ của lòng tin công chúng. Mặc dù nhiều vụ gian lận doanh nghiệp được thực hiện trong thời gian này tự chúng đã đủ để lấp đầy một bộ công cụ, chỉ hai vụ sẽ được đề cập ở đây: Enron và WorldCom.</w:t>
      </w:r>
    </w:p>
    <w:p>
      <w:pPr>
        <w:spacing w:after="80"/>
      </w:pPr>
      <w:r>
        <w:rPr>
          <w:b w:val="0"/>
          <w:i w:val="0"/>
        </w:rPr>
        <w:t xml:space="preserve">Trước khi phá sản vào cuối năm 2001, Enron, tổ chức được tạp chí </w:t>
      </w:r>
      <w:r>
        <w:rPr>
          <w:b w:val="0"/>
          <w:i/>
        </w:rPr>
        <w:t>Fortune</w:t>
      </w:r>
      <w:r>
        <w:rPr>
          <w:b w:val="0"/>
          <w:i w:val="0"/>
        </w:rPr>
        <w:t xml:space="preserve"> vinh danh là "Công ty Sáng tạo nhất Nước Mỹ" mỗi năm từ 1996 đến 2001, là một trong những công ty hàng đầu thế giới về điện, khí tự nhiên, bột giấy và giấy, và truyền thông. Công ty sử dụng khoảng 22,000 công nhân. Năm 2000, cùng năm Enron nằm trong danh sách "100 Công ty Tốt nhất để Làm việc tại Mỹ" của Fortune, công ty tuyên bố doanh thu gần $101 tỷ. Enron được công nhận rộng rãi là một công ty kiểu mẫu với lương hưu dài hạn xuất sắc, phúc lợi tốt, và ban quản lý cực kỳ hiệu quả.</w:t>
      </w:r>
    </w:p>
    <w:p>
      <w:pPr>
        <w:spacing w:after="80"/>
      </w:pPr>
      <w:r>
        <w:rPr>
          <w:b w:val="0"/>
          <w:i w:val="0"/>
        </w:rPr>
        <w:t>Tuy nhiên, vào tháng 8 năm 2001, nhà phân tích tài chính Daniel Scotto bắt đầu lo ngại về các thực tiễn của công ty và cảnh báo các nhà đầu tư của mình nên bán cổ phiếu và trái phiếu Enron. Như sau này được biết đến rộng rãi, nhiều tài sản và lợi nhuận được ghi nhận của Enron đã bị thổi phồng, hoặc thậm chí hoàn toàn gian lận và không tồn tại. Công ty đã che giấu các khoản nợ và thua lỗ bằng cách thiết lập các thực thể "ngoài bảng cân đối" không phù hợp. Vì những khoản nợ này không được đưa vào báo cáo tài chính của công ty, Enron trông có vẻ sinh lời hơn đối với các nhà đầu tư so với thực tế. Để tiếp tục ảo tưởng về hàng tỷ đô la lợi nhuận, mặc dù công ty đang trên bờ vực sụp đổ, những người đứng đầu công ty đã thực hiện ngày càng nhiều hành vi lừa dối tài chính, điều này đẩy cổ phiếu Enron lên mức cao hơn. Tại thời điểm này, Giám đốc Tài chính Andrew Fastow và các giám đốc điều hành khác, những người đã thao túng các giao dịch, sử dụng thông tin nội bộ và giao dịch hàng triệu đô la cổ phiếu, để lại công ty trong tình trạng tan hoang và các cổ đông Enron với những tổn thất tàn khốc.</w:t>
      </w:r>
    </w:p>
    <w:p>
      <w:pPr>
        <w:spacing w:after="80"/>
      </w:pPr>
      <w:r>
        <w:rPr>
          <w:b w:val="0"/>
          <w:i w:val="0"/>
        </w:rPr>
        <w:t>Không khác biệt mấy so với Enron, câu chuyện của WorldCom là câu chuyện về sự lừa dối và lòng tham của những người đứng đầu, những người đã sử dụng các thực tiễn gian lận để che giấu lợi nhuận đang suy giảm. Họ phân loại chi phí hoạt động là chi phí vốn, tạo ra ảo tưởng về tăng trưởng tài chính và khả năng sinh lời để đẩy giá cổ phiếu công ty lên. Năm 2002, khi Cynthia Cooper, một kiểm toán viên nội bộ, phát hiện các thực tiễn kế toán đáng ngờ và phát hiện ra một vụ gian lận trị giá $3.8 tỷ, cô đã tố giác bằng cách báo cáo phát hiện của mình cho Ủy ban Kiểm toán WorldCom. Vụ gian lận kế toán do các giám đốc điều hành WorldCom thực hiện đã dẫn đến vụ phá sản lớn nhất trong lịch sử, và các nhà đầu tư mất ước tính $180 tỷ.</w:t>
      </w:r>
    </w:p>
    <w:p>
      <w:pPr>
        <w:pStyle w:val="Heading4"/>
      </w:pPr>
      <w:r>
        <w:rPr>
          <w:rFonts w:ascii="Calibri" w:hAnsi="Calibri"/>
          <w:b/>
          <w:i/>
          <w:sz w:val="23"/>
        </w:rPr>
        <w:t>Đạo luật Sarbanes-Oxley của Hoa Kỳ năm 2002</w:t>
      </w:r>
    </w:p>
    <w:p>
      <w:pPr>
        <w:spacing w:after="80"/>
      </w:pPr>
      <w:r>
        <w:rPr>
          <w:b w:val="0"/>
          <w:i w:val="0"/>
        </w:rPr>
        <w:t>Đạo luật Sarbanes-Oxley của Hoa Kỳ năm 2002 (SOX) được thông qua trong nỗ lực buộc nước Mỹ doanh nghiệp chịu trách nhiệm về hành động của mình và giúp xây dựng lại lòng tin của công chúng sau các vụ bê bối báo cáo tài chính doanh nghiệp khác nhau vào cuối thập niên 1990 và đầu thập niên 2000. Nó đã thay đổi các yêu cầu đối với chương trình kiểm soát nội bộ, quản trị doanh nghiệp, và trách nhiệm giải trình doanh nghiệp đối với các công ty đại chúng.</w:t>
      </w:r>
    </w:p>
    <w:p>
      <w:pPr>
        <w:spacing w:after="80"/>
      </w:pPr>
      <w:r>
        <w:rPr>
          <w:b w:val="0"/>
          <w:i w:val="0"/>
        </w:rPr>
        <w:t>Được đặt tên theo những kiến trúc sư chính của nó—Thượng nghị sĩ Paul Sarbanes (D-Maryland) và Dân biểu Michael Oxley (R-Ohio)—SOX bao gồm các yêu cầu về tăng cường quản trị doanh nghiệp và trách nhiệm giải trình tài chính. Tôi đã có vinh dự gặp Thượng nghị sĩ Sarbanes tại Diễn đàn Thường niên của Hiệp hội Chuyên gia Kế toán Phải trả Quốc tế vào năm 2007.</w:t>
      </w:r>
    </w:p>
    <w:p>
      <w:pPr>
        <w:spacing w:after="80"/>
      </w:pPr>
      <w:r>
        <w:rPr>
          <w:b w:val="0"/>
          <w:i w:val="0"/>
        </w:rPr>
        <w:t>Tóm lại, luật này đề cập đến:</w:t>
      </w:r>
    </w:p>
    <w:tbl>
      <w:tblPr>
        <w:tblStyle w:val="TableGrid"/>
        <w:tblW w:type="auto" w:w="0"/>
        <w:tblLook w:firstColumn="1" w:firstRow="1" w:lastColumn="0" w:lastRow="0" w:noHBand="0" w:noVBand="1" w:val="04A0"/>
      </w:tblPr>
      <w:tblGrid>
        <w:gridCol w:w="9360"/>
      </w:tblGrid>
      <w:tr>
        <w:tc>
          <w:tcPr>
            <w:tcW w:type="dxa" w:w="9360"/>
          </w:tcPr>
          <w:p>
            <w:r/>
            <w:r>
              <w:rPr>
                <w:b/>
                <w:i w:val="0"/>
                <w:sz w:val="19"/>
              </w:rPr>
              <w:t>Tóm tắt các Yêu cầu của Sarbanes-Oxley</w:t>
            </w:r>
          </w:p>
        </w:tc>
      </w:tr>
      <w:tr>
        <w:tc>
          <w:tcPr>
            <w:tcW w:type="dxa" w:w="9360"/>
          </w:tcPr>
          <w:p>
            <w:r/>
            <w:r>
              <w:rPr>
                <w:b w:val="0"/>
                <w:i w:val="0"/>
                <w:sz w:val="19"/>
              </w:rPr>
              <w:t>• Chứng nhận của ban quản lý về tính chính xác của báo cáo tài chính, trách nhiệm của ban quản lý trong việc đảm bảo và báo cáo về hiệu quả của kiểm soát nội bộ công ty, và sự chứng thực của kiểm toán viên bên ngoài đối với khẳng định của ban quản lý về kiểm soát nội bộ</w:t>
            </w:r>
            <w:r>
              <w:br/>
            </w:r>
            <w:r>
              <w:rPr>
                <w:b w:val="0"/>
                <w:i w:val="0"/>
                <w:sz w:val="19"/>
              </w:rPr>
              <w:t>• Các yêu cầu mới đối với hội đồng quản trị doanh nghiệp và ủy ban kiểm toán, bao gồm tăng cường trách nhiệm giám sát của ủy ban kiểm toán (ACs) đối với quản lý tài chính của tổ chức, tuyển dụng và giám sát kiểm toán viên bên ngoài, và đảm bảo rằng một chuyên gia tài chính là thành viên của AC</w:t>
            </w:r>
            <w:r>
              <w:br/>
            </w:r>
            <w:r>
              <w:rPr>
                <w:b w:val="0"/>
                <w:i w:val="0"/>
                <w:sz w:val="19"/>
              </w:rPr>
              <w:t>• Công bố quy tắc ứng xử cho các nhân viên tài chính, bảo vệ người tố giác, và báo cáo nhanh chóng về giao dịch nội bộ</w:t>
            </w:r>
            <w:r>
              <w:br/>
            </w:r>
            <w:r>
              <w:rPr>
                <w:b w:val="0"/>
                <w:i w:val="0"/>
                <w:sz w:val="19"/>
              </w:rPr>
              <w:t>• Thành lập Ủy ban Giám sát Kế toán Công cộng Độc lập (PCAOB) như cơ quan thiết lập tiêu chuẩn cho kiểm toán</w:t>
            </w:r>
            <w:r>
              <w:br/>
            </w:r>
            <w:r>
              <w:rPr>
                <w:b w:val="0"/>
                <w:i w:val="0"/>
                <w:sz w:val="19"/>
              </w:rPr>
              <w:t>• Hình phạt hình sự đối với việc ban quản lý phát hành chứng nhận tài chính gian lận</w:t>
            </w:r>
            <w:r>
              <w:br/>
            </w:r>
            <w:r>
              <w:rPr>
                <w:b w:val="0"/>
                <w:i w:val="0"/>
                <w:sz w:val="19"/>
              </w:rPr>
              <w:t>•  Tăng cường tính độc lập của kiểm toán viên bên ngoài, đảm bảo họ không "tham gia" vào việc quản lý hoặc thực hiện các hoạt động mà họ kiểm toán; và yêu cầu luân chuyển kiểm toán viên chính sau năm năm</w:t>
            </w:r>
          </w:p>
        </w:tc>
      </w:tr>
    </w:tbl>
    <w:p>
      <w:pPr>
        <w:spacing w:after="0"/>
      </w:pPr>
    </w:p>
    <w:p>
      <w:pPr>
        <w:spacing w:after="80"/>
      </w:pPr>
      <w:r>
        <w:rPr>
          <w:b/>
          <w:i w:val="0"/>
        </w:rPr>
        <w:t>Điểm chính:</w:t>
      </w:r>
      <w:r>
        <w:rPr>
          <w:b w:val="0"/>
          <w:i w:val="0"/>
        </w:rPr>
        <w:t xml:space="preserve"> Mục 404 yêu cầu báo cáo hàng năm của ban quản lý về thiết kế và hiệu quả của kiểm soát nội bộ đối với báo cáo tài chính, và sự chứng thực của kiểm toán viên công ty về tính chính xác của đánh giá của ban quản lý:</w:t>
      </w:r>
    </w:p>
    <w:p>
      <w:pPr>
        <w:spacing w:after="80"/>
        <w:ind w:left="360"/>
      </w:pPr>
      <w:r>
        <w:t xml:space="preserve">• </w:t>
      </w:r>
      <w:r>
        <w:rPr>
          <w:b w:val="0"/>
          <w:i w:val="0"/>
        </w:rPr>
        <w:t>Đánh giá và kiểm tra kiểm soát nội bộ đối với báo cáo tài chính bằng cách sử dụng COSO để đưa ra ý kiến về hiệu quả (rộng và sâu).</w:t>
      </w:r>
    </w:p>
    <w:p>
      <w:pPr>
        <w:spacing w:after="80"/>
        <w:ind w:left="360"/>
      </w:pPr>
      <w:r>
        <w:t xml:space="preserve">• </w:t>
      </w:r>
      <w:r>
        <w:rPr>
          <w:b w:val="0"/>
          <w:i w:val="0"/>
        </w:rPr>
        <w:t>Đánh giá phải dựa trên các quy trình đủ để đánh giá thiết kế và kiểm tra hiệu quả hoạt động. Chỉ riêng việc hỏi han sẽ không cung cấp cơ sở đầy đủ cho việc đánh giá.</w:t>
      </w:r>
    </w:p>
    <w:p>
      <w:pPr>
        <w:spacing w:after="80"/>
        <w:ind w:left="360"/>
      </w:pPr>
      <w:r>
        <w:t xml:space="preserve">• </w:t>
      </w:r>
      <w:r>
        <w:rPr>
          <w:b w:val="0"/>
          <w:i w:val="0"/>
        </w:rPr>
        <w:t>Cần có sự hỗ trợ đáng kể từ các tổ chức vận hành và kiểm soát vì có tới 70% các kiểm soát trọng yếu có thể nằm ngoài phạm vi báo cáo tài chính.</w:t>
      </w:r>
    </w:p>
    <w:p>
      <w:pPr>
        <w:spacing w:after="80"/>
      </w:pPr>
      <w:r>
        <w:rPr>
          <w:b w:val="0"/>
          <w:i w:val="0"/>
        </w:rPr>
        <w:t>Trách nhiệm của ban quản lý bao gồm:</w:t>
      </w:r>
    </w:p>
    <w:p>
      <w:pPr>
        <w:spacing w:after="80"/>
        <w:ind w:left="360"/>
      </w:pPr>
      <w:r>
        <w:t xml:space="preserve">• </w:t>
      </w:r>
      <w:r>
        <w:rPr>
          <w:b w:val="0"/>
          <w:i w:val="0"/>
        </w:rPr>
        <w:t>Đánh giá thiết kế và hiệu quả của các kiểm soát nội bộ đối với báo cáo tài chính.</w:t>
      </w:r>
    </w:p>
    <w:p>
      <w:pPr>
        <w:spacing w:after="80"/>
        <w:ind w:left="360"/>
      </w:pPr>
      <w:r>
        <w:t xml:space="preserve">• </w:t>
      </w:r>
      <w:r>
        <w:rPr>
          <w:b w:val="0"/>
          <w:i w:val="0"/>
        </w:rPr>
        <w:t>Hỗ trợ việc đánh giá bằng bằng chứng đầy đủ, bao gồm tài liệu và kết quả kiểm tra.</w:t>
      </w:r>
    </w:p>
    <w:p>
      <w:pPr>
        <w:spacing w:after="80"/>
        <w:ind w:left="360"/>
      </w:pPr>
      <w:r>
        <w:t xml:space="preserve">• </w:t>
      </w:r>
      <w:r>
        <w:rPr>
          <w:b w:val="0"/>
          <w:i w:val="0"/>
        </w:rPr>
        <w:t>Đánh giá bằng văn bản về hiệu quả của các kiểm soát nội bộ đối với báo cáo tài chính tính đến thời điểm cuối năm tài chính gần nhất của công ty.</w:t>
      </w:r>
    </w:p>
    <w:p>
      <w:pPr>
        <w:spacing w:after="80"/>
        <w:ind w:left="360"/>
      </w:pPr>
      <w:r>
        <w:t xml:space="preserve">• </w:t>
      </w:r>
      <w:r>
        <w:rPr>
          <w:b w:val="0"/>
          <w:i w:val="0"/>
        </w:rPr>
        <w:t>Ban quản lý phải duy trì bằng chứng, bao gồm tài liệu, để cung cấp sự hỗ trợ hợp lý cho việc đánh giá và kiểm tra cả thiết kế lẫn hiệu quả hoạt động.</w:t>
      </w:r>
    </w:p>
    <w:p>
      <w:pPr>
        <w:spacing w:after="80"/>
      </w:pPr>
      <w:r>
        <w:rPr>
          <w:b/>
          <w:i w:val="0"/>
        </w:rPr>
        <w:t>Điểm chính:</w:t>
      </w:r>
      <w:r>
        <w:rPr>
          <w:b w:val="0"/>
          <w:i w:val="0"/>
        </w:rPr>
        <w:t xml:space="preserve"> Các định nghĩa để mô tả điểm yếu trong kiểm soát là:</w:t>
      </w:r>
    </w:p>
    <w:p>
      <w:pPr>
        <w:spacing w:after="80"/>
        <w:ind w:left="360"/>
      </w:pPr>
      <w:r>
        <w:rPr>
          <w:b/>
          <w:i w:val="0"/>
        </w:rPr>
        <w:t>Khiếm khuyết trọng yếu (significant deficiency):</w:t>
      </w:r>
      <w:r>
        <w:rPr>
          <w:b w:val="0"/>
          <w:i w:val="0"/>
        </w:rPr>
        <w:t xml:space="preserve"> Một khiếm khuyết trong kiểm soát, hoặc sự kết hợp của các khiếm khuyết trong kiểm soát, gây ảnh hưởng tiêu cực đến khả năng của công ty trong việc khởi tạo, phê duyệt, ghi nhận, xử lý hoặc báo cáo dữ liệu tài chính bên ngoài một cách đáng tin cậy theo các nguyên tắc kế toán được chấp nhận chung, đến mức có nhiều hơn khả năng rất xa rằng một sai sót trong báo cáo tài chính thường niên hoặc giữa kỳ của công ty ở mức hơn mức không đáng kể sẽ không bị ngăn chặn hoặc phát hiện.</w:t>
      </w:r>
    </w:p>
    <w:p>
      <w:pPr>
        <w:spacing w:after="80"/>
        <w:ind w:left="360"/>
      </w:pPr>
      <w:r>
        <w:rPr>
          <w:b/>
          <w:i w:val="0"/>
        </w:rPr>
        <w:t>Điểm yếu trọng yếu (material weakness):</w:t>
      </w:r>
      <w:r>
        <w:rPr>
          <w:b w:val="0"/>
          <w:i w:val="0"/>
        </w:rPr>
        <w:t xml:space="preserve"> Một khiếm khuyết trọng yếu, hoặc sự kết hợp của các khiếm khuyết trọng yếu, dẫn đến nhiều hơn khả năng rất xa rằng một sai sót trọng yếu trong báo cáo tài chính thường niên hoặc giữa kỳ sẽ không bị ngăn chặn hoặc phát hiện. Để đảm bảo kết quả thành công, nhiều tổ chức đã liệt kê các mục sau đây như những thực hành tốt nhất mà các công ty tư nhân có thể áp dụng:</w:t>
      </w:r>
    </w:p>
    <w:tbl>
      <w:tblPr>
        <w:tblStyle w:val="TableGrid"/>
        <w:tblW w:type="auto" w:w="0"/>
        <w:tblLook w:firstColumn="1" w:firstRow="1" w:lastColumn="0" w:lastRow="0" w:noHBand="0" w:noVBand="1" w:val="04A0"/>
      </w:tblPr>
      <w:tblGrid>
        <w:gridCol w:w="9360"/>
      </w:tblGrid>
      <w:tr>
        <w:tc>
          <w:tcPr>
            <w:tcW w:type="dxa" w:w="9360"/>
          </w:tcPr>
          <w:p>
            <w:r/>
            <w:r>
              <w:rPr>
                <w:b/>
                <w:i w:val="0"/>
                <w:sz w:val="19"/>
              </w:rPr>
              <w:t>Thực hành tốt nhất theo Sarbanes-Oxley</w:t>
            </w:r>
          </w:p>
        </w:tc>
      </w:tr>
      <w:tr>
        <w:tc>
          <w:tcPr>
            <w:tcW w:type="dxa" w:w="9360"/>
          </w:tcPr>
          <w:p>
            <w:r/>
            <w:r>
              <w:rPr>
                <w:b w:val="0"/>
                <w:i w:val="0"/>
                <w:sz w:val="19"/>
              </w:rPr>
              <w:t>• Có các ủy ban chỉ đạo và công bố thông tin mạnh mẽ.</w:t>
            </w:r>
            <w:r>
              <w:br/>
            </w:r>
            <w:r>
              <w:rPr>
                <w:b w:val="0"/>
                <w:i w:val="0"/>
                <w:sz w:val="19"/>
              </w:rPr>
              <w:t>• Tham gia với kiểm toán viên bên ngoài ngay từ sớm.</w:t>
            </w:r>
            <w:r>
              <w:br/>
            </w:r>
            <w:r>
              <w:rPr>
                <w:b w:val="0"/>
                <w:i w:val="0"/>
                <w:sz w:val="19"/>
              </w:rPr>
              <w:t>• Phát triển các hoạt động truyền thông toàn tổ chức cho mỗi sự kiện thường niên.</w:t>
            </w:r>
            <w:r>
              <w:br/>
            </w:r>
            <w:r>
              <w:rPr>
                <w:b w:val="0"/>
                <w:i w:val="0"/>
                <w:sz w:val="19"/>
              </w:rPr>
              <w:t>• Sự đồng thuận của ban quản lý là thiết yếu cùng với các bên liên quan chính.</w:t>
            </w:r>
            <w:r>
              <w:br/>
            </w:r>
            <w:r>
              <w:rPr>
                <w:b w:val="0"/>
                <w:i w:val="0"/>
                <w:sz w:val="19"/>
              </w:rPr>
              <w:t>• Cân bằng nỗ lực tài liệu hóa và sử dụng tự động hóa khi có thể.</w:t>
            </w:r>
            <w:r>
              <w:br/>
            </w:r>
            <w:r>
              <w:rPr>
                <w:b w:val="0"/>
                <w:i w:val="0"/>
                <w:sz w:val="19"/>
              </w:rPr>
              <w:t>• Đảm bảo rằng các nguồn lực của công ty và chủ sở hữu quy trình được tham gia xuyên suốt quá trình.</w:t>
            </w:r>
            <w:r>
              <w:br/>
            </w:r>
            <w:r>
              <w:rPr>
                <w:b w:val="0"/>
                <w:i w:val="0"/>
                <w:sz w:val="19"/>
              </w:rPr>
              <w:t>• Xác định và hỗ trợ những người tiên phong trong việc duy trì thông tin luôn cập nhật.</w:t>
            </w:r>
            <w:r>
              <w:br/>
            </w:r>
            <w:r>
              <w:rPr>
                <w:b w:val="0"/>
                <w:i w:val="0"/>
                <w:sz w:val="19"/>
              </w:rPr>
              <w:t>• Phát triển quy trình có cấu trúc, khả thi để cập nhật tài liệu nhằm xử lý các thay đổi về tổ chức hoặc hệ thống.</w:t>
            </w:r>
            <w:r>
              <w:br/>
            </w:r>
            <w:r>
              <w:rPr>
                <w:b w:val="0"/>
                <w:i w:val="0"/>
                <w:sz w:val="19"/>
              </w:rPr>
              <w:t>• Đảm bảo việc xem xét định kỳ các chương trình kiểm soát nội bộ của tổ chức.</w:t>
            </w:r>
          </w:p>
        </w:tc>
      </w:tr>
    </w:tbl>
    <w:p>
      <w:pPr>
        <w:spacing w:after="0"/>
      </w:pPr>
    </w:p>
    <w:p>
      <w:pPr>
        <w:pStyle w:val="Heading2"/>
      </w:pPr>
      <w:r>
        <w:rPr>
          <w:rFonts w:ascii="Calibri" w:hAnsi="Calibri"/>
          <w:b/>
          <w:i w:val="0"/>
          <w:sz w:val="32"/>
        </w:rPr>
        <w:t>QUẢN TRỊ RỦI RO DOANH NGHIỆP (ERM) – KHUNG TÍCH HỢP 2004 VÀ 2013</w:t>
      </w:r>
    </w:p>
    <w:p>
      <w:pPr>
        <w:spacing w:after="80"/>
      </w:pPr>
      <w:r>
        <w:rPr>
          <w:b w:val="0"/>
          <w:i w:val="0"/>
        </w:rPr>
        <w:t>COSO định nghĩa quản trị rủi ro doanh nghiệp (ERM) là “một quy trình, được thực hiện bởi hội đồng quản trị, ban quản lý và các nhân sự khác của một thực thể; được áp dụng trong việc thiết lập chiến lược và trên toàn doanh nghiệp; được thiết kế để nhận diện các sự kiện tiềm ẩn có thể ảnh hưởng đến thực thể; và quản lý rủi ro nằm trong mức độ chấp nhận rủi ro của mình, nhằm cung cấp sự đảm bảo hợp lý về việc đạt được các mục tiêu của thực thể.”</w:t>
      </w:r>
    </w:p>
    <w:p>
      <w:pPr>
        <w:spacing w:after="80"/>
      </w:pPr>
      <w:r>
        <w:rPr>
          <w:b w:val="0"/>
          <w:i w:val="0"/>
        </w:rPr>
        <w:t>Trong Khung Tích hợp Quản trị Rủi ro Doanh nghiệp, COSO mở rộng Khung Tích hợp Kiểm soát Nội bộ vốn được đánh giá cao của mình để khám phá và mở rộng quản trị rủi ro một cách rộng hơn từ bốn góc độ: chiến lược, vận hành, tài chính và tuân thủ. Dựa trên khung kiểm soát nội bộ, các thành phần của khung ERM bao gồm môi trường nội bộ, thiết lập mục tiêu, nhận diện sự kiện, đánh giá rủi ro, ứng phó rủi ro, hoạt động kiểm soát, thông tin và truyền thông, và giám sát.</w:t>
      </w:r>
    </w:p>
    <w:p>
      <w:pPr>
        <w:pStyle w:val="Heading3"/>
      </w:pPr>
      <w:r>
        <w:rPr>
          <w:rFonts w:ascii="Calibri" w:hAnsi="Calibri"/>
          <w:b/>
          <w:i w:val="0"/>
          <w:sz w:val="26"/>
        </w:rPr>
        <w:t>Ví dụ: Quản trị Rủi ro Doanh nghiệp (ERM) và Ứng dụng vào Chu trình Mua hàng đến Thanh toán (P2P)</w:t>
      </w:r>
    </w:p>
    <w:p>
      <w:pPr>
        <w:spacing w:after="80"/>
      </w:pPr>
      <w:r>
        <w:rPr>
          <w:b w:val="0"/>
          <w:i w:val="0"/>
        </w:rPr>
        <w:t>Quản trị rủi ro doanh nghiệp (ERM) trong kinh doanh bao gồm các phương pháp và quy trình mà tổ chức sử dụng để quản lý rủi ro và nắm bắt cơ hội liên quan đến việc đạt được các mục tiêu của mình. ERM cung cấp một khuôn khổ cho quản trị rủi ro, thường bao gồm việc nhận diện các sự kiện hoặc tình huống cụ thể có liên quan đến mục tiêu của tổ chức (rủi ro và cơ hội), đánh giá chúng về khả năng xảy ra và mức độ ảnh hưởng, xác định chiến lược ứng phó, và giám sát quá trình. Bằng cách nhận diện và chủ động xử lý rủi ro và cơ hội, các doanh nghiệp bảo vệ và tạo ra giá trị cho các bên liên quan, bao gồm chủ sở hữu, nhân viên, khách hàng, cơ quan quản lý và toàn xã hội.</w:t>
      </w:r>
    </w:p>
    <w:p>
      <w:pPr>
        <w:spacing w:after="80"/>
      </w:pPr>
      <w:r>
        <w:rPr>
          <w:b w:val="0"/>
          <w:i w:val="0"/>
        </w:rPr>
        <w:t>ERM cũng có thể được mô tả như một cách tiếp cận dựa trên rủi ro để quản lý một doanh nghiệp, tích hợp các khái niệm về kiểm soát nội bộ, Đạo luật Sarbanes-Oxley, bảo vệ dữ liệu và hoạch định chiến lược. ERM đang phát triển để đáp ứng nhu cầu của nhiều bên liên quan khác nhau, những người muốn hiểu rõ toàn bộ phổ rủi ro mà các tổ chức phức tạp đang đối mặt để đảm bảo chúng được quản lý một cách thích hợp. Các cơ quan quản lý và tổ chức xếp hạng tín dụng đã tăng cường giám sát các quy trình quản trị rủi ro của doanh nghiệp.</w:t>
      </w:r>
    </w:p>
    <w:p>
      <w:pPr>
        <w:spacing w:after="80"/>
      </w:pPr>
      <w:r>
        <w:rPr>
          <w:b w:val="0"/>
          <w:i w:val="0"/>
        </w:rPr>
        <w:t>Tất cả chúng ta đều đã tập trung vào việc triển khai kiểm soát nội bộ trong tổ chức của mình để đáp ứng các yêu cầu của Đạo luật Sarbanes-Oxley (SOX), Mục 404. Nhiều công ty đã đặt câu hỏi liệu các quy trình kiểm soát của họ có đang đi đúng hướng không, và bắt đầu tự hỏi liệu họ có đang "chỉ làm cho có lệ" hay không. Một câu hỏi khác cần cân nhắc: Liệu các biện pháp kiểm soát có giải quyết thỏa đáng rủi ro của một tổ chức hoặc đơn vị không đạt được mục tiêu hoặc không hoàn thành một chiến lược then chốt hay không? Cuối cùng, liệu rủi ro đó có thể được quản lý không?</w:t>
      </w:r>
    </w:p>
    <w:p>
      <w:pPr>
        <w:spacing w:after="80"/>
      </w:pPr>
      <w:r>
        <w:rPr>
          <w:b w:val="0"/>
          <w:i w:val="0"/>
        </w:rPr>
        <w:t xml:space="preserve">Ủy ban các Tổ chức Bảo trợ thuộc Ủy ban Treadway (COSO) đã ban hành </w:t>
      </w:r>
      <w:r>
        <w:rPr>
          <w:b w:val="0"/>
          <w:i/>
        </w:rPr>
        <w:t>Kiểm soát Nội bộ—Khuôn khổ Tích hợp</w:t>
      </w:r>
      <w:r>
        <w:rPr>
          <w:b w:val="0"/>
          <w:i w:val="0"/>
        </w:rPr>
        <w:t xml:space="preserve"> để giúp các doanh nghiệp và các đơn vị khác đánh giá và nâng cao hệ thống kiểm soát nội bộ của họ. Khuôn khổ đó kể từ đó đã được đưa vào các chính sách, quy tắc và quy định, được hàng nghìn doanh nghiệp sử dụng để kiểm soát tốt hơn quá trình đạt được các mục tiêu đã đề ra.</w:t>
      </w:r>
    </w:p>
    <w:p>
      <w:pPr>
        <w:spacing w:after="80"/>
      </w:pPr>
      <w:r>
        <w:rPr>
          <w:b w:val="0"/>
          <w:i w:val="0"/>
        </w:rPr>
        <w:t>ERM là một quy trình, chịu ảnh hưởng bởi hội đồng quản trị, ban lãnh đạo và các nhân sự khác của đơn vị, được áp dụng trong quá trình thiết lập chiến lược trên toàn doanh nghiệp nhằm:</w:t>
      </w:r>
    </w:p>
    <w:p>
      <w:pPr>
        <w:spacing w:after="80"/>
        <w:ind w:left="360"/>
      </w:pPr>
      <w:r>
        <w:t xml:space="preserve">• </w:t>
      </w:r>
      <w:r>
        <w:rPr>
          <w:b w:val="0"/>
          <w:i w:val="0"/>
        </w:rPr>
        <w:t>Nhận diện các sự kiện tiềm ẩn có thể ảnh hưởng đến đơn vị và quản lý rủi ro nằm trong "khẩu vị rủi ro" (risk appetite) của mình, có thể được định nghĩa là mức độ chấp nhận rủi ro mà một công ty sẵn sàng cho phép. Một số công ty rất thận trọng và tránh rủi ro bằng cách tập trung vào quá nhiều biện pháp kiểm soát. Ví dụ, một công ty có thể có nhiều cấp phê duyệt cho việc chi tiêu. Điều này có thể trở thành một quá trình thu thập chữ ký thay vì một quá trình phê duyệt thực sự.</w:t>
      </w:r>
    </w:p>
    <w:p>
      <w:pPr>
        <w:spacing w:after="80"/>
        <w:ind w:left="360"/>
      </w:pPr>
      <w:r>
        <w:t xml:space="preserve">• </w:t>
      </w:r>
      <w:r>
        <w:rPr>
          <w:b w:val="0"/>
          <w:i w:val="0"/>
        </w:rPr>
        <w:t>Cung cấp sự đảm bảo hợp lý về việc đạt được các mục tiêu của đơn vị. ERM là một quy trình cung cấp mức độ đảm bảo hợp lý rằng các mục tiêu tổng thể của công ty sẽ đạt được.</w:t>
      </w:r>
    </w:p>
    <w:p>
      <w:pPr>
        <w:spacing w:after="80"/>
      </w:pPr>
      <w:r>
        <w:rPr>
          <w:b w:val="0"/>
          <w:i w:val="0"/>
        </w:rPr>
        <w:t>ERM được thiết kế để nâng cao "ý thức về rủi ro và kiểm soát" nhất quán trong toàn doanh nghiệp và trở thành một mô hình được chấp nhận phổ biến để thảo luận và đánh giá quy trình quản trị rủi ro.</w:t>
      </w:r>
    </w:p>
    <w:p>
      <w:pPr>
        <w:spacing w:after="80"/>
      </w:pPr>
      <w:r>
        <w:rPr>
          <w:b w:val="0"/>
          <w:i w:val="0"/>
        </w:rPr>
        <w:t>ERM bao gồm tám thành phần có liên quan với nhau, được phát triển từ cách ban lãnh đạo điều hành doanh nghiệp và nên được tích hợp với quy trình quản lý. Các thành phần đó là:</w:t>
      </w:r>
    </w:p>
    <w:p>
      <w:pPr>
        <w:spacing w:after="80"/>
        <w:ind w:left="360"/>
      </w:pPr>
      <w:r>
        <w:t xml:space="preserve">1. </w:t>
      </w:r>
      <w:r>
        <w:rPr>
          <w:b/>
          <w:i w:val="0"/>
        </w:rPr>
        <w:t>Môi trường Nội bộ</w:t>
      </w:r>
      <w:r>
        <w:rPr>
          <w:b w:val="0"/>
          <w:i w:val="0"/>
        </w:rPr>
        <w:t xml:space="preserve"> — Môi trường nội bộ bao trùm phong thái của một tổ chức. Nó đặt nền tảng cho cách nhìn nhận và xử lý rủi ro, bao gồm triết lý quản trị rủi ro, khẩu vị rủi ro, tính chính trực, các giá trị đạo đức và môi trường mà họ hoạt động.</w:t>
      </w:r>
    </w:p>
    <w:p>
      <w:pPr>
        <w:spacing w:after="80"/>
        <w:ind w:left="360"/>
      </w:pPr>
      <w:r>
        <w:t xml:space="preserve">2. </w:t>
      </w:r>
      <w:r>
        <w:rPr>
          <w:b/>
          <w:i w:val="0"/>
        </w:rPr>
        <w:t>Thiết lập Mục tiêu</w:t>
      </w:r>
      <w:r>
        <w:rPr>
          <w:b w:val="0"/>
          <w:i w:val="0"/>
        </w:rPr>
        <w:t xml:space="preserve"> — Các mục tiêu phải tồn tại trước khi ban lãnh đạo có thể nhận diện các sự kiện tiềm ẩn ảnh hưởng đến việc đạt được chúng. ERM đảm bảo rằng ban lãnh đạo có một quy trình được thiết lập để đặt ra mục tiêu và rằng các mục tiêu được chọn hỗ trợ và phù hợp với sứ mệnh của đơn vị cũng như nhất quán với khẩu vị rủi ro của mình.</w:t>
      </w:r>
    </w:p>
    <w:p>
      <w:pPr>
        <w:spacing w:after="80"/>
        <w:ind w:left="360"/>
      </w:pPr>
      <w:r>
        <w:t xml:space="preserve">3. </w:t>
      </w:r>
      <w:r>
        <w:rPr>
          <w:b/>
          <w:i w:val="0"/>
        </w:rPr>
        <w:t>Nhận diện Sự kiện</w:t>
      </w:r>
      <w:r>
        <w:rPr>
          <w:b w:val="0"/>
          <w:i w:val="0"/>
        </w:rPr>
        <w:t xml:space="preserve"> — Các sự kiện nội bộ và bên ngoài ảnh hưởng đến việc đạt được mục tiêu của đơn vị phải được nhận diện, phân biệt giữa rủi ro và cơ hội. Các cơ hội được chuyển trở lại </w:t>
      </w:r>
      <w:r>
        <w:rPr>
          <w:b w:val="0"/>
          <w:i/>
        </w:rPr>
        <w:t>quy trình thiết lập chiến lược hoặc mục tiêu</w:t>
      </w:r>
      <w:r>
        <w:rPr>
          <w:b w:val="0"/>
          <w:i w:val="0"/>
        </w:rPr>
        <w:t xml:space="preserve"> của ban lãnh đạo.</w:t>
      </w:r>
    </w:p>
    <w:p>
      <w:pPr>
        <w:spacing w:after="80"/>
        <w:ind w:left="360"/>
      </w:pPr>
      <w:r>
        <w:t xml:space="preserve">4. </w:t>
      </w:r>
      <w:r>
        <w:rPr>
          <w:b/>
          <w:i w:val="0"/>
        </w:rPr>
        <w:t>Đánh giá Rủi ro</w:t>
      </w:r>
      <w:r>
        <w:rPr>
          <w:b w:val="0"/>
          <w:i w:val="0"/>
        </w:rPr>
        <w:t xml:space="preserve"> — Rủi ro được phân tích, xem xét khả năng xảy ra và mức độ ảnh hưởng, làm cơ sở để xác định cách quản lý chúng.</w:t>
      </w:r>
    </w:p>
    <w:p>
      <w:pPr>
        <w:spacing w:after="80"/>
        <w:ind w:left="360"/>
      </w:pPr>
      <w:r>
        <w:t xml:space="preserve">5. </w:t>
      </w:r>
      <w:r>
        <w:rPr>
          <w:b/>
          <w:i w:val="0"/>
        </w:rPr>
        <w:t>Ứng phó Rủi ro</w:t>
      </w:r>
      <w:r>
        <w:rPr>
          <w:b w:val="0"/>
          <w:i w:val="0"/>
        </w:rPr>
        <w:t xml:space="preserve"> — Ban lãnh đạo lựa chọn các biện pháp ứng phó rủi ro—né tránh, chấp nhận, giảm thiểu hoặc chia sẻ rủi ro—để phát triển một tập hợp các hành động nhằm đưa rủi ro phù hợp với mức độ chấp nhận rủi ro của đơn vị.</w:t>
      </w:r>
    </w:p>
    <w:p>
      <w:pPr>
        <w:spacing w:after="80"/>
        <w:ind w:left="360"/>
      </w:pPr>
      <w:r>
        <w:t xml:space="preserve">6. </w:t>
      </w:r>
      <w:r>
        <w:rPr>
          <w:b/>
          <w:i w:val="0"/>
        </w:rPr>
        <w:t>Hoạt động Kiểm soát</w:t>
      </w:r>
      <w:r>
        <w:rPr>
          <w:b w:val="0"/>
          <w:i w:val="0"/>
        </w:rPr>
        <w:t xml:space="preserve"> — Các chính sách và thủ tục được thiết lập và triển khai để giúp đảm bảo các biện pháp ứng phó rủi ro được thực hiện một cách hiệu quả.</w:t>
      </w:r>
    </w:p>
    <w:p>
      <w:pPr>
        <w:spacing w:after="80"/>
        <w:ind w:left="360"/>
      </w:pPr>
      <w:r>
        <w:t xml:space="preserve">7. </w:t>
      </w:r>
      <w:r>
        <w:rPr>
          <w:b/>
          <w:i w:val="0"/>
        </w:rPr>
        <w:t>Thông tin và Truyền thông</w:t>
      </w:r>
      <w:r>
        <w:rPr>
          <w:b w:val="0"/>
          <w:i w:val="0"/>
        </w:rPr>
        <w:t xml:space="preserve"> — Thông tin liên quan được nhận diện, thu thập và truyền đạt dưới hình thức và khung thời gian cho phép mọi người thực hiện trách nhiệm của mình. Truyền thông hiệu quả cũng diễn ra theo nghĩa rộng hơn, chảy xuống, xuyên qua và lên trên trong đơn vị.</w:t>
      </w:r>
    </w:p>
    <w:p>
      <w:pPr>
        <w:spacing w:after="80"/>
        <w:ind w:left="360"/>
      </w:pPr>
      <w:r>
        <w:t xml:space="preserve">8. </w:t>
      </w:r>
      <w:r>
        <w:rPr>
          <w:b/>
          <w:i w:val="0"/>
        </w:rPr>
        <w:t>Giám sát</w:t>
      </w:r>
      <w:r>
        <w:rPr>
          <w:b w:val="0"/>
          <w:i w:val="0"/>
        </w:rPr>
        <w:t xml:space="preserve"> — Toàn bộ ERM được giám sát và các điều chỉnh được thực hiện khi cần thiết. Việc giám sát được thực hiện thông qua các hoạt động quản lý thường xuyên, các đánh giá riêng biệt, hoặc cả hai. Hoạt động quản lý được định nghĩa là hoạch định kinh doanh, kiểm soát nội bộ, truyền thông, quản trị doanh nghiệp và hạ tầng doanh nghiệp.</w:t>
      </w:r>
    </w:p>
    <w:p>
      <w:pPr>
        <w:pStyle w:val="Heading3"/>
      </w:pPr>
      <w:r>
        <w:rPr>
          <w:rFonts w:ascii="Calibri" w:hAnsi="Calibri"/>
          <w:b/>
          <w:i w:val="0"/>
          <w:sz w:val="26"/>
        </w:rPr>
        <w:t>Danh sách kiểm tra ERM</w:t>
      </w:r>
    </w:p>
    <w:p>
      <w:pPr>
        <w:spacing w:after="80"/>
      </w:pPr>
      <w:r>
        <w:rPr>
          <w:b w:val="0"/>
          <w:i w:val="0"/>
        </w:rPr>
        <w:t>Bắt đầu từ cấp độ doanh nghiệp, các cân nhắc kiểm soát bao gồm:</w:t>
      </w:r>
    </w:p>
    <w:p>
      <w:pPr>
        <w:spacing w:after="80"/>
        <w:ind w:left="360"/>
      </w:pPr>
      <w:r>
        <w:t xml:space="preserve">1. </w:t>
      </w:r>
      <w:r>
        <w:rPr>
          <w:b/>
          <w:i w:val="0"/>
        </w:rPr>
        <w:t>Các mục tiêu cấp doanh nghiệp đã được thiết lập và truyền đạt</w:t>
      </w:r>
      <w:r>
        <w:rPr>
          <w:b w:val="0"/>
          <w:i w:val="0"/>
        </w:rPr>
        <w:t xml:space="preserve"> , bao gồm cách chúng được hỗ trợ bởi các kế hoạch chiến lược và được bổ sung ở cấp độ quy trình/ứng dụng. Một quy trình đánh giá rủi ro, bao gồm ước tính mức độ quan trọng của rủi ro, đánh giá khả năng xảy ra của chúng và xác định các hành động cần thiết, nên được thiết lập.</w:t>
      </w:r>
    </w:p>
    <w:p>
      <w:pPr>
        <w:spacing w:after="80"/>
        <w:ind w:left="720"/>
      </w:pPr>
      <w:r>
        <w:t xml:space="preserve">• </w:t>
      </w:r>
      <w:r>
        <w:rPr>
          <w:b w:val="0"/>
          <w:i w:val="0"/>
        </w:rPr>
        <w:t>Liệu các cấp độ đó có không?</w:t>
      </w:r>
    </w:p>
    <w:p>
      <w:pPr>
        <w:spacing w:after="80"/>
        <w:ind w:left="720"/>
      </w:pPr>
      <w:r>
        <w:t xml:space="preserve">• </w:t>
      </w:r>
      <w:r>
        <w:rPr>
          <w:b w:val="0"/>
          <w:i w:val="0"/>
        </w:rPr>
        <w:t>Việc mua lại và thoái vốn các tài sản quan trọng có được kiểm soát phù hợp không (ví dụ: một quy trình thẩm định đã hoàn thành và được cấp quản lý phù hợp xem xét)?</w:t>
      </w:r>
    </w:p>
    <w:p>
      <w:pPr>
        <w:spacing w:after="80"/>
        <w:ind w:left="720"/>
      </w:pPr>
      <w:r>
        <w:t xml:space="preserve">• </w:t>
      </w:r>
      <w:r>
        <w:rPr>
          <w:b w:val="0"/>
          <w:i w:val="0"/>
        </w:rPr>
        <w:t>Có các cơ chế đầy đủ để nhận diện rủi ro kinh doanh không, bao gồm những rủi ro phát sinh từ:</w:t>
      </w:r>
    </w:p>
    <w:p>
      <w:pPr>
        <w:spacing w:after="80"/>
        <w:ind w:left="1080"/>
      </w:pPr>
      <w:r>
        <w:t xml:space="preserve">• </w:t>
      </w:r>
      <w:r>
        <w:rPr>
          <w:b w:val="0"/>
          <w:i w:val="0"/>
        </w:rPr>
        <w:t>Thị trường hoặc lĩnh vực kinh doanh mới?</w:t>
      </w:r>
    </w:p>
    <w:p>
      <w:pPr>
        <w:spacing w:after="80"/>
        <w:ind w:left="1080"/>
      </w:pPr>
      <w:r>
        <w:t xml:space="preserve">• </w:t>
      </w:r>
      <w:r>
        <w:rPr>
          <w:b w:val="0"/>
          <w:i w:val="0"/>
        </w:rPr>
        <w:t>Sản phẩm và dịch vụ mới?</w:t>
      </w:r>
    </w:p>
    <w:p>
      <w:pPr>
        <w:spacing w:after="80"/>
        <w:ind w:left="1080"/>
      </w:pPr>
      <w:r>
        <w:t xml:space="preserve">• </w:t>
      </w:r>
      <w:r>
        <w:rPr>
          <w:b w:val="0"/>
          <w:i w:val="0"/>
        </w:rPr>
        <w:t>Các yêu cầu tuân thủ về quyền riêng tư và bảo vệ dữ liệu?</w:t>
      </w:r>
    </w:p>
    <w:p>
      <w:pPr>
        <w:spacing w:after="80"/>
        <w:ind w:left="1080"/>
      </w:pPr>
      <w:r>
        <w:t xml:space="preserve">• </w:t>
      </w:r>
      <w:r>
        <w:rPr>
          <w:b w:val="0"/>
          <w:i w:val="0"/>
        </w:rPr>
        <w:t>Những thay đổi khác trong môi trường kinh doanh, kinh tế và pháp lý?</w:t>
      </w:r>
    </w:p>
    <w:p>
      <w:pPr>
        <w:spacing w:after="80"/>
        <w:ind w:left="360"/>
      </w:pPr>
      <w:r>
        <w:t xml:space="preserve">2. </w:t>
      </w:r>
      <w:r>
        <w:rPr>
          <w:b/>
          <w:i w:val="0"/>
        </w:rPr>
        <w:t>Truyền thông đầy đủ ở cấp độ tổ chức</w:t>
      </w:r>
      <w:r>
        <w:rPr>
          <w:b w:val="0"/>
          <w:i w:val="0"/>
        </w:rPr>
        <w:t xml:space="preserve"> để giúp mọi người thực hiện trách nhiệm của mình một cách hiệu quả, cho phép ban quản lý thực hiện hành động theo dõi kịp thời và phù hợp đối với các thông tin liên lạc nhận được từ khách hàng, nhà cung cấp, cơ quan quản lý và/hoặc các bên bên ngoài khác.</w:t>
      </w:r>
    </w:p>
    <w:p>
      <w:pPr>
        <w:spacing w:after="80"/>
        <w:ind w:left="720"/>
      </w:pPr>
      <w:r>
        <w:t xml:space="preserve">• </w:t>
      </w:r>
      <w:r>
        <w:rPr>
          <w:b w:val="0"/>
          <w:i w:val="0"/>
        </w:rPr>
        <w:t>Có quy trình theo dõi việc truyền thông không?</w:t>
      </w:r>
    </w:p>
    <w:p>
      <w:pPr>
        <w:spacing w:after="80"/>
        <w:ind w:left="720"/>
      </w:pPr>
      <w:r>
        <w:t xml:space="preserve">• </w:t>
      </w:r>
      <w:r>
        <w:rPr>
          <w:b w:val="0"/>
          <w:i w:val="0"/>
        </w:rPr>
        <w:t>Quyền sở hữu có được giao cho nhân sự quản lý cụ thể để giúp đảm bảo tổ chức phản hồi đúng đắn, kịp thời và chính xác đối với các thông tin liên lạc không?</w:t>
      </w:r>
    </w:p>
    <w:p>
      <w:pPr>
        <w:spacing w:after="80"/>
      </w:pPr>
      <w:r>
        <w:rPr>
          <w:b/>
          <w:i w:val="0"/>
        </w:rPr>
        <w:t>Điểm chính:</w:t>
      </w:r>
      <w:r>
        <w:rPr>
          <w:b w:val="0"/>
          <w:i w:val="0"/>
        </w:rPr>
        <w:t xml:space="preserve"> ERM liên quan đến động lực trên toàn công ty. Mặc dù ERM không phải là một yêu cầu pháp lý, nó có thể tạo ra lợi thế cạnh tranh. Sơ đồ dưới đây khớp các hoạt động chính của Mục 404 với mô hình ERM. Như bạn có thể thấy, mô hình ERM hỗ trợ và bổ sung cho các yêu cầu của SOX 404.</w:t>
      </w:r>
    </w:p>
    <w:p>
      <w:pPr>
        <w:jc w:val="center"/>
      </w:pPr>
      <w:r>
        <w:drawing>
          <wp:inline xmlns:a="http://schemas.openxmlformats.org/drawingml/2006/main" xmlns:pic="http://schemas.openxmlformats.org/drawingml/2006/picture">
            <wp:extent cx="5486400" cy="2783475"/>
            <wp:docPr id="3" name="Picture 3"/>
            <wp:cNvGraphicFramePr>
              <a:graphicFrameLocks noChangeAspect="1"/>
            </wp:cNvGraphicFramePr>
            <a:graphic>
              <a:graphicData uri="http://schemas.openxmlformats.org/drawingml/2006/picture">
                <pic:pic>
                  <pic:nvPicPr>
                    <pic:cNvPr id="0" name="Image00004.jpg"/>
                    <pic:cNvPicPr/>
                  </pic:nvPicPr>
                  <pic:blipFill>
                    <a:blip r:embed="rId11"/>
                    <a:stretch>
                      <a:fillRect/>
                    </a:stretch>
                  </pic:blipFill>
                  <pic:spPr>
                    <a:xfrm>
                      <a:off x="0" y="0"/>
                      <a:ext cx="5486400" cy="2783475"/>
                    </a:xfrm>
                    <a:prstGeom prst="rect"/>
                  </pic:spPr>
                </pic:pic>
              </a:graphicData>
            </a:graphic>
          </wp:inline>
        </w:drawing>
      </w:r>
    </w:p>
    <w:p>
      <w:pPr>
        <w:pStyle w:val="Heading3"/>
      </w:pPr>
      <w:r>
        <w:rPr>
          <w:rFonts w:ascii="Calibri" w:hAnsi="Calibri"/>
          <w:b/>
          <w:i w:val="0"/>
          <w:sz w:val="26"/>
        </w:rPr>
        <w:t>Kiểm soát nội bộ đối với báo cáo tài chính—Hướng dẫn cho các công ty đại chúng nhỏ hơn—2006</w:t>
      </w:r>
    </w:p>
    <w:p>
      <w:pPr>
        <w:spacing w:after="80"/>
      </w:pPr>
      <w:r>
        <w:rPr>
          <w:b w:val="0"/>
          <w:i w:val="0"/>
        </w:rPr>
        <w:t>Trong nhiều năm, các công ty nhỏ hơn đã vật lộn để áp dụng Khung Kiểm soát Nội bộ Tích hợp của COSO. Trong hướng dẫn này, COSO cung cấp một cách tiếp cận dựa trên nguyên tắc đối với kiểm soát nội bộ, được thiết kế riêng cho các công ty nhỏ hơn. Tuy nhiên, nó thực sự đã chứng minh được lợi ích cho các công ty ở mọi quy mô. Hướng dẫn này giúp ban lãnh đạo thiết lập và duy trì kiểm soát nội bộ hiệu quả đối với báo cáo tài chính, đồng thời cung cấp thông tin về việc tuân thủ các quy tắc và quy định mới trong khi vẫn kiểm soát được chi phí.</w:t>
      </w:r>
    </w:p>
    <w:p>
      <w:pPr>
        <w:pStyle w:val="Heading3"/>
      </w:pPr>
      <w:r>
        <w:rPr>
          <w:rFonts w:ascii="Calibri" w:hAnsi="Calibri"/>
          <w:b/>
          <w:i w:val="0"/>
          <w:sz w:val="26"/>
        </w:rPr>
        <w:t>Hướng dẫn về Giám sát Hệ thống Kiểm soát Nội bộ—2009</w:t>
      </w:r>
    </w:p>
    <w:p>
      <w:pPr>
        <w:spacing w:after="80"/>
      </w:pPr>
      <w:r>
        <w:rPr>
          <w:b w:val="0"/>
          <w:i w:val="0"/>
        </w:rPr>
        <w:t>Nhận thấy sự thiếu hụt các nguồn tài liệu sẵn có về giám sát, COSO đã phát hành hướng dẫn này để giúp các tổ chức đảm bảo họ có hiểu biết chính xác về tính hiệu quả của các kiểm soát nội bộ của mình, từ đó có thể thực hiện hành động khắc phục khi cần thiết. Hướng dẫn này đề cao một tông giọng đúng đắn từ cấp trên nhằm hỗ trợ việc giám sát, một cơ cấu tổ chức hiệu quả phân công vai trò giám sát cho những người có năng lực, tính khách quan và thẩm quyền phù hợp, cùng một "điểm chuẩn" (baseline) mà tại đó việc giám sát bắt đầu và từ đó có thể rút ra những kết luận chính xác về sự cải thiện. Các hoạt động khác bao gồm thiết kế và thực thi các thủ tục giám sát, đánh giá và báo cáo kết quả, và theo dõi tiếp khi cần thiết.</w:t>
      </w:r>
    </w:p>
    <w:p>
      <w:pPr>
        <w:pStyle w:val="Heading3"/>
      </w:pPr>
      <w:r>
        <w:rPr>
          <w:rFonts w:ascii="Calibri" w:hAnsi="Calibri"/>
          <w:b/>
          <w:i w:val="0"/>
          <w:sz w:val="26"/>
        </w:rPr>
        <w:t>Định nghĩa và Mục tiêu của Kiểm soát Nội bộ</w:t>
      </w:r>
    </w:p>
    <w:p>
      <w:pPr>
        <w:spacing w:after="80"/>
      </w:pPr>
      <w:r>
        <w:rPr>
          <w:b w:val="0"/>
          <w:i w:val="0"/>
        </w:rPr>
        <w:t>Kiểm soát nội bộ là những mục tiêu hoặc điều kiện mong muốn cho một chu trình sự kiện cụ thể mà nếu đạt được, sẽ giảm thiểu khả năng xảy ra lãng phí, mất mát, sử dụng trái phép hoặc biển thủ.</w:t>
      </w:r>
    </w:p>
    <w:p>
      <w:pPr>
        <w:spacing w:after="80"/>
      </w:pPr>
      <w:r>
        <w:rPr>
          <w:b w:val="0"/>
          <w:i w:val="0"/>
        </w:rPr>
        <w:t>Để một mục tiêu kiểm soát có hiệu quả, việc tuân thủ nó phải có thể đo lường và quan sát được. Các mục tiêu kiểm soát bao gồm ủy quyền, tính đầy đủ, tính chính xác, tính hợp lệ, bảo vệ vật lý và an ninh, xử lý lỗi, và phân tách nhiệm vụ, được mô tả dưới đây.</w:t>
      </w:r>
    </w:p>
    <w:p>
      <w:pPr>
        <w:spacing w:after="80"/>
        <w:ind w:left="360"/>
      </w:pPr>
      <w:r>
        <w:t xml:space="preserve">• </w:t>
      </w:r>
      <w:r>
        <w:rPr>
          <w:b/>
          <w:i w:val="0"/>
        </w:rPr>
        <w:t>Ủy quyền:</w:t>
      </w:r>
      <w:r>
        <w:rPr>
          <w:b w:val="0"/>
          <w:i w:val="0"/>
        </w:rPr>
        <w:t xml:space="preserve"> Mục tiêu là đảm bảo rằng tất cả các giao dịch đều được nhân sự có trách nhiệm phê duyệt theo thẩm quyền cụ thể hoặc chung trước khi giao dịch được ghi nhận.</w:t>
      </w:r>
    </w:p>
    <w:p>
      <w:pPr>
        <w:spacing w:after="80"/>
        <w:ind w:left="360"/>
      </w:pPr>
      <w:r>
        <w:t xml:space="preserve">• </w:t>
      </w:r>
      <w:r>
        <w:rPr>
          <w:b/>
          <w:i w:val="0"/>
        </w:rPr>
        <w:t>Tính đầy đủ:</w:t>
      </w:r>
      <w:r>
        <w:rPr>
          <w:b w:val="0"/>
          <w:i w:val="0"/>
        </w:rPr>
        <w:t xml:space="preserve"> Mục tiêu là đảm bảo rằng không có giao dịch hợp lệ nào bị bỏ sót khỏi hồ sơ kế toán.</w:t>
      </w:r>
    </w:p>
    <w:p>
      <w:pPr>
        <w:spacing w:after="80"/>
        <w:ind w:left="360"/>
      </w:pPr>
      <w:r>
        <w:t xml:space="preserve">• </w:t>
      </w:r>
      <w:r>
        <w:rPr>
          <w:b/>
          <w:i w:val="0"/>
        </w:rPr>
        <w:t>Tính chính xác:</w:t>
      </w:r>
      <w:r>
        <w:rPr>
          <w:b w:val="0"/>
          <w:i w:val="0"/>
        </w:rPr>
        <w:t xml:space="preserve"> Mục tiêu là đảm bảo rằng tất cả các giao dịch hợp lệ đều chính xác, nhất quán với dữ liệu giao dịch gốc, và thông tin được ghi nhận kịp thời.</w:t>
      </w:r>
    </w:p>
    <w:p>
      <w:pPr>
        <w:spacing w:after="80"/>
        <w:ind w:left="360"/>
      </w:pPr>
      <w:r>
        <w:t xml:space="preserve">• </w:t>
      </w:r>
      <w:r>
        <w:rPr>
          <w:b/>
          <w:i w:val="0"/>
        </w:rPr>
        <w:t>Tính hợp lệ:</w:t>
      </w:r>
      <w:r>
        <w:rPr>
          <w:b w:val="0"/>
          <w:i w:val="0"/>
        </w:rPr>
        <w:t xml:space="preserve"> Mục tiêu là đảm bảo rằng tất cả các giao dịch được ghi nhận phản ánh trung thực các sự kiện kinh tế thực sự đã xảy ra, có tính hợp pháp, và đã được thực hiện theo ủy quyền chung của ban lãnh đạo.</w:t>
      </w:r>
    </w:p>
    <w:p>
      <w:pPr>
        <w:spacing w:after="80"/>
        <w:ind w:left="360"/>
      </w:pPr>
      <w:r>
        <w:t xml:space="preserve">• </w:t>
      </w:r>
      <w:r>
        <w:rPr>
          <w:b/>
          <w:i w:val="0"/>
        </w:rPr>
        <w:t>Bảo vệ Vật lý và An ninh:</w:t>
      </w:r>
      <w:r>
        <w:rPr>
          <w:b w:val="0"/>
          <w:i w:val="0"/>
        </w:rPr>
        <w:t xml:space="preserve"> Mục tiêu là đảm bảo rằng quyền truy cập vào tài sản vật lý và hệ thống thông tin được kiểm soát và hạn chế đúng mức chỉ cho nhân sự được ủy quyền.</w:t>
      </w:r>
    </w:p>
    <w:p>
      <w:pPr>
        <w:spacing w:after="80"/>
        <w:ind w:left="360"/>
      </w:pPr>
      <w:r>
        <w:t xml:space="preserve">• </w:t>
      </w:r>
      <w:r>
        <w:rPr>
          <w:b/>
          <w:i w:val="0"/>
        </w:rPr>
        <w:t>Xử lý Lỗi:</w:t>
      </w:r>
      <w:r>
        <w:rPr>
          <w:b w:val="0"/>
          <w:i w:val="0"/>
        </w:rPr>
        <w:t xml:space="preserve"> Mục tiêu là đảm bảo rằng các lỗi được phát hiện ở bất kỳ giai đoạn xử lý nào đều nhận được hành động khắc phục kịp thời và được báo cáo lên cấp quản lý thích hợp.</w:t>
      </w:r>
    </w:p>
    <w:p>
      <w:pPr>
        <w:spacing w:after="80"/>
        <w:ind w:left="360"/>
      </w:pPr>
      <w:r>
        <w:t xml:space="preserve">• </w:t>
      </w:r>
      <w:r>
        <w:rPr>
          <w:b/>
          <w:i w:val="0"/>
        </w:rPr>
        <w:t>Phân tách Nhiệm vụ:</w:t>
      </w:r>
      <w:r>
        <w:rPr>
          <w:b w:val="0"/>
          <w:i w:val="0"/>
        </w:rPr>
        <w:t xml:space="preserve"> Mục tiêu là đảm bảo rằng các nhiệm vụ được phân công cho các cá nhân theo cách đảm bảo không một cá nhân nào có thể kiểm soát cả chức năng ghi nhận lẫn các thủ tục liên quan đến việc xử lý giao dịch. Như đã lưu ý, phân tách nhiệm vụ là một trong ba kiểm soát doanh nghiệp then chốt.</w:t>
      </w:r>
    </w:p>
    <w:p>
      <w:pPr>
        <w:pStyle w:val="Heading3"/>
      </w:pPr>
      <w:r>
        <w:rPr>
          <w:rFonts w:ascii="Calibri" w:hAnsi="Calibri"/>
          <w:b/>
          <w:i w:val="0"/>
          <w:sz w:val="26"/>
        </w:rPr>
        <w:t>Các Loại Kiểm soát Nội bộ và Cơ chế Kiểm soát</w:t>
      </w:r>
    </w:p>
    <w:p>
      <w:pPr>
        <w:pStyle w:val="Heading4"/>
      </w:pPr>
      <w:r>
        <w:rPr>
          <w:rFonts w:ascii="Calibri" w:hAnsi="Calibri"/>
          <w:b/>
          <w:i/>
          <w:sz w:val="23"/>
        </w:rPr>
        <w:t>Các Loại Kiểm soát Nội bộ Chính</w:t>
      </w:r>
    </w:p>
    <w:p>
      <w:pPr>
        <w:spacing w:after="80"/>
      </w:pPr>
      <w:r>
        <w:rPr>
          <w:b w:val="0"/>
          <w:i w:val="0"/>
        </w:rPr>
        <w:t>Có ba loại kiểm soát nội bộ chính: phòng ngừa, phát hiện, và khắc phục như được định nghĩa dưới đây.</w:t>
      </w:r>
    </w:p>
    <w:p>
      <w:pPr>
        <w:spacing w:after="80"/>
        <w:ind w:left="360"/>
      </w:pPr>
      <w:r>
        <w:t xml:space="preserve">1. </w:t>
      </w:r>
      <w:r>
        <w:rPr>
          <w:b/>
          <w:i w:val="0"/>
        </w:rPr>
        <w:t>Phát hiện:</w:t>
      </w:r>
      <w:r>
        <w:rPr>
          <w:b w:val="0"/>
          <w:i w:val="0"/>
        </w:rPr>
        <w:t xml:space="preserve"> Được thiết kế để phát hiện các lỗi hoặc bất thường có thể đã xảy ra</w:t>
      </w:r>
    </w:p>
    <w:p>
      <w:pPr>
        <w:spacing w:after="80"/>
        <w:ind w:left="360"/>
      </w:pPr>
      <w:r>
        <w:t xml:space="preserve">2. </w:t>
      </w:r>
      <w:r>
        <w:rPr>
          <w:b/>
          <w:i w:val="0"/>
        </w:rPr>
        <w:t>Khắc phục:</w:t>
      </w:r>
      <w:r>
        <w:rPr>
          <w:b w:val="0"/>
          <w:i w:val="0"/>
        </w:rPr>
        <w:t xml:space="preserve"> Được thiết kế để sửa chữa các lỗi hoặc bất thường đã được phát hiện</w:t>
      </w:r>
    </w:p>
    <w:p>
      <w:pPr>
        <w:spacing w:after="80"/>
        <w:ind w:left="360"/>
      </w:pPr>
      <w:r>
        <w:t xml:space="preserve">3. </w:t>
      </w:r>
      <w:r>
        <w:rPr>
          <w:b/>
          <w:i w:val="0"/>
        </w:rPr>
        <w:t>Phòng ngừa:</w:t>
      </w:r>
      <w:r>
        <w:rPr>
          <w:b w:val="0"/>
          <w:i w:val="0"/>
        </w:rPr>
        <w:t xml:space="preserve"> Được thiết kế để ngăn chặn các lỗi hoặc bất thường xảy ra trong quy trình kinh doanh</w:t>
      </w:r>
    </w:p>
    <w:p>
      <w:pPr>
        <w:spacing w:after="80"/>
      </w:pPr>
      <w:r>
        <w:rPr>
          <w:b w:val="0"/>
          <w:i w:val="0"/>
        </w:rPr>
        <w:t>Bảng dưới đây áp dụng loại kiểm soát cho các mục tiêu rủi ro tiêu chuẩn, và các biện pháp hoặc hoạt động kiểm soát: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sz w:val="19"/>
              </w:rPr>
              <w:t>Mục tiêu Quản lý Rủi ro</w:t>
            </w:r>
          </w:p>
        </w:tc>
        <w:tc>
          <w:tcPr>
            <w:tcW w:type="dxa" w:w="3120"/>
          </w:tcPr>
          <w:p>
            <w:r/>
            <w:r>
              <w:rPr>
                <w:b/>
                <w:i/>
                <w:sz w:val="19"/>
              </w:rPr>
              <w:t>Biện pháp Kiểm soát</w:t>
            </w:r>
          </w:p>
        </w:tc>
        <w:tc>
          <w:tcPr>
            <w:tcW w:type="dxa" w:w="3120"/>
          </w:tcPr>
          <w:p>
            <w:r/>
            <w:r>
              <w:rPr>
                <w:b/>
                <w:i/>
                <w:sz w:val="19"/>
              </w:rPr>
              <w:t>Loại Kiểm soát</w:t>
            </w:r>
          </w:p>
        </w:tc>
      </w:tr>
      <w:tr>
        <w:tc>
          <w:tcPr>
            <w:tcW w:type="dxa" w:w="3120"/>
          </w:tcPr>
          <w:p>
            <w:r/>
            <w:r>
              <w:rPr>
                <w:b/>
                <w:i w:val="0"/>
                <w:sz w:val="19"/>
              </w:rPr>
              <w:t xml:space="preserve"> </w:t>
            </w:r>
            <w:r>
              <w:rPr>
                <w:b/>
                <w:i/>
                <w:sz w:val="19"/>
              </w:rPr>
              <w:t>Phân tách/Ủy quyền</w:t>
            </w:r>
            <w:r>
              <w:rPr>
                <w:b/>
                <w:i w:val="0"/>
                <w:sz w:val="19"/>
              </w:rPr>
              <w:t xml:space="preserve"> </w:t>
            </w:r>
          </w:p>
        </w:tc>
        <w:tc>
          <w:tcPr>
            <w:tcW w:type="dxa" w:w="3120"/>
          </w:tcPr>
          <w:p>
            <w:r/>
            <w:r>
              <w:rPr>
                <w:b w:val="0"/>
                <w:i w:val="0"/>
                <w:sz w:val="19"/>
              </w:rPr>
              <w:t>• Kiểm soát truy cập vật lý và logic</w:t>
            </w:r>
            <w:r>
              <w:br/>
            </w:r>
            <w:r>
              <w:rPr>
                <w:b w:val="0"/>
                <w:i w:val="0"/>
                <w:sz w:val="19"/>
              </w:rPr>
              <w:t>• Nhật ký kiểm toán</w:t>
            </w:r>
          </w:p>
        </w:tc>
        <w:tc>
          <w:tcPr>
            <w:tcW w:type="dxa" w:w="3120"/>
          </w:tcPr>
          <w:p>
            <w:r/>
            <w:r>
              <w:rPr>
                <w:b w:val="0"/>
                <w:i w:val="0"/>
                <w:sz w:val="19"/>
              </w:rPr>
              <w:t>• Phòng ngừa</w:t>
            </w:r>
            <w:r>
              <w:br/>
            </w:r>
            <w:r>
              <w:rPr>
                <w:b w:val="0"/>
                <w:i w:val="0"/>
                <w:sz w:val="19"/>
              </w:rPr>
              <w:t>• Phát hiện</w:t>
            </w:r>
          </w:p>
        </w:tc>
      </w:tr>
      <w:tr>
        <w:tc>
          <w:tcPr>
            <w:tcW w:type="dxa" w:w="3120"/>
          </w:tcPr>
          <w:p>
            <w:r/>
            <w:r>
              <w:rPr>
                <w:b/>
                <w:i w:val="0"/>
                <w:sz w:val="19"/>
              </w:rPr>
              <w:t xml:space="preserve"> </w:t>
            </w:r>
            <w:r>
              <w:rPr>
                <w:b/>
                <w:i/>
                <w:sz w:val="19"/>
              </w:rPr>
              <w:t>Tính chính xác</w:t>
            </w:r>
            <w:r>
              <w:rPr>
                <w:b/>
                <w:i w:val="0"/>
                <w:sz w:val="19"/>
              </w:rPr>
              <w:t xml:space="preserve"> </w:t>
            </w:r>
          </w:p>
        </w:tc>
        <w:tc>
          <w:tcPr>
            <w:tcW w:type="dxa" w:w="3120"/>
          </w:tcPr>
          <w:p>
            <w:r/>
            <w:r>
              <w:rPr>
                <w:b w:val="0"/>
                <w:i w:val="0"/>
                <w:sz w:val="19"/>
              </w:rPr>
              <w:t>• Xác thực tự động</w:t>
            </w:r>
            <w:r>
              <w:br/>
            </w:r>
            <w:r>
              <w:rPr>
                <w:b w:val="0"/>
                <w:i w:val="0"/>
                <w:sz w:val="19"/>
              </w:rPr>
              <w:t>• Kiểm tra dữ liệu</w:t>
            </w:r>
            <w:r>
              <w:br/>
            </w:r>
            <w:r>
              <w:rPr>
                <w:b w:val="0"/>
                <w:i w:val="0"/>
                <w:sz w:val="19"/>
              </w:rPr>
              <w:t>• Kiểm soát thay đổi ứng dụng</w:t>
            </w:r>
            <w:r>
              <w:br/>
            </w:r>
            <w:r>
              <w:rPr>
                <w:b w:val="0"/>
                <w:i w:val="0"/>
                <w:sz w:val="19"/>
              </w:rPr>
              <w:t>• Nhật ký kiểm toán</w:t>
            </w:r>
          </w:p>
        </w:tc>
        <w:tc>
          <w:tcPr>
            <w:tcW w:type="dxa" w:w="3120"/>
          </w:tcPr>
          <w:p>
            <w:r/>
            <w:r>
              <w:rPr>
                <w:b w:val="0"/>
                <w:i w:val="0"/>
                <w:sz w:val="19"/>
              </w:rPr>
              <w:t>• Phòng ngừa</w:t>
            </w:r>
            <w:r>
              <w:br/>
            </w:r>
            <w:r>
              <w:rPr>
                <w:b w:val="0"/>
                <w:i w:val="0"/>
                <w:sz w:val="19"/>
              </w:rPr>
              <w:t>• Phát hiện hoặc Khắc phục</w:t>
            </w:r>
            <w:r>
              <w:br/>
            </w:r>
            <w:r>
              <w:rPr>
                <w:b w:val="0"/>
                <w:i w:val="0"/>
                <w:sz w:val="19"/>
              </w:rPr>
              <w:t>• Phòng ngừa</w:t>
            </w:r>
            <w:r>
              <w:br/>
            </w:r>
            <w:r>
              <w:rPr>
                <w:b w:val="0"/>
                <w:i w:val="0"/>
                <w:sz w:val="19"/>
              </w:rPr>
              <w:t>• Phát hiện</w:t>
            </w:r>
          </w:p>
        </w:tc>
      </w:tr>
      <w:tr>
        <w:tc>
          <w:tcPr>
            <w:tcW w:type="dxa" w:w="3120"/>
          </w:tcPr>
          <w:p>
            <w:r/>
            <w:r>
              <w:rPr>
                <w:b/>
                <w:i w:val="0"/>
                <w:sz w:val="19"/>
              </w:rPr>
              <w:t xml:space="preserve"> </w:t>
            </w:r>
            <w:r>
              <w:rPr>
                <w:b/>
                <w:i/>
                <w:sz w:val="19"/>
              </w:rPr>
              <w:t>Tính đầy đủ</w:t>
            </w:r>
            <w:r>
              <w:rPr>
                <w:b/>
                <w:i w:val="0"/>
                <w:sz w:val="19"/>
              </w:rPr>
              <w:t xml:space="preserve"> </w:t>
            </w:r>
          </w:p>
        </w:tc>
        <w:tc>
          <w:tcPr>
            <w:tcW w:type="dxa" w:w="3120"/>
          </w:tcPr>
          <w:p>
            <w:r/>
            <w:r>
              <w:rPr>
                <w:b w:val="0"/>
                <w:i w:val="0"/>
                <w:sz w:val="19"/>
              </w:rPr>
              <w:t>• Kiểm soát thay đổi ứng dụng</w:t>
            </w:r>
            <w:r>
              <w:br/>
            </w:r>
            <w:r>
              <w:rPr>
                <w:b w:val="0"/>
                <w:i w:val="0"/>
                <w:sz w:val="19"/>
              </w:rPr>
              <w:t>• Đếm bản ghi</w:t>
            </w:r>
            <w:r>
              <w:br/>
            </w:r>
            <w:r>
              <w:rPr>
                <w:b w:val="0"/>
                <w:i w:val="0"/>
                <w:sz w:val="19"/>
              </w:rPr>
              <w:t>• Tổng đối chiếu chéo</w:t>
            </w:r>
            <w:r>
              <w:br/>
            </w:r>
            <w:r>
              <w:rPr>
                <w:b w:val="0"/>
                <w:i w:val="0"/>
                <w:sz w:val="19"/>
              </w:rPr>
              <w:t>• Nhật ký kiểm toán</w:t>
            </w:r>
          </w:p>
        </w:tc>
        <w:tc>
          <w:tcPr>
            <w:tcW w:type="dxa" w:w="3120"/>
          </w:tcPr>
          <w:p>
            <w:r/>
            <w:r>
              <w:rPr>
                <w:b w:val="0"/>
                <w:i w:val="0"/>
                <w:sz w:val="19"/>
              </w:rPr>
              <w:t>• Phòng ngừa</w:t>
            </w:r>
            <w:r>
              <w:br/>
            </w:r>
            <w:r>
              <w:rPr>
                <w:b w:val="0"/>
                <w:i w:val="0"/>
                <w:sz w:val="19"/>
              </w:rPr>
              <w:t>• Phát hiện</w:t>
            </w:r>
            <w:r>
              <w:br/>
            </w:r>
            <w:r>
              <w:rPr>
                <w:b w:val="0"/>
                <w:i w:val="0"/>
                <w:sz w:val="19"/>
              </w:rPr>
              <w:t>• Phát hiện</w:t>
            </w:r>
            <w:r>
              <w:br/>
            </w:r>
            <w:r>
              <w:rPr>
                <w:b w:val="0"/>
                <w:i w:val="0"/>
                <w:sz w:val="19"/>
              </w:rPr>
              <w:t>• Phát hiện</w:t>
            </w:r>
          </w:p>
        </w:tc>
      </w:tr>
      <w:tr>
        <w:tc>
          <w:tcPr>
            <w:tcW w:type="dxa" w:w="3120"/>
          </w:tcPr>
          <w:p>
            <w:r/>
            <w:r>
              <w:rPr>
                <w:b/>
                <w:i w:val="0"/>
                <w:sz w:val="19"/>
              </w:rPr>
              <w:t xml:space="preserve"> </w:t>
            </w:r>
            <w:r>
              <w:rPr>
                <w:b/>
                <w:i/>
                <w:sz w:val="19"/>
              </w:rPr>
              <w:t>Tính bảo mật</w:t>
            </w:r>
            <w:r>
              <w:rPr>
                <w:b/>
                <w:i w:val="0"/>
                <w:sz w:val="19"/>
              </w:rPr>
              <w:t xml:space="preserve"> </w:t>
            </w:r>
          </w:p>
        </w:tc>
        <w:tc>
          <w:tcPr>
            <w:tcW w:type="dxa" w:w="3120"/>
          </w:tcPr>
          <w:p>
            <w:r/>
            <w:r>
              <w:rPr>
                <w:b w:val="0"/>
                <w:i w:val="0"/>
                <w:sz w:val="19"/>
              </w:rPr>
              <w:t>• Kiểm soát truy cập vật lý và logic</w:t>
            </w:r>
            <w:r>
              <w:br/>
            </w:r>
            <w:r>
              <w:rPr>
                <w:b w:val="0"/>
                <w:i w:val="0"/>
                <w:sz w:val="19"/>
              </w:rPr>
              <w:t>• Nhật ký kiểm toán</w:t>
            </w:r>
          </w:p>
        </w:tc>
        <w:tc>
          <w:tcPr>
            <w:tcW w:type="dxa" w:w="3120"/>
          </w:tcPr>
          <w:p>
            <w:r/>
            <w:r>
              <w:rPr>
                <w:b w:val="0"/>
                <w:i w:val="0"/>
                <w:sz w:val="19"/>
              </w:rPr>
              <w:t>• Phòng ngừa</w:t>
            </w:r>
            <w:r>
              <w:br/>
            </w:r>
            <w:r>
              <w:rPr>
                <w:b w:val="0"/>
                <w:i w:val="0"/>
                <w:sz w:val="19"/>
              </w:rPr>
              <w:t>• Phát hiện</w:t>
            </w:r>
          </w:p>
        </w:tc>
      </w:tr>
      <w:tr>
        <w:tc>
          <w:tcPr>
            <w:tcW w:type="dxa" w:w="3120"/>
          </w:tcPr>
          <w:p>
            <w:r/>
            <w:r>
              <w:rPr>
                <w:b/>
                <w:i w:val="0"/>
                <w:sz w:val="19"/>
              </w:rPr>
              <w:t xml:space="preserve"> </w:t>
            </w:r>
            <w:r>
              <w:rPr>
                <w:b/>
                <w:i/>
                <w:sz w:val="19"/>
              </w:rPr>
              <w:t>Khả năng kiểm toán</w:t>
            </w:r>
            <w:r>
              <w:rPr>
                <w:b/>
                <w:i w:val="0"/>
                <w:sz w:val="19"/>
              </w:rPr>
              <w:t xml:space="preserve"> </w:t>
            </w:r>
          </w:p>
        </w:tc>
        <w:tc>
          <w:tcPr>
            <w:tcW w:type="dxa" w:w="3120"/>
          </w:tcPr>
          <w:p>
            <w:r/>
            <w:r>
              <w:rPr>
                <w:b w:val="0"/>
                <w:i w:val="0"/>
                <w:sz w:val="19"/>
              </w:rPr>
              <w:t>• Chỉ truy cập dữ liệu sản xuất thông qua các chương trình được ủy quyền</w:t>
            </w:r>
            <w:r>
              <w:br/>
            </w:r>
            <w:r>
              <w:rPr>
                <w:b w:val="0"/>
                <w:i w:val="0"/>
                <w:sz w:val="19"/>
              </w:rPr>
              <w:t>• Nhật ký kiểm toán</w:t>
            </w:r>
          </w:p>
        </w:tc>
        <w:tc>
          <w:tcPr>
            <w:tcW w:type="dxa" w:w="3120"/>
          </w:tcPr>
          <w:p>
            <w:r/>
            <w:r>
              <w:rPr>
                <w:b w:val="0"/>
                <w:i w:val="0"/>
                <w:sz w:val="19"/>
              </w:rPr>
              <w:t>• Phòng ngừa</w:t>
            </w:r>
            <w:r>
              <w:br/>
            </w:r>
            <w:r>
              <w:rPr>
                <w:b w:val="0"/>
                <w:i w:val="0"/>
                <w:sz w:val="19"/>
              </w:rPr>
              <w:t>• Phát hiện</w:t>
            </w:r>
          </w:p>
        </w:tc>
      </w:tr>
      <w:tr>
        <w:tc>
          <w:tcPr>
            <w:tcW w:type="dxa" w:w="3120"/>
          </w:tcPr>
          <w:p>
            <w:r/>
            <w:r>
              <w:rPr>
                <w:b/>
                <w:i w:val="0"/>
                <w:sz w:val="19"/>
              </w:rPr>
              <w:t xml:space="preserve"> </w:t>
            </w:r>
            <w:r>
              <w:rPr>
                <w:b/>
                <w:i/>
                <w:sz w:val="19"/>
              </w:rPr>
              <w:t>Tính liên tục/Khôi phục</w:t>
            </w:r>
            <w:r>
              <w:rPr>
                <w:b/>
                <w:i w:val="0"/>
                <w:sz w:val="19"/>
              </w:rPr>
              <w:t xml:space="preserve"> </w:t>
            </w:r>
          </w:p>
        </w:tc>
        <w:tc>
          <w:tcPr>
            <w:tcW w:type="dxa" w:w="3120"/>
          </w:tcPr>
          <w:p>
            <w:r/>
            <w:r>
              <w:rPr>
                <w:b w:val="0"/>
                <w:i w:val="0"/>
                <w:sz w:val="19"/>
              </w:rPr>
              <w:t>• Sao lưu và kế hoạch khôi phục</w:t>
            </w:r>
          </w:p>
        </w:tc>
        <w:tc>
          <w:tcPr>
            <w:tcW w:type="dxa" w:w="3120"/>
          </w:tcPr>
          <w:p>
            <w:r/>
            <w:r>
              <w:rPr>
                <w:b w:val="0"/>
                <w:i w:val="0"/>
                <w:sz w:val="19"/>
              </w:rPr>
              <w:t>•  Khắc phục</w:t>
            </w:r>
          </w:p>
        </w:tc>
      </w:tr>
    </w:tbl>
    <w:p>
      <w:pPr>
        <w:spacing w:after="0"/>
      </w:pPr>
    </w:p>
    <w:p>
      <w:pPr>
        <w:pStyle w:val="Heading4"/>
      </w:pPr>
      <w:r>
        <w:rPr>
          <w:rFonts w:ascii="Calibri" w:hAnsi="Calibri"/>
          <w:b/>
          <w:i/>
          <w:sz w:val="23"/>
        </w:rPr>
        <w:t>Kiểm soát bù đắp</w:t>
      </w:r>
    </w:p>
    <w:p>
      <w:pPr>
        <w:spacing w:after="80"/>
      </w:pPr>
      <w:r>
        <w:rPr>
          <w:b w:val="0"/>
          <w:i w:val="0"/>
        </w:rPr>
        <w:t>Các kiểm soát bù đắp hiệu quả có thể cải thiện thiết kế của một quy trình có sự phân tách nhiệm vụ chưa đầy đủ và cuối cùng mang lại sự đảm bảo hợp lý cho các nhà quản lý rằng (các) mục tiêu dự kiến của một quy trình hoặc một bộ phận sẽ đạt được.</w:t>
      </w:r>
    </w:p>
    <w:p>
      <w:pPr>
        <w:spacing w:after="80"/>
      </w:pPr>
      <w:r>
        <w:rPr>
          <w:b w:val="0"/>
          <w:i w:val="0"/>
        </w:rPr>
        <w:t>Tuy nhiên, kiểm soát bù đắp ít được mong muốn hơn so với kiểm soát nội bộ phân tách nhiệm vụ vì kiểm soát bù đắp thường xảy ra sau khi giao dịch đã hoàn tất. Ngoài ra, cần nhiều nguồn lực hơn để điều tra và sửa lỗi cũng như khôi phục tổn thất so với việc ngăn ngừa lỗi.</w:t>
      </w:r>
    </w:p>
    <w:p>
      <w:pPr>
        <w:pStyle w:val="Heading4"/>
      </w:pPr>
      <w:r>
        <w:rPr>
          <w:rFonts w:ascii="Calibri" w:hAnsi="Calibri"/>
          <w:b/>
          <w:i/>
          <w:sz w:val="23"/>
        </w:rPr>
        <w:t>Các kiểm soát khác</w:t>
      </w:r>
    </w:p>
    <w:p>
      <w:pPr>
        <w:spacing w:after="80"/>
      </w:pPr>
      <w:r>
        <w:rPr>
          <w:b w:val="0"/>
          <w:i w:val="0"/>
        </w:rPr>
        <w:t>Các kiểm soát khác do tổ chức và doanh nghiệp xác định được mô tả trong các mục sau. Những loại kiểm soát này được nhúng vào cấu trúc quản trị của một doanh nghiệp và hỗ trợ các loại kiểm soát chính vốn là phần không thể tách rời của quy trình thanh toán.</w:t>
      </w:r>
    </w:p>
    <w:p>
      <w:pPr>
        <w:pStyle w:val="Heading4"/>
      </w:pPr>
      <w:r>
        <w:rPr>
          <w:rFonts w:ascii="Calibri" w:hAnsi="Calibri"/>
          <w:b/>
          <w:i/>
          <w:sz w:val="23"/>
        </w:rPr>
        <w:t>Kiểm soát tổ chức</w:t>
      </w:r>
    </w:p>
    <w:p>
      <w:pPr>
        <w:spacing w:after="80"/>
      </w:pPr>
      <w:r>
        <w:rPr>
          <w:b w:val="0"/>
          <w:i w:val="0"/>
        </w:rPr>
        <w:t>Kiểm soát tổ chức nên bao quát mọi khía cạnh trong quy trình kinh doanh của công ty mà không chồng chéo, đồng thời được phân công và truyền đạt rõ ràng.</w:t>
      </w:r>
    </w:p>
    <w:p>
      <w:pPr>
        <w:spacing w:after="80"/>
        <w:ind w:left="360"/>
      </w:pPr>
      <w:r>
        <w:t xml:space="preserve">• </w:t>
      </w:r>
      <w:r>
        <w:rPr>
          <w:b w:val="0"/>
          <w:i w:val="0"/>
        </w:rPr>
        <w:t>Trách nhiệm nên được phân cấp xuống mức mà ở đó có đủ chuyên môn và thời gian cần thiết.</w:t>
      </w:r>
    </w:p>
    <w:p>
      <w:pPr>
        <w:spacing w:after="80"/>
        <w:ind w:left="360"/>
      </w:pPr>
      <w:r>
        <w:t xml:space="preserve">• </w:t>
      </w:r>
      <w:r>
        <w:rPr>
          <w:b w:val="0"/>
          <w:i w:val="0"/>
        </w:rPr>
        <w:t>Không một nhân viên nào được nắm giữ kiến thức, quyền hạn hoặc quyền kiểm soát độc quyền đối với bất kỳ giao dịch quan trọng nào hoặc nhóm giao dịch nào.</w:t>
      </w:r>
    </w:p>
    <w:p>
      <w:pPr>
        <w:spacing w:after="80"/>
        <w:ind w:left="360"/>
      </w:pPr>
      <w:r>
        <w:t xml:space="preserve">• </w:t>
      </w:r>
      <w:r>
        <w:rPr>
          <w:b w:val="0"/>
          <w:i w:val="0"/>
        </w:rPr>
        <w:t>Việc thống nhất các mục tiêu định tính và định lượng có tính thực tế sẽ củng cố trách nhiệm.</w:t>
      </w:r>
    </w:p>
    <w:p>
      <w:pPr>
        <w:spacing w:after="80"/>
        <w:ind w:left="360"/>
      </w:pPr>
      <w:r>
        <w:t xml:space="preserve">• </w:t>
      </w:r>
      <w:r>
        <w:rPr>
          <w:b w:val="0"/>
          <w:i w:val="0"/>
        </w:rPr>
        <w:t>Cấu trúc của trách nhiệm giải trình phụ thuộc vào mức độ năng lực liên tục của nhân viên ở các vị trí khác nhau và việc phát triển năng lực để các mối quan hệ trách nhiệm và báo cáo có thể được tái cơ cấu theo những cách hiệu quả hơn.</w:t>
      </w:r>
    </w:p>
    <w:p>
      <w:pPr>
        <w:pStyle w:val="Heading4"/>
      </w:pPr>
      <w:r>
        <w:rPr>
          <w:rFonts w:ascii="Calibri" w:hAnsi="Calibri"/>
          <w:b/>
          <w:i/>
          <w:sz w:val="23"/>
        </w:rPr>
        <w:t>Kiểm soát bằng chính sách</w:t>
      </w:r>
    </w:p>
    <w:p>
      <w:pPr>
        <w:spacing w:after="80"/>
      </w:pPr>
      <w:r>
        <w:rPr>
          <w:b w:val="0"/>
          <w:i w:val="0"/>
        </w:rPr>
        <w:t>Kiểm soát bằng chính sách là những nguyên tắc chung và hướng dẫn hành động có ảnh hưởng đến các quyết định. Chúng chỉ ra các giới hạn cho sự lựa chọn và các tham số hoặc quy tắc mà công ty và nhân viên phải tuân theo. Các chính sách quan trọng nên được ban lãnh đạo cấp cao xem xét, phê duyệt và truyền đạt. Chính sách được hình thành bằng cách:</w:t>
      </w:r>
    </w:p>
    <w:p>
      <w:pPr>
        <w:spacing w:after="80"/>
        <w:ind w:left="360"/>
      </w:pPr>
      <w:r>
        <w:t xml:space="preserve">• </w:t>
      </w:r>
      <w:r>
        <w:rPr>
          <w:b w:val="0"/>
          <w:i w:val="0"/>
        </w:rPr>
        <w:t>Xem xét môi trường kinh doanh và các mục tiêu của quy trình</w:t>
      </w:r>
    </w:p>
    <w:p>
      <w:pPr>
        <w:spacing w:after="80"/>
        <w:ind w:left="360"/>
      </w:pPr>
      <w:r>
        <w:t xml:space="preserve">• </w:t>
      </w:r>
      <w:r>
        <w:rPr>
          <w:b w:val="0"/>
          <w:i w:val="0"/>
        </w:rPr>
        <w:t>Xác định các loại rủi ro tiềm ẩn mà môi trường gây ra đối với việc đạt được các mục tiêu</w:t>
      </w:r>
    </w:p>
    <w:p>
      <w:pPr>
        <w:pStyle w:val="Heading4"/>
      </w:pPr>
      <w:r>
        <w:rPr>
          <w:rFonts w:ascii="Calibri" w:hAnsi="Calibri"/>
          <w:b/>
          <w:i/>
          <w:sz w:val="23"/>
        </w:rPr>
        <w:t>Kiểm soát bằng thủ tục</w:t>
      </w:r>
    </w:p>
    <w:p>
      <w:pPr>
        <w:spacing w:after="80"/>
      </w:pPr>
      <w:r>
        <w:rPr>
          <w:b w:val="0"/>
          <w:i w:val="0"/>
        </w:rPr>
        <w:t>Kiểm soát bằng thủ tục quy định cách thức thực hiện các hành động sao cho nhất quán với các chính sách. Các thủ tục nên được xây dựng bởi những người hiểu rõ các hành động hằng ngày sẽ chịu sự điều chỉnh của thủ tục đó.</w:t>
      </w:r>
    </w:p>
    <w:p>
      <w:pPr>
        <w:pStyle w:val="Heading4"/>
      </w:pPr>
      <w:r>
        <w:rPr>
          <w:rFonts w:ascii="Calibri" w:hAnsi="Calibri"/>
          <w:b/>
          <w:i/>
          <w:sz w:val="23"/>
        </w:rPr>
        <w:t>Kiểm soát bằng giám sát</w:t>
      </w:r>
    </w:p>
    <w:p>
      <w:pPr>
        <w:spacing w:after="80"/>
      </w:pPr>
      <w:r>
        <w:rPr>
          <w:b w:val="0"/>
          <w:i w:val="0"/>
        </w:rPr>
        <w:t>Ví dụ về kiểm soát bằng giám sát là những tình huống mà người quản lý đảm bảo rằng tất cả nhân viên hiểu rõ trách nhiệm và quyền hạn của mình, cùng với sự đảm bảo rằng các thủ tục đang được tuân thủ trong đơn vị vận hành.</w:t>
      </w:r>
    </w:p>
    <w:p>
      <w:pPr>
        <w:pStyle w:val="Heading4"/>
      </w:pPr>
      <w:r>
        <w:rPr>
          <w:rFonts w:ascii="Calibri" w:hAnsi="Calibri"/>
          <w:b/>
          <w:i/>
          <w:sz w:val="23"/>
        </w:rPr>
        <w:t>Kiểm soát bằng rà soát</w:t>
      </w:r>
    </w:p>
    <w:p>
      <w:pPr>
        <w:spacing w:after="80"/>
      </w:pPr>
      <w:r>
        <w:rPr>
          <w:b w:val="0"/>
          <w:i w:val="0"/>
        </w:rPr>
        <w:t>Kiểm soát bằng rà soát bao gồm một quy trình tự đánh giá liên tục theo yêu cầu của Đạo luật Sarbanes-Oxley năm 2002. Quy trình tự đánh giá kiểm soát (controls self-assessment - CSA) là một chuỗi câu hỏi nhằm xác nhận tính hiệu quả của môi trường kiểm soát. Theo thông lệ tốt nhất, việc tự đánh giá phải được thực hiện mỗi quý tài chính cho một quy trình hoặc quy trình con kinh doanh cụ thể. Trong một số tình huống, người quản lý đơn vị vận hành có thể chọn thực hiện kiểm tra tự đánh giá thường xuyên hơn nếu sử dụng các công cụ giám sát liên tục tự động. Điều bắt buộc là mọi điểm yếu được phát hiện trong quá trình kiểm tra đều phải được khắc phục thông qua một quy trình hành động khắc phục và theo dõi.</w:t>
      </w:r>
    </w:p>
    <w:p>
      <w:pPr>
        <w:pStyle w:val="Heading2"/>
      </w:pPr>
      <w:r>
        <w:rPr>
          <w:rFonts w:ascii="Calibri" w:hAnsi="Calibri"/>
          <w:b/>
          <w:i w:val="0"/>
          <w:sz w:val="32"/>
        </w:rPr>
        <w:t>TẬN DỤNG CÁC CHUẨN MỰC KIỂM SOÁT NỘI BỘ ĐỂ TRIỂN KHAI CHƯƠNG TRÌNH TỰ ĐÁNH GIÁ KIỂM SOÁT (CSA)</w:t>
      </w:r>
    </w:p>
    <w:p>
      <w:pPr>
        <w:spacing w:after="80"/>
      </w:pPr>
      <w:r>
        <w:rPr>
          <w:b w:val="0"/>
          <w:i w:val="0"/>
        </w:rPr>
        <w:t>Viện Kiểm toán Nội bộ (Institute of Internal Auditors - IIA) định nghĩa CSA là một quy trình qua đó tính hiệu quả của kiểm soát nội bộ được xem xét với mục tiêu đưa ra sự đảm bảo hợp lý rằng mọi mục tiêu kinh doanh đều được đáp ứng. Các nhân viên thực hiện công việc CSA thuộc chính lĩnh vực chức năng đang được xem xét chứ không phải là các nhà quản lý cấp cao ở bên trên hệ thống kiểm soát nội bộ.</w:t>
      </w:r>
    </w:p>
    <w:p>
      <w:pPr>
        <w:spacing w:after="80"/>
      </w:pPr>
      <w:r>
        <w:rPr>
          <w:b w:val="0"/>
          <w:i w:val="0"/>
        </w:rPr>
        <w:t>Những nhân viên này sở hữu một lượng thông tin phong phú về kiểm soát nội bộ và gian lận (nếu có). Mặc dù kiểm toán viên nội bộ (hoặc độc lập) có thể tham gia vào các sáng kiến CSA, nhưng kiểm toán viên không "sở hữu" quy trình này và không đưa ra các đánh giá và thẩm định.</w:t>
      </w:r>
    </w:p>
    <w:p>
      <w:pPr>
        <w:spacing w:after="80"/>
      </w:pPr>
      <w:r>
        <w:rPr>
          <w:b/>
          <w:i w:val="0"/>
        </w:rPr>
        <w:t>Điểm mấu chốt:</w:t>
      </w:r>
      <w:r>
        <w:rPr>
          <w:b w:val="0"/>
          <w:i w:val="0"/>
        </w:rPr>
        <w:t xml:space="preserve"> Nếu tồn tại một môi trường kiểm soát nội bộ, trong đó các kiểm soát được hiểu và gắn kết ở cấp độ tác nghiệp, và quy trình được xác nhận bởi một CSA, thì chi phí kiểm soát có thể được giảm thiểu đáng kể. Quan trọng hơn, rủi ro hành vi gian lận được giảm thiểu đáng kể. Các tiêu chuẩn kiểm soát nội bộ được cung cấp trong bộ công cụ này sẽ giúp xác định các lĩnh vực rủi ro và các kiểm soát then chốt cần tập trung trong một quy trình CSA.</w:t>
      </w:r>
    </w:p>
    <w:p>
      <w:pPr>
        <w:spacing w:after="80"/>
      </w:pPr>
      <w:r>
        <w:rPr>
          <w:b w:val="0"/>
          <w:i w:val="0"/>
        </w:rPr>
        <w:t>Các phương pháp phổ biến nhất để thực hiện các hoạt động CSA là các cuộc họp nhóm có người điều phối, khảo sát CSA, và việc ban lãnh đạo tập trung vào một kiểm soát nội bộ cụ thể hoặc một lĩnh vực trong hoạt động kinh doanh của họ.</w:t>
      </w:r>
    </w:p>
    <w:p>
      <w:pPr>
        <w:spacing w:after="80"/>
        <w:ind w:left="360"/>
      </w:pPr>
      <w:r>
        <w:t xml:space="preserve">• </w:t>
      </w:r>
      <w:r>
        <w:rPr>
          <w:b w:val="0"/>
          <w:i w:val="0"/>
        </w:rPr>
        <w:t xml:space="preserve">Một </w:t>
      </w:r>
      <w:r>
        <w:rPr>
          <w:b/>
          <w:i w:val="0"/>
        </w:rPr>
        <w:t>cuộc họp nhóm có người điều phối</w:t>
      </w:r>
      <w:r>
        <w:rPr>
          <w:b w:val="0"/>
          <w:i w:val="0"/>
        </w:rPr>
        <w:t xml:space="preserve"> là hình thức CSA phổ biến nhất. Các phiên họp có điều phối bao gồm từ 6 đến 15 nhân viên là những người hàng ngày chịu sự tác động của các kiểm soát nội bộ đang được đánh giá. Một người điều phối được đào tạo sẽ dẫn dắt cuộc họp, và một cá nhân khác ghi chép lại hoạt động.</w:t>
      </w:r>
    </w:p>
    <w:p>
      <w:pPr>
        <w:spacing w:after="80"/>
        <w:ind w:left="360"/>
      </w:pPr>
      <w:r>
        <w:t xml:space="preserve">• </w:t>
      </w:r>
      <w:r>
        <w:rPr>
          <w:b/>
          <w:i w:val="0"/>
        </w:rPr>
        <w:t>Phương pháp khảo sát</w:t>
      </w:r>
      <w:r>
        <w:rPr>
          <w:b w:val="0"/>
          <w:i w:val="0"/>
        </w:rPr>
        <w:t xml:space="preserve"> sử dụng các bảng câu hỏi để thu thập dữ liệu về kiểm soát, rủi ro và quy trình. Nó khác với các bảng câu hỏi kiểm soát nội bộ truyền thống mà kiểm toán viên sử dụng ở chỗ nhân viên vận hành (không phải kiểm toán viên) sử dụng kết quả khảo sát để tự đánh giá các kiểm soát hoặc quy trình. Tại một số công ty, phương pháp khảo sát có thể được dùng để đánh giá các kiểm soát "mềm". Nó có thể được dùng để đánh giá hiệu quả của một chương trình đạo đức được coi là một kiểm soát ở cấp độ thực thể. (Tham khảo Chương 16.)</w:t>
      </w:r>
    </w:p>
    <w:p>
      <w:pPr>
        <w:spacing w:after="80"/>
      </w:pPr>
      <w:r>
        <w:rPr>
          <w:b w:val="0"/>
          <w:i w:val="0"/>
        </w:rPr>
        <w:t>Các bước dưới đây hỗ trợ phương pháp tự đánh giá trong một chương trình CSA. Việc tự kiểm tra thường xuyên xác nhận tính hiệu quả và thiết kế của kiểm soát. Phương pháp này có thể được sử dụng khi ban lãnh đạo muốn xem xét các kiểm soát của một quy trình cụ thể. Cuối cùng, phương pháp này cũng có thể được sử dụng trong bối cảnh hội thảo.</w:t>
      </w:r>
    </w:p>
    <w:p>
      <w:pPr>
        <w:spacing w:after="80"/>
        <w:ind w:left="360"/>
      </w:pPr>
      <w:r>
        <w:t xml:space="preserve">1. </w:t>
      </w:r>
      <w:r>
        <w:rPr>
          <w:b/>
          <w:i w:val="0"/>
        </w:rPr>
        <w:t>Hiểu rõ đơn vị vận hành hoặc quy trình kinh doanh.</w:t>
      </w:r>
      <w:r>
        <w:rPr>
          <w:b w:val="0"/>
          <w:i w:val="0"/>
        </w:rPr>
        <w:t xml:space="preserve"> Một thành phần then chốt của chương trình CSA là đảm bảo rằng các điểm kiểm soát và trách nhiệm của đơn vị vận hành được hiểu rõ.</w:t>
      </w:r>
    </w:p>
    <w:p>
      <w:pPr>
        <w:spacing w:after="80"/>
        <w:ind w:left="360"/>
      </w:pPr>
      <w:r>
        <w:t xml:space="preserve">2. </w:t>
      </w:r>
      <w:r>
        <w:rPr>
          <w:b/>
          <w:i w:val="0"/>
        </w:rPr>
        <w:t>Xác định phạm vi của sáng kiến CSA.</w:t>
      </w:r>
      <w:r>
        <w:rPr>
          <w:b w:val="0"/>
          <w:i w:val="0"/>
        </w:rPr>
        <w:t xml:space="preserve"> Xác định rõ ràng phạm vi CSA và các kiểm soát sẽ được đánh giá cho một quy trình kinh doanh cụ thể.</w:t>
      </w:r>
    </w:p>
    <w:p>
      <w:pPr>
        <w:spacing w:after="80"/>
        <w:ind w:left="360"/>
      </w:pPr>
      <w:r>
        <w:t xml:space="preserve">3. </w:t>
      </w:r>
      <w:r>
        <w:rPr>
          <w:b/>
          <w:i w:val="0"/>
        </w:rPr>
        <w:t>Đảm bảo có sự cam kết của ban lãnh đạo.</w:t>
      </w:r>
      <w:r>
        <w:rPr>
          <w:b w:val="0"/>
          <w:i w:val="0"/>
        </w:rPr>
        <w:t xml:space="preserve"> Điều này rất quan trọng đối với sự hỗ trợ liên tục và thành công của chương trình. Nó được thể hiện qua việc ban lãnh đạo hiểu đầy đủ về những lợi ích gia tăng của một chương trình CSA.</w:t>
      </w:r>
    </w:p>
    <w:p>
      <w:pPr>
        <w:spacing w:after="80"/>
        <w:ind w:left="360"/>
      </w:pPr>
      <w:r>
        <w:t xml:space="preserve">4. </w:t>
      </w:r>
      <w:r>
        <w:rPr>
          <w:b/>
          <w:i w:val="0"/>
        </w:rPr>
        <w:t>Gắn chương trình CSA với đơn vị vận hành.</w:t>
      </w:r>
      <w:r>
        <w:rPr>
          <w:b w:val="0"/>
          <w:i w:val="0"/>
        </w:rPr>
        <w:t xml:space="preserve"> Phát triển một chương trình đại diện cho đơn vị vận hành hoặc quy trình, hoặc lựa chọn từ các tiêu chuẩn khuyến nghị về kiểm soát nội bộ</w:t>
      </w:r>
    </w:p>
    <w:p>
      <w:pPr>
        <w:spacing w:after="80"/>
        <w:ind w:left="360"/>
      </w:pPr>
      <w:r>
        <w:t xml:space="preserve">5. </w:t>
      </w:r>
      <w:r>
        <w:rPr>
          <w:b/>
          <w:i w:val="0"/>
        </w:rPr>
        <w:t>Thành lập một nhóm CSA hoặc nhóm công tác.</w:t>
      </w:r>
      <w:r>
        <w:rPr>
          <w:b w:val="0"/>
          <w:i w:val="0"/>
        </w:rPr>
        <w:t xml:space="preserve"> Các nhóm công tác hoặc nhóm quy trình, với sự hỗ trợ của một nhóm điều phối, xác định những trở ngại cần vượt qua hoặc những điểm mạnh cần phát huy và thống nhất về các bước hành động phù hợp để cải thiện hiệu quả của nhóm. Ví dụ, một Nhóm CSA dựa trên quy trình sẽ tập trung vào một quy trình có thể chỉ bao gồm một hoạt động của một đơn vị kinh doanh cụ thể hoặc các quy trình như từ mua hàng đến thanh toán và các khoản phải trả. Những ứng viên phù hợp cho nhóm CSA là:</w:t>
      </w:r>
    </w:p>
    <w:p>
      <w:pPr>
        <w:spacing w:after="80"/>
        <w:ind w:left="720"/>
      </w:pPr>
      <w:r>
        <w:t xml:space="preserve">• </w:t>
      </w:r>
      <w:r>
        <w:rPr>
          <w:b w:val="0"/>
          <w:i w:val="0"/>
        </w:rPr>
        <w:t>Các nhóm công tác cùng làm việc trên một quy trình kinh doanh duy nhất có thể cắt ngang ranh giới quản lý chức năng</w:t>
      </w:r>
    </w:p>
    <w:p>
      <w:pPr>
        <w:spacing w:after="80"/>
        <w:ind w:left="720"/>
      </w:pPr>
      <w:r>
        <w:t xml:space="preserve">• </w:t>
      </w:r>
      <w:r>
        <w:rPr>
          <w:b w:val="0"/>
          <w:i w:val="0"/>
        </w:rPr>
        <w:t>Các nhóm công tác sắp triển khai một quy trình hoặc hệ thống ứng dụng mới</w:t>
      </w:r>
    </w:p>
    <w:p>
      <w:pPr>
        <w:spacing w:after="80"/>
        <w:ind w:left="720"/>
      </w:pPr>
      <w:r>
        <w:t xml:space="preserve">• </w:t>
      </w:r>
      <w:r>
        <w:rPr>
          <w:b w:val="0"/>
          <w:i w:val="0"/>
        </w:rPr>
        <w:t>Các nhóm có xu hướng dựa trên nhân viên, ở chỗ hầu hết những người tham dự nên là những cá nhân trực tiếp thực hiện công việc</w:t>
      </w:r>
    </w:p>
    <w:p>
      <w:pPr>
        <w:spacing w:after="80"/>
        <w:ind w:left="720"/>
      </w:pPr>
      <w:r>
        <w:t xml:space="preserve">• </w:t>
      </w:r>
      <w:r>
        <w:rPr>
          <w:b w:val="0"/>
          <w:i w:val="0"/>
        </w:rPr>
        <w:t>Các lĩnh vực mà các quy trình cơ bản hàng ngày cần được cải thiện</w:t>
      </w:r>
    </w:p>
    <w:p>
      <w:pPr>
        <w:spacing w:after="80"/>
        <w:ind w:left="360"/>
      </w:pPr>
      <w:r>
        <w:t xml:space="preserve">6. </w:t>
      </w:r>
      <w:r>
        <w:rPr>
          <w:b/>
          <w:i w:val="0"/>
        </w:rPr>
        <w:t>Lập kế hoạch và sắp xếp lịch đánh giá các kiểm soát nội bộ.</w:t>
      </w:r>
      <w:r>
        <w:rPr>
          <w:b w:val="0"/>
          <w:i w:val="0"/>
        </w:rPr>
        <w:t xml:space="preserve"> Mặc dù một chương trình kiểm soát nội bộ nên linh hoạt để thích ứng với môi trường kinh doanh đang thay đổi, một kế hoạch và lịch trình hàng quý cho chương trình CSA giúp xoay xở quanh các giai đoạn cao điểm của hoạt động.</w:t>
      </w:r>
    </w:p>
    <w:p>
      <w:pPr>
        <w:spacing w:after="80"/>
        <w:ind w:left="360"/>
      </w:pPr>
      <w:r>
        <w:t xml:space="preserve">7. </w:t>
      </w:r>
      <w:r>
        <w:rPr>
          <w:b/>
          <w:i w:val="0"/>
        </w:rPr>
        <w:t>Hoàn tất việc đánh giá các kiểm soát nội bộ.</w:t>
      </w:r>
    </w:p>
    <w:p>
      <w:pPr>
        <w:spacing w:after="80"/>
        <w:ind w:left="360"/>
      </w:pPr>
      <w:r>
        <w:t xml:space="preserve">8. </w:t>
      </w:r>
      <w:r>
        <w:rPr>
          <w:b/>
          <w:i w:val="0"/>
        </w:rPr>
        <w:t>Xây dựng các phát hiện về khiếm khuyết và các hoạt động khắc phục.</w:t>
      </w:r>
      <w:r>
        <w:rPr>
          <w:b w:val="0"/>
          <w:i w:val="0"/>
        </w:rPr>
        <w:t xml:space="preserve"> Một phát hiện về khiếm khuyết là một tuyên bố thực tế về một vấn đề mà không mang tính phán xét hay kết luận, và nên được định lượng khi có thể. Các phát hiện nên giải quyết nguyên nhân gốc rễ của vấn đề và xác định "điều gì thực sự bị hỏng".</w:t>
      </w:r>
    </w:p>
    <w:p>
      <w:pPr>
        <w:spacing w:after="80"/>
        <w:ind w:left="360"/>
      </w:pPr>
      <w:r>
        <w:t xml:space="preserve">9. </w:t>
      </w:r>
      <w:r>
        <w:rPr>
          <w:b/>
          <w:i w:val="0"/>
        </w:rPr>
        <w:t>Xây dựng kế hoạch hành động khắc phục.</w:t>
      </w:r>
      <w:r>
        <w:rPr>
          <w:b w:val="0"/>
          <w:i w:val="0"/>
        </w:rPr>
        <w:t xml:space="preserve"> Kế hoạch hành động khắc phục là kế hoạch của nhóm kiểm soát nội bộ và/hoặc ban quản lý nhằm giải quyết tình trạng của các phát hiện một cách liên tục, theo lịch trình đã định. Nhóm CSA chịu trách nhiệm quản lý việc triển khai kế hoạch hành động khắc phục. Kế hoạch cần bao gồm:</w:t>
      </w:r>
    </w:p>
    <w:p>
      <w:pPr>
        <w:spacing w:after="80"/>
        <w:ind w:left="720"/>
      </w:pPr>
      <w:r>
        <w:t xml:space="preserve">• </w:t>
      </w:r>
      <w:r>
        <w:rPr>
          <w:b w:val="0"/>
          <w:i w:val="0"/>
        </w:rPr>
        <w:t>Tham chiếu phát hiện</w:t>
      </w:r>
    </w:p>
    <w:p>
      <w:pPr>
        <w:spacing w:after="80"/>
        <w:ind w:left="720"/>
      </w:pPr>
      <w:r>
        <w:t xml:space="preserve">• </w:t>
      </w:r>
      <w:r>
        <w:rPr>
          <w:b w:val="0"/>
          <w:i w:val="0"/>
        </w:rPr>
        <w:t>Hành động khắc phục</w:t>
      </w:r>
    </w:p>
    <w:p>
      <w:pPr>
        <w:spacing w:after="80"/>
        <w:ind w:left="720"/>
      </w:pPr>
      <w:r>
        <w:t xml:space="preserve">• </w:t>
      </w:r>
      <w:r>
        <w:rPr>
          <w:b w:val="0"/>
          <w:i w:val="0"/>
        </w:rPr>
        <w:t>Người chịu trách nhiệm cho từng hành động khắc phục riêng lẻ. Một cá nhân nên chịu trách nhiệm về kế hoạch hành động khắc phục để đảm bảo tính trách nhiệm giải trình.</w:t>
      </w:r>
    </w:p>
    <w:p>
      <w:pPr>
        <w:spacing w:after="80"/>
        <w:ind w:left="720"/>
      </w:pPr>
      <w:r>
        <w:t xml:space="preserve">• </w:t>
      </w:r>
      <w:r>
        <w:rPr>
          <w:b w:val="0"/>
          <w:i w:val="0"/>
        </w:rPr>
        <w:t>Ngày cam kết</w:t>
      </w:r>
    </w:p>
    <w:p>
      <w:pPr>
        <w:spacing w:after="80"/>
        <w:ind w:left="720"/>
      </w:pPr>
      <w:r>
        <w:t xml:space="preserve">• </w:t>
      </w:r>
      <w:r>
        <w:rPr>
          <w:b w:val="0"/>
          <w:i w:val="0"/>
        </w:rPr>
        <w:t>Trạng thái</w:t>
      </w:r>
    </w:p>
    <w:p>
      <w:pPr>
        <w:spacing w:after="80"/>
        <w:ind w:left="720"/>
      </w:pPr>
      <w:r>
        <w:t xml:space="preserve">• </w:t>
      </w:r>
      <w:r>
        <w:rPr>
          <w:b w:val="0"/>
          <w:i w:val="0"/>
        </w:rPr>
        <w:t>Ngày thực tế việc khắc phục đã diễn ra</w:t>
      </w:r>
    </w:p>
    <w:p>
      <w:pPr>
        <w:spacing w:after="80"/>
        <w:ind w:left="720"/>
      </w:pPr>
      <w:r>
        <w:t xml:space="preserve">• </w:t>
      </w:r>
      <w:r>
        <w:rPr>
          <w:b w:val="0"/>
          <w:i w:val="0"/>
        </w:rPr>
        <w:t>Đề xuất sửa đổi hoặc kiểm tra lại</w:t>
      </w:r>
    </w:p>
    <w:p>
      <w:pPr>
        <w:spacing w:after="80"/>
        <w:ind w:left="720"/>
      </w:pPr>
      <w:r>
        <w:t xml:space="preserve">• </w:t>
      </w:r>
      <w:r>
        <w:rPr>
          <w:b w:val="0"/>
          <w:i w:val="0"/>
        </w:rPr>
        <w:t>Xem xét hành động khắc phục được đề xuất</w:t>
      </w:r>
    </w:p>
    <w:p>
      <w:pPr>
        <w:spacing w:after="80"/>
        <w:ind w:left="720"/>
      </w:pPr>
      <w:r>
        <w:t xml:space="preserve">• </w:t>
      </w:r>
      <w:r>
        <w:rPr>
          <w:b w:val="0"/>
          <w:i w:val="0"/>
        </w:rPr>
        <w:t>Tài liệu hỗ trợ đính kèm làm bằng chứng hoàn thành hành động khắc phục (ví dụ: thay đổi quy trình, các vấn đề truy cập hệ thống do vấn đề phân tách nhiệm vụ đã được khắc phục)</w:t>
      </w:r>
    </w:p>
    <w:p>
      <w:pPr>
        <w:spacing w:after="80"/>
        <w:ind w:left="360"/>
      </w:pPr>
      <w:r>
        <w:t xml:space="preserve">10. </w:t>
      </w:r>
      <w:r>
        <w:rPr>
          <w:b/>
          <w:i w:val="0"/>
        </w:rPr>
        <w:t>Theo dõi và kiểm tra lại phát hiện.</w:t>
      </w:r>
      <w:r>
        <w:rPr>
          <w:b w:val="0"/>
          <w:i w:val="0"/>
        </w:rPr>
        <w:t xml:space="preserve"> Các phát hiện đã được khắc phục cần được xác minh bằng cách theo dõi và kiểm tra lại vấn đề thông qua việc xem xét các dấu vết kiểm toán, các thay đổi quy trình, và lấy mẫu các giao dịch sau khi việc khắc phục đã diễn ra.</w:t>
      </w:r>
    </w:p>
    <w:p>
      <w:pPr>
        <w:spacing w:after="80"/>
        <w:ind w:left="360"/>
      </w:pPr>
      <w:r>
        <w:t xml:space="preserve">11. </w:t>
      </w:r>
      <w:r>
        <w:rPr>
          <w:b/>
          <w:i w:val="0"/>
        </w:rPr>
        <w:t>Báo cáo và xem xét của ban quản lý.</w:t>
      </w:r>
      <w:r>
        <w:rPr>
          <w:b w:val="0"/>
          <w:i w:val="0"/>
        </w:rPr>
        <w:t xml:space="preserve"> Việc ban quản lý xem xét liên tục các kết quả của chương trình kiểm soát nội bộ thể hiện sự cam kết và củng cố tính trách nhiệm giải trình trong từng tổ chức thuộc đơn vị vận hành.</w:t>
      </w:r>
    </w:p>
    <w:p>
      <w:pPr>
        <w:spacing w:after="80"/>
        <w:ind w:left="360"/>
      </w:pPr>
      <w:r>
        <w:t xml:space="preserve">12. </w:t>
      </w:r>
      <w:r>
        <w:rPr>
          <w:b/>
          <w:i w:val="0"/>
        </w:rPr>
        <w:t>Tiến hành đào tạo liên tục.</w:t>
      </w:r>
      <w:r>
        <w:rPr>
          <w:b w:val="0"/>
          <w:i w:val="0"/>
        </w:rPr>
        <w:t xml:space="preserve"> Đào tạo về kiểm soát nội bộ là yếu tố then chốt để đơn vị vận hành hiểu rõ các thành phần và yêu cầu của kiểm soát nội bộ, và nên được cung cấp hàng năm. Các chủ sở hữu quy trình nghiệp vụ chịu trách nhiệm về quy trình thanh toán nên có các chương trình đào tạo cụ thể cho nhân viên mới nếu có thay đổi quy trình hoặc một hệ thống hay giải pháp mới đã được triển khai.</w:t>
      </w:r>
    </w:p>
    <w:p>
      <w:pPr>
        <w:spacing w:after="80"/>
        <w:ind w:left="360"/>
      </w:pPr>
      <w:r>
        <w:t xml:space="preserve">13. </w:t>
      </w:r>
      <w:r>
        <w:rPr>
          <w:b/>
          <w:i w:val="0"/>
        </w:rPr>
        <w:t>Cập nhật các tiêu chuẩn kiểm soát nội bộ (các kiểm soát then chốt).</w:t>
      </w:r>
      <w:r>
        <w:rPr>
          <w:b w:val="0"/>
          <w:i w:val="0"/>
        </w:rPr>
        <w:t xml:space="preserve"> Các tiêu chuẩn kiểm soát nội bộ hỗ trợ quy trình CSA nên được cập nhật để phản ánh kết quả của các kế hoạch hành động khắc phục.</w:t>
      </w:r>
    </w:p>
    <w:p>
      <w:pPr>
        <w:pStyle w:val="Heading2"/>
      </w:pPr>
      <w:r>
        <w:rPr>
          <w:rFonts w:ascii="Calibri" w:hAnsi="Calibri"/>
          <w:b/>
          <w:i w:val="0"/>
          <w:sz w:val="32"/>
        </w:rPr>
        <w:t>ĐẠO ĐỨC VÀ “TÔN CHỈ TỪ CẤP LÃNH ĐẠO”</w:t>
      </w:r>
    </w:p>
    <w:p>
      <w:pPr>
        <w:spacing w:after="80"/>
      </w:pPr>
      <w:r>
        <w:rPr>
          <w:b w:val="0"/>
          <w:i w:val="0"/>
        </w:rPr>
        <w:t>Mối liên hệ giữa gian lận và tôn chỉ từ cấp lãnh đạo của một tổ chức đã nhận được rất nhiều sự quan tâm trong những năm gần đây. “Tôn chỉ từ cấp lãnh đạo” (tone at the top) ám chỉ bầu không khí đạo đức được tạo ra tại nơi làm việc bởi ban lãnh đạo của tổ chức. Bất kể tôn chỉ nào mà ban quản lý đặt ra cũng sẽ có hiệu ứng lan tỏa xuống nhân viên của công ty. Nếu tôn chỉ mà các nhà quản lý đặt ra đề cao đạo đức và sự chính trực, nhân viên sẽ có xu hướng đề cao những giá trị tương tự.</w:t>
      </w:r>
    </w:p>
    <w:p>
      <w:pPr>
        <w:spacing w:after="80"/>
      </w:pPr>
      <w:r>
        <w:rPr>
          <w:b w:val="0"/>
          <w:i w:val="0"/>
        </w:rPr>
        <w:t>Như một thông lệ tốt nhất, nhiều tổ chức tích hợp các yêu cầu về đạo đức và tuân thủ vào tất cả các quy trình kinh doanh. Các công ty cần đảm bảo rằng một môi trường đạo đức và tuân thủ được nhúng sâu vào trong các lĩnh vực trách nhiệm của họ. Ngoài ra, người phụ trách quy trình kinh doanh đóng một vai trò then chốt trong việc quản lý tất cả các sáng kiến kiểm soát nội bộ tại các công ty tư nhân và đại chúng. Những sáng kiến này thường bao gồm việc triển khai các chuẩn mực đạo đức hoặc một bộ quy tắc ứng xử cho tổ chức.</w:t>
      </w:r>
    </w:p>
    <w:p>
      <w:pPr>
        <w:pStyle w:val="Heading3"/>
      </w:pPr>
      <w:r>
        <w:rPr>
          <w:rFonts w:ascii="Calibri" w:hAnsi="Calibri"/>
          <w:b/>
          <w:i w:val="0"/>
          <w:sz w:val="26"/>
        </w:rPr>
        <w:t>“Tôn chỉ từ cấp lãnh đạo” là gì?</w:t>
      </w:r>
    </w:p>
    <w:p>
      <w:pPr>
        <w:spacing w:after="80"/>
      </w:pPr>
      <w:r>
        <w:rPr>
          <w:b w:val="0"/>
          <w:i w:val="0"/>
        </w:rPr>
        <w:t>Tôn chỉ từ cấp lãnh đạo thiết lập nên sự chính trực của một công ty và định hướng cách mà nhân viên, cổ đông và các bên liên quan của công ty sẽ hành xử. Một tôn chỉ từ cấp lãnh đạo tập trung vào lương bổng cá nhân và lòng tham, hoặc ủng hộ và làm ngơ trước các hoạt động gian lận, sẽ dẫn đến một công ty có thể hành xử theo cùng cách đó. Một tôn chỉ từ cấp lãnh đạo tập trung vào việc làm điều đúng đắn vì nhân viên, cổ đông và các bên liên quan sẽ dẫn đến một công ty có môi trường cởi mở và trung thực.</w:t>
      </w:r>
    </w:p>
    <w:p>
      <w:pPr>
        <w:pStyle w:val="Heading3"/>
      </w:pPr>
      <w:r>
        <w:rPr>
          <w:rFonts w:ascii="Calibri" w:hAnsi="Calibri"/>
          <w:b/>
          <w:i w:val="0"/>
          <w:sz w:val="26"/>
        </w:rPr>
        <w:t>Các thành phần của một chính sách đạo đức hiệu quả là gì?</w:t>
      </w:r>
    </w:p>
    <w:p>
      <w:pPr>
        <w:spacing w:after="80"/>
        <w:ind w:left="360"/>
      </w:pPr>
      <w:r>
        <w:t xml:space="preserve">1. </w:t>
      </w:r>
      <w:r>
        <w:rPr>
          <w:b w:val="0"/>
          <w:i w:val="0"/>
        </w:rPr>
        <w:t>Truyền đạt các giá trị đạo đức, chuẩn mực và cam kết của tổ chức tới các bên liên quan, những điều sẽ làm nền tảng cho cách tổ chức tiến hành hoạt động kinh doanh</w:t>
      </w:r>
    </w:p>
    <w:p>
      <w:pPr>
        <w:spacing w:after="80"/>
        <w:ind w:left="360"/>
      </w:pPr>
      <w:r>
        <w:t xml:space="preserve">2. </w:t>
      </w:r>
      <w:r>
        <w:rPr>
          <w:b w:val="0"/>
          <w:i w:val="0"/>
        </w:rPr>
        <w:t>Khẳng định cam kết của ban lãnh đạo đối với những điều nêu trên</w:t>
      </w:r>
    </w:p>
    <w:p>
      <w:pPr>
        <w:spacing w:after="80"/>
        <w:ind w:left="360"/>
      </w:pPr>
      <w:r>
        <w:t xml:space="preserve">3. </w:t>
      </w:r>
      <w:r>
        <w:rPr>
          <w:b w:val="0"/>
          <w:i w:val="0"/>
        </w:rPr>
        <w:t>Mô tả cách điều này sẽ được thực hiện và giám sát thông qua một chương trình đạo đức</w:t>
      </w:r>
    </w:p>
    <w:p>
      <w:pPr>
        <w:spacing w:after="80"/>
        <w:ind w:left="360"/>
      </w:pPr>
      <w:r>
        <w:t xml:space="preserve">4. </w:t>
      </w:r>
      <w:r>
        <w:rPr>
          <w:b w:val="0"/>
          <w:i w:val="0"/>
        </w:rPr>
        <w:t>Xác định các vấn đề đạo đức chính mà tổ chức phải đối mặt</w:t>
      </w:r>
    </w:p>
    <w:p>
      <w:pPr>
        <w:spacing w:after="80"/>
        <w:ind w:left="360"/>
      </w:pPr>
      <w:r>
        <w:t xml:space="preserve">5. </w:t>
      </w:r>
      <w:r>
        <w:rPr>
          <w:b w:val="0"/>
          <w:i w:val="0"/>
        </w:rPr>
        <w:t>Xác định các chính sách và tài liệu khác hỗ trợ và trình bày chi tiết các khía cạnh của chính sách đạo đức—chẳng hạn như bộ quy tắc đạo đức, chính sách lên tiếng, chính sách chống bắt nạt và quấy rối, chính sách về quà tặng và tiếp khách, chính sách môi trường, v.v.</w:t>
      </w:r>
    </w:p>
    <w:p>
      <w:pPr>
        <w:pStyle w:val="Heading3"/>
      </w:pPr>
      <w:r>
        <w:rPr>
          <w:rFonts w:ascii="Calibri" w:hAnsi="Calibri"/>
          <w:b/>
          <w:i w:val="0"/>
          <w:sz w:val="26"/>
        </w:rPr>
        <w:t>Các thành phần của một bộ quy tắc ứng xử được định nghĩa rõ ràng là gì?</w:t>
      </w:r>
    </w:p>
    <w:p>
      <w:pPr>
        <w:spacing w:after="80"/>
      </w:pPr>
      <w:r>
        <w:rPr>
          <w:b w:val="0"/>
          <w:i w:val="0"/>
        </w:rPr>
        <w:t>Như một thông lệ tốt nhất, các công ty và tổ chức thuộc mọi quy mô đều đã triển khai một bộ quy tắc ứng xử để hỗ trợ thông điệp “tôn chỉ từ cấp lãnh đạo” của họ. Viện Đạo đức Kinh doanh (Institute of Business Ethics) gợi ý rằng một bộ quy tắc ứng xử nên bao gồm các thành phần sau:</w:t>
      </w:r>
    </w:p>
    <w:p>
      <w:pPr>
        <w:spacing w:after="80"/>
        <w:ind w:left="360"/>
      </w:pPr>
      <w:r>
        <w:t xml:space="preserve">• </w:t>
      </w:r>
      <w:r>
        <w:rPr>
          <w:b w:val="0"/>
          <w:i w:val="0"/>
        </w:rPr>
        <w:t>Cách chúng ta cạnh tranh</w:t>
      </w:r>
    </w:p>
    <w:p>
      <w:pPr>
        <w:spacing w:after="80"/>
        <w:ind w:left="360"/>
      </w:pPr>
      <w:r>
        <w:t xml:space="preserve">• </w:t>
      </w:r>
      <w:r>
        <w:rPr>
          <w:b w:val="0"/>
          <w:i w:val="0"/>
        </w:rPr>
        <w:t>Hối lộ và các khoản thanh toán tạo thuận lợi</w:t>
      </w:r>
    </w:p>
    <w:p>
      <w:pPr>
        <w:spacing w:after="80"/>
        <w:ind w:left="360"/>
      </w:pPr>
      <w:r>
        <w:t xml:space="preserve">• </w:t>
      </w:r>
      <w:r>
        <w:rPr>
          <w:b w:val="0"/>
          <w:i w:val="0"/>
        </w:rPr>
        <w:t>Quà tặng và tiếp khách</w:t>
      </w:r>
    </w:p>
    <w:p>
      <w:pPr>
        <w:spacing w:after="80"/>
        <w:ind w:left="360"/>
      </w:pPr>
      <w:r>
        <w:t xml:space="preserve">• </w:t>
      </w:r>
      <w:r>
        <w:rPr>
          <w:b w:val="0"/>
          <w:i w:val="0"/>
        </w:rPr>
        <w:t>Xung đột lợi ích</w:t>
      </w:r>
    </w:p>
    <w:p>
      <w:pPr>
        <w:spacing w:after="80"/>
        <w:ind w:left="360"/>
      </w:pPr>
      <w:r>
        <w:t xml:space="preserve">• </w:t>
      </w:r>
      <w:r>
        <w:rPr>
          <w:b w:val="0"/>
          <w:i w:val="0"/>
        </w:rPr>
        <w:t>Sử dụng tài sản của công ty</w:t>
      </w:r>
    </w:p>
    <w:p>
      <w:pPr>
        <w:spacing w:after="80"/>
        <w:ind w:left="360"/>
      </w:pPr>
      <w:r>
        <w:t xml:space="preserve">• </w:t>
      </w:r>
      <w:r>
        <w:rPr>
          <w:b w:val="0"/>
          <w:i w:val="0"/>
        </w:rPr>
        <w:t>Bảo vệ thông tin quan trọng</w:t>
      </w:r>
    </w:p>
    <w:p>
      <w:pPr>
        <w:spacing w:after="80"/>
        <w:ind w:left="360"/>
      </w:pPr>
      <w:r>
        <w:t xml:space="preserve">• </w:t>
      </w:r>
      <w:r>
        <w:rPr>
          <w:b w:val="0"/>
          <w:i w:val="0"/>
        </w:rPr>
        <w:t>Tham gia và đóng góp chính trị</w:t>
      </w:r>
    </w:p>
    <w:p>
      <w:pPr>
        <w:spacing w:after="80"/>
        <w:ind w:left="360"/>
      </w:pPr>
      <w:r>
        <w:t xml:space="preserve">• </w:t>
      </w:r>
      <w:r>
        <w:rPr>
          <w:b w:val="0"/>
          <w:i w:val="0"/>
        </w:rPr>
        <w:t>Việc áp dụng các tiêu chuẩn nhân quyền trong hoạt động kinh doanh của chúng ta</w:t>
      </w:r>
    </w:p>
    <w:p>
      <w:pPr>
        <w:spacing w:after="80"/>
        <w:ind w:left="360"/>
      </w:pPr>
      <w:r>
        <w:t xml:space="preserve">• </w:t>
      </w:r>
      <w:r>
        <w:rPr>
          <w:b w:val="0"/>
          <w:i w:val="0"/>
        </w:rPr>
        <w:t>Trách nhiệm môi trường của chúng ta</w:t>
      </w:r>
    </w:p>
    <w:p>
      <w:pPr>
        <w:spacing w:after="80"/>
        <w:ind w:left="360"/>
      </w:pPr>
      <w:r>
        <w:t xml:space="preserve">• </w:t>
      </w:r>
      <w:r>
        <w:rPr>
          <w:b w:val="0"/>
          <w:i w:val="0"/>
        </w:rPr>
        <w:t>Thanh toán đúng hạn cho nhà cung cấp</w:t>
      </w:r>
    </w:p>
    <w:p>
      <w:pPr>
        <w:spacing w:after="80"/>
        <w:ind w:left="360"/>
      </w:pPr>
      <w:r>
        <w:t xml:space="preserve">• </w:t>
      </w:r>
      <w:r>
        <w:rPr>
          <w:b w:val="0"/>
          <w:i w:val="0"/>
        </w:rPr>
        <w:t>Các vấn đề khác</w:t>
      </w:r>
    </w:p>
    <w:p>
      <w:pPr>
        <w:pStyle w:val="Heading3"/>
      </w:pPr>
      <w:r>
        <w:rPr>
          <w:rFonts w:ascii="Calibri" w:hAnsi="Calibri"/>
          <w:b/>
          <w:i w:val="0"/>
          <w:sz w:val="26"/>
        </w:rPr>
        <w:t>Ví dụ về "tone at the top" (tông giọng từ cấp cao nhất) kém là gì?</w:t>
      </w:r>
    </w:p>
    <w:p>
      <w:pPr>
        <w:spacing w:after="80"/>
      </w:pPr>
      <w:r>
        <w:rPr>
          <w:b w:val="0"/>
          <w:i w:val="0"/>
        </w:rPr>
        <w:t>Theo AICPA, danh sách sau đây đưa ra các ví dụ về tone at the top kém và tạo ra môi trường làm việc tiêu cực cho một nhân viên dễ bị kẻ gian lận nhắm đến. Những ví dụ hay triệu chứng này cũng hỗ trợ cho khái niệm Fraud Triangle (Tam giác gian lận), trong đó phải có: (1) Nhu cầu, (2) Biện minh, và (3) Cơ hội để một cá nhân thực hiện hành vi gian lận.</w:t>
      </w:r>
    </w:p>
    <w:p>
      <w:pPr>
        <w:spacing w:after="80"/>
        <w:ind w:left="360"/>
      </w:pPr>
      <w:r>
        <w:t xml:space="preserve">• </w:t>
      </w:r>
      <w:r>
        <w:rPr>
          <w:b w:val="0"/>
          <w:i w:val="0"/>
        </w:rPr>
        <w:t>Ban lãnh đạo cấp cao rõ ràng không quan tâm hoặc không tưởng thưởng cho hành vi phù hợp</w:t>
      </w:r>
    </w:p>
    <w:p>
      <w:pPr>
        <w:spacing w:after="80"/>
        <w:ind w:left="360"/>
      </w:pPr>
      <w:r>
        <w:t xml:space="preserve">• </w:t>
      </w:r>
      <w:r>
        <w:rPr>
          <w:b w:val="0"/>
          <w:i w:val="0"/>
        </w:rPr>
        <w:t>Thiếu sự ghi nhận đối với việc thực hiện công việc đúng đắn</w:t>
      </w:r>
    </w:p>
    <w:p>
      <w:pPr>
        <w:spacing w:after="80"/>
        <w:ind w:left="360"/>
      </w:pPr>
      <w:r>
        <w:t xml:space="preserve">• </w:t>
      </w:r>
      <w:r>
        <w:rPr>
          <w:b w:val="0"/>
          <w:i w:val="0"/>
        </w:rPr>
        <w:t>Phản hồi tiêu cực</w:t>
      </w:r>
    </w:p>
    <w:p>
      <w:pPr>
        <w:spacing w:after="80"/>
        <w:ind w:left="360"/>
      </w:pPr>
      <w:r>
        <w:t xml:space="preserve">• </w:t>
      </w:r>
      <w:r>
        <w:rPr>
          <w:b w:val="0"/>
          <w:i w:val="0"/>
        </w:rPr>
        <w:t>Sự bất công trong tổ chức được nhận thấy</w:t>
      </w:r>
    </w:p>
    <w:p>
      <w:pPr>
        <w:spacing w:after="80"/>
        <w:ind w:left="360"/>
      </w:pPr>
      <w:r>
        <w:t xml:space="preserve">• </w:t>
      </w:r>
      <w:r>
        <w:rPr>
          <w:b w:val="0"/>
          <w:i w:val="0"/>
        </w:rPr>
        <w:t>Quản lý độc đoán thay vì quản lý có sự tham gia</w:t>
      </w:r>
    </w:p>
    <w:p>
      <w:pPr>
        <w:spacing w:after="80"/>
        <w:ind w:left="360"/>
      </w:pPr>
      <w:r>
        <w:t xml:space="preserve">• </w:t>
      </w:r>
      <w:r>
        <w:rPr>
          <w:b w:val="0"/>
          <w:i w:val="0"/>
        </w:rPr>
        <w:t>Kỳ vọng ngân sách hoặc các mục tiêu tài chính khác không hợp lý</w:t>
      </w:r>
    </w:p>
    <w:p>
      <w:pPr>
        <w:spacing w:after="80"/>
        <w:ind w:left="360"/>
      </w:pPr>
      <w:r>
        <w:t xml:space="preserve">• </w:t>
      </w:r>
      <w:r>
        <w:rPr>
          <w:b w:val="0"/>
          <w:i w:val="0"/>
        </w:rPr>
        <w:t>Ít trung thành với tổ chức</w:t>
      </w:r>
    </w:p>
    <w:p>
      <w:pPr>
        <w:spacing w:after="80"/>
        <w:ind w:left="360"/>
      </w:pPr>
      <w:r>
        <w:t xml:space="preserve">• </w:t>
      </w:r>
      <w:r>
        <w:rPr>
          <w:b w:val="0"/>
          <w:i w:val="0"/>
        </w:rPr>
        <w:t>Sợ phải báo “tin xấu” cho cấp trên và/hoặc ban quản lý</w:t>
      </w:r>
    </w:p>
    <w:p>
      <w:pPr>
        <w:spacing w:after="80"/>
        <w:ind w:left="360"/>
      </w:pPr>
      <w:r>
        <w:t xml:space="preserve">• </w:t>
      </w:r>
      <w:r>
        <w:rPr>
          <w:b w:val="0"/>
          <w:i w:val="0"/>
        </w:rPr>
        <w:t>Mức đãi ngộ kém cạnh tranh</w:t>
      </w:r>
    </w:p>
    <w:p>
      <w:pPr>
        <w:spacing w:after="80"/>
        <w:ind w:left="360"/>
      </w:pPr>
      <w:r>
        <w:t xml:space="preserve">• </w:t>
      </w:r>
      <w:r>
        <w:rPr>
          <w:b w:val="0"/>
          <w:i w:val="0"/>
        </w:rPr>
        <w:t>Cơ hội đào tạo và thăng tiến kém</w:t>
      </w:r>
    </w:p>
    <w:p>
      <w:pPr>
        <w:spacing w:after="80"/>
        <w:ind w:left="360"/>
      </w:pPr>
      <w:r>
        <w:t xml:space="preserve">• </w:t>
      </w:r>
      <w:r>
        <w:rPr>
          <w:b w:val="0"/>
          <w:i w:val="0"/>
        </w:rPr>
        <w:t>Trách nhiệm trong tổ chức không công bằng, không bình đẳng hoặc không rõ ràng</w:t>
      </w:r>
    </w:p>
    <w:p>
      <w:pPr>
        <w:spacing w:after="80"/>
        <w:ind w:left="360"/>
      </w:pPr>
      <w:r>
        <w:t xml:space="preserve">• </w:t>
      </w:r>
      <w:r>
        <w:rPr>
          <w:b w:val="0"/>
          <w:i w:val="0"/>
        </w:rPr>
        <w:t>Cách thức hay phương pháp giao tiếp trong tổ chức còn yếu kém</w:t>
      </w:r>
    </w:p>
    <w:p>
      <w:pPr>
        <w:pStyle w:val="Heading2"/>
      </w:pPr>
      <w:r>
        <w:rPr>
          <w:rFonts w:ascii="Calibri" w:hAnsi="Calibri"/>
          <w:b/>
          <w:i w:val="0"/>
          <w:sz w:val="32"/>
        </w:rPr>
        <w:t>NHỮNG CÂN NHẮC VỀ QUY TẮC ỨNG XỬ</w:t>
      </w:r>
    </w:p>
    <w:p>
      <w:pPr>
        <w:spacing w:after="80"/>
      </w:pPr>
      <w:r>
        <w:rPr>
          <w:b w:val="0"/>
          <w:i w:val="0"/>
        </w:rPr>
        <w:t>Môi trường kiểm soát nội bộ trong bất kỳ tổ chức nào, dù lớn hay nhỏ, đều bắt đầu từ tông giọng từ trên xuống (tone at the top), thể hiện qua quy tắc ứng xử (code of conduct) của công ty. Quy tắc ứng xử thiết lập cam kết của tổ chức đối với kiểm soát nội bộ, giúp bảo vệ công ty khỏi gian lận. Gian lận có thể xảy ra ở mọi tổ chức thuộc mọi quy mô và mọi ngành nghề. Kế toán trưởng (controller) và những người phụ trách quy trình kinh doanh có trách nhiệm đảm bảo nhân viên kế toán thể hiện hành vi đạo đức cao nhất có thể. Hành vi đạo đức tiêu cực thường xuất hiện trong các quy trình kế toán có phát sinh thanh toán, chẳng hạn như kế toán phải trả (accounts payable) và bảng lương (payroll).</w:t>
      </w:r>
    </w:p>
    <w:p>
      <w:pPr>
        <w:spacing w:after="80"/>
      </w:pPr>
      <w:r>
        <w:rPr>
          <w:b w:val="0"/>
          <w:i w:val="0"/>
        </w:rPr>
        <w:t>Ba loại gian lận sau đây là ví dụ về việc vi phạm tông giọng từ trên xuống:</w:t>
      </w:r>
    </w:p>
    <w:p>
      <w:pPr>
        <w:spacing w:after="80"/>
        <w:ind w:left="360"/>
      </w:pPr>
      <w:r>
        <w:t xml:space="preserve">1. </w:t>
      </w:r>
      <w:r>
        <w:rPr>
          <w:b/>
          <w:i w:val="0"/>
        </w:rPr>
        <w:t>Gian lận nội bộ:</w:t>
      </w:r>
      <w:r>
        <w:rPr>
          <w:b w:val="0"/>
          <w:i w:val="0"/>
        </w:rPr>
        <w:t xml:space="preserve"> Một hoặc nhiều nhân viên tạo điều kiện cho hành vi này bằng cách dùng các bút toán gian dối để che đậy hành động. Hành vi có thể bị che giấu trong một thời gian dài khiến gian lận khó bị phát hiện.</w:t>
      </w:r>
    </w:p>
    <w:p>
      <w:pPr>
        <w:spacing w:after="80"/>
        <w:ind w:left="360"/>
      </w:pPr>
      <w:r>
        <w:t xml:space="preserve">2. </w:t>
      </w:r>
      <w:r>
        <w:rPr>
          <w:b/>
          <w:i w:val="0"/>
        </w:rPr>
        <w:t>Gian lận bên ngoài:</w:t>
      </w:r>
      <w:r>
        <w:rPr>
          <w:b w:val="0"/>
          <w:i w:val="0"/>
        </w:rPr>
        <w:t xml:space="preserve"> Người bên ngoài bộ phận kế toán phải trả có thể tiếp cận tài sản của công ty thông qua các thủ đoạn gian dối. Kết quả là tiền bị biển thủ hoặc bị tống tiền khỏi công ty.</w:t>
      </w:r>
    </w:p>
    <w:p>
      <w:pPr>
        <w:spacing w:after="80"/>
        <w:ind w:left="360"/>
      </w:pPr>
      <w:r>
        <w:t xml:space="preserve">3. </w:t>
      </w:r>
      <w:r>
        <w:rPr>
          <w:b/>
          <w:i w:val="0"/>
        </w:rPr>
        <w:t>Gian lận thông đồng hoặc cấu kết:</w:t>
      </w:r>
      <w:r>
        <w:rPr>
          <w:b w:val="0"/>
          <w:i w:val="0"/>
        </w:rPr>
        <w:t xml:space="preserve"> Đây là sự kết hợp của cả gian lận nội bộ lẫn bên ngoài, trong đó một nhân viên cấu kết với người bên ngoài công ty như nhà cung cấp hoặc cựu nhân viên để thực hiện hành vi gian lận.</w:t>
      </w:r>
    </w:p>
    <w:p>
      <w:pPr>
        <w:pStyle w:val="Heading2"/>
      </w:pPr>
      <w:r>
        <w:rPr>
          <w:rFonts w:ascii="Calibri" w:hAnsi="Calibri"/>
          <w:b/>
          <w:i w:val="0"/>
          <w:sz w:val="32"/>
        </w:rPr>
        <w:t>KIỂM SOÁT Ở CẤP ĐỘ THỰC THỂ</w:t>
      </w:r>
    </w:p>
    <w:p>
      <w:pPr>
        <w:spacing w:after="80"/>
      </w:pPr>
      <w:r>
        <w:rPr>
          <w:b w:val="0"/>
          <w:i w:val="0"/>
        </w:rPr>
        <w:t>Kiểm soát ở cấp độ thực thể (entity-level controls) có ảnh hưởng lan tỏa khắp mọi tổ chức. Nếu chúng yếu, không đầy đủ hoặc không tồn tại, chúng có thể gây ra các điểm yếu trọng yếu (material weaknesses) liên quan đến một cuộc kiểm toán kiểm soát nội bộ. Kiểm soát cấp độ thực thể yếu cũng có thể dẫn đến sai sót trọng yếu trong báo cáo tài chính của công ty. Sự hiện diện của các sai sót trọng yếu có thể dẫn đến việc nhận ý kiến bất lợi (adverse opinion) về kiểm soát nội bộ và ý kiến ngoại trừ (qualified opinion) về báo cáo tài chính.</w:t>
      </w:r>
    </w:p>
    <w:p>
      <w:pPr>
        <w:spacing w:after="80"/>
      </w:pPr>
      <w:r>
        <w:rPr>
          <w:b w:val="0"/>
          <w:i w:val="0"/>
        </w:rPr>
        <w:t xml:space="preserve">Kiểm soát ở cấp độ thực thể nên được đưa vào các chương trình kiểm soát nội bộ của mọi công ty và tổ chức, dù lớn hay nhỏ đến đâu. Trong một bài viết ngày 11 tháng 1 năm 2010, “Taking Control: Public Company Auditors Use Internal Controls to Measure Effectiveness,” đăng trên </w:t>
      </w:r>
      <w:r>
        <w:rPr>
          <w:b w:val="0"/>
          <w:i/>
        </w:rPr>
        <w:t>CPA Insider</w:t>
      </w:r>
      <w:r>
        <w:rPr>
          <w:b w:val="0"/>
          <w:i w:val="0"/>
        </w:rPr>
        <w:t xml:space="preserve"> của AICPA, người ta lưu ý rằng kiểm soát ở cấp độ thực thể (còn gọi là kiểm soát cấp cao nhất hoặc kiểm soát do ban quản lý xem xét) có thể mang lại hiệu quả cho mọi biện pháp kiểm soát.</w:t>
      </w:r>
    </w:p>
    <w:p>
      <w:pPr>
        <w:spacing w:after="80"/>
      </w:pPr>
      <w:r>
        <w:rPr>
          <w:b w:val="0"/>
          <w:i w:val="0"/>
        </w:rPr>
        <w:t>“Kiểm soát ở cấp độ thực thể thường liên quan đến quá trình giám sát và chu kỳ kết chuyển tài chính và báo cáo—mặc dù các công ty nhỏ có thể không gọi chúng bằng những từ ngữ đó,” Wayne Kerr, chuyên gia tư vấn cấp cao tại Thomson Reuters, giải thích. Kerr cho biết những biện pháp kiểm soát cấp cao nhất này bao gồm các hạng mục như việc ban quản lý cấp cao xem xét thông tin tài chính hàng tuần hoặc hàng tháng; phê duyệt các giao dịch lớn như thanh toán hoặc bán hàng; và xem xét các bảng đối chiếu ngân hàng (bank reconciliations).</w:t>
      </w:r>
    </w:p>
    <w:p>
      <w:pPr>
        <w:spacing w:after="80"/>
      </w:pPr>
      <w:r>
        <w:rPr>
          <w:b w:val="0"/>
          <w:i w:val="0"/>
        </w:rPr>
        <w:t>“Các công ty nhỏ hơn thường dựa vào những loại kiểm soát này, một phần là vì họ thường thiếu nguồn lực hoặc khả năng để đưa việc phân tách nhiệm vụ (separation of duties) và các kiểm soát ‘ngăn ngừa’ (prevent) khác vào quy trình của mình,” ông nói thêm.</w:t>
      </w:r>
    </w:p>
    <w:p>
      <w:pPr>
        <w:pStyle w:val="Heading3"/>
      </w:pPr>
      <w:r>
        <w:rPr>
          <w:rFonts w:ascii="Calibri" w:hAnsi="Calibri"/>
          <w:b/>
          <w:i w:val="0"/>
          <w:sz w:val="26"/>
        </w:rPr>
        <w:t>Lợi ích của Kiểm soát cấp độ Thực thể</w:t>
      </w:r>
    </w:p>
    <w:p>
      <w:pPr>
        <w:spacing w:after="80"/>
      </w:pPr>
      <w:r>
        <w:rPr>
          <w:b w:val="0"/>
          <w:i w:val="0"/>
        </w:rPr>
        <w:t>Có một số lợi ích khi triển khai một chương trình kiểm soát cấp độ thực thể (entity-level controls) hiệu quả, áp dụng cho mọi loại tổ chức. Những lợi ích này bao gồm:</w:t>
      </w:r>
    </w:p>
    <w:p>
      <w:pPr>
        <w:spacing w:after="80"/>
        <w:ind w:left="360"/>
      </w:pPr>
      <w:r>
        <w:t xml:space="preserve">• </w:t>
      </w:r>
      <w:r>
        <w:rPr>
          <w:b w:val="0"/>
          <w:i w:val="0"/>
        </w:rPr>
        <w:t>Giảm khả năng xảy ra một sự kiện rủi ro tiêu cực bằng cách thiết lập và củng cố hạ tầng tạo nên ý thức kiểm soát của tổ chức.</w:t>
      </w:r>
    </w:p>
    <w:p>
      <w:pPr>
        <w:spacing w:after="80"/>
        <w:ind w:left="360"/>
      </w:pPr>
      <w:r>
        <w:t xml:space="preserve">• </w:t>
      </w:r>
      <w:r>
        <w:rPr>
          <w:b w:val="0"/>
          <w:i w:val="0"/>
        </w:rPr>
        <w:t>Đối với các công ty đang thực hiện đánh giá kiểm soát nội bộ, sự hiện diện của các kiểm soát cấp độ thực thể hiệu quả có thể góp phần tạo nên một chiến lược đánh giá hiệu quả và hiệu suất hơn.</w:t>
      </w:r>
    </w:p>
    <w:p>
      <w:pPr>
        <w:spacing w:after="80"/>
        <w:ind w:left="360"/>
      </w:pPr>
      <w:r>
        <w:t xml:space="preserve">• </w:t>
      </w:r>
      <w:r>
        <w:rPr>
          <w:b w:val="0"/>
          <w:i w:val="0"/>
        </w:rPr>
        <w:t>Tăng cường tính hiệu quả và hiệu suất trong việc đánh giá rủi ro và đánh giá kiểm soát của ban quản lý.</w:t>
      </w:r>
    </w:p>
    <w:p>
      <w:pPr>
        <w:spacing w:after="80"/>
        <w:ind w:left="360"/>
      </w:pPr>
      <w:r>
        <w:t xml:space="preserve">• </w:t>
      </w:r>
      <w:r>
        <w:rPr>
          <w:b w:val="0"/>
          <w:i w:val="0"/>
        </w:rPr>
        <w:t>Thực thi việc tuân thủ một khuôn khổ kiểm soát nội bộ.</w:t>
      </w:r>
    </w:p>
    <w:p>
      <w:pPr>
        <w:spacing w:after="80"/>
        <w:ind w:left="360"/>
      </w:pPr>
      <w:r>
        <w:t xml:space="preserve">• </w:t>
      </w:r>
      <w:r>
        <w:rPr>
          <w:b w:val="0"/>
          <w:i w:val="0"/>
        </w:rPr>
        <w:t>Việc đánh giá các kiểm soát cấp độ thực thể có thể làm nổi bật những vấn đề tiềm ẩn đòi hỏi phải sửa đổi các chương trình kiểm soát nội bộ hiện có ở cấp độ hoạt động.</w:t>
      </w:r>
    </w:p>
    <w:p>
      <w:pPr>
        <w:pStyle w:val="Heading3"/>
      </w:pPr>
      <w:r>
        <w:rPr>
          <w:rFonts w:ascii="Calibri" w:hAnsi="Calibri"/>
          <w:b/>
          <w:i w:val="0"/>
          <w:sz w:val="26"/>
        </w:rPr>
        <w:t>“Tông giọng từ trên xuống” (Tone at the Top)</w:t>
      </w:r>
    </w:p>
    <w:p>
      <w:pPr>
        <w:spacing w:after="80"/>
      </w:pPr>
      <w:r>
        <w:rPr>
          <w:b w:val="0"/>
          <w:i w:val="0"/>
        </w:rPr>
        <w:t>Đây là một phân tích chủ quan về mức độ nhấn mạnh và tính nghiêm túc mà ban quản lý cấp cao thể hiện đối với kiểm soát nội bộ và việc tuân thủ. Điều này có thể khá dễ xác định dựa trên kết quả của các bài kiểm tra đã đề cập ở trên, nhưng cũng có thể được hỗ trợ bằng cách xem xét những điều sau:</w:t>
      </w:r>
    </w:p>
    <w:p>
      <w:pPr>
        <w:spacing w:after="80"/>
        <w:ind w:left="360"/>
      </w:pPr>
      <w:r>
        <w:t xml:space="preserve">• </w:t>
      </w:r>
      <w:r>
        <w:rPr>
          <w:b w:val="0"/>
          <w:i w:val="0"/>
        </w:rPr>
        <w:t>Công ty đã triển khai khuôn khổ kiểm soát nội bộ phù hợp chưa?</w:t>
      </w:r>
    </w:p>
    <w:p>
      <w:pPr>
        <w:spacing w:after="80"/>
        <w:ind w:left="360"/>
      </w:pPr>
      <w:r>
        <w:t xml:space="preserve">• </w:t>
      </w:r>
      <w:r>
        <w:rPr>
          <w:b w:val="0"/>
          <w:i w:val="0"/>
        </w:rPr>
        <w:t>Công ty có mức độ độc lập cần thiết trong lĩnh vực kiểm toán, tài chính và các lĩnh vực chức năng khác, thể hiện qua sơ đồ tổ chức, hay không?</w:t>
      </w:r>
    </w:p>
    <w:p>
      <w:pPr>
        <w:spacing w:after="80"/>
        <w:ind w:left="360"/>
      </w:pPr>
      <w:r>
        <w:t xml:space="preserve">• </w:t>
      </w:r>
      <w:r>
        <w:rPr>
          <w:b w:val="0"/>
          <w:i w:val="0"/>
        </w:rPr>
        <w:t>Biên bản cuộc họp có được ghi chép cho mỗi cuộc họp của hội đồng quản trị không?</w:t>
      </w:r>
    </w:p>
    <w:p>
      <w:pPr>
        <w:spacing w:after="80"/>
        <w:ind w:left="360"/>
      </w:pPr>
      <w:r>
        <w:t xml:space="preserve">• </w:t>
      </w:r>
      <w:r>
        <w:rPr>
          <w:b w:val="0"/>
          <w:i w:val="0"/>
        </w:rPr>
        <w:t>CEO và chủ tịch có tham gia vào việc theo đuổi đến cùng và triển khai các đợt đánh giá kiểm soát nội bộ, các lỗ hổng và việc khắc phục không? Điều này có được ghi chép lại không?</w:t>
      </w:r>
    </w:p>
    <w:p>
      <w:pPr>
        <w:spacing w:after="80"/>
      </w:pPr>
      <w:r>
        <w:rPr>
          <w:b w:val="0"/>
          <w:i w:val="0"/>
        </w:rPr>
        <w:t>Tùy thuộc vào mức độ phức tạp của tổ chức, có thêm những cân nhắc khác cần đưa vào việc đánh giá các kiểm soát cấp độ thực thể:</w:t>
      </w:r>
    </w:p>
    <w:p>
      <w:pPr>
        <w:spacing w:after="80"/>
        <w:ind w:left="360"/>
      </w:pPr>
      <w:r>
        <w:t xml:space="preserve">• </w:t>
      </w:r>
      <w:r>
        <w:rPr>
          <w:b w:val="0"/>
          <w:i w:val="0"/>
        </w:rPr>
        <w:t>Kiểm soát đối với việc Ban quản lý lấn át (Controls Over Management Override)</w:t>
      </w:r>
    </w:p>
    <w:p>
      <w:pPr>
        <w:spacing w:after="80"/>
        <w:ind w:left="360"/>
      </w:pPr>
      <w:r>
        <w:t xml:space="preserve">• </w:t>
      </w:r>
      <w:r>
        <w:rPr>
          <w:b w:val="0"/>
          <w:i w:val="0"/>
        </w:rPr>
        <w:t>Quy trình Đánh giá Rủi ro của Công ty</w:t>
      </w:r>
    </w:p>
    <w:p>
      <w:pPr>
        <w:spacing w:after="80"/>
        <w:ind w:left="360"/>
      </w:pPr>
      <w:r>
        <w:t xml:space="preserve">• </w:t>
      </w:r>
      <w:r>
        <w:rPr>
          <w:b w:val="0"/>
          <w:i w:val="0"/>
        </w:rPr>
        <w:t>Xử lý Tập trung và Các Kiểm soát, Bao gồm Môi trường Dịch vụ Chia sẻ</w:t>
      </w:r>
    </w:p>
    <w:p>
      <w:pPr>
        <w:spacing w:after="80"/>
        <w:ind w:left="360"/>
      </w:pPr>
      <w:r>
        <w:t xml:space="preserve">• </w:t>
      </w:r>
      <w:r>
        <w:rPr>
          <w:b w:val="0"/>
          <w:i w:val="0"/>
        </w:rPr>
        <w:t>Các Kiểm soát để Giám sát Kết quả Hoạt động</w:t>
      </w:r>
    </w:p>
    <w:p>
      <w:pPr>
        <w:spacing w:after="80"/>
        <w:ind w:left="360"/>
      </w:pPr>
      <w:r>
        <w:t xml:space="preserve">• </w:t>
      </w:r>
      <w:r>
        <w:rPr>
          <w:b w:val="0"/>
          <w:i w:val="0"/>
        </w:rPr>
        <w:t>Các Kiểm soát để Giám sát Các Kiểm soát Khác, Bao gồm Hoạt động của Bộ phận Kiểm toán Nội bộ, Ủy ban Kiểm toán và Các Chương trình Tự Đánh giá</w:t>
      </w:r>
    </w:p>
    <w:p>
      <w:pPr>
        <w:spacing w:after="80"/>
        <w:ind w:left="360"/>
      </w:pPr>
      <w:r>
        <w:t xml:space="preserve">• </w:t>
      </w:r>
      <w:r>
        <w:rPr>
          <w:b w:val="0"/>
          <w:i w:val="0"/>
        </w:rPr>
        <w:t>Các Kiểm soát đối với Quy trình Báo cáo Tài chính Cuối kỳ</w:t>
      </w:r>
    </w:p>
    <w:p>
      <w:pPr>
        <w:spacing w:after="80"/>
        <w:ind w:left="360"/>
      </w:pPr>
      <w:r>
        <w:t xml:space="preserve">• </w:t>
      </w:r>
      <w:r>
        <w:rPr>
          <w:b w:val="0"/>
          <w:i w:val="0"/>
        </w:rPr>
        <w:t>Các Chính sách Đề cập đến Thực hành Kiểm soát Kinh doanh và Quản lý Rủi ro Trọng yếu</w:t>
      </w:r>
    </w:p>
    <w:p>
      <w:pPr>
        <w:spacing w:after="80"/>
        <w:ind w:left="360"/>
      </w:pPr>
      <w:r>
        <w:t xml:space="preserve">• </w:t>
      </w:r>
      <w:r>
        <w:rPr>
          <w:b w:val="0"/>
          <w:i w:val="0"/>
        </w:rPr>
        <w:t>Kiểm toán Nội bộ</w:t>
      </w:r>
    </w:p>
    <w:p>
      <w:pPr>
        <w:spacing w:after="80"/>
        <w:ind w:left="360"/>
      </w:pPr>
      <w:r>
        <w:t xml:space="preserve">• </w:t>
      </w:r>
      <w:r>
        <w:rPr>
          <w:b w:val="0"/>
          <w:i w:val="0"/>
        </w:rPr>
        <w:t>Đường dây Nóng về Đạo đức</w:t>
      </w:r>
    </w:p>
    <w:p>
      <w:pPr>
        <w:spacing w:after="80"/>
        <w:ind w:left="360"/>
      </w:pPr>
      <w:r>
        <w:t xml:space="preserve">• </w:t>
      </w:r>
      <w:r>
        <w:rPr>
          <w:b w:val="0"/>
          <w:i w:val="0"/>
        </w:rPr>
        <w:t>Quy tắc Ứng xử</w:t>
      </w:r>
    </w:p>
    <w:p>
      <w:pPr>
        <w:spacing w:after="80"/>
        <w:ind w:left="360"/>
      </w:pPr>
      <w:r>
        <w:t xml:space="preserve">• </w:t>
      </w:r>
      <w:r>
        <w:rPr>
          <w:b w:val="0"/>
          <w:i w:val="0"/>
        </w:rPr>
        <w:t>Môi trường và Tổ chức CNTT</w:t>
      </w:r>
    </w:p>
    <w:p>
      <w:pPr>
        <w:spacing w:after="80"/>
        <w:ind w:left="360"/>
      </w:pPr>
      <w:r>
        <w:t xml:space="preserve">• </w:t>
      </w:r>
      <w:r>
        <w:rPr>
          <w:b w:val="0"/>
          <w:i w:val="0"/>
        </w:rPr>
        <w:t>Tự Đánh giá</w:t>
      </w:r>
    </w:p>
    <w:p>
      <w:pPr>
        <w:spacing w:after="80"/>
        <w:ind w:left="360"/>
      </w:pPr>
      <w:r>
        <w:t xml:space="preserve">• </w:t>
      </w:r>
      <w:r>
        <w:rPr>
          <w:b w:val="0"/>
          <w:i w:val="0"/>
        </w:rPr>
        <w:t>Ủy ban Công bố Thông tin</w:t>
      </w:r>
    </w:p>
    <w:p>
      <w:pPr>
        <w:spacing w:after="80"/>
        <w:ind w:left="360"/>
      </w:pPr>
      <w:r>
        <w:t xml:space="preserve">• </w:t>
      </w:r>
      <w:r>
        <w:rPr>
          <w:b w:val="0"/>
          <w:i w:val="0"/>
        </w:rPr>
        <w:t>Giám sát của Hội đồng Quản trị hoặc Ban Điều hành Cấp cao</w:t>
      </w:r>
    </w:p>
    <w:p>
      <w:pPr>
        <w:spacing w:after="80"/>
        <w:ind w:left="360"/>
      </w:pPr>
      <w:r>
        <w:t xml:space="preserve">• </w:t>
      </w:r>
      <w:r>
        <w:rPr>
          <w:b w:val="0"/>
          <w:i w:val="0"/>
        </w:rPr>
        <w:t>Sổ tay Chính sách và Thủ tục</w:t>
      </w:r>
    </w:p>
    <w:p>
      <w:pPr>
        <w:spacing w:after="80"/>
        <w:ind w:left="360"/>
      </w:pPr>
      <w:r>
        <w:t xml:space="preserve">• </w:t>
      </w:r>
      <w:r>
        <w:rPr>
          <w:b w:val="0"/>
          <w:i w:val="0"/>
        </w:rPr>
        <w:t>Báo cáo Phân tích Chênh lệch</w:t>
      </w:r>
    </w:p>
    <w:p>
      <w:pPr>
        <w:spacing w:after="80"/>
        <w:ind w:left="360"/>
      </w:pPr>
      <w:r>
        <w:t xml:space="preserve">• </w:t>
      </w:r>
      <w:r>
        <w:rPr>
          <w:b w:val="0"/>
          <w:i w:val="0"/>
        </w:rPr>
        <w:t>Cơ chế Khắc phục</w:t>
      </w:r>
    </w:p>
    <w:p>
      <w:pPr>
        <w:spacing w:after="80"/>
        <w:ind w:left="360"/>
      </w:pPr>
      <w:r>
        <w:t xml:space="preserve">• </w:t>
      </w:r>
      <w:r>
        <w:rPr>
          <w:b w:val="0"/>
          <w:i w:val="0"/>
        </w:rPr>
        <w:t>Các cơ chế kiểm soát của Ban quản lý được nhúng trong Hệ thống CNTT</w:t>
      </w:r>
    </w:p>
    <w:p>
      <w:pPr>
        <w:spacing w:after="80"/>
        <w:ind w:left="360"/>
      </w:pPr>
      <w:r>
        <w:t xml:space="preserve">• </w:t>
      </w:r>
      <w:r>
        <w:rPr>
          <w:b w:val="0"/>
          <w:i w:val="0"/>
        </w:rPr>
        <w:t>Truyền thông nội bộ và Báo cáo hiệu suất</w:t>
      </w:r>
    </w:p>
    <w:p>
      <w:pPr>
        <w:spacing w:after="80"/>
        <w:ind w:left="360"/>
      </w:pPr>
      <w:r>
        <w:t xml:space="preserve">• </w:t>
      </w:r>
      <w:r>
        <w:rPr>
          <w:b w:val="0"/>
          <w:i w:val="0"/>
        </w:rPr>
        <w:t>Tông giọng từ cấp cao nhất (Tone at the Top)</w:t>
      </w:r>
    </w:p>
    <w:p>
      <w:pPr>
        <w:spacing w:after="80"/>
        <w:ind w:left="360"/>
      </w:pPr>
      <w:r>
        <w:t xml:space="preserve">• </w:t>
      </w:r>
      <w:r>
        <w:rPr>
          <w:b w:val="0"/>
          <w:i w:val="0"/>
        </w:rPr>
        <w:t>Báo cáo cho Hội đồng quản trị và Ủy ban Kiểm toán</w:t>
      </w:r>
    </w:p>
    <w:p>
      <w:pPr>
        <w:spacing w:after="80"/>
        <w:ind w:left="360"/>
      </w:pPr>
      <w:r>
        <w:t xml:space="preserve">• </w:t>
      </w:r>
      <w:r>
        <w:rPr>
          <w:b w:val="0"/>
          <w:i w:val="0"/>
        </w:rPr>
        <w:t>Truyền thông ra bên ngoài</w:t>
      </w:r>
    </w:p>
    <w:p>
      <w:pPr>
        <w:spacing w:after="80"/>
        <w:ind w:left="360"/>
      </w:pPr>
      <w:r>
        <w:t xml:space="preserve">• </w:t>
      </w:r>
      <w:r>
        <w:rPr>
          <w:b w:val="0"/>
          <w:i w:val="0"/>
        </w:rPr>
        <w:t>Phân tách nhiệm vụ (Segregation of Duties)</w:t>
      </w:r>
    </w:p>
    <w:p>
      <w:pPr>
        <w:spacing w:after="80"/>
        <w:ind w:left="360"/>
      </w:pPr>
      <w:r>
        <w:t xml:space="preserve">• </w:t>
      </w:r>
      <w:r>
        <w:rPr>
          <w:b w:val="0"/>
          <w:i w:val="0"/>
        </w:rPr>
        <w:t>Đối chiếu tài khoản</w:t>
      </w:r>
    </w:p>
    <w:p>
      <w:pPr>
        <w:spacing w:after="80"/>
        <w:ind w:left="360"/>
      </w:pPr>
      <w:r>
        <w:t xml:space="preserve">• </w:t>
      </w:r>
      <w:r>
        <w:rPr>
          <w:b w:val="0"/>
          <w:i w:val="0"/>
        </w:rPr>
        <w:t>Cân đối hệ thống và Báo cáo ngoại lệ</w:t>
      </w:r>
    </w:p>
    <w:p>
      <w:pPr>
        <w:spacing w:after="80"/>
        <w:ind w:left="360"/>
      </w:pPr>
      <w:r>
        <w:t xml:space="preserve">• </w:t>
      </w:r>
      <w:r>
        <w:rPr>
          <w:b w:val="0"/>
          <w:i w:val="0"/>
        </w:rPr>
        <w:t>Quản lý thay đổi</w:t>
      </w:r>
    </w:p>
    <w:p>
      <w:pPr>
        <w:spacing w:after="80"/>
        <w:ind w:left="360"/>
      </w:pPr>
      <w:r>
        <w:t xml:space="preserve">• </w:t>
      </w:r>
      <w:r>
        <w:rPr>
          <w:b w:val="0"/>
          <w:i w:val="0"/>
        </w:rPr>
        <w:t>Phương pháp đánh giá rủi ro</w:t>
      </w:r>
    </w:p>
    <w:p>
      <w:pPr>
        <w:spacing w:after="80"/>
        <w:ind w:left="360"/>
      </w:pPr>
      <w:r>
        <w:t xml:space="preserve">• </w:t>
      </w:r>
      <w:r>
        <w:rPr>
          <w:b w:val="0"/>
          <w:i w:val="0"/>
        </w:rPr>
        <w:t>Quản trị doanh nghiệp</w:t>
      </w:r>
    </w:p>
    <w:p>
      <w:pPr>
        <w:spacing w:after="80"/>
        <w:ind w:left="360"/>
      </w:pPr>
      <w:r>
        <w:t xml:space="preserve">• </w:t>
      </w:r>
      <w:r>
        <w:rPr>
          <w:b w:val="0"/>
          <w:i w:val="0"/>
        </w:rPr>
        <w:t>Chính sách phân cấp thẩm quyền</w:t>
      </w:r>
    </w:p>
    <w:p>
      <w:pPr>
        <w:spacing w:after="80"/>
        <w:ind w:left="360"/>
      </w:pPr>
      <w:r>
        <w:t xml:space="preserve">• </w:t>
      </w:r>
      <w:r>
        <w:rPr>
          <w:b w:val="0"/>
          <w:i w:val="0"/>
        </w:rPr>
        <w:t>Thực hành tuyển dụng và giữ chân nhân sự</w:t>
      </w:r>
    </w:p>
    <w:p>
      <w:pPr>
        <w:spacing w:after="80"/>
        <w:ind w:left="360"/>
      </w:pPr>
      <w:r>
        <w:t xml:space="preserve">• </w:t>
      </w:r>
      <w:r>
        <w:rPr>
          <w:b w:val="0"/>
          <w:i w:val="0"/>
        </w:rPr>
        <w:t>Các biện pháp kiểm soát và thủ tục phân tích để phòng ngừa/phát hiện gian lận</w:t>
      </w:r>
    </w:p>
    <w:p>
      <w:pPr>
        <w:pStyle w:val="Heading2"/>
      </w:pPr>
      <w:r>
        <w:rPr>
          <w:rFonts w:ascii="Calibri" w:hAnsi="Calibri"/>
          <w:b/>
          <w:i w:val="0"/>
          <w:sz w:val="32"/>
        </w:rPr>
        <w:t>VAI TRÒ VÀ TRÁCH NHIỆM ĐỐI VỚI KIỂM SOÁT NỘI BỘ</w:t>
      </w:r>
    </w:p>
    <w:p>
      <w:pPr>
        <w:spacing w:after="80"/>
      </w:pPr>
      <w:r>
        <w:rPr>
          <w:b w:val="0"/>
          <w:i w:val="0"/>
        </w:rPr>
        <w:t>Kiểm soát nội bộ đối với báo cáo tài chính tiếp tục là một lĩnh vực quan trọng hàng đầu trong quản trị của một tổ chức. Bảng trình bày trong mục này được xây dựng nhằm cung cấp một mẫu gợi ý về vai trò và trách nhiệm đối với các thành phần cụ thể trong hệ thống kiểm soát nội bộ của một tổ chức, có thể áp dụng cho cả công ty đại chúng và công ty tư nhân. Các vai trò và trách nhiệm bao gồm của Nhân viên, Hội đồng quản trị, Ủy ban Kiểm toán, Giám đốc điều hành (CEO) và Ban điều hành cấp cao, Kế toán trưởng và Giám đốc tài chính (CFO), Nhóm Kiểm soát nội bộ, Nhóm Xác nhận, Ủy ban chỉ đạo SOX 404, Kiểm toán viên nội bộ và Kiểm toán viên bên ngoài.</w:t>
      </w:r>
    </w:p>
    <w:p>
      <w:pPr>
        <w:spacing w:after="80"/>
      </w:pPr>
      <w:r>
        <w:rPr>
          <w:b/>
          <w:i w:val="0"/>
        </w:rPr>
        <w:t>Điểm mấu chốt:</w:t>
      </w:r>
      <w:r>
        <w:rPr>
          <w:b w:val="0"/>
          <w:i w:val="0"/>
        </w:rPr>
        <w:t xml:space="preserve"> Quyền sở hữu các kiểm soát nội bộ là yếu tố then chốt đối với mọi cấp trong tổ chức. Các chỉ đạo của ban quản lý phải được:</w:t>
      </w:r>
    </w:p>
    <w:p>
      <w:pPr>
        <w:spacing w:after="80"/>
        <w:ind w:left="360"/>
      </w:pPr>
      <w:r>
        <w:t xml:space="preserve">• </w:t>
      </w:r>
      <w:r>
        <w:rPr>
          <w:b w:val="0"/>
          <w:i w:val="0"/>
        </w:rPr>
        <w:t>Xây dựng và ghi chép thành văn bản</w:t>
      </w:r>
    </w:p>
    <w:p>
      <w:pPr>
        <w:spacing w:after="80"/>
        <w:ind w:left="360"/>
      </w:pPr>
      <w:r>
        <w:t xml:space="preserve">• </w:t>
      </w:r>
      <w:r>
        <w:rPr>
          <w:b w:val="0"/>
          <w:i w:val="0"/>
        </w:rPr>
        <w:t>Truyền đạt</w:t>
      </w:r>
    </w:p>
    <w:p>
      <w:pPr>
        <w:spacing w:after="80"/>
        <w:ind w:left="360"/>
      </w:pPr>
      <w:r>
        <w:t xml:space="preserve">• </w:t>
      </w:r>
      <w:r>
        <w:rPr>
          <w:b w:val="0"/>
          <w:i w:val="0"/>
        </w:rPr>
        <w:t>Hiểu rõ (về sự tồn tại, ý nghĩa và cách sử dụng) bởi những người phù hợp</w:t>
      </w:r>
    </w:p>
    <w:p>
      <w:pPr>
        <w:spacing w:after="80"/>
        <w:ind w:left="360"/>
      </w:pPr>
      <w:r>
        <w:t xml:space="preserve">• </w:t>
      </w:r>
      <w:r>
        <w:rPr>
          <w:b w:val="0"/>
          <w:i w:val="0"/>
        </w:rPr>
        <w:t>Hỗ trợ bởi các quy trình để đảm bảo tuân thủ</w:t>
      </w:r>
    </w:p>
    <w:p>
      <w:pPr>
        <w:spacing w:after="80"/>
        <w:ind w:left="360"/>
      </w:pPr>
      <w:r>
        <w:t xml:space="preserve">• </w:t>
      </w:r>
      <w:r>
        <w:rPr>
          <w:b w:val="0"/>
          <w:i w:val="0"/>
        </w:rPr>
        <w:t>Được ban quản lý ủng hộ</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Trách nhiệm</w:t>
            </w:r>
          </w:p>
        </w:tc>
        <w:tc>
          <w:tcPr>
            <w:tcW w:type="dxa" w:w="4680"/>
          </w:tcPr>
          <w:p>
            <w:r/>
            <w:r>
              <w:rPr>
                <w:b/>
                <w:i w:val="0"/>
                <w:sz w:val="19"/>
              </w:rPr>
              <w:t>Định nghĩa về Trách nhiệm</w:t>
            </w:r>
          </w:p>
        </w:tc>
      </w:tr>
      <w:tr>
        <w:tc>
          <w:tcPr>
            <w:tcW w:type="dxa" w:w="4680"/>
          </w:tcPr>
          <w:p>
            <w:r/>
            <w:r>
              <w:rPr>
                <w:b w:val="0"/>
                <w:i w:val="0"/>
                <w:sz w:val="19"/>
              </w:rPr>
              <w:t>Nhân viên</w:t>
            </w:r>
          </w:p>
        </w:tc>
        <w:tc>
          <w:tcPr>
            <w:tcW w:type="dxa" w:w="4680"/>
          </w:tcPr>
          <w:p>
            <w:r/>
            <w:r>
              <w:rPr>
                <w:b w:val="0"/>
                <w:i w:val="0"/>
                <w:sz w:val="19"/>
              </w:rPr>
              <w:t>• Nhân viên hỗ trợ chương trình kiểm soát nội bộ của tổ chức và tuân thủ quy tắc ứng xử cũng như tinh thần "tone at the top" (giọng điệu từ cấp cao nhất) của tổ chức.</w:t>
            </w:r>
            <w:r>
              <w:br/>
            </w:r>
            <w:r>
              <w:rPr>
                <w:b w:val="0"/>
                <w:i w:val="0"/>
                <w:sz w:val="19"/>
              </w:rPr>
              <w:t>• Hệ thống kiểm soát nội bộ chỉ hiệu quả khi toàn bộ nhân viên trong tổ chức tuân thủ nó. Nhân viên trong toàn tổ chức cần hiểu vai trò của mình trong kiểm soát nội bộ và tầm quan trọng của việc ủng hộ hệ thống này thông qua hành động của chính mình, đồng thời khuyến khích đồng nghiệp trong toàn tổ chức tôn trọng hệ thống.</w:t>
            </w:r>
          </w:p>
        </w:tc>
      </w:tr>
      <w:tr>
        <w:tc>
          <w:tcPr>
            <w:tcW w:type="dxa" w:w="4680"/>
          </w:tcPr>
          <w:p>
            <w:r/>
            <w:r>
              <w:rPr>
                <w:b w:val="0"/>
                <w:i w:val="0"/>
                <w:sz w:val="19"/>
              </w:rPr>
              <w:t>Ủy ban Kiểm toán</w:t>
            </w:r>
          </w:p>
        </w:tc>
        <w:tc>
          <w:tcPr>
            <w:tcW w:type="dxa" w:w="4680"/>
          </w:tcPr>
          <w:p>
            <w:r/>
            <w:r>
              <w:rPr>
                <w:b w:val="0"/>
                <w:i w:val="0"/>
                <w:sz w:val="19"/>
              </w:rPr>
              <w:t>• Hội đồng quản trị và ủy ban kiểm toán có trách nhiệm đảm bảo rằng hệ thống kiểm soát nội bộ trong tổ chức là thỏa đáng.</w:t>
            </w:r>
            <w:r>
              <w:br/>
            </w:r>
            <w:r>
              <w:rPr>
                <w:b w:val="0"/>
                <w:i w:val="0"/>
                <w:sz w:val="19"/>
              </w:rPr>
              <w:t>• Trách nhiệm này bao gồm việc xác định mức độ mà các kiểm soát nội bộ cần được đánh giá.</w:t>
            </w:r>
          </w:p>
        </w:tc>
      </w:tr>
      <w:tr>
        <w:tc>
          <w:tcPr>
            <w:tcW w:type="dxa" w:w="4680"/>
          </w:tcPr>
          <w:p>
            <w:r/>
            <w:r>
              <w:rPr>
                <w:b w:val="0"/>
                <w:i w:val="0"/>
                <w:sz w:val="19"/>
              </w:rPr>
              <w:t>Giám đốc Điều hành (CEO) và Ban Điều hành Cấp cao của Tổ chức</w:t>
            </w:r>
          </w:p>
        </w:tc>
        <w:tc>
          <w:tcPr>
            <w:tcW w:type="dxa" w:w="4680"/>
          </w:tcPr>
          <w:p>
            <w:r/>
            <w:r>
              <w:rPr>
                <w:b w:val="0"/>
                <w:i w:val="0"/>
                <w:sz w:val="19"/>
              </w:rPr>
              <w:t>• Giám đốc điều hành chịu trách nhiệm cuối cùng và nên nắm quyền sở hữu hệ thống.</w:t>
            </w:r>
            <w:r>
              <w:br/>
            </w:r>
            <w:r>
              <w:rPr>
                <w:b w:val="0"/>
                <w:i w:val="0"/>
                <w:sz w:val="19"/>
              </w:rPr>
              <w:t>• Hơn bất kỳ cá nhân nào khác, giám đốc điều hành thiết lập tinh thần "tone at the top" ảnh hưởng đến tính chính trực, đạo đức và các yếu tố khác của một môi trường kiểm soát tích cực.</w:t>
            </w:r>
            <w:r>
              <w:br/>
            </w:r>
            <w:r>
              <w:rPr>
                <w:b w:val="0"/>
                <w:i w:val="0"/>
                <w:sz w:val="19"/>
              </w:rPr>
              <w:t>• Các nhà quản lý cấp cao lần lượt giao trách nhiệm thiết lập các chính sách và thủ tục kiểm soát nội bộ cụ thể hơn cho nhân sự phụ trách chức năng của đơn vị.</w:t>
            </w:r>
            <w:r>
              <w:br/>
            </w:r>
            <w:r>
              <w:rPr>
                <w:b w:val="0"/>
                <w:i w:val="0"/>
                <w:sz w:val="19"/>
              </w:rPr>
              <w:t>• Trong một tổ chức nhỏ hơn, ảnh hưởng của giám đốc điều hành, thường là chủ sở hữu kiêm quản lý, thường trực tiếp hơn. Dù thế nào đi nữa, trong chuỗi trách nhiệm phân tầng, một nhà quản lý thực chất là giám đốc điều hành trong phạm vi trách nhiệm của mình.</w:t>
            </w:r>
            <w:r>
              <w:br/>
            </w:r>
            <w:r>
              <w:rPr>
                <w:b w:val="0"/>
                <w:i w:val="0"/>
                <w:sz w:val="19"/>
              </w:rPr>
              <w:t>• Trong một công ty lớn, giám đốc điều hành hoàn thành nhiệm vụ này bằng cách cung cấp sự lãnh đạo và định hướng cho các nhà quản lý cấp cao, đồng thời xem xét cách họ kiểm soát hoạt động kinh doanh.</w:t>
            </w:r>
            <w:r>
              <w:br/>
            </w:r>
            <w:r>
              <w:rPr>
                <w:b w:val="0"/>
                <w:i w:val="0"/>
                <w:sz w:val="19"/>
              </w:rPr>
              <w:t>• Như một dấu hiệu cho thấy trách nhiệm của ban quản lý, ban lãnh đạo cấp cao tại một tổ chức đại chúng sẽ đưa vào báo cáo tài chính thường niên gửi cho cổ đông một tuyên bố cho biết ban quản lý đã thiết lập một hệ thống kiểm soát nội bộ mà ban quản lý tin là hiệu quả. Tuyên bố này cũng có thể cung cấp các chi tiết cụ thể về hệ thống kiểm soát nội bộ của tổ chức.</w:t>
            </w:r>
            <w:r>
              <w:br/>
            </w:r>
            <w:r>
              <w:rPr>
                <w:b w:val="0"/>
                <w:i w:val="0"/>
                <w:sz w:val="19"/>
              </w:rPr>
              <w:t>• Trách nhiệm chính trong việc phát triển và duy trì kiểm soát nội bộ thuộc về ban quản lý của tổ chức. Với tầm quan trọng ngày càng tăng của môi trường kiểm soát, trọng tâm của kiểm soát nội bộ đã chuyển từ các chính sách và thủ tục sang một triết lý bao trùm và phong cách điều hành trong tổ chức.</w:t>
            </w:r>
            <w:r>
              <w:br/>
            </w:r>
            <w:r>
              <w:rPr>
                <w:b w:val="0"/>
                <w:i w:val="0"/>
                <w:sz w:val="19"/>
              </w:rPr>
              <w:t>• Việc nhấn mạnh vào những khía cạnh vô hình này làm nổi bật tầm quan trọng của sự tham gia của ban lãnh đạo cấp cao vào hệ thống kiểm soát nội bộ. Nếu kiểm soát nội bộ không phải là ưu tiên của ban quản lý, thì nó cũng sẽ không phải là ưu tiên của mọi người trong tổ chức.</w:t>
            </w:r>
          </w:p>
        </w:tc>
      </w:tr>
      <w:tr>
        <w:tc>
          <w:tcPr>
            <w:tcW w:type="dxa" w:w="4680"/>
          </w:tcPr>
          <w:p>
            <w:r/>
            <w:r>
              <w:rPr>
                <w:b w:val="0"/>
                <w:i w:val="0"/>
                <w:sz w:val="19"/>
              </w:rPr>
              <w:t>Kiểm soát viên (Controller) và Giám đốc Tài chính (CFO)</w:t>
            </w:r>
          </w:p>
        </w:tc>
        <w:tc>
          <w:tcPr>
            <w:tcW w:type="dxa" w:w="4680"/>
          </w:tcPr>
          <w:p>
            <w:r/>
            <w:r>
              <w:rPr>
                <w:b w:val="0"/>
                <w:i w:val="0"/>
                <w:sz w:val="19"/>
              </w:rPr>
              <w:t>• Kiểm soát viên và CFO thường chịu trách nhiệm phát triển và triển khai các chương trình kiểm soát nội bộ cho công ty của họ.</w:t>
            </w:r>
            <w:r>
              <w:br/>
            </w:r>
            <w:r>
              <w:rPr>
                <w:b w:val="0"/>
                <w:i w:val="0"/>
                <w:sz w:val="19"/>
              </w:rPr>
              <w:t>• Kiểm soát viên và CFO cũng chịu trách nhiệm về kết quả của tính hiệu quả của các chương trình kiểm soát nội bộ của tổ chức, nghĩa là các kiểm soát phải được cập nhật để phản ánh môi trường hệ thống và vận hành hiện tại.</w:t>
            </w:r>
            <w:r>
              <w:br/>
            </w:r>
            <w:r>
              <w:rPr>
                <w:b w:val="0"/>
                <w:i w:val="0"/>
                <w:sz w:val="19"/>
              </w:rPr>
              <w:t>• Họ được yêu cầu đảm bảo rằng mọi thực hành kế toán ảnh hưởng đến kết quả tài chính đều được kiểm soát đúng cách.</w:t>
            </w:r>
            <w:r>
              <w:br/>
            </w:r>
            <w:r>
              <w:rPr>
                <w:b w:val="0"/>
                <w:i w:val="0"/>
                <w:sz w:val="19"/>
              </w:rPr>
              <w:t>•  Kiểm soát viên và CFO cũng thúc đẩy quy trình khẳng định (assertion process) theo yêu cầu của Sarbanes-Oxley (SOX) 404. Họ có thể lãnh đạo một Nhóm Kiểm soát Nội bộ cùng với các Nhóm Khẳng định để hỗ trợ nỗ lực này như mô tả bên dưới.</w:t>
            </w:r>
            <w:r>
              <w:br/>
            </w:r>
            <w:r>
              <w:rPr>
                <w:b w:val="0"/>
                <w:i w:val="0"/>
                <w:sz w:val="19"/>
              </w:rPr>
              <w:t>• Kiểm soát viên và CFO cũng có thể huy động nỗ lực của một Ủy ban Chỉ đạo Sarbanes-Oxley (SOX) để hỗ trợ việc quản trị chương trình kiểm soát nội bộ và quy trình khẳng định. Cách tiếp cận này cũng được mô tả bên dưới.</w:t>
            </w:r>
          </w:p>
        </w:tc>
      </w:tr>
      <w:tr>
        <w:tc>
          <w:tcPr>
            <w:tcW w:type="dxa" w:w="4680"/>
          </w:tcPr>
          <w:p>
            <w:r/>
            <w:r>
              <w:rPr>
                <w:b w:val="0"/>
                <w:i w:val="0"/>
                <w:sz w:val="19"/>
              </w:rPr>
              <w:t>Đội Kiểm soát Nội bộ</w:t>
            </w:r>
            <w:r>
              <w:br/>
            </w:r>
            <w:r>
              <w:rPr>
                <w:b w:val="0"/>
                <w:i w:val="0"/>
                <w:sz w:val="19"/>
              </w:rPr>
              <w:t xml:space="preserve"> (Ví dụ về Công ty Đại chúng)</w:t>
            </w:r>
          </w:p>
        </w:tc>
        <w:tc>
          <w:tcPr>
            <w:tcW w:type="dxa" w:w="4680"/>
          </w:tcPr>
          <w:p>
            <w:r/>
            <w:r>
              <w:rPr>
                <w:b w:val="0"/>
                <w:i w:val="0"/>
                <w:sz w:val="19"/>
              </w:rPr>
              <w:t xml:space="preserve">Phó Chủ tịch Kiểm soát Nội bộ, cùng với Đội Kiểm soát Nội bộ, chịu trách nhiệm triển khai các yêu cầu của Sarbanes-Oxley (SOX) 404, theo đó các kiểm soát nội bộ của tổ chức được ghi nhận và đánh giá. Yêu cầu này bao gồm việc triển khai định hướng nền tảng cho chương trình kiểm soát nội bộ của tổ chức. Các trách nhiệm cụ thể của Đội Kiểm soát Nội bộ bao gồm: </w:t>
            </w:r>
            <w:r>
              <w:rPr>
                <w:b/>
                <w:i w:val="0"/>
                <w:sz w:val="19"/>
              </w:rPr>
              <w:t>Quản lý Dự án</w:t>
            </w:r>
            <w:r>
              <w:rPr>
                <w:b w:val="0"/>
                <w:i w:val="0"/>
                <w:sz w:val="19"/>
              </w:rPr>
              <w:t xml:space="preserve"> </w:t>
            </w:r>
            <w:r>
              <w:br/>
            </w:r>
            <w:r>
              <w:rPr>
                <w:b w:val="0"/>
                <w:i w:val="0"/>
                <w:sz w:val="19"/>
              </w:rPr>
              <w:t xml:space="preserve">• Đầu mối liên lạc chính với các tổ chức bị ảnh hưởng và các nhà cung cấp dịch vụ bên ngoài, đồng thời báo cáo các vấn đề trong toàn dự án lên ban quản lý và Ủy ban Chỉ đạo để giải quyết. </w:t>
            </w:r>
            <w:r>
              <w:rPr>
                <w:b/>
                <w:i w:val="0"/>
                <w:sz w:val="19"/>
              </w:rPr>
              <w:t>Trọng tâm Dự án Chiến thuật</w:t>
            </w:r>
            <w:r>
              <w:rPr>
                <w:b w:val="0"/>
                <w:i w:val="0"/>
                <w:sz w:val="19"/>
              </w:rPr>
              <w:t xml:space="preserve"> </w:t>
            </w:r>
            <w:r>
              <w:br/>
            </w:r>
            <w:r>
              <w:rPr>
                <w:b w:val="0"/>
                <w:i w:val="0"/>
                <w:sz w:val="19"/>
              </w:rPr>
              <w:t>• Tương tác với các chủ sở hữu kiểm soát và quy trình.</w:t>
            </w:r>
            <w:r>
              <w:br/>
            </w:r>
            <w:r>
              <w:rPr>
                <w:b w:val="0"/>
                <w:i w:val="0"/>
                <w:sz w:val="19"/>
              </w:rPr>
              <w:t>• Đảm bảo hoàn thành tất cả các nhiệm vụ được giao cho luồng công việc cụ thể.</w:t>
            </w:r>
            <w:r>
              <w:br/>
            </w:r>
            <w:r>
              <w:rPr>
                <w:b w:val="0"/>
                <w:i w:val="0"/>
                <w:sz w:val="19"/>
              </w:rPr>
              <w:t>• Báo cáo cho Quản lý Dự án Kiểm soát Nội bộ để được phê duyệt phạm vi.</w:t>
            </w:r>
            <w:r>
              <w:br/>
            </w:r>
            <w:r>
              <w:rPr>
                <w:b w:val="0"/>
                <w:i w:val="0"/>
                <w:sz w:val="19"/>
              </w:rPr>
              <w:t>• Hỗ trợ báo cáo vấn đề và cung cấp cập nhật tiến độ theo cột mốc.</w:t>
            </w:r>
            <w:r>
              <w:br/>
            </w:r>
            <w:r>
              <w:rPr>
                <w:b w:val="0"/>
                <w:i w:val="0"/>
                <w:sz w:val="19"/>
              </w:rPr>
              <w:t>• Chịu trách nhiệm về công việc hàng ngày trong các lĩnh vực phụ trách.</w:t>
            </w:r>
            <w:r>
              <w:br/>
            </w:r>
            <w:r>
              <w:rPr>
                <w:b w:val="0"/>
                <w:i w:val="0"/>
                <w:sz w:val="19"/>
              </w:rPr>
              <w:t xml:space="preserve">• Làm việc cho Quản lý Dự án Kiểm soát Nội bộ, hoàn thành khối lượng công việc được giao cùng với những người được chỉ định từ các chủ sở hữu kiểm soát và quy trình. </w:t>
            </w:r>
            <w:r>
              <w:rPr>
                <w:b/>
                <w:i w:val="0"/>
                <w:sz w:val="19"/>
              </w:rPr>
              <w:t>Ủy ban Công bố Thông tin, Ủy ban Kiểm toán và Báo cáo SEC (10Q và 10K)</w:t>
            </w:r>
            <w:r>
              <w:rPr>
                <w:b w:val="0"/>
                <w:i w:val="0"/>
                <w:sz w:val="19"/>
              </w:rPr>
              <w:t xml:space="preserve"> </w:t>
            </w:r>
            <w:r>
              <w:br/>
            </w:r>
            <w:r>
              <w:rPr>
                <w:b w:val="0"/>
                <w:i w:val="0"/>
                <w:sz w:val="19"/>
              </w:rPr>
              <w:t>• Phó Chủ tịch Kiểm soát Nội bộ tham dự mỗi cuộc họp của Ủy ban Công bố Thông tin và trình bày các vấn đề kiểm soát quan trọng ảnh hưởng đến các kiểm soát then chốt của tổ chức.</w:t>
            </w:r>
            <w:r>
              <w:br/>
            </w:r>
            <w:r>
              <w:rPr>
                <w:b w:val="0"/>
                <w:i w:val="0"/>
                <w:sz w:val="19"/>
              </w:rPr>
              <w:t>• Phó Chủ tịch Kiểm soát Nội bộ tham dự mỗi cuộc họp của Ủy ban Kiểm toán và cung cấp cập nhật về dự án SOX 404 cũng như trình bày các vấn đề kiểm soát quan trọng.</w:t>
            </w:r>
            <w:r>
              <w:br/>
            </w:r>
            <w:r>
              <w:rPr>
                <w:b w:val="0"/>
                <w:i w:val="0"/>
                <w:sz w:val="19"/>
              </w:rPr>
              <w:t>• Phó Chủ tịch Kiểm soát Nội bộ xây dựng phản hồi cho việc đánh giá kiểm soát nội bộ cho các báo cáo 10Q và 10K.</w:t>
            </w:r>
          </w:p>
        </w:tc>
      </w:tr>
      <w:tr>
        <w:tc>
          <w:tcPr>
            <w:tcW w:type="dxa" w:w="4680"/>
          </w:tcPr>
          <w:p>
            <w:r/>
            <w:r>
              <w:rPr>
                <w:b w:val="0"/>
                <w:i w:val="0"/>
                <w:sz w:val="19"/>
              </w:rPr>
              <w:t>Đội Xác nhận</w:t>
            </w:r>
            <w:r>
              <w:br/>
            </w:r>
            <w:r>
              <w:rPr>
                <w:b w:val="0"/>
                <w:i w:val="0"/>
                <w:sz w:val="19"/>
              </w:rPr>
              <w:t xml:space="preserve"> (Ví dụ về Công ty Đại chúng)</w:t>
            </w:r>
          </w:p>
        </w:tc>
        <w:tc>
          <w:tcPr>
            <w:tcW w:type="dxa" w:w="4680"/>
          </w:tcPr>
          <w:p>
            <w:r/>
            <w:r>
              <w:rPr>
                <w:b w:val="0"/>
                <w:i w:val="0"/>
                <w:sz w:val="19"/>
              </w:rPr>
              <w:t>Là một phần trong cấu trúc của dự án SOX 404, và để thiết lập môi trường kiểm soát nền tảng, các Đội Xác nhận được thành lập để đại diện cho từng chu kỳ kế toán, quy trình và/hoặc lĩnh vực kinh doanh. Đội Xác nhận chịu trách nhiệm về:</w:t>
            </w:r>
            <w:r>
              <w:br/>
            </w:r>
            <w:r>
              <w:rPr>
                <w:b w:val="0"/>
                <w:i w:val="0"/>
                <w:sz w:val="19"/>
              </w:rPr>
              <w:t>• Cung cấp ý kiến đóng góp và phê duyệt phạm vi của dự án SOX 404</w:t>
            </w:r>
            <w:r>
              <w:br/>
            </w:r>
            <w:r>
              <w:rPr>
                <w:b w:val="0"/>
                <w:i w:val="0"/>
                <w:sz w:val="19"/>
              </w:rPr>
              <w:t>• Tham gia các buổi hội thảo và cung cấp quyền tiếp cận các chuyên gia chủ đề (SMEs)</w:t>
            </w:r>
            <w:r>
              <w:br/>
            </w:r>
            <w:r>
              <w:rPr>
                <w:b w:val="0"/>
                <w:i w:val="0"/>
                <w:sz w:val="19"/>
              </w:rPr>
              <w:t>• Hoàn thành các gói xác nhận cùng với đội Kiểm soát Nội bộ</w:t>
            </w:r>
            <w:r>
              <w:br/>
            </w:r>
            <w:r>
              <w:rPr>
                <w:b w:val="0"/>
                <w:i w:val="0"/>
                <w:sz w:val="19"/>
              </w:rPr>
              <w:t>• Phê duyệt các sản phẩm bàn giao</w:t>
            </w:r>
            <w:r>
              <w:br/>
            </w:r>
            <w:r>
              <w:rPr>
                <w:b w:val="0"/>
                <w:i w:val="0"/>
                <w:sz w:val="19"/>
              </w:rPr>
              <w:t>• Đóng góp ý kiến vào nỗ lực kiểm thử trong các giai đoạn lập kế hoạch, thực hiện và khắc phục kết quả</w:t>
            </w:r>
            <w:r>
              <w:br/>
            </w:r>
            <w:r>
              <w:rPr>
                <w:b w:val="0"/>
                <w:i w:val="0"/>
                <w:sz w:val="19"/>
              </w:rPr>
              <w:t>• Giải quyết các hành động khắc phục</w:t>
            </w:r>
            <w:r>
              <w:br/>
            </w:r>
            <w:r>
              <w:rPr>
                <w:b w:val="0"/>
                <w:i w:val="0"/>
                <w:sz w:val="19"/>
              </w:rPr>
              <w:t>• Nhận trách nhiệm duy trì liên tục các kiểm soát và tài liệu</w:t>
            </w:r>
          </w:p>
        </w:tc>
      </w:tr>
      <w:tr>
        <w:tc>
          <w:tcPr>
            <w:tcW w:type="dxa" w:w="4680"/>
          </w:tcPr>
          <w:p>
            <w:r/>
            <w:r>
              <w:rPr>
                <w:b w:val="0"/>
                <w:i w:val="0"/>
                <w:sz w:val="19"/>
              </w:rPr>
              <w:t>Ủy ban Chỉ đạo SOX 404</w:t>
            </w:r>
            <w:r>
              <w:br/>
            </w:r>
            <w:r>
              <w:rPr>
                <w:b w:val="0"/>
                <w:i w:val="0"/>
                <w:sz w:val="19"/>
              </w:rPr>
              <w:t xml:space="preserve"> (Ví dụ về Công ty Đại chúng)</w:t>
            </w:r>
          </w:p>
        </w:tc>
        <w:tc>
          <w:tcPr>
            <w:tcW w:type="dxa" w:w="4680"/>
          </w:tcPr>
          <w:p>
            <w:r/>
            <w:r>
              <w:rPr>
                <w:b w:val="0"/>
                <w:i w:val="0"/>
                <w:sz w:val="19"/>
              </w:rPr>
              <w:t>Ủy ban Chỉ đạo SOX 404 có các trách nhiệm sau:</w:t>
            </w:r>
            <w:r>
              <w:br/>
            </w:r>
            <w:r>
              <w:rPr>
                <w:b w:val="0"/>
                <w:i w:val="0"/>
                <w:sz w:val="19"/>
              </w:rPr>
              <w:t>• Ủy ban Chỉ đạo SOX 404 sẽ cung cấp chứng nhận bằng văn bản để hỗ trợ tuyên bố Mục 404 của tổ chức về kiểm soát nội bộ trên cơ sở hàng năm. Nỗ lực này được hỗ trợ bởi quy trình chứng nhận phụ ở cấp độ chủ sở hữu quy trình chi tiết và việc chấp nhận sản phẩm bàn giao trong từng lĩnh vực quy trình riêng lẻ.</w:t>
            </w:r>
            <w:r>
              <w:br/>
            </w:r>
            <w:r>
              <w:rPr>
                <w:b w:val="0"/>
                <w:i w:val="0"/>
                <w:sz w:val="19"/>
              </w:rPr>
              <w:t>• Ủy ban Chỉ đạo SOX 404 sẽ xem xét các chính sách nhạy cảm cần thiết cho việc tuân thủ SOX 404, bao gồm: Phân tách Nhiệm vụ, thay đổi Ủy quyền Thẩm quyền, và khắc phục và giải quyết các vấn đề khác trong toàn doanh nghiệp.</w:t>
            </w:r>
            <w:r>
              <w:br/>
            </w:r>
            <w:r>
              <w:rPr>
                <w:b w:val="0"/>
                <w:i w:val="0"/>
                <w:sz w:val="19"/>
              </w:rPr>
              <w:t>• Ủy ban Chỉ đạo SOX 404 sẽ cung cấp sự bảo trợ rõ ràng cho dự án và cam kết về nguồn lực có kỹ năng từ tất cả các lĩnh vực được đại diện, và các thành viên ủy ban đóng vai trò quan trọng trong việc xem xét và hiểu rõ phạm vi, cách tiếp cận và rủi ro của dự án.</w:t>
            </w:r>
          </w:p>
        </w:tc>
      </w:tr>
      <w:tr>
        <w:tc>
          <w:tcPr>
            <w:tcW w:type="dxa" w:w="4680"/>
          </w:tcPr>
          <w:p>
            <w:r/>
            <w:r>
              <w:rPr>
                <w:b w:val="0"/>
                <w:i w:val="0"/>
                <w:sz w:val="19"/>
              </w:rPr>
              <w:t>Kiểm toán viên Nội bộ</w:t>
            </w:r>
          </w:p>
        </w:tc>
        <w:tc>
          <w:tcPr>
            <w:tcW w:type="dxa" w:w="4680"/>
          </w:tcPr>
          <w:p>
            <w:r/>
            <w:r>
              <w:rPr>
                <w:b w:val="0"/>
                <w:i w:val="0"/>
                <w:sz w:val="19"/>
              </w:rPr>
              <w:t>• Trách nhiệm của kiểm toán viên nội bộ thường bao gồm đảm bảo tính đầy đủ của hệ thống kiểm soát nội bộ, độ tin cậy của dữ liệu và việc sử dụng hiệu quả các nguồn lực của tổ chức. Kiểm toán viên nội bộ xác định các vấn đề kiểm soát và phát triển các giải pháp để cải thiện và tăng cường kiểm soát nội bộ.</w:t>
            </w:r>
            <w:r>
              <w:br/>
            </w:r>
            <w:r>
              <w:rPr>
                <w:b w:val="0"/>
                <w:i w:val="0"/>
                <w:sz w:val="19"/>
              </w:rPr>
              <w:t>• Kiểm toán viên nội bộ quan tâm đến toàn bộ phạm vi kiểm soát nội bộ của tổ chức, bao gồm kiểm soát hoạt động, tài chính và tuân thủ.</w:t>
            </w:r>
          </w:p>
        </w:tc>
      </w:tr>
      <w:tr>
        <w:tc>
          <w:tcPr>
            <w:tcW w:type="dxa" w:w="4680"/>
          </w:tcPr>
          <w:p>
            <w:r/>
            <w:r>
              <w:rPr>
                <w:b w:val="0"/>
                <w:i w:val="0"/>
                <w:sz w:val="19"/>
              </w:rPr>
              <w:t>Kiểm toán viên Bên ngoài</w:t>
            </w:r>
          </w:p>
        </w:tc>
        <w:tc>
          <w:tcPr>
            <w:tcW w:type="dxa" w:w="4680"/>
          </w:tcPr>
          <w:p>
            <w:r/>
            <w:r>
              <w:rPr>
                <w:b w:val="0"/>
                <w:i w:val="0"/>
                <w:sz w:val="19"/>
              </w:rPr>
              <w:t>• Kiểm soát nội bộ cũng sẽ được đánh giá bởi các kiểm toán viên bên ngoài. Kiểm toán viên bên ngoài đánh giá tính hiệu quả của kiểm soát nội bộ trong một tổ chức để lập kế hoạch kiểm toán báo cáo tài chính.</w:t>
            </w:r>
            <w:r>
              <w:br/>
            </w:r>
            <w:r>
              <w:rPr>
                <w:b w:val="0"/>
                <w:i w:val="0"/>
                <w:sz w:val="19"/>
              </w:rPr>
              <w:t>• Khác với kiểm toán viên nội bộ, kiểm toán viên bên ngoài tập trung chủ yếu vào các kiểm soát ảnh hưởng đến báo cáo tài chính. Kiểm toán viên bên ngoài có trách nhiệm báo cáo các điểm yếu kiểm soát nội bộ (cũng như các điều kiện cần báo cáo về kiểm soát nội bộ) cho ủy ban kiểm toán của hội đồng quản trị.</w:t>
            </w:r>
          </w:p>
        </w:tc>
      </w:tr>
    </w:tbl>
    <w:p>
      <w:pPr>
        <w:spacing w:after="0"/>
      </w:pPr>
    </w:p>
    <w:p>
      <w:pPr>
        <w:pStyle w:val="Heading2"/>
      </w:pPr>
      <w:r>
        <w:rPr>
          <w:rFonts w:ascii="Calibri" w:hAnsi="Calibri"/>
          <w:b/>
          <w:i w:val="0"/>
          <w:sz w:val="32"/>
        </w:rPr>
        <w:t>GHI CHÚ</w:t>
      </w:r>
    </w:p>
    <w:p>
      <w:pPr>
        <w:pStyle w:val="Heading1"/>
      </w:pPr>
      <w:r>
        <w:rPr>
          <w:rFonts w:ascii="Calibri" w:hAnsi="Calibri"/>
          <w:b/>
          <w:i w:val="0"/>
          <w:sz w:val="40"/>
        </w:rPr>
        <w:t xml:space="preserve">CHƯƠNG 2 </w:t>
      </w:r>
      <w:r>
        <w:br/>
      </w:r>
      <w:r>
        <w:rPr>
          <w:rFonts w:ascii="Calibri" w:hAnsi="Calibri"/>
          <w:b/>
          <w:i w:val="0"/>
          <w:sz w:val="40"/>
        </w:rPr>
        <w:t xml:space="preserve"> Quy trình Đơn hàng đến Tiền mặt (O2C)</w:t>
      </w:r>
    </w:p>
    <w:p>
      <w:pPr>
        <w:pStyle w:val="Heading2"/>
      </w:pPr>
      <w:r>
        <w:rPr>
          <w:rFonts w:ascii="Calibri" w:hAnsi="Calibri"/>
          <w:b/>
          <w:i w:val="0"/>
          <w:sz w:val="32"/>
        </w:rPr>
        <w:t>GIỚI THIỆU</w:t>
      </w:r>
    </w:p>
    <w:p>
      <w:pPr>
        <w:spacing w:after="80"/>
      </w:pPr>
      <w:r>
        <w:rPr>
          <w:b w:val="0"/>
          <w:i w:val="0"/>
        </w:rPr>
        <w:t>Quy trình O2C bao gồm các quy trình phụ như thu thập và chấp nhận đơn hàng của khách hàng; soạn thảo hợp đồng bán hàng; cấp tín dụng cho khách hàng; vận chuyển hoặc giao sản phẩm, dịch vụ theo cách khác; lập hóa đơn và ghi nhận các giao dịch bán hàng và cho thuê; duy trì và giám sát các khoản phải thu; thiết lập các thủ tục thu tiền hiệu quả; ghi nhận và kiểm soát các khoản thu tiền mặt; thiết lập các hoạt động định giá và khuyến mãi; và định giá đúng các số dư khoản phải thu.</w:t>
      </w:r>
    </w:p>
    <w:p>
      <w:pPr>
        <w:spacing w:after="80"/>
      </w:pPr>
      <w:r>
        <w:rPr>
          <w:b w:val="0"/>
          <w:i w:val="0"/>
        </w:rPr>
        <w:t>Đơn hàng đến tiền mặt (O2C) và AR là những quy trình kinh doanh quan trọng trong một công ty. AR là một trong chuỗi các giao dịch kế toán liên quan đến việc lập hóa đơn cho khách hàng về hàng hóa và dịch vụ đã nhận. Trong hầu hết các thực thể kinh doanh, chức năng này thường được thực hiện bằng cách tạo hóa đơn và gửi qua đường bưu điện hoặc gửi điện tử đến khách hàng, và khách hàng phải thanh toán trong khung thời gian đã định được gọi là điều khoản tín dụng hoặc điều khoản thanh toán. Điều khoản thanh toán được thiết lập trong hợp đồng khách hàng.</w:t>
      </w:r>
    </w:p>
    <w:p>
      <w:pPr>
        <w:pStyle w:val="Heading2"/>
      </w:pPr>
      <w:r>
        <w:rPr>
          <w:rFonts w:ascii="Calibri" w:hAnsi="Calibri"/>
          <w:b/>
          <w:i w:val="0"/>
          <w:sz w:val="32"/>
        </w:rPr>
        <w:t>TỔNG QUAN QUY TRÌNH</w:t>
      </w:r>
    </w:p>
    <w:p>
      <w:pPr>
        <w:spacing w:after="80"/>
      </w:pPr>
      <w:r>
        <w:rPr>
          <w:b w:val="0"/>
          <w:i w:val="0"/>
        </w:rPr>
        <w:t>Sơ đồ dưới đây cho thấy các yếu tố nền tảng cho quy trình O2C là kiểm soát nội bộ và tuân thủ, hệ thống ERP, và các giải pháp tự động hóa O2C.</w:t>
      </w:r>
    </w:p>
    <w:p>
      <w:pPr>
        <w:jc w:val="center"/>
      </w:pPr>
      <w:r>
        <w:drawing>
          <wp:inline xmlns:a="http://schemas.openxmlformats.org/drawingml/2006/main" xmlns:pic="http://schemas.openxmlformats.org/drawingml/2006/picture">
            <wp:extent cx="5486400" cy="2379897"/>
            <wp:docPr id="4" name="Picture 4"/>
            <wp:cNvGraphicFramePr>
              <a:graphicFrameLocks noChangeAspect="1"/>
            </wp:cNvGraphicFramePr>
            <a:graphic>
              <a:graphicData uri="http://schemas.openxmlformats.org/drawingml/2006/picture">
                <pic:pic>
                  <pic:nvPicPr>
                    <pic:cNvPr id="0" name="Image00005.jpg"/>
                    <pic:cNvPicPr/>
                  </pic:nvPicPr>
                  <pic:blipFill>
                    <a:blip r:embed="rId12"/>
                    <a:stretch>
                      <a:fillRect/>
                    </a:stretch>
                  </pic:blipFill>
                  <pic:spPr>
                    <a:xfrm>
                      <a:off x="0" y="0"/>
                      <a:ext cx="5486400" cy="2379897"/>
                    </a:xfrm>
                    <a:prstGeom prst="rect"/>
                  </pic:spPr>
                </pic:pic>
              </a:graphicData>
            </a:graphic>
          </wp:inline>
        </w:drawing>
      </w:r>
    </w:p>
    <w:p>
      <w:pPr>
        <w:pStyle w:val="Heading2"/>
      </w:pPr>
      <w:r>
        <w:rPr>
          <w:rFonts w:ascii="Calibri" w:hAnsi="Calibri"/>
          <w:b/>
          <w:i w:val="0"/>
          <w:sz w:val="32"/>
        </w:rPr>
        <w:t>ỨNG DỤNG KIỂM SOÁT NỘI BỘ</w:t>
      </w:r>
    </w:p>
    <w:p>
      <w:pPr>
        <w:spacing w:after="80"/>
      </w:pPr>
      <w:r>
        <w:rPr>
          <w:b w:val="0"/>
          <w:i w:val="0"/>
        </w:rPr>
        <w:t>Khi ban quản lý lựa chọn các thủ tục và kỹ thuật kiểm soát, mức độ kiểm soát được triển khai là một vấn đề thuộc phán đoán kinh doanh hợp lý. Nguyên tắc chung được dùng để xác định mức độ triển khai kiểm soát nội bộ là chi phí của một biện pháp kiểm soát không được vượt quá lợi ích thu được. Tuy nhiên, có một bộ kiểm soát tối thiểu cần tồn tại trong môi trường kinh doanh thông thường. Các tiêu chuẩn kiểm soát nội bộ được liệt kê ở đây đại diện cho các kiểm soát tối thiểu cần được triển khai cho quy trình doanh thu. Trong một số trường hợp, các yêu cầu của chính phủ Hoa Kỳ vượt quá các kiểm soát tối thiểu này.</w:t>
      </w:r>
    </w:p>
    <w:p>
      <w:pPr>
        <w:pStyle w:val="Heading2"/>
      </w:pPr>
      <w:r>
        <w:rPr>
          <w:rFonts w:ascii="Calibri" w:hAnsi="Calibri"/>
          <w:b/>
          <w:i w:val="0"/>
          <w:sz w:val="32"/>
        </w:rPr>
        <w:t>CÁC CHỈ SỐ ĐO LƯỜNG</w:t>
      </w:r>
    </w:p>
    <w:tbl>
      <w:tblPr>
        <w:tblStyle w:val="TableGrid"/>
        <w:tblW w:type="auto" w:w="0"/>
        <w:tblLook w:firstColumn="1" w:firstRow="1" w:lastColumn="0" w:lastRow="0" w:noHBand="0" w:noVBand="1" w:val="04A0"/>
      </w:tblPr>
      <w:tblGrid>
        <w:gridCol w:w="9360"/>
      </w:tblGrid>
      <w:tr>
        <w:tc>
          <w:tcPr>
            <w:tcW w:type="dxa" w:w="9360"/>
          </w:tcPr>
          <w:p>
            <w:r/>
            <w:r>
              <w:rPr>
                <w:b/>
                <w:i w:val="0"/>
                <w:sz w:val="19"/>
              </w:rPr>
              <w:t>Bảng các chỉ số đo lường</w:t>
            </w:r>
          </w:p>
        </w:tc>
      </w:tr>
      <w:tr>
        <w:tc>
          <w:tcPr>
            <w:tcW w:type="dxa" w:w="9360"/>
          </w:tcPr>
          <w:p>
            <w:r/>
            <w:r>
              <w:rPr>
                <w:b w:val="0"/>
                <w:i w:val="0"/>
                <w:sz w:val="19"/>
              </w:rPr>
              <w:t xml:space="preserve">•  </w:t>
            </w:r>
            <w:r>
              <w:rPr>
                <w:b/>
                <w:i w:val="0"/>
                <w:sz w:val="19"/>
              </w:rPr>
              <w:t>Phân tích tuổi nợ khoản phải thu (Accounts Receivable Aging)</w:t>
            </w:r>
            <w:r>
              <w:rPr>
                <w:b w:val="0"/>
                <w:i w:val="0"/>
                <w:sz w:val="19"/>
              </w:rPr>
              <w:t xml:space="preserve"> —Phân tích tuổi nợ khoản phải thu một cách độc lập theo ngày hóa đơn. Xác định tất cả các giao dịch khoản phải thu còn mở tính đến một ngày cụ thể (nhưng mặc định là ngày hiện tại) và báo cáo tuổi nợ của các giao dịch khoản phải thu theo từng khách hàng và cho tất cả khách hàng gộp lại theo các nhóm tuổi nợ được định trước, dựa trên ngày hóa đơn/ngày xuất hóa đơn.</w:t>
            </w:r>
            <w:r>
              <w:br/>
            </w:r>
            <w:r>
              <w:rPr>
                <w:b w:val="0"/>
                <w:i w:val="0"/>
                <w:sz w:val="19"/>
              </w:rPr>
              <w:t xml:space="preserve">•  </w:t>
            </w:r>
            <w:r>
              <w:rPr>
                <w:b/>
                <w:i w:val="0"/>
                <w:sz w:val="19"/>
              </w:rPr>
              <w:t>Số lượng khách hàng trùng lặp (cùng tên hoặc địa chỉ)</w:t>
            </w:r>
            <w:r>
              <w:rPr>
                <w:b w:val="0"/>
                <w:i w:val="0"/>
                <w:sz w:val="19"/>
              </w:rPr>
              <w:t xml:space="preserve"> —Đảm bảo tất cả khách hàng đều hợp lệ và chỉ được tạo một lần. Xác định tất cả các đơn bán hàng theo khách hàng khi có nhiều hơn một lần xuất hiện của cùng Tên khách hàng hoặc Địa chỉ khách hàng trong cơ sở dữ liệu khách hàng dưới các mã khách hàng khác nhau.</w:t>
            </w:r>
            <w:r>
              <w:br/>
            </w:r>
            <w:r>
              <w:rPr>
                <w:b w:val="0"/>
                <w:i w:val="0"/>
                <w:sz w:val="19"/>
              </w:rPr>
              <w:t xml:space="preserve">•  </w:t>
            </w:r>
            <w:r>
              <w:rPr>
                <w:b/>
                <w:i w:val="0"/>
                <w:sz w:val="19"/>
              </w:rPr>
              <w:t>Tính hợp lệ của dữ liệu khách hàng</w:t>
            </w:r>
            <w:r>
              <w:rPr>
                <w:b w:val="0"/>
                <w:i w:val="0"/>
                <w:sz w:val="19"/>
              </w:rPr>
              <w:t xml:space="preserve"> —Đảm bảo tính hợp lệ của giao dịch bằng cách xác định các giao dịch mà các phần tử dữ liệu quan trọng lệch khỏi giá trị và định dạng mong đợi. Với mỗi giao dịch đơn bán hàng, kiểm tra rằng dữ liệu giao dịch và dữ liệu chủ khách hàng quan trọng đều hiện diện.</w:t>
            </w:r>
            <w:r>
              <w:br/>
            </w:r>
            <w:r>
              <w:rPr>
                <w:b w:val="0"/>
                <w:i w:val="0"/>
                <w:sz w:val="19"/>
              </w:rPr>
              <w:t xml:space="preserve">•  </w:t>
            </w:r>
            <w:r>
              <w:rPr>
                <w:b/>
                <w:i w:val="0"/>
                <w:sz w:val="19"/>
              </w:rPr>
              <w:t>Giá khách hàng không hợp lệ</w:t>
            </w:r>
            <w:r>
              <w:rPr>
                <w:b w:val="0"/>
                <w:i w:val="0"/>
                <w:sz w:val="19"/>
              </w:rPr>
              <w:t xml:space="preserve"> —Đảm bảo tất cả giá bán đều được ủy quyền. Xác định tất cả các Đơn bán hàng theo khách hàng khi giá trên tệp chủ khác với giá trên đơn bán hàng vượt quá tỷ lệ phần trăm chênh lệch hoặc mức chênh lệch ngưỡng.</w:t>
            </w:r>
            <w:r>
              <w:br/>
            </w:r>
            <w:r>
              <w:rPr>
                <w:b w:val="0"/>
                <w:i w:val="0"/>
                <w:sz w:val="19"/>
              </w:rPr>
              <w:t xml:space="preserve">•  </w:t>
            </w:r>
            <w:r>
              <w:rPr>
                <w:b/>
                <w:i w:val="0"/>
                <w:sz w:val="19"/>
              </w:rPr>
              <w:t>Hối lộ trong quy trình bán hàng (Sales Process Kick-Back)</w:t>
            </w:r>
            <w:r>
              <w:rPr>
                <w:b w:val="0"/>
                <w:i w:val="0"/>
                <w:sz w:val="19"/>
              </w:rPr>
              <w:t xml:space="preserve"> —Đảm bảo tất cả các giao dịch đều hợp lệ và làm nổi bật các hoạt động có khả năng gian lận. Xác định các Khách hàng có bất kỳ Đơn bán hàng nào với (1) chiết khấu bán hàng cao bất thường; điều khoản tín dụng/hạn mức tín dụng cao bất thường; hoặc (2) các giấy báo có (credit memo) cho cùng một khách hàng với tần suất cao bất thường.</w:t>
            </w:r>
            <w:r>
              <w:br/>
            </w:r>
            <w:r>
              <w:rPr>
                <w:b w:val="0"/>
                <w:i w:val="0"/>
                <w:sz w:val="19"/>
              </w:rPr>
              <w:t xml:space="preserve">•  </w:t>
            </w:r>
            <w:r>
              <w:rPr>
                <w:b/>
                <w:i w:val="0"/>
                <w:sz w:val="19"/>
              </w:rPr>
              <w:t>Khách hàng không tuân thủ</w:t>
            </w:r>
            <w:r>
              <w:rPr>
                <w:b w:val="0"/>
                <w:i w:val="0"/>
                <w:sz w:val="19"/>
              </w:rPr>
              <w:t xml:space="preserve"> —Xác minh rằng khách hàng không nằm trong danh sách GSA-EPLS và SAM. Ngoài ra, kiểm tra dữ liệu chủ khách hàng về tuân thủ KYC, OFAC, OIG và FCPA. Xác định tất cả các Đơn bán hàng khi tên khách hàng khớp với tên có trong danh sách GSA-EPLS.</w:t>
            </w:r>
            <w:r>
              <w:br/>
            </w:r>
            <w:r>
              <w:rPr>
                <w:b w:val="0"/>
                <w:i w:val="0"/>
                <w:sz w:val="19"/>
              </w:rPr>
              <w:t xml:space="preserve">•  </w:t>
            </w:r>
            <w:r>
              <w:rPr>
                <w:b/>
                <w:i w:val="0"/>
                <w:sz w:val="19"/>
              </w:rPr>
              <w:t>Hạn mức tín dụng hợp lệ</w:t>
            </w:r>
            <w:r>
              <w:rPr>
                <w:b w:val="0"/>
                <w:i w:val="0"/>
                <w:sz w:val="19"/>
              </w:rPr>
              <w:t xml:space="preserve"> —Đảm bảo tất cả hạn mức tín dụng được gán cho khách hàng đều tuân theo chính sách của công ty. Xác định tất cả các đơn bán hàng theo khách hàng khi tổng đơn bán hàng + số dư khoản phải thu lớn hơn hạn mức tín dụng của khách hàng.</w:t>
            </w:r>
            <w:r>
              <w:br/>
            </w:r>
            <w:r>
              <w:rPr>
                <w:b w:val="0"/>
                <w:i w:val="0"/>
                <w:sz w:val="19"/>
              </w:rPr>
              <w:t xml:space="preserve">•  </w:t>
            </w:r>
            <w:r>
              <w:rPr>
                <w:b/>
                <w:i w:val="0"/>
                <w:sz w:val="19"/>
              </w:rPr>
              <w:t>Thay đổi giá không được ủy quyền</w:t>
            </w:r>
            <w:r>
              <w:rPr>
                <w:b w:val="0"/>
                <w:i w:val="0"/>
                <w:sz w:val="19"/>
              </w:rPr>
              <w:t xml:space="preserve"> —Xác minh rằng giá trong tệp chủ giá đều được ủy quyền và hợp lệ. Xác định tất cả các đơn bán hàng khi cá nhân đã nhập/sửa đổi giá trong tệp chủ giá có quyền truy cập hệ thống phù hợp.</w:t>
            </w:r>
            <w:r>
              <w:br/>
            </w:r>
            <w:r>
              <w:rPr>
                <w:b w:val="0"/>
                <w:i w:val="0"/>
                <w:sz w:val="19"/>
              </w:rPr>
              <w:t xml:space="preserve">•  </w:t>
            </w:r>
            <w:r>
              <w:rPr>
                <w:b/>
                <w:i w:val="0"/>
                <w:sz w:val="19"/>
              </w:rPr>
              <w:t>Trạng thái xuất hóa đơn khoản phải thu và rà soát</w:t>
            </w:r>
            <w:r>
              <w:rPr>
                <w:b w:val="0"/>
                <w:i w:val="0"/>
                <w:sz w:val="19"/>
              </w:rPr>
              <w:t xml:space="preserve"> —Theo dõi các giao dịch khoản phải thu, cụ thể là các giao dịch loại xuất hóa đơn và điều chỉnh, theo từng khách hàng, để xác định các khách hàng có tỷ lệ điều chỉnh cao. Thông tin này có thể giúp phát hiện việc thao túng hồ sơ khách hàng, và cuối cùng là các tài sản như hàng tồn kho. Kiểm tra tệp giao dịch khoản phải thu (xuất hóa đơn và điều chỉnh) với mục tiêu lập hồ sơ các khách hàng có vẻ có số lượng điều chỉnh, xóa nợ cao so với các khoản phí của họ.</w:t>
            </w:r>
            <w:r>
              <w:br/>
            </w:r>
            <w:r>
              <w:rPr>
                <w:b w:val="0"/>
                <w:i w:val="0"/>
                <w:sz w:val="19"/>
              </w:rPr>
              <w:t xml:space="preserve">•  </w:t>
            </w:r>
            <w:r>
              <w:rPr>
                <w:b/>
                <w:i w:val="0"/>
                <w:sz w:val="19"/>
              </w:rPr>
              <w:t>Số ngày thu tiền bình quân (Days Sales Outstanding - DSO)</w:t>
            </w:r>
            <w:r>
              <w:rPr>
                <w:b w:val="0"/>
                <w:i w:val="0"/>
                <w:sz w:val="19"/>
              </w:rPr>
              <w:t xml:space="preserve"> —Đảm bảo tất cả các khoản xuất hóa đơn đều được thực hiện kịp thời. Xác định tất cả các Hóa đơn khi đơn bán hàng tương ứng được nhập trước hóa đơn nhiều hơn số ngày &lt;&lt;Aging Period&gt;&gt;.</w:t>
            </w:r>
            <w:r>
              <w:br/>
            </w:r>
            <w:r>
              <w:rPr>
                <w:b w:val="0"/>
                <w:i w:val="0"/>
                <w:sz w:val="19"/>
              </w:rPr>
              <w:t xml:space="preserve">•  </w:t>
            </w:r>
            <w:r>
              <w:rPr>
                <w:b/>
                <w:i w:val="0"/>
                <w:sz w:val="19"/>
              </w:rPr>
              <w:t>Tính toán True DSO</w:t>
            </w:r>
            <w:r>
              <w:rPr>
                <w:b w:val="0"/>
                <w:i w:val="0"/>
                <w:sz w:val="19"/>
              </w:rPr>
              <w:t xml:space="preserve"> —True DSO tính toán số ngày thực tế mà doanh số bán chịu chưa được thanh toán bằng cách theo dõi từng hóa đơn riêng lẻ đến tháng bán.</w:t>
            </w:r>
            <w:r>
              <w:br/>
            </w:r>
            <w:r>
              <w:rPr>
                <w:b w:val="0"/>
                <w:i w:val="0"/>
                <w:sz w:val="19"/>
              </w:rPr>
              <w:t xml:space="preserve">•  </w:t>
            </w:r>
            <w:r>
              <w:rPr>
                <w:b/>
                <w:i w:val="0"/>
                <w:sz w:val="19"/>
              </w:rPr>
              <w:t>Best Possible DSO</w:t>
            </w:r>
            <w:r>
              <w:rPr>
                <w:b w:val="0"/>
                <w:i w:val="0"/>
                <w:sz w:val="19"/>
              </w:rPr>
              <w:t xml:space="preserve"> —Best Possible DSO chỉ sử dụng các khoản phải thu hiện tại (không quá hạn) của bạn để tính khoảng thời gian tốt nhất mà bạn có thể đạt được trong việc quay vòng khoản phải thu. Nó nên được so sánh với phép tính tiêu chuẩn ở trên, và gần với điều khoản bán hàng của bạn.</w:t>
            </w:r>
            <w:r>
              <w:br/>
            </w:r>
            <w:r>
              <w:rPr>
                <w:b w:val="0"/>
                <w:i w:val="0"/>
                <w:sz w:val="19"/>
              </w:rPr>
              <w:t xml:space="preserve">•  </w:t>
            </w:r>
            <w:r>
              <w:rPr>
                <w:b/>
                <w:i w:val="0"/>
                <w:sz w:val="19"/>
              </w:rPr>
              <w:t>Tính toán Delinquent DSO (Số ngày quá hạn trung bình)</w:t>
            </w:r>
            <w:r>
              <w:rPr>
                <w:b w:val="0"/>
                <w:i w:val="0"/>
                <w:sz w:val="19"/>
              </w:rPr>
              <w:t xml:space="preserve"> —Delinquent DSO hay Số ngày quá hạn trung bình (Average Days Delinquent - ADD) tính số ngày trung bình mà các hóa đơn bị quá hạn thanh toán. Điều này cung cấp một bức tranh tổng quan để đánh giá hiệu suất thu hồi của từng cá nhân, nhóm nhỏ, hoặc toàn bộ.</w:t>
            </w:r>
            <w:r>
              <w:br/>
            </w:r>
            <w:r>
              <w:rPr>
                <w:b w:val="0"/>
                <w:i w:val="0"/>
                <w:sz w:val="19"/>
              </w:rPr>
              <w:t xml:space="preserve">•  </w:t>
            </w:r>
            <w:r>
              <w:rPr>
                <w:b/>
                <w:i w:val="0"/>
                <w:sz w:val="19"/>
              </w:rPr>
              <w:t>Tính toán Countback DSO</w:t>
            </w:r>
            <w:r>
              <w:rPr>
                <w:b w:val="0"/>
                <w:i w:val="0"/>
                <w:sz w:val="19"/>
              </w:rPr>
              <w:t xml:space="preserve"> —Phương pháp Countback khi tính toán có xét đến các biến động doanh số. Bằng cách cho trọng số lớn hơn cho doanh số của tháng hiện tại, nó phản ánh giả định đúng đắn rằng phần lớn số dư khoản phải thu sẽ đến từ doanh số hiện tại, thay vì doanh số trước đó. Nó cũng xét đến ảnh hưởng thực tế của sự khác biệt thực tế về số ngày mỗi tháng (ví dụ: 28 ngày vào tháng Hai so với 30 ngày vào tháng Tư, Sáu, Chín, và Mười Một so với 31 ngày vào các tháng còn lại).</w:t>
            </w:r>
            <w:r>
              <w:br/>
            </w:r>
            <w:r>
              <w:rPr>
                <w:b w:val="0"/>
                <w:i w:val="0"/>
                <w:sz w:val="19"/>
              </w:rPr>
              <w:t xml:space="preserve">•  </w:t>
            </w:r>
            <w:r>
              <w:rPr>
                <w:b/>
                <w:i w:val="0"/>
                <w:sz w:val="19"/>
              </w:rPr>
              <w:t>Tính toán Sales Weighted DSO</w:t>
            </w:r>
            <w:r>
              <w:rPr>
                <w:b w:val="0"/>
                <w:i w:val="0"/>
                <w:sz w:val="19"/>
              </w:rPr>
              <w:t xml:space="preserve"> —Sales Weighted DSO, giống như phép tính DSO thông thường, đo lường khoảng thời gian trung bình mà các khoản phải thu còn tồn đọng. Tuy nhiên, một số người coi đây là một cải tiến so với các phương pháp tính DSO khác vì nó cố gắng làm mịn đi sự thiên lệch của doanh số bán chịu và điều khoản bán hàng.</w:t>
            </w:r>
            <w:r>
              <w:br/>
            </w:r>
            <w:r>
              <w:rPr>
                <w:b w:val="0"/>
                <w:i w:val="0"/>
                <w:sz w:val="19"/>
              </w:rPr>
              <w:t xml:space="preserve">•  </w:t>
            </w:r>
            <w:r>
              <w:rPr>
                <w:b/>
                <w:i w:val="0"/>
                <w:sz w:val="19"/>
              </w:rPr>
              <w:t>Chỉ số hiệu quả thu hồi (Collection Effectiveness Index - CEI)</w:t>
            </w:r>
            <w:r>
              <w:rPr>
                <w:b w:val="0"/>
                <w:i w:val="0"/>
                <w:sz w:val="19"/>
              </w:rPr>
              <w:t xml:space="preserve"> —Chỉ số hiệu quả thu hồi, còn được gọi là CEI, là phép tính về khả năng của một công ty trong việc thu hồi các khoản phải thu từ khách hàng. CEI đo lường số tiền thu được trong một khoảng thời gian so với số tiền phải thu trong cùng khoảng thời gian đó. So sánh ra thì chỉ số hiệu quả thu hồi có phần chính xác hơn số ngày thu tiền bình quân (DSO) nhờ vào khoảng thời gian.</w:t>
            </w:r>
          </w:p>
        </w:tc>
      </w:tr>
    </w:tbl>
    <w:p>
      <w:pPr>
        <w:spacing w:after="0"/>
      </w:pPr>
    </w:p>
    <w:p>
      <w:pPr>
        <w:pStyle w:val="Heading2"/>
      </w:pPr>
      <w:r>
        <w:rPr>
          <w:rFonts w:ascii="Calibri" w:hAnsi="Calibri"/>
          <w:b/>
          <w:i w:val="0"/>
          <w:sz w:val="32"/>
        </w:rPr>
        <w:t>CÁC QUY TRÌNH CON</w:t>
      </w:r>
    </w:p>
    <w:p>
      <w:pPr>
        <w:spacing w:after="80"/>
      </w:pPr>
      <w:r>
        <w:rPr>
          <w:b w:val="0"/>
          <w:i w:val="0"/>
        </w:rPr>
        <w:t>Các quy trình con nằm trong quy trình O2C bao gồm:</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2.1</w:t>
            </w:r>
          </w:p>
        </w:tc>
        <w:tc>
          <w:tcPr>
            <w:tcW w:type="dxa" w:w="4680"/>
          </w:tcPr>
          <w:p>
            <w:r/>
            <w:r>
              <w:rPr>
                <w:b w:val="0"/>
                <w:i w:val="0"/>
                <w:sz w:val="19"/>
              </w:rPr>
              <w:t>Nhập/Sửa đơn hàng</w:t>
            </w:r>
          </w:p>
        </w:tc>
      </w:tr>
      <w:tr>
        <w:tc>
          <w:tcPr>
            <w:tcW w:type="dxa" w:w="4680"/>
          </w:tcPr>
          <w:p>
            <w:r/>
            <w:r>
              <w:rPr>
                <w:b w:val="0"/>
                <w:i w:val="0"/>
                <w:sz w:val="19"/>
              </w:rPr>
              <w:t>2.2</w:t>
            </w:r>
          </w:p>
        </w:tc>
        <w:tc>
          <w:tcPr>
            <w:tcW w:type="dxa" w:w="4680"/>
          </w:tcPr>
          <w:p>
            <w:r/>
            <w:r>
              <w:rPr>
                <w:b w:val="0"/>
                <w:i w:val="0"/>
                <w:sz w:val="19"/>
              </w:rPr>
              <w:t>Kiểm soát xuất khẩu</w:t>
            </w:r>
          </w:p>
        </w:tc>
      </w:tr>
      <w:tr>
        <w:tc>
          <w:tcPr>
            <w:tcW w:type="dxa" w:w="4680"/>
          </w:tcPr>
          <w:p>
            <w:r/>
            <w:r>
              <w:rPr>
                <w:b w:val="0"/>
                <w:i w:val="0"/>
                <w:sz w:val="19"/>
              </w:rPr>
              <w:t>2.3</w:t>
            </w:r>
          </w:p>
        </w:tc>
        <w:tc>
          <w:tcPr>
            <w:tcW w:type="dxa" w:w="4680"/>
          </w:tcPr>
          <w:p>
            <w:r/>
            <w:r>
              <w:rPr>
                <w:b w:val="0"/>
                <w:i w:val="0"/>
                <w:sz w:val="19"/>
              </w:rPr>
              <w:t>Hợp đồng bán hàng</w:t>
            </w:r>
          </w:p>
        </w:tc>
      </w:tr>
      <w:tr>
        <w:tc>
          <w:tcPr>
            <w:tcW w:type="dxa" w:w="4680"/>
          </w:tcPr>
          <w:p>
            <w:r/>
            <w:r>
              <w:rPr>
                <w:b w:val="0"/>
                <w:i w:val="0"/>
                <w:sz w:val="19"/>
              </w:rPr>
              <w:t>2.4</w:t>
            </w:r>
          </w:p>
        </w:tc>
        <w:tc>
          <w:tcPr>
            <w:tcW w:type="dxa" w:w="4680"/>
          </w:tcPr>
          <w:p>
            <w:r/>
            <w:r>
              <w:rPr>
                <w:b w:val="0"/>
                <w:i w:val="0"/>
                <w:sz w:val="19"/>
              </w:rPr>
              <w:t>Tín dụng</w:t>
            </w:r>
          </w:p>
        </w:tc>
      </w:tr>
      <w:tr>
        <w:tc>
          <w:tcPr>
            <w:tcW w:type="dxa" w:w="4680"/>
          </w:tcPr>
          <w:p>
            <w:r/>
            <w:r>
              <w:rPr>
                <w:b w:val="0"/>
                <w:i w:val="0"/>
                <w:sz w:val="19"/>
              </w:rPr>
              <w:t>2.5</w:t>
            </w:r>
          </w:p>
        </w:tc>
        <w:tc>
          <w:tcPr>
            <w:tcW w:type="dxa" w:w="4680"/>
          </w:tcPr>
          <w:p>
            <w:r/>
            <w:r>
              <w:rPr>
                <w:b w:val="0"/>
                <w:i w:val="0"/>
                <w:sz w:val="19"/>
              </w:rPr>
              <w:t>Vận chuyển</w:t>
            </w:r>
          </w:p>
        </w:tc>
      </w:tr>
      <w:tr>
        <w:tc>
          <w:tcPr>
            <w:tcW w:type="dxa" w:w="4680"/>
          </w:tcPr>
          <w:p>
            <w:r/>
            <w:r>
              <w:rPr>
                <w:b w:val="0"/>
                <w:i w:val="0"/>
                <w:sz w:val="19"/>
              </w:rPr>
              <w:t>2.6</w:t>
            </w:r>
          </w:p>
        </w:tc>
        <w:tc>
          <w:tcPr>
            <w:tcW w:type="dxa" w:w="4680"/>
          </w:tcPr>
          <w:p>
            <w:r/>
            <w:r>
              <w:rPr>
                <w:b w:val="0"/>
                <w:i w:val="0"/>
                <w:sz w:val="19"/>
              </w:rPr>
              <w:t>Ghi nhận doanh thu/Xuất hóa đơn</w:t>
            </w:r>
          </w:p>
        </w:tc>
      </w:tr>
      <w:tr>
        <w:tc>
          <w:tcPr>
            <w:tcW w:type="dxa" w:w="4680"/>
          </w:tcPr>
          <w:p>
            <w:r/>
            <w:r>
              <w:rPr>
                <w:b w:val="0"/>
                <w:i w:val="0"/>
                <w:sz w:val="19"/>
              </w:rPr>
              <w:t>2.7</w:t>
            </w:r>
          </w:p>
        </w:tc>
        <w:tc>
          <w:tcPr>
            <w:tcW w:type="dxa" w:w="4680"/>
          </w:tcPr>
          <w:p>
            <w:r/>
            <w:r>
              <w:rPr>
                <w:b w:val="0"/>
                <w:i w:val="0"/>
                <w:sz w:val="19"/>
              </w:rPr>
              <w:t>Khoản phải thu</w:t>
            </w:r>
          </w:p>
        </w:tc>
      </w:tr>
      <w:tr>
        <w:tc>
          <w:tcPr>
            <w:tcW w:type="dxa" w:w="4680"/>
          </w:tcPr>
          <w:p>
            <w:r/>
            <w:r>
              <w:rPr>
                <w:b w:val="0"/>
                <w:i w:val="0"/>
                <w:sz w:val="19"/>
              </w:rPr>
              <w:t>2.8</w:t>
            </w:r>
          </w:p>
        </w:tc>
        <w:tc>
          <w:tcPr>
            <w:tcW w:type="dxa" w:w="4680"/>
          </w:tcPr>
          <w:p>
            <w:r/>
            <w:r>
              <w:rPr>
                <w:b w:val="0"/>
                <w:i w:val="0"/>
                <w:sz w:val="19"/>
              </w:rPr>
              <w:t>Thu nợ</w:t>
            </w:r>
          </w:p>
        </w:tc>
      </w:tr>
      <w:tr>
        <w:tc>
          <w:tcPr>
            <w:tcW w:type="dxa" w:w="4680"/>
          </w:tcPr>
          <w:p>
            <w:r/>
            <w:r>
              <w:rPr>
                <w:b w:val="0"/>
                <w:i w:val="0"/>
                <w:sz w:val="19"/>
              </w:rPr>
              <w:t>2.9</w:t>
            </w:r>
          </w:p>
        </w:tc>
        <w:tc>
          <w:tcPr>
            <w:tcW w:type="dxa" w:w="4680"/>
          </w:tcPr>
          <w:p>
            <w:r/>
            <w:r>
              <w:rPr>
                <w:b w:val="0"/>
                <w:i w:val="0"/>
                <w:sz w:val="19"/>
              </w:rPr>
              <w:t>Nhận tiền và Hạch toán</w:t>
            </w:r>
          </w:p>
        </w:tc>
      </w:tr>
      <w:tr>
        <w:tc>
          <w:tcPr>
            <w:tcW w:type="dxa" w:w="4680"/>
          </w:tcPr>
          <w:p>
            <w:r/>
            <w:r>
              <w:rPr>
                <w:b w:val="0"/>
                <w:i w:val="0"/>
                <w:sz w:val="19"/>
              </w:rPr>
              <w:t>2.10</w:t>
            </w:r>
          </w:p>
        </w:tc>
        <w:tc>
          <w:tcPr>
            <w:tcW w:type="dxa" w:w="4680"/>
          </w:tcPr>
          <w:p>
            <w:r/>
            <w:r>
              <w:rPr>
                <w:b w:val="0"/>
                <w:i w:val="0"/>
                <w:sz w:val="19"/>
              </w:rPr>
              <w:t>Thiết lập giá</w:t>
            </w:r>
          </w:p>
        </w:tc>
      </w:tr>
      <w:tr>
        <w:tc>
          <w:tcPr>
            <w:tcW w:type="dxa" w:w="4680"/>
          </w:tcPr>
          <w:p>
            <w:r/>
            <w:r>
              <w:rPr>
                <w:b w:val="0"/>
                <w:i w:val="0"/>
                <w:sz w:val="19"/>
              </w:rPr>
              <w:t>2.11</w:t>
            </w:r>
          </w:p>
        </w:tc>
        <w:tc>
          <w:tcPr>
            <w:tcW w:type="dxa" w:w="4680"/>
          </w:tcPr>
          <w:p>
            <w:r/>
            <w:r>
              <w:rPr>
                <w:b w:val="0"/>
                <w:i w:val="0"/>
                <w:sz w:val="19"/>
              </w:rPr>
              <w:t>Hoạt động khuyến mãi</w:t>
            </w:r>
          </w:p>
        </w:tc>
      </w:tr>
    </w:tbl>
    <w:p>
      <w:pPr>
        <w:spacing w:after="0"/>
      </w:pPr>
    </w:p>
    <w:p>
      <w:pPr>
        <w:pStyle w:val="Heading2"/>
      </w:pPr>
      <w:r>
        <w:rPr>
          <w:rFonts w:ascii="Calibri" w:hAnsi="Calibri"/>
          <w:b/>
          <w:i w:val="0"/>
          <w:sz w:val="32"/>
        </w:rPr>
        <w:t>2.1 NHẬP ĐƠN HÀNG/CHỈNH SỬA</w:t>
      </w:r>
    </w:p>
    <w:p>
      <w:pPr>
        <w:pStyle w:val="Heading3"/>
      </w:pPr>
      <w:r>
        <w:rPr>
          <w:rFonts w:ascii="Calibri" w:hAnsi="Calibri"/>
          <w:b/>
          <w:i w:val="0"/>
          <w:sz w:val="26"/>
        </w:rPr>
        <w:t>Giới thiệu</w:t>
      </w:r>
    </w:p>
    <w:p>
      <w:pPr>
        <w:spacing w:after="80"/>
      </w:pPr>
      <w:r>
        <w:rPr>
          <w:b w:val="0"/>
          <w:i w:val="0"/>
        </w:rPr>
        <w:t>Dữ liệu chủ (master data) về khách hàng và sản phẩm phải chính xác, kịp thời, đi kèm với các biện pháp bảo vệ phù hợp để đảm bảo dữ liệu được bảo mật. Đơn hàng/hợp đồng phải được ghi chép đầy đủ và chỉnh sửa hoàn chỉnh trước khi được đưa vào sản xuất và/hoặc vận chuyển, tùy theo trường hợp cụ thể.</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2.1.1</w:t>
            </w:r>
          </w:p>
        </w:tc>
        <w:tc>
          <w:tcPr>
            <w:tcW w:type="dxa" w:w="4680"/>
          </w:tcPr>
          <w:p>
            <w:r/>
            <w:r>
              <w:rPr>
                <w:b/>
                <w:i w:val="0"/>
                <w:sz w:val="19"/>
              </w:rPr>
              <w:t>Dữ liệu chủ.</w:t>
            </w:r>
            <w:r>
              <w:rPr>
                <w:b w:val="0"/>
                <w:i w:val="0"/>
                <w:sz w:val="19"/>
              </w:rPr>
              <w:t xml:space="preserve"> Mọi thay đổi đối với cơ sở dữ liệu phải được thành viên quản lý phù hợp phê duyệt trước khi nhập dữ liệu. </w:t>
            </w:r>
            <w:r>
              <w:rPr>
                <w:b/>
                <w:i w:val="0"/>
                <w:sz w:val="19"/>
              </w:rPr>
              <w:t>Tham chiếu rủi ro: A-2, A-4, A-5, A-7, A-8, A-10</w:t>
            </w:r>
          </w:p>
        </w:tc>
      </w:tr>
      <w:tr>
        <w:tc>
          <w:tcPr>
            <w:tcW w:type="dxa" w:w="4680"/>
          </w:tcPr>
          <w:p>
            <w:r/>
            <w:r>
              <w:rPr>
                <w:b w:val="0"/>
                <w:i w:val="0"/>
                <w:sz w:val="19"/>
              </w:rPr>
              <w:t>2.1.2</w:t>
            </w:r>
          </w:p>
        </w:tc>
        <w:tc>
          <w:tcPr>
            <w:tcW w:type="dxa" w:w="4680"/>
          </w:tcPr>
          <w:p>
            <w:r/>
            <w:r>
              <w:rPr>
                <w:b/>
                <w:i w:val="0"/>
                <w:sz w:val="19"/>
              </w:rPr>
              <w:t>Bằng chứng đơn hàng.</w:t>
            </w:r>
            <w:r>
              <w:rPr>
                <w:b w:val="0"/>
                <w:i w:val="0"/>
                <w:sz w:val="19"/>
              </w:rPr>
              <w:t xml:space="preserve"> Mọi đơn hàng phải được hỗ trợ bởi đơn đặt hàng của khách hàng đã được ủy quyền hoặc bằng chứng khác chứng minh khách hàng khởi tạo đơn hàng. </w:t>
            </w:r>
            <w:r>
              <w:rPr>
                <w:b/>
                <w:i w:val="0"/>
                <w:sz w:val="19"/>
              </w:rPr>
              <w:t>Tham chiếu rủi ro: A-1, A-2, A-3</w:t>
            </w:r>
          </w:p>
        </w:tc>
      </w:tr>
      <w:tr>
        <w:tc>
          <w:tcPr>
            <w:tcW w:type="dxa" w:w="4680"/>
          </w:tcPr>
          <w:p>
            <w:r/>
            <w:r>
              <w:rPr>
                <w:b w:val="0"/>
                <w:i w:val="0"/>
                <w:sz w:val="19"/>
              </w:rPr>
              <w:t>2.1.3</w:t>
            </w:r>
          </w:p>
        </w:tc>
        <w:tc>
          <w:tcPr>
            <w:tcW w:type="dxa" w:w="4680"/>
          </w:tcPr>
          <w:p>
            <w:r/>
            <w:r>
              <w:rPr>
                <w:b/>
                <w:i w:val="0"/>
                <w:sz w:val="19"/>
              </w:rPr>
              <w:t>Quyền truy cập đơn hàng.</w:t>
            </w:r>
            <w:r>
              <w:rPr>
                <w:b w:val="0"/>
                <w:i w:val="0"/>
                <w:sz w:val="19"/>
              </w:rPr>
              <w:t xml:space="preserve"> Thông tin đơn hàng của khách hàng phải được bảo vệ khỏi truy cập trái phép. </w:t>
            </w:r>
            <w:r>
              <w:rPr>
                <w:b/>
                <w:i w:val="0"/>
                <w:sz w:val="19"/>
              </w:rPr>
              <w:t>Tham chiếu rủi ro: A-8</w:t>
            </w:r>
          </w:p>
        </w:tc>
      </w:tr>
      <w:tr>
        <w:tc>
          <w:tcPr>
            <w:tcW w:type="dxa" w:w="4680"/>
          </w:tcPr>
          <w:p>
            <w:r/>
            <w:r>
              <w:rPr>
                <w:b w:val="0"/>
                <w:i w:val="0"/>
                <w:sz w:val="19"/>
              </w:rPr>
              <w:t>2.1.4</w:t>
            </w:r>
          </w:p>
        </w:tc>
        <w:tc>
          <w:tcPr>
            <w:tcW w:type="dxa" w:w="4680"/>
          </w:tcPr>
          <w:p>
            <w:r/>
            <w:r>
              <w:rPr>
                <w:b/>
                <w:i w:val="0"/>
                <w:sz w:val="19"/>
              </w:rPr>
              <w:t>Xét duyệt tín dụng.</w:t>
            </w:r>
            <w:r>
              <w:rPr>
                <w:b w:val="0"/>
                <w:i w:val="0"/>
                <w:sz w:val="19"/>
              </w:rPr>
              <w:t xml:space="preserve"> Khách hàng mới không thanh toán trước vào thời điểm đặt hàng hoặc giao hàng phải được xét duyệt khả năng tín dụng trước khi chấp nhận và/hoặc vận chuyển đơn hàng của khách hàng. </w:t>
            </w:r>
            <w:r>
              <w:rPr>
                <w:b/>
                <w:i w:val="0"/>
                <w:sz w:val="19"/>
              </w:rPr>
              <w:t>Tham chiếu rủi ro: A-4</w:t>
            </w:r>
          </w:p>
        </w:tc>
      </w:tr>
      <w:tr>
        <w:tc>
          <w:tcPr>
            <w:tcW w:type="dxa" w:w="4680"/>
          </w:tcPr>
          <w:p>
            <w:r/>
            <w:r>
              <w:rPr>
                <w:b w:val="0"/>
                <w:i w:val="0"/>
                <w:sz w:val="19"/>
              </w:rPr>
              <w:t>2.1.5</w:t>
            </w:r>
          </w:p>
        </w:tc>
        <w:tc>
          <w:tcPr>
            <w:tcW w:type="dxa" w:w="4680"/>
          </w:tcPr>
          <w:p>
            <w:r/>
            <w:r>
              <w:rPr>
                <w:b/>
                <w:i w:val="0"/>
                <w:sz w:val="19"/>
              </w:rPr>
              <w:t>Thực hiện đơn hàng.</w:t>
            </w:r>
            <w:r>
              <w:rPr>
                <w:b w:val="0"/>
                <w:i w:val="0"/>
                <w:sz w:val="19"/>
              </w:rPr>
              <w:t xml:space="preserve"> Đơn hàng phải được đánh giá để đảm bảo có thể đáp ứng ngày giao hàng mong đợi của khách hàng trước khi chấp nhận đơn hàng. </w:t>
            </w:r>
            <w:r>
              <w:rPr>
                <w:b/>
                <w:i w:val="0"/>
                <w:sz w:val="19"/>
              </w:rPr>
              <w:t>Tham chiếu rủi ro: A-11, A-13</w:t>
            </w:r>
          </w:p>
        </w:tc>
      </w:tr>
      <w:tr>
        <w:tc>
          <w:tcPr>
            <w:tcW w:type="dxa" w:w="4680"/>
          </w:tcPr>
          <w:p>
            <w:r/>
            <w:r>
              <w:rPr>
                <w:b w:val="0"/>
                <w:i w:val="0"/>
                <w:sz w:val="19"/>
              </w:rPr>
              <w:t>2.1.6</w:t>
            </w:r>
          </w:p>
        </w:tc>
        <w:tc>
          <w:tcPr>
            <w:tcW w:type="dxa" w:w="4680"/>
          </w:tcPr>
          <w:p>
            <w:r/>
            <w:r>
              <w:rPr>
                <w:b/>
                <w:i w:val="0"/>
                <w:sz w:val="19"/>
              </w:rPr>
              <w:t>Chấp nhận đơn hàng.</w:t>
            </w:r>
            <w:r>
              <w:rPr>
                <w:b w:val="0"/>
                <w:i w:val="0"/>
                <w:sz w:val="19"/>
              </w:rPr>
              <w:t xml:space="preserve"> Xác nhận chính thức về việc chấp nhận đơn hàng phải được gửi đến khách hàng một cách kịp thời, trừ khi thông lệ kinh doanh hợp lý quy định khác. </w:t>
            </w:r>
            <w:r>
              <w:rPr>
                <w:b/>
                <w:i w:val="0"/>
                <w:sz w:val="19"/>
              </w:rPr>
              <w:t>Tham chiếu rủi ro: A-5</w:t>
            </w:r>
          </w:p>
        </w:tc>
      </w:tr>
      <w:tr>
        <w:tc>
          <w:tcPr>
            <w:tcW w:type="dxa" w:w="4680"/>
          </w:tcPr>
          <w:p>
            <w:r/>
            <w:r>
              <w:rPr>
                <w:b w:val="0"/>
                <w:i w:val="0"/>
                <w:sz w:val="19"/>
              </w:rPr>
              <w:t>2.1.7</w:t>
            </w:r>
          </w:p>
        </w:tc>
        <w:tc>
          <w:tcPr>
            <w:tcW w:type="dxa" w:w="4680"/>
          </w:tcPr>
          <w:p>
            <w:r/>
            <w:r>
              <w:rPr>
                <w:b/>
                <w:i w:val="0"/>
                <w:sz w:val="19"/>
              </w:rPr>
              <w:t>Hợp đồng bán hàng.</w:t>
            </w:r>
            <w:r>
              <w:rPr>
                <w:b w:val="0"/>
                <w:i w:val="0"/>
                <w:sz w:val="19"/>
              </w:rPr>
              <w:t xml:space="preserve"> Theo thông lệ tiêu chuẩn, hợp đồng đã ký nên được ban tài chính và ban vận hành hoặc đội ngũ quản lý liên quan phê duyệt cho tất cả sản phẩm và dịch vụ khách hàng trước khi thực hiện. </w:t>
            </w:r>
            <w:r>
              <w:rPr>
                <w:b/>
                <w:i w:val="0"/>
                <w:sz w:val="19"/>
              </w:rPr>
              <w:t>Tham chiếu rủi ro: A-1, A-2, A-10</w:t>
            </w:r>
          </w:p>
        </w:tc>
      </w:tr>
      <w:tr>
        <w:tc>
          <w:tcPr>
            <w:tcW w:type="dxa" w:w="4680"/>
          </w:tcPr>
          <w:p>
            <w:r/>
            <w:r>
              <w:rPr>
                <w:b w:val="0"/>
                <w:i w:val="0"/>
                <w:sz w:val="19"/>
              </w:rPr>
              <w:t>2.1.8</w:t>
            </w:r>
          </w:p>
        </w:tc>
        <w:tc>
          <w:tcPr>
            <w:tcW w:type="dxa" w:w="4680"/>
          </w:tcPr>
          <w:p>
            <w:r/>
            <w:r>
              <w:rPr>
                <w:b/>
                <w:i w:val="0"/>
                <w:sz w:val="19"/>
              </w:rPr>
              <w:t>Tài liệu đơn hàng.</w:t>
            </w:r>
            <w:r>
              <w:rPr>
                <w:b w:val="0"/>
                <w:i w:val="0"/>
                <w:sz w:val="19"/>
              </w:rPr>
              <w:t xml:space="preserve"> Các mục cần được xem xét bao gồm sự tồn tại của các mẫu hợp đồng phù hợp, điều khoản và điều kiện của đơn đặt hàng, điều khoản vận chuyển và thanh toán, phê duyệt tín dụng, ngày nhận đơn hàng, tài liệu/tính toán thuế áp dụng, giá cả, phần mở rộng, khả năng tương thích sản phẩm, và việc tuân thủ các luật/quy định hiện hành của chính quyền liên bang, tiểu bang và địa phương cùng các yêu cầu kiểm soát xuất khẩu. </w:t>
            </w:r>
            <w:r>
              <w:rPr>
                <w:b/>
                <w:i w:val="0"/>
                <w:sz w:val="19"/>
              </w:rPr>
              <w:t>Tham chiếu rủi ro: A-1, A-2, A-4, A-6, A-7, A-11, A-14</w:t>
            </w:r>
          </w:p>
        </w:tc>
      </w:tr>
      <w:tr>
        <w:tc>
          <w:tcPr>
            <w:tcW w:type="dxa" w:w="4680"/>
          </w:tcPr>
          <w:p>
            <w:r/>
            <w:r>
              <w:rPr>
                <w:b w:val="0"/>
                <w:i w:val="0"/>
                <w:sz w:val="19"/>
              </w:rPr>
              <w:t>2.1.9</w:t>
            </w:r>
          </w:p>
        </w:tc>
        <w:tc>
          <w:tcPr>
            <w:tcW w:type="dxa" w:w="4680"/>
          </w:tcPr>
          <w:p>
            <w:r/>
            <w:r>
              <w:rPr>
                <w:b/>
                <w:i w:val="0"/>
                <w:sz w:val="19"/>
              </w:rPr>
              <w:t>Xem xét đơn hàng đang mở.</w:t>
            </w:r>
            <w:r>
              <w:rPr>
                <w:b w:val="0"/>
                <w:i w:val="0"/>
                <w:sz w:val="19"/>
              </w:rPr>
              <w:t xml:space="preserve"> Tình trạng đơn hàng đang mở phải được xem xét định kỳ đối với các đơn hàng tồn đọng, đã hủy và đã thực hiện một phần. Các đơn hàng tồn đọng và đơn hàng thực hiện một phần phải được nghiên cứu và giải quyết. </w:t>
            </w:r>
            <w:r>
              <w:rPr>
                <w:b/>
                <w:i w:val="0"/>
                <w:sz w:val="19"/>
              </w:rPr>
              <w:t>Tham chiếu rủi ro: A-9</w:t>
            </w:r>
          </w:p>
        </w:tc>
      </w:tr>
      <w:tr>
        <w:tc>
          <w:tcPr>
            <w:tcW w:type="dxa" w:w="4680"/>
          </w:tcPr>
          <w:p>
            <w:r/>
            <w:r>
              <w:rPr>
                <w:b w:val="0"/>
                <w:i w:val="0"/>
                <w:sz w:val="19"/>
              </w:rPr>
              <w:t>2.1.10</w:t>
            </w:r>
          </w:p>
        </w:tc>
        <w:tc>
          <w:tcPr>
            <w:tcW w:type="dxa" w:w="4680"/>
          </w:tcPr>
          <w:p>
            <w:r/>
            <w:r>
              <w:rPr>
                <w:b/>
                <w:i w:val="0"/>
                <w:sz w:val="19"/>
              </w:rPr>
              <w:t>Bán hàng có điều kiện tài trợ.</w:t>
            </w:r>
            <w:r>
              <w:rPr>
                <w:b w:val="0"/>
                <w:i w:val="0"/>
                <w:sz w:val="19"/>
              </w:rPr>
              <w:t xml:space="preserve"> Khi bán sản phẩm có điều kiện tài trợ, các chính sách và quy trình phải được thiết lập và ghi lại để đảm bảo hợp đồng thuê/hợp đồng bán hàng có điều kiện của bên thứ ba đã được khách hàng phê duyệt và được công ty chấp nhận trước khi chấp nhận đơn hàng. </w:t>
            </w:r>
            <w:r>
              <w:rPr>
                <w:b/>
                <w:i w:val="0"/>
                <w:sz w:val="19"/>
              </w:rPr>
              <w:t>Tham chiếu rủi ro: A-1, A-10, A-14, A-15</w:t>
            </w:r>
          </w:p>
        </w:tc>
      </w:tr>
      <w:tr>
        <w:tc>
          <w:tcPr>
            <w:tcW w:type="dxa" w:w="4680"/>
          </w:tcPr>
          <w:p>
            <w:r/>
            <w:r>
              <w:rPr>
                <w:b w:val="0"/>
                <w:i w:val="0"/>
                <w:sz w:val="19"/>
              </w:rPr>
              <w:t>2.1.11</w:t>
            </w:r>
          </w:p>
        </w:tc>
        <w:tc>
          <w:tcPr>
            <w:tcW w:type="dxa" w:w="4680"/>
          </w:tcPr>
          <w:p>
            <w:r/>
            <w:r>
              <w:rPr>
                <w:b/>
                <w:i w:val="0"/>
                <w:sz w:val="19"/>
              </w:rPr>
              <w:t>Xử lý đơn hàng.</w:t>
            </w:r>
            <w:r>
              <w:rPr>
                <w:b w:val="0"/>
                <w:i w:val="0"/>
                <w:sz w:val="19"/>
              </w:rPr>
              <w:t xml:space="preserve"> Đơn hàng phải được xử lý nhanh chóng. Các chỉ số nên được thiết lập và theo dõi để đo lường thời gian xử lý trung bình và số lượng mục vượt quá một số ngày nhất định. </w:t>
            </w:r>
            <w:r>
              <w:rPr>
                <w:b/>
                <w:i w:val="0"/>
                <w:sz w:val="19"/>
              </w:rPr>
              <w:t>Tham chiếu rủi ro: A-12, A-13, A-15</w:t>
            </w:r>
          </w:p>
        </w:tc>
      </w:tr>
      <w:tr>
        <w:tc>
          <w:tcPr>
            <w:tcW w:type="dxa" w:w="4680"/>
          </w:tcPr>
          <w:p>
            <w:r/>
            <w:r>
              <w:rPr>
                <w:b w:val="0"/>
                <w:i w:val="0"/>
                <w:sz w:val="19"/>
              </w:rPr>
              <w:t>2.1.12</w:t>
            </w:r>
          </w:p>
        </w:tc>
        <w:tc>
          <w:tcPr>
            <w:tcW w:type="dxa" w:w="4680"/>
          </w:tcPr>
          <w:p>
            <w:r/>
            <w:r>
              <w:rPr>
                <w:b/>
                <w:i w:val="0"/>
                <w:sz w:val="19"/>
              </w:rPr>
              <w:t>Điều khoản đơn hàng.</w:t>
            </w:r>
            <w:r>
              <w:rPr>
                <w:b w:val="0"/>
                <w:i w:val="0"/>
                <w:sz w:val="19"/>
              </w:rPr>
              <w:t xml:space="preserve"> Việc quản lý đơn hàng nên đảm bảo các đơn hàng đang được xử lý phù hợp với các tiêu chuẩn của công ty (biên lợi nhuận, rủi ro, điều khoản thanh toán, cột mốc dự án, v.v.). </w:t>
            </w:r>
            <w:r>
              <w:rPr>
                <w:b/>
                <w:i w:val="0"/>
                <w:sz w:val="19"/>
              </w:rPr>
              <w:t>Tham chiếu rủi ro: A-7</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A-1</w:t>
            </w:r>
          </w:p>
        </w:tc>
        <w:tc>
          <w:tcPr>
            <w:tcW w:type="dxa" w:w="4680"/>
          </w:tcPr>
          <w:p>
            <w:r/>
            <w:r>
              <w:rPr>
                <w:b w:val="0"/>
                <w:i w:val="0"/>
                <w:sz w:val="19"/>
              </w:rPr>
              <w:t>Sản phẩm có thể được sản xuất và vận chuyển hoặc dịch vụ được thực hiện mà không có cam kết hợp lệ từ khách hàng.</w:t>
            </w:r>
          </w:p>
        </w:tc>
      </w:tr>
      <w:tr>
        <w:tc>
          <w:tcPr>
            <w:tcW w:type="dxa" w:w="4680"/>
          </w:tcPr>
          <w:p>
            <w:r/>
            <w:r>
              <w:rPr>
                <w:b w:val="0"/>
                <w:i w:val="0"/>
                <w:sz w:val="19"/>
              </w:rPr>
              <w:t>A-2</w:t>
            </w:r>
          </w:p>
        </w:tc>
        <w:tc>
          <w:tcPr>
            <w:tcW w:type="dxa" w:w="4680"/>
          </w:tcPr>
          <w:p>
            <w:r/>
            <w:r>
              <w:rPr>
                <w:b w:val="0"/>
                <w:i w:val="0"/>
                <w:sz w:val="19"/>
              </w:rPr>
              <w:t>Sản phẩm, số lượng, giá bán, điều khoản thanh toán, thuế bán hàng hoặc địa chỉ vận chuyển được ghi trên lệnh sản xuất có thể không chính xác.</w:t>
            </w:r>
          </w:p>
        </w:tc>
      </w:tr>
      <w:tr>
        <w:tc>
          <w:tcPr>
            <w:tcW w:type="dxa" w:w="4680"/>
          </w:tcPr>
          <w:p>
            <w:r/>
            <w:r>
              <w:rPr>
                <w:b w:val="0"/>
                <w:i w:val="0"/>
                <w:sz w:val="19"/>
              </w:rPr>
              <w:t>A-3</w:t>
            </w:r>
          </w:p>
        </w:tc>
        <w:tc>
          <w:tcPr>
            <w:tcW w:type="dxa" w:w="4680"/>
          </w:tcPr>
          <w:p>
            <w:r/>
            <w:r>
              <w:rPr>
                <w:b w:val="0"/>
                <w:i w:val="0"/>
                <w:sz w:val="19"/>
              </w:rPr>
              <w:t>Hoa hồng có thể bị xử lý cho một hóa đơn không hợp lệ.</w:t>
            </w:r>
          </w:p>
        </w:tc>
      </w:tr>
      <w:tr>
        <w:tc>
          <w:tcPr>
            <w:tcW w:type="dxa" w:w="4680"/>
          </w:tcPr>
          <w:p>
            <w:r/>
            <w:r>
              <w:rPr>
                <w:b w:val="0"/>
                <w:i w:val="0"/>
                <w:sz w:val="19"/>
              </w:rPr>
              <w:t>A-4</w:t>
            </w:r>
          </w:p>
        </w:tc>
        <w:tc>
          <w:tcPr>
            <w:tcW w:type="dxa" w:w="4680"/>
          </w:tcPr>
          <w:p>
            <w:r/>
            <w:r>
              <w:rPr>
                <w:b w:val="0"/>
                <w:i w:val="0"/>
                <w:sz w:val="19"/>
              </w:rPr>
              <w:t>Sản phẩm hoặc dịch vụ có thể bị bán cho khách hàng không được phép hoặc cho đối tượng có rủi ro tín dụng không thể chấp nhận, dẫn đến các khoản phải thu không thể thu hồi.</w:t>
            </w:r>
          </w:p>
        </w:tc>
      </w:tr>
      <w:tr>
        <w:tc>
          <w:tcPr>
            <w:tcW w:type="dxa" w:w="4680"/>
          </w:tcPr>
          <w:p>
            <w:r/>
            <w:r>
              <w:rPr>
                <w:b w:val="0"/>
                <w:i w:val="0"/>
                <w:sz w:val="19"/>
              </w:rPr>
              <w:t>A-5</w:t>
            </w:r>
          </w:p>
        </w:tc>
        <w:tc>
          <w:tcPr>
            <w:tcW w:type="dxa" w:w="4680"/>
          </w:tcPr>
          <w:p>
            <w:r/>
            <w:r>
              <w:rPr>
                <w:b w:val="0"/>
                <w:i w:val="0"/>
                <w:sz w:val="19"/>
              </w:rPr>
              <w:t>Các sai sót trong lệnh sản xuất (ví dụ: sản phẩm, số lượng và giá cả) có thể không được phát hiện và sửa chữa trước khi sản xuất và vận chuyển.</w:t>
            </w:r>
          </w:p>
        </w:tc>
      </w:tr>
      <w:tr>
        <w:tc>
          <w:tcPr>
            <w:tcW w:type="dxa" w:w="4680"/>
          </w:tcPr>
          <w:p>
            <w:r/>
            <w:r>
              <w:rPr>
                <w:b w:val="0"/>
                <w:i w:val="0"/>
                <w:sz w:val="19"/>
              </w:rPr>
              <w:t>A-6</w:t>
            </w:r>
          </w:p>
        </w:tc>
        <w:tc>
          <w:tcPr>
            <w:tcW w:type="dxa" w:w="4680"/>
          </w:tcPr>
          <w:p>
            <w:r/>
            <w:r>
              <w:rPr>
                <w:b w:val="0"/>
                <w:i w:val="0"/>
                <w:sz w:val="19"/>
              </w:rPr>
              <w:t>Việc không tuân thủ các quy định của chính phủ có thể dẫn đến các khoản tiền phạt đáng kể, hình phạt, sự chậm trễ trong thu hồi và/hoặc mất quyền xuất khẩu.</w:t>
            </w:r>
          </w:p>
        </w:tc>
      </w:tr>
      <w:tr>
        <w:tc>
          <w:tcPr>
            <w:tcW w:type="dxa" w:w="4680"/>
          </w:tcPr>
          <w:p>
            <w:r/>
            <w:r>
              <w:rPr>
                <w:b w:val="0"/>
                <w:i w:val="0"/>
                <w:sz w:val="19"/>
              </w:rPr>
              <w:t>A-7</w:t>
            </w:r>
          </w:p>
        </w:tc>
        <w:tc>
          <w:tcPr>
            <w:tcW w:type="dxa" w:w="4680"/>
          </w:tcPr>
          <w:p>
            <w:r/>
            <w:r>
              <w:rPr>
                <w:b w:val="0"/>
                <w:i w:val="0"/>
                <w:sz w:val="19"/>
              </w:rPr>
              <w:t>Đơn hàng có thể được chấp nhận và xử lý với mức giá và/hoặc các điều khoản và điều kiện mà ban lãnh đạo không thể chấp nhận.</w:t>
            </w:r>
          </w:p>
        </w:tc>
      </w:tr>
      <w:tr>
        <w:tc>
          <w:tcPr>
            <w:tcW w:type="dxa" w:w="4680"/>
          </w:tcPr>
          <w:p>
            <w:r/>
            <w:r>
              <w:rPr>
                <w:b w:val="0"/>
                <w:i w:val="0"/>
                <w:sz w:val="19"/>
              </w:rPr>
              <w:t>A-8</w:t>
            </w:r>
          </w:p>
        </w:tc>
        <w:tc>
          <w:tcPr>
            <w:tcW w:type="dxa" w:w="4680"/>
          </w:tcPr>
          <w:p>
            <w:r/>
            <w:r>
              <w:rPr>
                <w:b w:val="0"/>
                <w:i w:val="0"/>
                <w:sz w:val="19"/>
              </w:rPr>
              <w:t>Doanh số/đơn hàng có thể bị mất, bị hủy hoặc bị thay đổi.</w:t>
            </w:r>
          </w:p>
        </w:tc>
      </w:tr>
      <w:tr>
        <w:tc>
          <w:tcPr>
            <w:tcW w:type="dxa" w:w="4680"/>
          </w:tcPr>
          <w:p>
            <w:r/>
            <w:r>
              <w:rPr>
                <w:b w:val="0"/>
                <w:i w:val="0"/>
                <w:sz w:val="19"/>
              </w:rPr>
              <w:t>A-9</w:t>
            </w:r>
          </w:p>
        </w:tc>
        <w:tc>
          <w:tcPr>
            <w:tcW w:type="dxa" w:w="4680"/>
          </w:tcPr>
          <w:p>
            <w:r/>
            <w:r>
              <w:rPr>
                <w:b w:val="0"/>
                <w:i w:val="0"/>
                <w:sz w:val="19"/>
              </w:rPr>
              <w:t>Thông tin mật có thể bị sử dụng gây bất lợi cho công ty.</w:t>
            </w:r>
          </w:p>
        </w:tc>
      </w:tr>
      <w:tr>
        <w:tc>
          <w:tcPr>
            <w:tcW w:type="dxa" w:w="4680"/>
          </w:tcPr>
          <w:p>
            <w:r/>
            <w:r>
              <w:rPr>
                <w:b w:val="0"/>
                <w:i w:val="0"/>
                <w:sz w:val="19"/>
              </w:rPr>
              <w:t>A-10</w:t>
            </w:r>
          </w:p>
        </w:tc>
        <w:tc>
          <w:tcPr>
            <w:tcW w:type="dxa" w:w="4680"/>
          </w:tcPr>
          <w:p>
            <w:r/>
            <w:r>
              <w:rPr>
                <w:b w:val="0"/>
                <w:i w:val="0"/>
                <w:sz w:val="19"/>
              </w:rPr>
              <w:t>Các hợp đồng mua bán và cho thuê có thể không được ban lãnh đạo chấp nhận về giá cả, điều khoản, điều khoản phạt hoặc rủi ro tín dụng.</w:t>
            </w:r>
          </w:p>
        </w:tc>
      </w:tr>
      <w:tr>
        <w:tc>
          <w:tcPr>
            <w:tcW w:type="dxa" w:w="4680"/>
          </w:tcPr>
          <w:p>
            <w:r/>
            <w:r>
              <w:rPr>
                <w:b w:val="0"/>
                <w:i w:val="0"/>
                <w:sz w:val="19"/>
              </w:rPr>
              <w:t>A-11</w:t>
            </w:r>
          </w:p>
        </w:tc>
        <w:tc>
          <w:tcPr>
            <w:tcW w:type="dxa" w:w="4680"/>
          </w:tcPr>
          <w:p>
            <w:r/>
            <w:r>
              <w:rPr>
                <w:b w:val="0"/>
                <w:i w:val="0"/>
                <w:sz w:val="19"/>
              </w:rPr>
              <w:t>Khách hàng có thể không thanh toán cho công ty và/hoặc đưa ra các khoản tiền phạt hoặc hình phạt do không đạt được các cột mốc quan trọng.</w:t>
            </w:r>
          </w:p>
        </w:tc>
      </w:tr>
      <w:tr>
        <w:tc>
          <w:tcPr>
            <w:tcW w:type="dxa" w:w="4680"/>
          </w:tcPr>
          <w:p>
            <w:r/>
            <w:r>
              <w:rPr>
                <w:b w:val="0"/>
                <w:i w:val="0"/>
                <w:sz w:val="19"/>
              </w:rPr>
              <w:t>A-12</w:t>
            </w:r>
          </w:p>
        </w:tc>
        <w:tc>
          <w:tcPr>
            <w:tcW w:type="dxa" w:w="4680"/>
          </w:tcPr>
          <w:p>
            <w:r/>
            <w:r>
              <w:rPr>
                <w:b w:val="0"/>
                <w:i w:val="0"/>
                <w:sz w:val="19"/>
              </w:rPr>
              <w:t>Có thể dẫn đến thông tin về giá cả và hàng tồn kho không kịp thời.</w:t>
            </w:r>
          </w:p>
        </w:tc>
      </w:tr>
      <w:tr>
        <w:tc>
          <w:tcPr>
            <w:tcW w:type="dxa" w:w="4680"/>
          </w:tcPr>
          <w:p>
            <w:r/>
            <w:r>
              <w:rPr>
                <w:b w:val="0"/>
                <w:i w:val="0"/>
                <w:sz w:val="19"/>
              </w:rPr>
              <w:t>A-13</w:t>
            </w:r>
          </w:p>
        </w:tc>
        <w:tc>
          <w:tcPr>
            <w:tcW w:type="dxa" w:w="4680"/>
          </w:tcPr>
          <w:p>
            <w:r/>
            <w:r>
              <w:rPr>
                <w:b w:val="0"/>
                <w:i w:val="0"/>
                <w:sz w:val="19"/>
              </w:rPr>
              <w:t>Có thể dẫn đến sự không hài lòng của khách hàng.</w:t>
            </w:r>
          </w:p>
        </w:tc>
      </w:tr>
      <w:tr>
        <w:tc>
          <w:tcPr>
            <w:tcW w:type="dxa" w:w="4680"/>
          </w:tcPr>
          <w:p>
            <w:r/>
            <w:r>
              <w:rPr>
                <w:b w:val="0"/>
                <w:i w:val="0"/>
                <w:sz w:val="19"/>
              </w:rPr>
              <w:t>A-14</w:t>
            </w:r>
          </w:p>
        </w:tc>
        <w:tc>
          <w:tcPr>
            <w:tcW w:type="dxa" w:w="4680"/>
          </w:tcPr>
          <w:p>
            <w:r/>
            <w:r>
              <w:rPr>
                <w:b w:val="0"/>
                <w:i w:val="0"/>
                <w:sz w:val="19"/>
              </w:rPr>
              <w:t>Sản phẩm có thể được sản xuất hoặc vận chuyển trước khi hoàn tất thỏa thuận thanh toán với khách hàng.</w:t>
            </w:r>
          </w:p>
        </w:tc>
      </w:tr>
      <w:tr>
        <w:tc>
          <w:tcPr>
            <w:tcW w:type="dxa" w:w="4680"/>
          </w:tcPr>
          <w:p>
            <w:r/>
            <w:r>
              <w:rPr>
                <w:b w:val="0"/>
                <w:i w:val="0"/>
                <w:sz w:val="19"/>
              </w:rPr>
              <w:t>A-15</w:t>
            </w:r>
          </w:p>
        </w:tc>
        <w:tc>
          <w:tcPr>
            <w:tcW w:type="dxa" w:w="4680"/>
          </w:tcPr>
          <w:p>
            <w:r/>
            <w:r>
              <w:rPr>
                <w:b w:val="0"/>
                <w:i w:val="0"/>
                <w:sz w:val="19"/>
              </w:rPr>
              <w:t>Mất doanh thu.</w:t>
            </w:r>
          </w:p>
        </w:tc>
      </w:tr>
    </w:tbl>
    <w:p>
      <w:pPr>
        <w:spacing w:after="0"/>
      </w:pPr>
    </w:p>
    <w:p>
      <w:pPr>
        <w:pStyle w:val="Heading2"/>
      </w:pPr>
      <w:r>
        <w:rPr>
          <w:rFonts w:ascii="Calibri" w:hAnsi="Calibri"/>
          <w:b/>
          <w:i w:val="0"/>
          <w:sz w:val="32"/>
        </w:rPr>
        <w:t>2.2 KIỂM SOÁT XUẤT KHẨU</w:t>
      </w:r>
    </w:p>
    <w:p>
      <w:pPr>
        <w:pStyle w:val="Heading3"/>
      </w:pPr>
      <w:r>
        <w:rPr>
          <w:rFonts w:ascii="Calibri" w:hAnsi="Calibri"/>
          <w:b/>
          <w:i w:val="0"/>
          <w:sz w:val="26"/>
        </w:rPr>
        <w:t>Giới thiệu</w:t>
      </w:r>
    </w:p>
    <w:p>
      <w:pPr>
        <w:spacing w:after="80"/>
      </w:pPr>
      <w:r>
        <w:rPr>
          <w:b w:val="0"/>
          <w:i w:val="0"/>
        </w:rPr>
        <w:t>Chính phủ Hoa Kỳ kiểm soát việc xuất khẩu các thiết bị, phần mềm và công nghệ nhạy cảm như một biện pháp để thúc đẩy các lợi ích an ninh quốc gia và mục tiêu chính sách đối ngoại của chúng ta.</w:t>
      </w:r>
    </w:p>
    <w:p>
      <w:pPr>
        <w:spacing w:after="80"/>
      </w:pPr>
      <w:r>
        <w:rPr>
          <w:b w:val="0"/>
          <w:i w:val="0"/>
        </w:rPr>
        <w:t>Thông qua hệ thống kiểm soát xuất khẩu này, chính phủ Hoa Kỳ có thể thực hiện một cách hiệu quả:</w:t>
      </w:r>
    </w:p>
    <w:p>
      <w:pPr>
        <w:spacing w:after="80"/>
        <w:ind w:left="360"/>
      </w:pPr>
      <w:r>
        <w:t xml:space="preserve">• </w:t>
      </w:r>
      <w:r>
        <w:rPr>
          <w:b w:val="0"/>
          <w:i w:val="0"/>
        </w:rPr>
        <w:t>Đảm bảo an ninh quốc gia bằng cách hạn chế quyền truy cập vào các công nghệ và vũ khí nhạy cảm nhất của Hoa Kỳ.</w:t>
      </w:r>
    </w:p>
    <w:p>
      <w:pPr>
        <w:spacing w:after="80"/>
        <w:ind w:left="360"/>
      </w:pPr>
      <w:r>
        <w:t xml:space="preserve">• </w:t>
      </w:r>
      <w:r>
        <w:rPr>
          <w:b w:val="0"/>
          <w:i w:val="0"/>
        </w:rPr>
        <w:t>Thúc đẩy sự ổn định khu vực.</w:t>
      </w:r>
    </w:p>
    <w:p>
      <w:pPr>
        <w:spacing w:after="80"/>
        <w:ind w:left="360"/>
      </w:pPr>
      <w:r>
        <w:t xml:space="preserve">• </w:t>
      </w:r>
      <w:r>
        <w:rPr>
          <w:b w:val="0"/>
          <w:i w:val="0"/>
        </w:rPr>
        <w:t>Xem xét các yếu tố về nhân quyền.</w:t>
      </w:r>
    </w:p>
    <w:p>
      <w:pPr>
        <w:spacing w:after="80"/>
        <w:ind w:left="360"/>
      </w:pPr>
      <w:r>
        <w:t xml:space="preserve">• </w:t>
      </w:r>
      <w:r>
        <w:rPr>
          <w:b w:val="0"/>
          <w:i w:val="0"/>
        </w:rPr>
        <w:t>Ngăn chặn sự phổ biến vũ khí và công nghệ, bao gồm vũ khí hủy diệt hàng loạt, tới những người dùng cuối có vấn đề và những kẻ ủng hộ khủng bố quốc tế.</w:t>
      </w:r>
    </w:p>
    <w:p>
      <w:pPr>
        <w:spacing w:after="80"/>
        <w:ind w:left="360"/>
      </w:pPr>
      <w:r>
        <w:t xml:space="preserve">• </w:t>
      </w:r>
      <w:r>
        <w:rPr>
          <w:b w:val="0"/>
          <w:i w:val="0"/>
        </w:rPr>
        <w:t>Tuân thủ các cam kết quốc tế (ví dụ: các chế độ không phổ biến vũ khí và các lệnh trừng phạt của Hội đồng Bảo an Liên Hợp Quốc và nghị quyết 1540 của HĐBA.</w:t>
      </w:r>
    </w:p>
    <w:p>
      <w:pPr>
        <w:spacing w:after="80"/>
      </w:pPr>
      <w:r>
        <w:rPr>
          <w:b w:val="0"/>
          <w:i w:val="0"/>
        </w:rPr>
        <w:t>Theo hệ thống kiểm soát xuất khẩu hiện hành, ba cơ quan khác nhau của Chính phủ Hoa Kỳ (USG) có thẩm quyền cấp giấy phép xuất khẩu: Bộ Ngoại giao, Bộ Thương mại và Bộ Tài chính. Năm 2009, các cơ quan cấp phép trong các bộ này đã xử lý hơn 130.000 hồ sơ. Chỉ riêng năm 2010, Bộ Thương mại đã xử lý khoảng 22.000 hồ sơ. Trong một số trường hợp, các nhà xuất khẩu được yêu cầu phải xin nhiều giấy phép từ các bộ riêng biệt.</w:t>
      </w:r>
    </w:p>
    <w:p>
      <w:pPr>
        <w:spacing w:after="80"/>
      </w:pPr>
      <w:r>
        <w:rPr>
          <w:b w:val="0"/>
          <w:i w:val="0"/>
        </w:rPr>
        <w:t>Mục tiêu của Sáng kiến ECR là tạo ra một Cơ quan Cấp phép Duy nhất (Single Licensing Agency - SLA), đóng vai trò như một “điểm dừng chân duy nhất” (one-stop shop) cho các doanh nghiệp đang tìm kiếm giấy phép xuất khẩu và cho USG trong việc điều phối xem xét các hồ sơ xin cấp phép. Kết quả sẽ là một quy trình cấp phép minh bạch, có thể dự đoán trước và kịp thời.</w:t>
      </w:r>
    </w:p>
    <w:p>
      <w:pPr>
        <w:spacing w:after="80"/>
      </w:pPr>
      <w:r>
        <w:rPr>
          <w:b w:val="0"/>
          <w:i w:val="0"/>
        </w:rPr>
        <w:t>Các danh sách kiểm soát của Hoa Kỳ tương ứng trực tiếp với các danh sách được duy trì bởi nhiều chế độ kiểm soát xuất khẩu đa quốc gia khác nhau, nhưng được bổ sung bằng các biện pháp kiểm soát đơn phương khi cần thiết để đảm bảo các yêu cầu cấp thiết về an ninh quốc gia và chính sách đối ngoại.</w:t>
      </w:r>
    </w:p>
    <w:p>
      <w:pPr>
        <w:spacing w:after="80"/>
      </w:pPr>
      <w:r>
        <w:rPr>
          <w:b w:val="0"/>
          <w:i w:val="0"/>
        </w:rPr>
        <w:t>Ba danh sách chính các mặt hàng bị kiểm soát xuất khẩu là Danh sách Kiểm soát Thương mại (Commerce Control List - CCL), Danh sách Vũ khí Hoa Kỳ (United States Munitions List - USML) và Kiểm soát của Ủy ban Điều tiết Hạt nhân (Nuclear Regulatory Commission Controls - NRCC).</w:t>
      </w:r>
    </w:p>
    <w:p>
      <w:pPr>
        <w:spacing w:after="80"/>
      </w:pPr>
      <w:r>
        <w:rPr>
          <w:b w:val="0"/>
          <w:i w:val="0"/>
        </w:rPr>
        <w:t>CCL bao gồm những nội dung sau:</w:t>
      </w:r>
    </w:p>
    <w:p>
      <w:pPr>
        <w:spacing w:after="80"/>
        <w:ind w:left="360"/>
      </w:pPr>
      <w:r>
        <w:t xml:space="preserve">• </w:t>
      </w:r>
      <w:r>
        <w:rPr>
          <w:b w:val="0"/>
          <w:i w:val="0"/>
        </w:rPr>
        <w:t>Các mặt hàng trong Danh sách Lưỡng dụng của Thỏa thuận Wassenaar</w:t>
      </w:r>
    </w:p>
    <w:p>
      <w:pPr>
        <w:spacing w:after="80"/>
        <w:ind w:left="360"/>
      </w:pPr>
      <w:r>
        <w:t xml:space="preserve">• </w:t>
      </w:r>
      <w:r>
        <w:rPr>
          <w:b w:val="0"/>
          <w:i w:val="0"/>
        </w:rPr>
        <w:t>Các mặt hàng lưỡng dụng liên quan đến hạt nhân (được tổng hợp trong Danh sách Tham chiếu Hạt nhân của Nhóm Các nhà Cung cấp Hạt nhân)</w:t>
      </w:r>
    </w:p>
    <w:p>
      <w:pPr>
        <w:spacing w:after="80"/>
        <w:ind w:left="360"/>
      </w:pPr>
      <w:r>
        <w:t xml:space="preserve">• </w:t>
      </w:r>
      <w:r>
        <w:rPr>
          <w:b w:val="0"/>
          <w:i w:val="0"/>
        </w:rPr>
        <w:t>Các mặt hàng lưỡng dụng trong Danh sách của Chế độ Kiểm soát Công nghệ Tên lửa</w:t>
      </w:r>
    </w:p>
    <w:p>
      <w:pPr>
        <w:spacing w:after="80"/>
        <w:ind w:left="360"/>
      </w:pPr>
      <w:r>
        <w:t xml:space="preserve">• </w:t>
      </w:r>
      <w:r>
        <w:rPr>
          <w:b w:val="0"/>
          <w:i w:val="0"/>
        </w:rPr>
        <w:t>Các tiền chất vũ khí hóa học (CW), sinh vật sinh học và độc tố, cùng thiết bị liên quan đến vũ khí sinh học và hóa học (CBW) trong các danh sách của Nhóm Australia</w:t>
      </w:r>
    </w:p>
    <w:p>
      <w:pPr>
        <w:spacing w:after="80"/>
        <w:ind w:left="360"/>
      </w:pPr>
      <w:r>
        <w:t xml:space="preserve">• </w:t>
      </w:r>
      <w:r>
        <w:rPr>
          <w:b w:val="0"/>
          <w:i w:val="0"/>
        </w:rPr>
        <w:t>Các mặt hàng được kiểm soát nhằm thúc đẩy chính sách đối ngoại và các mục tiêu khác của Hoa Kỳ, bao gồm chống khủng bố, kiểm soát tội phạm, Công ước về Vũ khí, ổn định khu vực, các lệnh trừng phạt của Liên Hợp Quốc và các lý do thiếu hụt nguồn cung</w:t>
      </w:r>
    </w:p>
    <w:p>
      <w:pPr>
        <w:spacing w:after="80"/>
        <w:ind w:left="360"/>
      </w:pPr>
      <w:r>
        <w:t xml:space="preserve">• </w:t>
      </w:r>
      <w:r>
        <w:rPr>
          <w:b w:val="0"/>
          <w:i w:val="0"/>
        </w:rPr>
        <w:t>Các mặt hàng không nằm trong danh sách khi được dành cho các mục đích sử dụng cuối hoặc người dùng cuối được chỉ định cụ thể (kiểm soát bao trùm - catchall controls)</w:t>
      </w:r>
    </w:p>
    <w:p>
      <w:pPr>
        <w:spacing w:after="80"/>
      </w:pPr>
      <w:r>
        <w:rPr>
          <w:b w:val="0"/>
          <w:i w:val="0"/>
        </w:rPr>
        <w:t>Các quy định nhấn mạnh trách nhiệm của một công ty trong việc biết rõ điểm đến của sản phẩm và dữ liệu kỹ thuật của mình. Các quy định áp dụng cho tất cả các giao dịch bán hàng ngoài Hoa Kỳ, và ngoài ra, một số yêu cầu nhất định cũng áp dụng cho các giao dịch bán hàng trong lãnh thổ Hoa Kỳ. Các quy định thường yêu cầu phải có giấy phép cho việc xuất khẩu. Tại Hoa Kỳ, để xuất khẩu các mặt hàng trong Danh sách Kiểm soát Thương mại, các loại giấy phép được sử dụng phổ biến nhất là giấy phép chung và giấy phép riêng đã được xác nhận.</w:t>
      </w:r>
    </w:p>
    <w:p>
      <w:pPr>
        <w:pStyle w:val="Heading3"/>
      </w:pPr>
      <w:r>
        <w:rPr>
          <w:rFonts w:ascii="Calibri" w:hAnsi="Calibri"/>
          <w:b/>
          <w:i w:val="0"/>
          <w:sz w:val="26"/>
        </w:rPr>
        <w:t>Áp dụng các Kiểm soát Nội bộ</w:t>
      </w:r>
    </w:p>
    <w:p>
      <w:pPr>
        <w:spacing w:after="80"/>
      </w:pPr>
      <w:r>
        <w:rPr>
          <w:b w:val="0"/>
          <w:i w:val="0"/>
        </w:rPr>
        <w:t>Chính sách của công ty là tuân thủ các quy định về xuất khẩu trên toàn thế giới. Việc xuất khẩu hoặc tái xuất khẩu sản phẩm sẽ không được thực hiện trừ khi tuân thủ các quy định này. Trách nhiệm của mỗi đơn vị kinh doanh của Công ty tại Hoa Kỳ cũng như mỗi địa điểm xử lý đơn hàng quốc tế của công ty là phải hiểu rõ các quy định và có kiến thức thực hành về các Quy định Xuất khẩu của Hoa Kỳ. Tất cả các quản lý của công ty phải tham khảo ý kiến của các nguồn lực nội bộ chịu trách nhiệm về thương mại của công ty để được hỗ trợ xác định những yêu cầu pháp lý về kiểm soát thương mại cụ thể áp dụng cho hoạt động kinh doanh của họ, những yêu cầu này phải được tích hợp trong chương trình kiểm soát nội bộ. Những sai sót trong việc áp dụng quy trình và/hoặc những thiếu sót và thất bại trong việc triển khai các quy trình phù hợp để tuân thủ bất kỳ yêu cầu kiểm soát thương mại nào trong số này có thể dẫn đến các vi phạm quy định và việc áp đặt các hình phạt tiền tệ của chính phủ cùng các biện pháp trừng phạt khác, bao gồm việc mất hoặc đình chỉ các đặc quyền xuất khẩu.</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2.2.1</w:t>
            </w:r>
          </w:p>
        </w:tc>
        <w:tc>
          <w:tcPr>
            <w:tcW w:type="dxa" w:w="4680"/>
          </w:tcPr>
          <w:p>
            <w:r/>
            <w:r>
              <w:rPr>
                <w:b/>
                <w:i w:val="0"/>
                <w:sz w:val="19"/>
              </w:rPr>
              <w:t>Đánh giá Kiểm soát Xuất khẩu.</w:t>
            </w:r>
            <w:r>
              <w:rPr>
                <w:b w:val="0"/>
                <w:i w:val="0"/>
                <w:sz w:val="19"/>
              </w:rPr>
              <w:t xml:space="preserve"> Sau khi tham vấn với tổ chức Thương mại, tất cả các đơn vị hoạt động của công ty phải đánh giá tính chất và phạm vi hoạt động kinh doanh của mình để xác định những yêu cầu kiểm soát xuất khẩu nào, nếu có, sẽ áp dụng cho các hoạt động đó. Sau khi đã xác định, phải xây dựng và triển khai một chương trình kiểm soát xuất khẩu bằng văn bản để đảm bảo rằng (a) tất cả các biện pháp kiểm soát bắt buộc đều được áp dụng, (b) các biện pháp kiểm soát đó đưa ra sự đảm bảo hợp lý về việc tuân thủ liên tục đạt yêu cầu, và (c) chúng được ghi chép đầy đủ cho mục đích kiểm toán. </w:t>
            </w:r>
            <w:r>
              <w:rPr>
                <w:b/>
                <w:i w:val="0"/>
                <w:sz w:val="19"/>
              </w:rPr>
              <w:t>Tham khảo các rủi ro: B-1, B-2, B-3</w:t>
            </w:r>
          </w:p>
        </w:tc>
      </w:tr>
      <w:tr>
        <w:tc>
          <w:tcPr>
            <w:tcW w:type="dxa" w:w="4680"/>
          </w:tcPr>
          <w:p>
            <w:r/>
            <w:r>
              <w:rPr>
                <w:b w:val="0"/>
                <w:i w:val="0"/>
                <w:sz w:val="19"/>
              </w:rPr>
              <w:t>2.2.2</w:t>
            </w:r>
          </w:p>
        </w:tc>
        <w:tc>
          <w:tcPr>
            <w:tcW w:type="dxa" w:w="4680"/>
          </w:tcPr>
          <w:p>
            <w:r/>
            <w:r>
              <w:rPr>
                <w:b w:val="0"/>
                <w:i w:val="0"/>
                <w:sz w:val="19"/>
              </w:rPr>
              <w:t>Các yếu tố của Chương trình Kiểm soát Xuất khẩu. Một chương trình kiểm soát xuất khẩu nên bao gồm các yếu tố sau:</w:t>
            </w:r>
            <w:r>
              <w:br/>
            </w:r>
            <w:r>
              <w:rPr>
                <w:b w:val="0"/>
                <w:i w:val="0"/>
                <w:sz w:val="19"/>
              </w:rPr>
              <w:t xml:space="preserve">a. Một tuyên bố rõ ràng về nhận thức của ban lãnh đạo, cam kết của ban lãnh đạo và kỳ vọng về việc nhân viên tuân thủ các biện pháp kiểm soát xuất khẩu hiện hành. </w:t>
            </w:r>
            <w:r>
              <w:rPr>
                <w:b/>
                <w:i w:val="0"/>
                <w:sz w:val="19"/>
              </w:rPr>
              <w:t>Tham khảo rủi ro: B-2</w:t>
            </w:r>
            <w:r>
              <w:rPr>
                <w:b w:val="0"/>
                <w:i w:val="0"/>
                <w:sz w:val="19"/>
              </w:rPr>
              <w:t xml:space="preserve"> </w:t>
            </w:r>
            <w:r>
              <w:br/>
            </w:r>
            <w:r>
              <w:rPr>
                <w:b w:val="0"/>
                <w:i w:val="0"/>
                <w:sz w:val="19"/>
              </w:rPr>
              <w:t xml:space="preserve">b. Phần cứng, phần mềm, dữ liệu kỹ thuật và hỗ trợ kỹ thuật của công ty, cũng như của bên thứ ba, được chuyển giao bằng bất kỳ phương tiện hay phương thức nào, cả nội bộ lẫn bên ngoài, qua biên giới quốc gia, phải được tổ chức thương mại đánh giá hoặc “phân loại” dựa trên các đặc tính và thông số kỹ thuật của công nghệ. Điều này là cần thiết để đảm bảo rằng bất kỳ giấy phép xuất khẩu nào của chính phủ ngoài Hoa Kỳ và/hoặc Hoa Kỳ được xác định và ghi dẫn chính xác trong chứng từ vận chuyển hoặc được cung cấp để đáp ứng các yêu cầu pháp lý khác. Việc xuất khẩu sản phẩm và dịch vụ mà không có giấy phép xuất khẩu bắt buộc là hành vi vi phạm pháp luật. </w:t>
            </w:r>
            <w:r>
              <w:rPr>
                <w:b/>
                <w:i w:val="0"/>
                <w:sz w:val="19"/>
              </w:rPr>
              <w:t>Tham khảo các rủi ro: B-1, B-2, B-3</w:t>
            </w:r>
            <w:r>
              <w:rPr>
                <w:b w:val="0"/>
                <w:i w:val="0"/>
                <w:sz w:val="19"/>
              </w:rPr>
              <w:t xml:space="preserve"> </w:t>
            </w:r>
            <w:r>
              <w:br/>
            </w:r>
            <w:r>
              <w:rPr>
                <w:b w:val="0"/>
                <w:i w:val="0"/>
                <w:sz w:val="19"/>
              </w:rPr>
              <w:t xml:space="preserve">c. Phải tạo lập và lưu giữ tài liệu phù hợp theo đúng các yêu cầu của cơ quan quản lý kiểm soát xuất khẩu quốc gia. </w:t>
            </w:r>
            <w:r>
              <w:rPr>
                <w:b/>
                <w:i w:val="0"/>
                <w:sz w:val="19"/>
              </w:rPr>
              <w:t>Tham khảo các rủi ro: B-1, B-2</w:t>
            </w:r>
            <w:r>
              <w:rPr>
                <w:b w:val="0"/>
                <w:i w:val="0"/>
                <w:sz w:val="19"/>
              </w:rPr>
              <w:t xml:space="preserve"> </w:t>
            </w:r>
            <w:r>
              <w:br/>
            </w:r>
            <w:r>
              <w:rPr>
                <w:b w:val="0"/>
                <w:i w:val="0"/>
                <w:sz w:val="19"/>
              </w:rPr>
              <w:t xml:space="preserve">d. Tất cả các giao dịch của công ty phải được đánh giá để phát hiện sự xuất hiện của các yếu tố được nêu trong hồ sơ “các chỉ báo rủi ro chuyển hướng” công nghệ hoặc các tình huống đáng ngờ hay bất hợp lý khác có thể cho thấy khả năng xảy ra việc chuyển hướng công nghệ trái phép. </w:t>
            </w:r>
            <w:r>
              <w:rPr>
                <w:b/>
                <w:i w:val="0"/>
                <w:sz w:val="19"/>
              </w:rPr>
              <w:t>Tham khảo các rủi ro: B-1, B-2, B-3</w:t>
            </w:r>
            <w:r>
              <w:rPr>
                <w:b w:val="0"/>
                <w:i w:val="0"/>
                <w:sz w:val="19"/>
              </w:rPr>
              <w:t xml:space="preserve"> </w:t>
            </w:r>
            <w:r>
              <w:br/>
            </w:r>
            <w:r>
              <w:rPr>
                <w:b w:val="0"/>
                <w:i w:val="0"/>
                <w:sz w:val="19"/>
              </w:rPr>
              <w:t xml:space="preserve">e. Trừ khi thuộc diện miễn trừ sàng lọc phổ biến vũ khí cụ thể, tất cả các giao dịch phải được sàng lọc để phát hiện sự xuất hiện của các yếu tố gợi ý về mục đích sử dụng cuối hoặc người sử dụng cuối liên quan đến vũ khí hủy diệt hàng loạt bị cấm “phổ biến” hạt nhân, tên lửa, hóa học - sinh học. </w:t>
            </w:r>
            <w:r>
              <w:rPr>
                <w:b/>
                <w:i w:val="0"/>
                <w:sz w:val="19"/>
              </w:rPr>
              <w:t>Tham khảo các rủi ro: B-1, B-2, B-3</w:t>
            </w:r>
            <w:r>
              <w:rPr>
                <w:b w:val="0"/>
                <w:i w:val="0"/>
                <w:sz w:val="19"/>
              </w:rPr>
              <w:t xml:space="preserve"> </w:t>
            </w:r>
            <w:r>
              <w:br/>
            </w:r>
            <w:r>
              <w:rPr>
                <w:b w:val="0"/>
                <w:i w:val="0"/>
                <w:sz w:val="19"/>
              </w:rPr>
              <w:t xml:space="preserve">f. Phải thiết lập một quy trình để đánh giá, lựa chọn, rồi sử dụng các yêu cầu giấy phép đúng đắn cần thiết để cho phép bất kỳ hoạt động xuất khẩu nào và để hoàn thành đúng đắn tất cả các yêu cầu hành chính đi kèm. </w:t>
            </w:r>
            <w:r>
              <w:rPr>
                <w:b/>
                <w:i w:val="0"/>
                <w:sz w:val="19"/>
              </w:rPr>
              <w:t>Tham khảo các rủi ro: B-1, B-2</w:t>
            </w:r>
            <w:r>
              <w:rPr>
                <w:b w:val="0"/>
                <w:i w:val="0"/>
                <w:sz w:val="19"/>
              </w:rPr>
              <w:t xml:space="preserve"> </w:t>
            </w:r>
            <w:r>
              <w:br/>
            </w:r>
            <w:r>
              <w:rPr>
                <w:b w:val="0"/>
                <w:i w:val="0"/>
                <w:sz w:val="19"/>
              </w:rPr>
              <w:t xml:space="preserve">g. Phải thực hiện mức độ cảnh giác cao trong tất cả các giao dịch để phát hiện sự xuất hiện của ngôn từ và thuật ngữ liên quan đến tẩy chay bị cấm bằng lời nói hoặc văn bản. </w:t>
            </w:r>
            <w:r>
              <w:rPr>
                <w:b/>
                <w:i w:val="0"/>
                <w:sz w:val="19"/>
              </w:rPr>
              <w:t>Tham khảo các rủi ro: B-1, B-2</w:t>
            </w:r>
            <w:r>
              <w:rPr>
                <w:b w:val="0"/>
                <w:i w:val="0"/>
                <w:sz w:val="19"/>
              </w:rPr>
              <w:t xml:space="preserve"> </w:t>
            </w:r>
            <w:r>
              <w:br/>
            </w:r>
            <w:r>
              <w:rPr>
                <w:b w:val="0"/>
                <w:i w:val="0"/>
                <w:sz w:val="19"/>
              </w:rPr>
              <w:t xml:space="preserve">h. Hàm lượng quốc gia của sản phẩm phải được đánh giá nhằm đáp ứng các quy trình chứng nhận của Hoa Kỳ và/hoặc các quốc gia khác được yêu cầu để đủ điều kiện tham gia một số chương trình mua sắm và đấu thầu của chính phủ quốc gia. </w:t>
            </w:r>
            <w:r>
              <w:rPr>
                <w:b/>
                <w:i w:val="0"/>
                <w:sz w:val="19"/>
              </w:rPr>
              <w:t>Tham khảo các rủi ro: B-1, B-2</w:t>
            </w:r>
            <w:r>
              <w:rPr>
                <w:b w:val="0"/>
                <w:i w:val="0"/>
                <w:sz w:val="19"/>
              </w:rPr>
              <w:t xml:space="preserve"> </w:t>
            </w:r>
            <w:r>
              <w:br/>
            </w:r>
            <w:r>
              <w:rPr>
                <w:b w:val="0"/>
                <w:i w:val="0"/>
                <w:sz w:val="19"/>
              </w:rPr>
              <w:t xml:space="preserve">i. Có một yêu cầu Thương mại đang phát triển trên toàn thế giới về thông tin xác định (các) quốc gia xuất xứ trong việc sản xuất hoặc lắp ráp sản phẩm. Đây là một yêu cầu cần thiết để đáp ứng một số yêu cầu về tuân thủ hợp đồng chính phủ, nhập khẩu và chương trình tài trợ. </w:t>
            </w:r>
            <w:r>
              <w:rPr>
                <w:b/>
                <w:i w:val="0"/>
                <w:sz w:val="19"/>
              </w:rPr>
              <w:t>Tham khảo các rủi ro: B-1, B-2</w:t>
            </w:r>
            <w:r>
              <w:rPr>
                <w:b w:val="0"/>
                <w:i w:val="0"/>
                <w:sz w:val="19"/>
              </w:rPr>
              <w:t xml:space="preserve"> </w:t>
            </w:r>
            <w:r>
              <w:br/>
            </w:r>
            <w:r>
              <w:rPr>
                <w:b w:val="0"/>
                <w:i w:val="0"/>
                <w:sz w:val="19"/>
              </w:rPr>
              <w:t xml:space="preserve">j. Phải thiết lập một quy trình để phát hiện, trong bất kỳ giao dịch nào, sự xuất hiện của sản phẩm hoặc dịch vụ có đặc tính kỹ thuật được phân loại cho mục đích xuất khẩu là sản phẩm hoặc dịch vụ “vũ khí quân dụng” thuộc diện kiểm soát nghiêm ngặt theo Quy định về Vận chuyển Vũ khí Quốc tế (ITAR). </w:t>
            </w:r>
            <w:r>
              <w:rPr>
                <w:b/>
                <w:i w:val="0"/>
                <w:sz w:val="19"/>
              </w:rPr>
              <w:t>Tham khảo các rủi ro: B-1, B-2, B-3</w:t>
            </w:r>
            <w:r>
              <w:rPr>
                <w:b w:val="0"/>
                <w:i w:val="0"/>
                <w:sz w:val="19"/>
              </w:rPr>
              <w:t xml:space="preserve"> </w:t>
            </w:r>
            <w:r>
              <w:br/>
            </w:r>
            <w:r>
              <w:rPr>
                <w:b w:val="0"/>
                <w:i w:val="0"/>
                <w:sz w:val="19"/>
              </w:rPr>
              <w:t xml:space="preserve">k. Phải tạo cơ hội để định kỳ trình bày cho nhân viên các khóa đào tạo phù hợp về nhận thức, hiểu biết và quản lý quy trình kiểm soát xuất khẩu. </w:t>
            </w:r>
            <w:r>
              <w:rPr>
                <w:b/>
                <w:i w:val="0"/>
                <w:sz w:val="19"/>
              </w:rPr>
              <w:t>Tham khảo rủi ro: B-2</w:t>
            </w:r>
            <w:r>
              <w:rPr>
                <w:b w:val="0"/>
                <w:i w:val="0"/>
                <w:sz w:val="19"/>
              </w:rPr>
              <w:t xml:space="preserve"> </w:t>
            </w:r>
            <w:r>
              <w:br/>
            </w:r>
            <w:r>
              <w:rPr>
                <w:b w:val="0"/>
                <w:i w:val="0"/>
                <w:sz w:val="19"/>
              </w:rPr>
              <w:t xml:space="preserve">l. Phải triển khai các quy trình phù hợp để đảm bảo rằng có một chương trình tự kiểm tra hiệu quả nhằm đo lường việc tuân thủ từng yếu tố riêng lẻ trong chương trình kiểm soát xuất khẩu của một bộ phận chức năng. </w:t>
            </w:r>
            <w:r>
              <w:rPr>
                <w:b/>
                <w:i w:val="0"/>
                <w:sz w:val="19"/>
              </w:rPr>
              <w:t>Tham khảo rủi ro: B-2</w:t>
            </w:r>
          </w:p>
        </w:tc>
      </w:tr>
      <w:tr>
        <w:tc>
          <w:tcPr>
            <w:tcW w:type="dxa" w:w="4680"/>
          </w:tcPr>
          <w:p>
            <w:r/>
            <w:r>
              <w:rPr>
                <w:b w:val="0"/>
                <w:i w:val="0"/>
                <w:sz w:val="19"/>
              </w:rPr>
              <w:t>2.2.3</w:t>
            </w:r>
          </w:p>
        </w:tc>
        <w:tc>
          <w:tcPr>
            <w:tcW w:type="dxa" w:w="4680"/>
          </w:tcPr>
          <w:p>
            <w:r/>
            <w:r>
              <w:rPr>
                <w:b w:val="0"/>
                <w:i w:val="0"/>
                <w:sz w:val="19"/>
              </w:rPr>
              <w:t>Thông báo. Để đảm bảo rằng tất cả các vật liệu/sản phẩm bị kiểm soát mà khách hàng mua không bị bán lại hoặc tái xuất khẩu vi phạm các quy định về xuất khẩu, phải có các thông báo sau khi được yêu cầu:</w:t>
            </w:r>
            <w:r>
              <w:br/>
            </w:r>
            <w:r>
              <w:rPr>
                <w:b w:val="0"/>
                <w:i w:val="0"/>
                <w:sz w:val="19"/>
              </w:rPr>
              <w:t>a. Tuyên bố Kiểm soát Điểm đến là một tuyên bố pháp lý được yêu cầu bởi Quy định Quản lý Xuất khẩu (EAR) và Quy định về Vận chuyển Vũ khí Quốc tế (ITAR), nêu rằng hàng hóa bạn đang xuất khẩu được hướng đến quốc gia được chỉ định trong tất cả các chứng từ vận chuyển.</w:t>
            </w:r>
            <w:r>
              <w:br/>
            </w:r>
            <w:r>
              <w:rPr>
                <w:b w:val="0"/>
                <w:i w:val="0"/>
                <w:sz w:val="19"/>
              </w:rPr>
              <w:t xml:space="preserve">b. Hợp đồng với nhà phân phối hoặc nhà bán lại khác phải có một tuyên bố nêu rõ rằng họ đã đồng ý không vi phạm bất kỳ quy định xuất khẩu hiện hành nào. </w:t>
            </w:r>
            <w:r>
              <w:rPr>
                <w:b/>
                <w:i w:val="0"/>
                <w:sz w:val="19"/>
              </w:rPr>
              <w:t>Tham khảo các rủi ro: B-1, B-3</w:t>
            </w:r>
          </w:p>
        </w:tc>
      </w:tr>
      <w:tr>
        <w:tc>
          <w:tcPr>
            <w:tcW w:type="dxa" w:w="4680"/>
          </w:tcPr>
          <w:p>
            <w:r/>
            <w:r>
              <w:rPr>
                <w:b w:val="0"/>
                <w:i w:val="0"/>
                <w:sz w:val="19"/>
              </w:rPr>
              <w:t>2.2.4</w:t>
            </w:r>
          </w:p>
        </w:tc>
        <w:tc>
          <w:tcPr>
            <w:tcW w:type="dxa" w:w="4680"/>
          </w:tcPr>
          <w:p>
            <w:r/>
            <w:r>
              <w:rPr>
                <w:b/>
                <w:i w:val="0"/>
                <w:sz w:val="19"/>
              </w:rPr>
              <w:t>Tự Kiểm toán.</w:t>
            </w:r>
            <w:r>
              <w:rPr>
                <w:b w:val="0"/>
                <w:i w:val="0"/>
                <w:sz w:val="19"/>
              </w:rPr>
              <w:t xml:space="preserve"> Tất cả các quản lý đơn vị hoạt động trên toàn thế giới phải đảm bảo rằng chương trình tự kiểm toán của đơn vị mình bao gồm các đợt đánh giá định kỳ đối với chương trình kiểm soát giấy phép xuất khẩu của họ nhằm đảm bảo tuân thủ các quy định của Hoa Kỳ và địa phương. </w:t>
            </w:r>
            <w:r>
              <w:rPr>
                <w:b/>
                <w:i w:val="0"/>
                <w:sz w:val="19"/>
              </w:rPr>
              <w:t>Tham khảo rủi ro: B-2</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B-1</w:t>
            </w:r>
          </w:p>
        </w:tc>
        <w:tc>
          <w:tcPr>
            <w:tcW w:type="dxa" w:w="4680"/>
          </w:tcPr>
          <w:p>
            <w:r/>
            <w:r>
              <w:rPr>
                <w:b w:val="0"/>
                <w:i w:val="0"/>
                <w:sz w:val="19"/>
              </w:rPr>
              <w:t>Việc không tuân thủ các quy định có thể dẫn đến việc bị từ chối cấp phép, tịch thu hàng hóa vận chuyển, phạt dân sự đáng kể, hình phạt hình sự và/hoặc mất quyền xuất khẩu. Các hình phạt thường nghiêm khắc nhưng khác nhau tùy theo quốc gia và mức độ nghiêm trọng của hành vi vi phạm.</w:t>
            </w:r>
          </w:p>
        </w:tc>
      </w:tr>
      <w:tr>
        <w:tc>
          <w:tcPr>
            <w:tcW w:type="dxa" w:w="4680"/>
          </w:tcPr>
          <w:p>
            <w:r/>
            <w:r>
              <w:rPr>
                <w:b w:val="0"/>
                <w:i w:val="0"/>
                <w:sz w:val="19"/>
              </w:rPr>
              <w:t>B-2</w:t>
            </w:r>
          </w:p>
        </w:tc>
        <w:tc>
          <w:tcPr>
            <w:tcW w:type="dxa" w:w="4680"/>
          </w:tcPr>
          <w:p>
            <w:r/>
            <w:r>
              <w:rPr>
                <w:b w:val="0"/>
                <w:i w:val="0"/>
                <w:sz w:val="19"/>
              </w:rPr>
              <w:t>Các biện pháp kiểm soát nội bộ có thể bị lách qua hoặc có thể không được thực thi.</w:t>
            </w:r>
          </w:p>
        </w:tc>
      </w:tr>
      <w:tr>
        <w:tc>
          <w:tcPr>
            <w:tcW w:type="dxa" w:w="4680"/>
          </w:tcPr>
          <w:p>
            <w:r/>
            <w:r>
              <w:rPr>
                <w:b w:val="0"/>
                <w:i w:val="0"/>
                <w:sz w:val="19"/>
              </w:rPr>
              <w:t>B-3</w:t>
            </w:r>
          </w:p>
        </w:tc>
        <w:tc>
          <w:tcPr>
            <w:tcW w:type="dxa" w:w="4680"/>
          </w:tcPr>
          <w:p>
            <w:r/>
            <w:r>
              <w:rPr>
                <w:b w:val="0"/>
                <w:i w:val="0"/>
                <w:sz w:val="19"/>
              </w:rPr>
              <w:t>Việc không hành động có thể ảnh hưởng tiêu cực đến an ninh quốc gia và chính sách đối ngoại của Hoa Kỳ.</w:t>
            </w:r>
          </w:p>
        </w:tc>
      </w:tr>
    </w:tbl>
    <w:p>
      <w:pPr>
        <w:spacing w:after="0"/>
      </w:pPr>
    </w:p>
    <w:p>
      <w:pPr>
        <w:pStyle w:val="Heading2"/>
      </w:pPr>
      <w:r>
        <w:rPr>
          <w:rFonts w:ascii="Calibri" w:hAnsi="Calibri"/>
          <w:b/>
          <w:i w:val="0"/>
          <w:sz w:val="32"/>
        </w:rPr>
        <w:t>2.3 HỢP ĐỒNG BÁN HÀNG</w:t>
      </w:r>
    </w:p>
    <w:p>
      <w:pPr>
        <w:pStyle w:val="Heading3"/>
      </w:pPr>
      <w:r>
        <w:rPr>
          <w:rFonts w:ascii="Calibri" w:hAnsi="Calibri"/>
          <w:b/>
          <w:i w:val="0"/>
          <w:sz w:val="26"/>
        </w:rPr>
        <w:t>Giới thiệu</w:t>
      </w:r>
    </w:p>
    <w:p>
      <w:pPr>
        <w:spacing w:after="80"/>
      </w:pPr>
      <w:r>
        <w:rPr>
          <w:b w:val="0"/>
          <w:i w:val="0"/>
        </w:rPr>
        <w:t>Hợp đồng bán hàng có thể tồn tại dưới các hình thức sau, nhưng không giới hạn ở những hình thức này:</w:t>
      </w:r>
    </w:p>
    <w:p>
      <w:pPr>
        <w:spacing w:after="80"/>
        <w:ind w:left="360"/>
      </w:pPr>
      <w:r>
        <w:t xml:space="preserve">a. </w:t>
      </w:r>
      <w:r>
        <w:rPr>
          <w:b w:val="0"/>
          <w:i w:val="0"/>
        </w:rPr>
        <w:t>Báo giá của khách hàng đã được chấp nhận</w:t>
      </w:r>
    </w:p>
    <w:p>
      <w:pPr>
        <w:spacing w:after="80"/>
        <w:ind w:left="360"/>
      </w:pPr>
      <w:r>
        <w:t xml:space="preserve">b. </w:t>
      </w:r>
      <w:r>
        <w:rPr>
          <w:b w:val="0"/>
          <w:i w:val="0"/>
        </w:rPr>
        <w:t>Đơn đặt hàng có các điều khoản và điều kiện khác với các điều khoản và điều kiện tiêu chuẩn của công ty, hoặc một văn bản chính thức</w:t>
      </w:r>
    </w:p>
    <w:p>
      <w:pPr>
        <w:pStyle w:val="Heading3"/>
      </w:pPr>
      <w:r>
        <w:rPr>
          <w:rFonts w:ascii="Calibri" w:hAnsi="Calibri"/>
          <w:b/>
          <w:i w:val="0"/>
          <w:sz w:val="26"/>
        </w:rPr>
        <w:t>Chuẩn mực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2.3.1</w:t>
            </w:r>
          </w:p>
        </w:tc>
        <w:tc>
          <w:tcPr>
            <w:tcW w:type="dxa" w:w="4680"/>
          </w:tcPr>
          <w:p>
            <w:r/>
            <w:r>
              <w:rPr>
                <w:b/>
                <w:i w:val="0"/>
                <w:sz w:val="19"/>
              </w:rPr>
              <w:t>Hợp đồng có tính ràng buộc pháp lý.</w:t>
            </w:r>
            <w:r>
              <w:rPr>
                <w:b w:val="0"/>
                <w:i w:val="0"/>
                <w:sz w:val="19"/>
              </w:rPr>
              <w:t xml:space="preserve"> Hợp đồng bán hàng cần được chuẩn hóa, viết rõ ràng và có tính ràng buộc pháp lý, với các điều khoản bán hàng được ghi nhận đầy đủ. Hợp đồng cần hợp lý về mặt tài chính và vận hành (có thể thực hiện được) và phù hợp với chiến lược. Thẩm quyền soạn thảo, sửa đổi, phê duyệt và ký kết hợp đồng phải được xác định rõ ràng và tuân theo chính sách phân cấp thẩm quyền của công ty cùng với các kiểm soát phân tách nhiệm vụ phù hợp. Bộ phận pháp lý phải xem xét hợp đồng khi thích hợp để đảm bảo rằng công ty đang ký kết một hợp đồng đúng đắn và phù hợp, và rằng công ty không phải gánh chịu trách nhiệm cho sự sơ suất, sai sót hoặc thiếu sót của bên khác. </w:t>
            </w:r>
            <w:r>
              <w:rPr>
                <w:b/>
                <w:i w:val="0"/>
                <w:sz w:val="19"/>
              </w:rPr>
              <w:t>Tham chiếu rủi ro: C-1, C-2, C-3, C-5, C-6</w:t>
            </w:r>
          </w:p>
        </w:tc>
      </w:tr>
      <w:tr>
        <w:tc>
          <w:tcPr>
            <w:tcW w:type="dxa" w:w="4680"/>
          </w:tcPr>
          <w:p>
            <w:r/>
            <w:r>
              <w:rPr>
                <w:b w:val="0"/>
                <w:i w:val="0"/>
                <w:sz w:val="19"/>
              </w:rPr>
              <w:t>2.3.2</w:t>
            </w:r>
          </w:p>
        </w:tc>
        <w:tc>
          <w:tcPr>
            <w:tcW w:type="dxa" w:w="4680"/>
          </w:tcPr>
          <w:p>
            <w:r/>
            <w:r>
              <w:rPr>
                <w:b/>
                <w:i w:val="0"/>
                <w:sz w:val="19"/>
              </w:rPr>
              <w:t>Hợp đồng khả thi.</w:t>
            </w:r>
            <w:r>
              <w:rPr>
                <w:b w:val="0"/>
                <w:i w:val="0"/>
                <w:sz w:val="19"/>
              </w:rPr>
              <w:t xml:space="preserve"> Tất cả hợp đồng bán hàng phải được xem xét về tính sẵn có của sản phẩm và tính khả thi về hành chính, tài chính và thực hiện, đồng thời phải được thông báo đến những người chịu trách nhiệm triển khai và theo dõi (ví dụ: giá cả, điều khoản và điều kiện, v.v.). </w:t>
            </w:r>
            <w:r>
              <w:rPr>
                <w:b/>
                <w:i w:val="0"/>
                <w:sz w:val="19"/>
              </w:rPr>
              <w:t>Tham chiếu rủi ro: C-1, C-2, C-3</w:t>
            </w:r>
          </w:p>
        </w:tc>
      </w:tr>
      <w:tr>
        <w:tc>
          <w:tcPr>
            <w:tcW w:type="dxa" w:w="4680"/>
          </w:tcPr>
          <w:p>
            <w:r/>
            <w:r>
              <w:rPr>
                <w:b w:val="0"/>
                <w:i w:val="0"/>
                <w:sz w:val="19"/>
              </w:rPr>
              <w:t>2.3.3</w:t>
            </w:r>
          </w:p>
        </w:tc>
        <w:tc>
          <w:tcPr>
            <w:tcW w:type="dxa" w:w="4680"/>
          </w:tcPr>
          <w:p>
            <w:r/>
            <w:r>
              <w:rPr>
                <w:b/>
                <w:i w:val="0"/>
                <w:sz w:val="19"/>
              </w:rPr>
              <w:t>Lưu trữ hợp đồng.</w:t>
            </w:r>
            <w:r>
              <w:rPr>
                <w:b w:val="0"/>
                <w:i w:val="0"/>
                <w:sz w:val="19"/>
              </w:rPr>
              <w:t xml:space="preserve"> Tất cả hợp đồng bán hàng phải được lưu trữ và bảo vệ một cách thích hợp. </w:t>
            </w:r>
            <w:r>
              <w:rPr>
                <w:b/>
                <w:i w:val="0"/>
                <w:sz w:val="19"/>
              </w:rPr>
              <w:t>Tham chiếu rủi ro: C-1, C-2, C-4</w:t>
            </w:r>
          </w:p>
        </w:tc>
      </w:tr>
      <w:tr>
        <w:tc>
          <w:tcPr>
            <w:tcW w:type="dxa" w:w="4680"/>
          </w:tcPr>
          <w:p>
            <w:r/>
            <w:r>
              <w:rPr>
                <w:b w:val="0"/>
                <w:i w:val="0"/>
                <w:sz w:val="19"/>
              </w:rPr>
              <w:t>2.3.4</w:t>
            </w:r>
          </w:p>
        </w:tc>
        <w:tc>
          <w:tcPr>
            <w:tcW w:type="dxa" w:w="4680"/>
          </w:tcPr>
          <w:p>
            <w:r/>
            <w:r>
              <w:rPr>
                <w:b/>
                <w:i w:val="0"/>
                <w:sz w:val="19"/>
              </w:rPr>
              <w:t>Xem xét hợp đồng.</w:t>
            </w:r>
            <w:r>
              <w:rPr>
                <w:b w:val="0"/>
                <w:i w:val="0"/>
                <w:sz w:val="19"/>
              </w:rPr>
              <w:t xml:space="preserve"> Các đợt xem xét tuân thủ phải được thực hiện định kỳ để nhận diện các tổn thất tiềm ẩn. </w:t>
            </w:r>
            <w:r>
              <w:rPr>
                <w:b/>
                <w:i w:val="0"/>
                <w:sz w:val="19"/>
              </w:rPr>
              <w:t>Tham chiếu rủi ro: C-8</w:t>
            </w:r>
          </w:p>
        </w:tc>
      </w:tr>
      <w:tr>
        <w:tc>
          <w:tcPr>
            <w:tcW w:type="dxa" w:w="4680"/>
          </w:tcPr>
          <w:p>
            <w:r/>
            <w:r>
              <w:rPr>
                <w:b w:val="0"/>
                <w:i w:val="0"/>
                <w:sz w:val="19"/>
              </w:rPr>
              <w:t>2.3.5</w:t>
            </w:r>
          </w:p>
        </w:tc>
        <w:tc>
          <w:tcPr>
            <w:tcW w:type="dxa" w:w="4680"/>
          </w:tcPr>
          <w:p>
            <w:r/>
            <w:r>
              <w:rPr>
                <w:b/>
                <w:i w:val="0"/>
                <w:sz w:val="19"/>
              </w:rPr>
              <w:t>Gia hạn hợp đồng.</w:t>
            </w:r>
            <w:r>
              <w:rPr>
                <w:b w:val="0"/>
                <w:i w:val="0"/>
                <w:sz w:val="19"/>
              </w:rPr>
              <w:t xml:space="preserve"> Hợp đồng được gia hạn kịp thời trước khi giao sản phẩm hoặc cung cấp dịch vụ. </w:t>
            </w:r>
            <w:r>
              <w:rPr>
                <w:b/>
                <w:i w:val="0"/>
                <w:sz w:val="19"/>
              </w:rPr>
              <w:t>Tham chiếu rủi ro: C-1, C-8</w:t>
            </w:r>
          </w:p>
        </w:tc>
      </w:tr>
      <w:tr>
        <w:tc>
          <w:tcPr>
            <w:tcW w:type="dxa" w:w="4680"/>
          </w:tcPr>
          <w:p>
            <w:r/>
            <w:r>
              <w:rPr>
                <w:b w:val="0"/>
                <w:i w:val="0"/>
                <w:sz w:val="19"/>
              </w:rPr>
              <w:t>2.3.6</w:t>
            </w:r>
          </w:p>
        </w:tc>
        <w:tc>
          <w:tcPr>
            <w:tcW w:type="dxa" w:w="4680"/>
          </w:tcPr>
          <w:p>
            <w:r/>
            <w:r>
              <w:rPr>
                <w:b/>
                <w:i w:val="0"/>
                <w:sz w:val="19"/>
              </w:rPr>
              <w:t>Thỏa thuận miệng/Thỏa thuận phụ.</w:t>
            </w:r>
            <w:r>
              <w:rPr>
                <w:b w:val="0"/>
                <w:i w:val="0"/>
                <w:sz w:val="19"/>
              </w:rPr>
              <w:t xml:space="preserve"> Không nên thực hiện các thỏa thuận miệng/thỏa thuận phụ thay cho hợp đồng mua bán. </w:t>
            </w:r>
            <w:r>
              <w:rPr>
                <w:b/>
                <w:i w:val="0"/>
                <w:sz w:val="19"/>
              </w:rPr>
              <w:t>Tham khảo các rủi ro: C-1, C-3, C-7, C-8</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C-1</w:t>
            </w:r>
          </w:p>
        </w:tc>
        <w:tc>
          <w:tcPr>
            <w:tcW w:type="dxa" w:w="4680"/>
          </w:tcPr>
          <w:p>
            <w:r/>
            <w:r>
              <w:rPr>
                <w:b w:val="0"/>
                <w:i w:val="0"/>
                <w:sz w:val="19"/>
              </w:rPr>
              <w:t>Có thể dẫn đến sự không hài lòng của khách hàng.</w:t>
            </w:r>
          </w:p>
        </w:tc>
      </w:tr>
      <w:tr>
        <w:tc>
          <w:tcPr>
            <w:tcW w:type="dxa" w:w="4680"/>
          </w:tcPr>
          <w:p>
            <w:r/>
            <w:r>
              <w:rPr>
                <w:b w:val="0"/>
                <w:i w:val="0"/>
                <w:sz w:val="19"/>
              </w:rPr>
              <w:t>C-2</w:t>
            </w:r>
          </w:p>
        </w:tc>
        <w:tc>
          <w:tcPr>
            <w:tcW w:type="dxa" w:w="4680"/>
          </w:tcPr>
          <w:p>
            <w:r/>
            <w:r>
              <w:rPr>
                <w:b w:val="0"/>
                <w:i w:val="0"/>
                <w:sz w:val="19"/>
              </w:rPr>
              <w:t>Có thể dẫn đến việc bị xử phạt và/hoặc bị phạt tiền.</w:t>
            </w:r>
          </w:p>
        </w:tc>
      </w:tr>
      <w:tr>
        <w:tc>
          <w:tcPr>
            <w:tcW w:type="dxa" w:w="4680"/>
          </w:tcPr>
          <w:p>
            <w:r/>
            <w:r>
              <w:rPr>
                <w:b w:val="0"/>
                <w:i w:val="0"/>
                <w:sz w:val="19"/>
              </w:rPr>
              <w:t>C-3</w:t>
            </w:r>
          </w:p>
        </w:tc>
        <w:tc>
          <w:tcPr>
            <w:tcW w:type="dxa" w:w="4680"/>
          </w:tcPr>
          <w:p>
            <w:r/>
            <w:r>
              <w:rPr>
                <w:b w:val="0"/>
                <w:i w:val="0"/>
                <w:sz w:val="19"/>
              </w:rPr>
              <w:t>Giá sản phẩm khác nhau đối với những khách hàng tương tự có thể gây ra khó khăn về giá cả ở phạm vi địa phương và thậm chí trên toàn cầu. Ngoài ra, việc áp dụng mức giá khác nhau cho cùng một sản phẩm đối với những khách hàng tương tự có thể là hành vi vi phạm pháp luật và dẫn đến việc công ty bị xử phạt.</w:t>
            </w:r>
          </w:p>
        </w:tc>
      </w:tr>
      <w:tr>
        <w:tc>
          <w:tcPr>
            <w:tcW w:type="dxa" w:w="4680"/>
          </w:tcPr>
          <w:p>
            <w:r/>
            <w:r>
              <w:rPr>
                <w:b w:val="0"/>
                <w:i w:val="0"/>
                <w:sz w:val="19"/>
              </w:rPr>
              <w:t>C-4</w:t>
            </w:r>
          </w:p>
        </w:tc>
        <w:tc>
          <w:tcPr>
            <w:tcW w:type="dxa" w:w="4680"/>
          </w:tcPr>
          <w:p>
            <w:r/>
            <w:r>
              <w:rPr>
                <w:b w:val="0"/>
                <w:i w:val="0"/>
                <w:sz w:val="19"/>
              </w:rPr>
              <w:t>Các hợp đồng mua bán bị thất lạc, ghi chép sai và/hoặc bị chiếm đoạt có thể không được phát hiện và chỉnh sửa kịp thời.</w:t>
            </w:r>
          </w:p>
        </w:tc>
      </w:tr>
      <w:tr>
        <w:tc>
          <w:tcPr>
            <w:tcW w:type="dxa" w:w="4680"/>
          </w:tcPr>
          <w:p>
            <w:r/>
            <w:r>
              <w:rPr>
                <w:b w:val="0"/>
                <w:i w:val="0"/>
                <w:sz w:val="19"/>
              </w:rPr>
              <w:t>C-5</w:t>
            </w:r>
          </w:p>
        </w:tc>
        <w:tc>
          <w:tcPr>
            <w:tcW w:type="dxa" w:w="4680"/>
          </w:tcPr>
          <w:p>
            <w:r/>
            <w:r>
              <w:rPr>
                <w:b w:val="0"/>
                <w:i w:val="0"/>
                <w:sz w:val="19"/>
              </w:rPr>
              <w:t>Công ty có thể phải chịu trách nhiệm về sự sơ suất, sai sót hoặc thiếu sót của một bên khác, dẫn đến tổn thất tài chính cho các cổ đông của chúng ta.</w:t>
            </w:r>
          </w:p>
        </w:tc>
      </w:tr>
      <w:tr>
        <w:tc>
          <w:tcPr>
            <w:tcW w:type="dxa" w:w="4680"/>
          </w:tcPr>
          <w:p>
            <w:r/>
            <w:r>
              <w:rPr>
                <w:b w:val="0"/>
                <w:i w:val="0"/>
                <w:sz w:val="19"/>
              </w:rPr>
              <w:t>C-6</w:t>
            </w:r>
          </w:p>
        </w:tc>
        <w:tc>
          <w:tcPr>
            <w:tcW w:type="dxa" w:w="4680"/>
          </w:tcPr>
          <w:p>
            <w:r/>
            <w:r>
              <w:rPr>
                <w:b w:val="0"/>
                <w:i w:val="0"/>
                <w:sz w:val="19"/>
              </w:rPr>
              <w:t>Nếu hợp đồng không nhất quán về các điều khoản trách nhiệm pháp lý, hợp đồng có thể không có hiệu lực thi hành.</w:t>
            </w:r>
          </w:p>
        </w:tc>
      </w:tr>
      <w:tr>
        <w:tc>
          <w:tcPr>
            <w:tcW w:type="dxa" w:w="4680"/>
          </w:tcPr>
          <w:p>
            <w:r/>
            <w:r>
              <w:rPr>
                <w:b w:val="0"/>
                <w:i w:val="0"/>
                <w:sz w:val="19"/>
              </w:rPr>
              <w:t>C-7</w:t>
            </w:r>
          </w:p>
        </w:tc>
        <w:tc>
          <w:tcPr>
            <w:tcW w:type="dxa" w:w="4680"/>
          </w:tcPr>
          <w:p>
            <w:r/>
            <w:r>
              <w:rPr>
                <w:b w:val="0"/>
                <w:i w:val="0"/>
                <w:sz w:val="19"/>
              </w:rPr>
              <w:t>Không có khả năng cung cấp sản phẩm hoặc dịch vụ.</w:t>
            </w:r>
          </w:p>
        </w:tc>
      </w:tr>
      <w:tr>
        <w:tc>
          <w:tcPr>
            <w:tcW w:type="dxa" w:w="4680"/>
          </w:tcPr>
          <w:p>
            <w:r/>
            <w:r>
              <w:rPr>
                <w:b w:val="0"/>
                <w:i w:val="0"/>
                <w:sz w:val="19"/>
              </w:rPr>
              <w:t>C-8</w:t>
            </w:r>
          </w:p>
        </w:tc>
        <w:tc>
          <w:tcPr>
            <w:tcW w:type="dxa" w:w="4680"/>
          </w:tcPr>
          <w:p>
            <w:r/>
            <w:r>
              <w:rPr>
                <w:b w:val="0"/>
                <w:i w:val="0"/>
                <w:sz w:val="19"/>
              </w:rPr>
              <w:t>Tổn thất tài chính có thể xảy ra.</w:t>
            </w:r>
          </w:p>
        </w:tc>
      </w:tr>
    </w:tbl>
    <w:p>
      <w:pPr>
        <w:spacing w:after="0"/>
      </w:pPr>
    </w:p>
    <w:p>
      <w:pPr>
        <w:pStyle w:val="Heading2"/>
      </w:pPr>
      <w:r>
        <w:rPr>
          <w:rFonts w:ascii="Calibri" w:hAnsi="Calibri"/>
          <w:b/>
          <w:i w:val="0"/>
          <w:sz w:val="32"/>
        </w:rPr>
        <w:t>2.4 TÍN DỤNG</w:t>
      </w:r>
    </w:p>
    <w:p>
      <w:pPr>
        <w:pStyle w:val="Heading3"/>
      </w:pPr>
      <w:r>
        <w:rPr>
          <w:rFonts w:ascii="Calibri" w:hAnsi="Calibri"/>
          <w:b/>
          <w:i w:val="0"/>
          <w:sz w:val="26"/>
        </w:rPr>
        <w:t>Giới thiệu</w:t>
      </w:r>
    </w:p>
    <w:p>
      <w:pPr>
        <w:spacing w:after="80"/>
      </w:pPr>
      <w:r>
        <w:rPr>
          <w:b w:val="0"/>
          <w:i w:val="0"/>
        </w:rPr>
        <w:t>Các quy trình tín dụng chính thức bằng văn bản (ví dụ: thiết lập điều khoản tín dụng, dự phòng nợ khó đòi, kỳ phiếu, cho vay trực tiếp, giao dịch được bồi thường) cần được thiết lập và triển khai cho từng đơn vị hoạt động và phải nhất quán với chính sách do kiểm soát viên tài chính cấp công ty (corporate controller) đề ra.</w:t>
      </w:r>
    </w:p>
    <w:p>
      <w:pPr>
        <w:spacing w:after="80"/>
      </w:pPr>
      <w:r>
        <w:rPr>
          <w:b w:val="0"/>
          <w:i w:val="0"/>
        </w:rPr>
        <w:t>Hạn mức tín dụng phải được thiết lập cho từng khách hàng có điều khoản thanh toán đã được xác lập. Hạn mức tín dụng phải được ghi nhận trong hệ thống thông tin (ví dụ: hồ sơ khách hàng chính - customer master) được dùng để quản lý việc giao hàng cho khách hàng. Phải xem xét lại hạn mức tín dụng đã phê duyệt và số dư khoản phải thu hiện tại trước khi chấp nhận và/hoặc giao thêm đơn hàng cho khách hàng. Việc xem xét cần tính đến tất cả hoạt động cho thuê hoặc bán hàng trực tiếp của các đơn vị khu vực và đơn vị kinh doanh, dẫn đến số dư khoản phải thu toàn cầu.</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2.4.1</w:t>
            </w:r>
          </w:p>
        </w:tc>
        <w:tc>
          <w:tcPr>
            <w:tcW w:type="dxa" w:w="4680"/>
          </w:tcPr>
          <w:p>
            <w:r/>
            <w:r>
              <w:rPr>
                <w:b/>
                <w:i w:val="0"/>
                <w:sz w:val="19"/>
              </w:rPr>
              <w:t>Chính sách Tín dụng.</w:t>
            </w:r>
            <w:r>
              <w:rPr>
                <w:b w:val="0"/>
                <w:i w:val="0"/>
                <w:sz w:val="19"/>
              </w:rPr>
              <w:t xml:space="preserve"> Các quy trình tín dụng chính thức bằng văn bản (ví dụ: thiết lập điều khoản tín dụng, dự phòng nợ khó đòi, kỳ phiếu, cho vay trực tiếp, giao dịch được bồi thường) cần được thiết lập và triển khai cho từng đơn vị hoạt động và phải nhất quán với chính sách do kiểm soát viên tài chính cấp công ty đề ra. </w:t>
            </w:r>
            <w:r>
              <w:rPr>
                <w:b/>
                <w:i w:val="0"/>
                <w:sz w:val="19"/>
              </w:rPr>
              <w:t>Tham chiếu rủi ro: D-1, D-2, D-4</w:t>
            </w:r>
          </w:p>
        </w:tc>
      </w:tr>
      <w:tr>
        <w:tc>
          <w:tcPr>
            <w:tcW w:type="dxa" w:w="4680"/>
          </w:tcPr>
          <w:p>
            <w:r/>
            <w:r>
              <w:rPr>
                <w:b w:val="0"/>
                <w:i w:val="0"/>
                <w:sz w:val="19"/>
              </w:rPr>
              <w:t>2.4.2</w:t>
            </w:r>
          </w:p>
        </w:tc>
        <w:tc>
          <w:tcPr>
            <w:tcW w:type="dxa" w:w="4680"/>
          </w:tcPr>
          <w:p>
            <w:r/>
            <w:r>
              <w:rPr>
                <w:b/>
                <w:i w:val="0"/>
                <w:sz w:val="19"/>
              </w:rPr>
              <w:t>Hạn mức Tín dụng.</w:t>
            </w:r>
            <w:r>
              <w:rPr>
                <w:b w:val="0"/>
                <w:i w:val="0"/>
                <w:sz w:val="19"/>
              </w:rPr>
              <w:t xml:space="preserve"> Hạn mức tín dụng phải được thiết lập cho từng khách hàng. Hạn mức tín dụng phải được ghi nhận trong hệ thống thông tin (ví dụ: hồ sơ khách hàng chính) được dùng để quản lý việc giao hàng cho khách hàng. Hạn mức tín dụng phải dựa trên việc xem xét khả năng thanh toán của khách hàng và cần được cân đối giữa vị thế tín dụng địa phương và toàn cầu. Phải sử dụng các nguồn thông tin bên ngoài đáng tin cậy để thiết lập các hạn mức này. </w:t>
            </w:r>
            <w:r>
              <w:rPr>
                <w:b/>
                <w:i w:val="0"/>
                <w:sz w:val="19"/>
              </w:rPr>
              <w:t>Tham chiếu rủi ro: D-2, D-4</w:t>
            </w:r>
          </w:p>
        </w:tc>
      </w:tr>
      <w:tr>
        <w:tc>
          <w:tcPr>
            <w:tcW w:type="dxa" w:w="4680"/>
          </w:tcPr>
          <w:p>
            <w:r/>
            <w:r>
              <w:rPr>
                <w:b w:val="0"/>
                <w:i w:val="0"/>
                <w:sz w:val="19"/>
              </w:rPr>
              <w:t>2.4.3</w:t>
            </w:r>
          </w:p>
        </w:tc>
        <w:tc>
          <w:tcPr>
            <w:tcW w:type="dxa" w:w="4680"/>
          </w:tcPr>
          <w:p>
            <w:r/>
            <w:r>
              <w:rPr>
                <w:b/>
                <w:i w:val="0"/>
                <w:sz w:val="19"/>
              </w:rPr>
              <w:t>Ngoại lệ Hạn mức Tín dụng.</w:t>
            </w:r>
            <w:r>
              <w:rPr>
                <w:b w:val="0"/>
                <w:i w:val="0"/>
                <w:sz w:val="19"/>
              </w:rPr>
              <w:t xml:space="preserve"> Cần có sự phê duyệt của bộ phận quản lý tín dụng trước khi cấp tín dụng vượt hạn mức đã phê duyệt. Khi cấp tín dụng mở rộng, cần thiết lập một khung thời gian kèm tiêu chí cho quy trình gia hạn/giảm hạn khi thời hạn kết thúc hoặc tiêu chí không được đáp ứng. </w:t>
            </w:r>
            <w:r>
              <w:rPr>
                <w:b/>
                <w:i w:val="0"/>
                <w:sz w:val="19"/>
              </w:rPr>
              <w:t>Tham chiếu rủi ro: D-2, D-4</w:t>
            </w:r>
          </w:p>
        </w:tc>
      </w:tr>
      <w:tr>
        <w:tc>
          <w:tcPr>
            <w:tcW w:type="dxa" w:w="4680"/>
          </w:tcPr>
          <w:p>
            <w:r/>
            <w:r>
              <w:rPr>
                <w:b w:val="0"/>
                <w:i w:val="0"/>
                <w:sz w:val="19"/>
              </w:rPr>
              <w:t>2.4.4</w:t>
            </w:r>
          </w:p>
        </w:tc>
        <w:tc>
          <w:tcPr>
            <w:tcW w:type="dxa" w:w="4680"/>
          </w:tcPr>
          <w:p>
            <w:r/>
            <w:r>
              <w:rPr>
                <w:b/>
                <w:i w:val="0"/>
                <w:sz w:val="19"/>
              </w:rPr>
              <w:t>Xem xét Hạn mức Tín dụng.</w:t>
            </w:r>
            <w:r>
              <w:rPr>
                <w:b w:val="0"/>
                <w:i w:val="0"/>
                <w:sz w:val="19"/>
              </w:rPr>
              <w:t xml:space="preserve"> Hạn mức tín dụng của khách hàng đã thiết lập phải được ghi chép, lưu trữ và xem xét tính đầy đủ ít nhất mỗi năm một lần. Khi thích hợp, việc điều chỉnh hạn mức tín dụng phải được thực hiện theo các chính sách/quy trình đã phê duyệt của công ty. Lịch sử tín dụng của khách hàng phải được duy trì. </w:t>
            </w:r>
            <w:r>
              <w:rPr>
                <w:b/>
                <w:i w:val="0"/>
                <w:sz w:val="19"/>
              </w:rPr>
              <w:t>Tham chiếu rủi ro: D-2, D-4</w:t>
            </w:r>
          </w:p>
        </w:tc>
      </w:tr>
      <w:tr>
        <w:tc>
          <w:tcPr>
            <w:tcW w:type="dxa" w:w="4680"/>
          </w:tcPr>
          <w:p>
            <w:r/>
            <w:r>
              <w:rPr>
                <w:b w:val="0"/>
                <w:i w:val="0"/>
                <w:sz w:val="19"/>
              </w:rPr>
              <w:t>2.4.5</w:t>
            </w:r>
          </w:p>
        </w:tc>
        <w:tc>
          <w:tcPr>
            <w:tcW w:type="dxa" w:w="4680"/>
          </w:tcPr>
          <w:p>
            <w:r/>
            <w:r>
              <w:rPr>
                <w:b/>
                <w:i w:val="0"/>
                <w:sz w:val="19"/>
              </w:rPr>
              <w:t>Khách hàng quá hạn.</w:t>
            </w:r>
            <w:r>
              <w:rPr>
                <w:b w:val="0"/>
                <w:i w:val="0"/>
                <w:sz w:val="19"/>
              </w:rPr>
              <w:t xml:space="preserve"> Khách hàng phải được gán chỉ định "chuyển sang bộ phận tín dụng" (refer to credit) bất cứ khi nào tài khoản của họ có số dư quá hạn không tranh chấp. Mọi đơn hàng do những khách hàng này đặt đều phải được bộ phận Tín dụng phê duyệt trước khi được giải phóng để giao hàng. </w:t>
            </w:r>
            <w:r>
              <w:rPr>
                <w:b/>
                <w:i w:val="0"/>
                <w:sz w:val="19"/>
              </w:rPr>
              <w:t>Tham chiếu rủi ro: D-2, D-4</w:t>
            </w:r>
          </w:p>
        </w:tc>
      </w:tr>
      <w:tr>
        <w:tc>
          <w:tcPr>
            <w:tcW w:type="dxa" w:w="4680"/>
          </w:tcPr>
          <w:p>
            <w:r/>
            <w:r>
              <w:rPr>
                <w:b w:val="0"/>
                <w:i w:val="0"/>
                <w:sz w:val="19"/>
              </w:rPr>
              <w:t>2.4.6</w:t>
            </w:r>
          </w:p>
        </w:tc>
        <w:tc>
          <w:tcPr>
            <w:tcW w:type="dxa" w:w="4680"/>
          </w:tcPr>
          <w:p>
            <w:r/>
            <w:r>
              <w:rPr>
                <w:b/>
                <w:i w:val="0"/>
                <w:sz w:val="19"/>
              </w:rPr>
              <w:t>Điều khoản bán hàng.</w:t>
            </w:r>
            <w:r>
              <w:rPr>
                <w:b w:val="0"/>
                <w:i w:val="0"/>
                <w:sz w:val="19"/>
              </w:rPr>
              <w:t xml:space="preserve"> Điều khoản bán hàng tiêu chuẩn phải được áp dụng cho tất cả khách hàng hoặc các nhóm khách hàng. Các ngoại lệ đối với điều khoản bán hàng tiêu chuẩn chỉ được thực hiện song song với việc giao sản phẩm tùy chỉnh và cung cấp dịch vụ tùy chỉnh, đồng thời phải được cấp quản lý phù hợp phê duyệt. </w:t>
            </w:r>
            <w:r>
              <w:rPr>
                <w:b/>
                <w:i w:val="0"/>
                <w:sz w:val="19"/>
              </w:rPr>
              <w:t>Tham chiếu rủi ro: D-2, D-4</w:t>
            </w:r>
          </w:p>
        </w:tc>
      </w:tr>
      <w:tr>
        <w:tc>
          <w:tcPr>
            <w:tcW w:type="dxa" w:w="4680"/>
          </w:tcPr>
          <w:p>
            <w:r/>
            <w:r>
              <w:rPr>
                <w:b w:val="0"/>
                <w:i w:val="0"/>
                <w:sz w:val="19"/>
              </w:rPr>
              <w:t>2.4.7</w:t>
            </w:r>
          </w:p>
        </w:tc>
        <w:tc>
          <w:tcPr>
            <w:tcW w:type="dxa" w:w="4680"/>
          </w:tcPr>
          <w:p>
            <w:r/>
            <w:r>
              <w:rPr>
                <w:b/>
                <w:i w:val="0"/>
                <w:sz w:val="19"/>
              </w:rPr>
              <w:t>Phân tách nhiệm vụ.</w:t>
            </w:r>
            <w:r>
              <w:rPr>
                <w:b w:val="0"/>
                <w:i w:val="0"/>
                <w:sz w:val="19"/>
              </w:rPr>
              <w:t xml:space="preserve"> Hoạt động quản trị tín dụng phải độc lập với các chức năng nhập đơn hàng, lập hóa đơn, sổ cái tổng hợp và bán hàng. </w:t>
            </w:r>
            <w:r>
              <w:rPr>
                <w:b/>
                <w:i w:val="0"/>
                <w:sz w:val="19"/>
              </w:rPr>
              <w:t>Tham chiếu rủi ro: D-2, D-3</w:t>
            </w:r>
          </w:p>
        </w:tc>
      </w:tr>
      <w:tr>
        <w:tc>
          <w:tcPr>
            <w:tcW w:type="dxa" w:w="4680"/>
          </w:tcPr>
          <w:p>
            <w:r/>
            <w:r>
              <w:rPr>
                <w:b w:val="0"/>
                <w:i w:val="0"/>
                <w:sz w:val="19"/>
              </w:rPr>
              <w:t>2.4.8</w:t>
            </w:r>
          </w:p>
        </w:tc>
        <w:tc>
          <w:tcPr>
            <w:tcW w:type="dxa" w:w="4680"/>
          </w:tcPr>
          <w:p>
            <w:r/>
            <w:r>
              <w:rPr>
                <w:b/>
                <w:i w:val="0"/>
                <w:sz w:val="19"/>
              </w:rPr>
              <w:t>Quyền truy cập hệ thống.</w:t>
            </w:r>
            <w:r>
              <w:rPr>
                <w:b w:val="0"/>
                <w:i w:val="0"/>
                <w:sz w:val="19"/>
              </w:rPr>
              <w:t xml:space="preserve"> Những cá nhân có quyền trên hệ thống để thực hiện các bút toán trong sổ cái phụ các khoản phải thu (ví dụ: hạch toán tiền mặt, xóa nợ tài khoản, nhượng bộ bán hàng và chiết khấu bán hàng) không được có quyền trên hệ thống để lập hóa đơn cho khách hàng, phát hành giấy báo có (credit memo) hoặc điều chỉnh sổ cái tổng hợp. Nếu không thể tách biệt các nhiệm vụ này do quy mô nhân sự hạn chế, thì phải ghi nhận, triển khai và tuân thủ các kiểm soát bù trừ (compensating controls). </w:t>
            </w:r>
            <w:r>
              <w:rPr>
                <w:b/>
                <w:i w:val="0"/>
                <w:sz w:val="19"/>
              </w:rPr>
              <w:t>Tham chiếu rủi ro: D-2, D-3, D-5</w:t>
            </w:r>
          </w:p>
        </w:tc>
      </w:tr>
      <w:tr>
        <w:tc>
          <w:tcPr>
            <w:tcW w:type="dxa" w:w="4680"/>
          </w:tcPr>
          <w:p>
            <w:r/>
            <w:r>
              <w:rPr>
                <w:b w:val="0"/>
                <w:i w:val="0"/>
                <w:sz w:val="19"/>
              </w:rPr>
              <w:t>2.4.9</w:t>
            </w:r>
          </w:p>
        </w:tc>
        <w:tc>
          <w:tcPr>
            <w:tcW w:type="dxa" w:w="4680"/>
          </w:tcPr>
          <w:p>
            <w:r/>
            <w:r>
              <w:rPr>
                <w:b/>
                <w:i w:val="0"/>
                <w:sz w:val="19"/>
              </w:rPr>
              <w:t>Hoàn tiền mặt.</w:t>
            </w:r>
            <w:r>
              <w:rPr>
                <w:b w:val="0"/>
                <w:i w:val="0"/>
                <w:sz w:val="19"/>
              </w:rPr>
              <w:t xml:space="preserve"> Khi các khoản hoàn tiền không được xử lý dưới dạng bút toán có (credits), cần thiết lập một quy trình để đảm bảo tài khoản luôn ở trạng thái hiện hành. Hoàn tiền mặt nên do bộ phận tín dụng khởi tạo, do bộ phận tài chính phê duyệt, do bộ phận các khoản phải trả chi trả và do bộ phận tài chính đối chiếu. </w:t>
            </w:r>
            <w:r>
              <w:rPr>
                <w:b/>
                <w:i w:val="0"/>
                <w:sz w:val="19"/>
              </w:rPr>
              <w:t>Tham chiếu rủi ro: D-3, D-6</w:t>
            </w:r>
          </w:p>
        </w:tc>
      </w:tr>
      <w:tr>
        <w:tc>
          <w:tcPr>
            <w:tcW w:type="dxa" w:w="4680"/>
          </w:tcPr>
          <w:p>
            <w:r/>
            <w:r>
              <w:rPr>
                <w:b w:val="0"/>
                <w:i w:val="0"/>
                <w:sz w:val="19"/>
              </w:rPr>
              <w:t>2.4.10</w:t>
            </w:r>
          </w:p>
        </w:tc>
        <w:tc>
          <w:tcPr>
            <w:tcW w:type="dxa" w:w="4680"/>
          </w:tcPr>
          <w:p>
            <w:r/>
            <w:r>
              <w:rPr>
                <w:b/>
                <w:i w:val="0"/>
                <w:sz w:val="19"/>
              </w:rPr>
              <w:t>Khấu trừ tiền mặt.</w:t>
            </w:r>
            <w:r>
              <w:rPr>
                <w:b w:val="0"/>
                <w:i w:val="0"/>
                <w:sz w:val="19"/>
              </w:rPr>
              <w:t xml:space="preserve"> Các khoản khấu trừ của khách hàng (giấy báo nợ - debit memo) do bộ phận tín dụng tạo ra, do bộ phận tài chính khu vực phê duyệt và do chức năng tài chính phù hợp hạch toán. </w:t>
            </w:r>
            <w:r>
              <w:rPr>
                <w:b/>
                <w:i w:val="0"/>
                <w:sz w:val="19"/>
              </w:rPr>
              <w:t>Tham chiếu rủi ro: D-3</w:t>
            </w:r>
          </w:p>
        </w:tc>
      </w:tr>
      <w:tr>
        <w:tc>
          <w:tcPr>
            <w:tcW w:type="dxa" w:w="4680"/>
          </w:tcPr>
          <w:p>
            <w:r/>
            <w:r>
              <w:rPr>
                <w:b w:val="0"/>
                <w:i w:val="0"/>
                <w:sz w:val="19"/>
              </w:rPr>
              <w:t>2.4.11</w:t>
            </w:r>
          </w:p>
        </w:tc>
        <w:tc>
          <w:tcPr>
            <w:tcW w:type="dxa" w:w="4680"/>
          </w:tcPr>
          <w:p>
            <w:r/>
            <w:r>
              <w:rPr>
                <w:b/>
                <w:i w:val="0"/>
                <w:sz w:val="19"/>
              </w:rPr>
              <w:t>Tranh chấp và nhượng bộ.</w:t>
            </w:r>
            <w:r>
              <w:rPr>
                <w:b w:val="0"/>
                <w:i w:val="0"/>
                <w:sz w:val="19"/>
              </w:rPr>
              <w:t xml:space="preserve"> Phải xây dựng và giám sát các hướng dẫn cho việc phát hiện, truy vết và giải quyết tranh chấp. Phải xây dựng và giám sát các tiêu chí cũng như việc phê duyệt cho các khoản nhượng bộ. </w:t>
            </w:r>
            <w:r>
              <w:rPr>
                <w:b/>
                <w:i w:val="0"/>
                <w:sz w:val="19"/>
              </w:rPr>
              <w:t>Tham chiếu rủi ro: D-4, D-6</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D-1</w:t>
            </w:r>
          </w:p>
        </w:tc>
        <w:tc>
          <w:tcPr>
            <w:tcW w:type="dxa" w:w="4680"/>
          </w:tcPr>
          <w:p>
            <w:r/>
            <w:r>
              <w:rPr>
                <w:b w:val="0"/>
                <w:i w:val="0"/>
                <w:sz w:val="19"/>
              </w:rPr>
              <w:t>Việc xem xét tín dụng có thể được thực hiện một cách không nhất quán và/hoặc không đầy đủ.</w:t>
            </w:r>
          </w:p>
        </w:tc>
      </w:tr>
      <w:tr>
        <w:tc>
          <w:tcPr>
            <w:tcW w:type="dxa" w:w="4680"/>
          </w:tcPr>
          <w:p>
            <w:r/>
            <w:r>
              <w:rPr>
                <w:b w:val="0"/>
                <w:i w:val="0"/>
                <w:sz w:val="19"/>
              </w:rPr>
              <w:t>D-2</w:t>
            </w:r>
          </w:p>
        </w:tc>
        <w:tc>
          <w:tcPr>
            <w:tcW w:type="dxa" w:w="4680"/>
          </w:tcPr>
          <w:p>
            <w:r/>
            <w:r>
              <w:rPr>
                <w:b w:val="0"/>
                <w:i w:val="0"/>
                <w:sz w:val="19"/>
              </w:rPr>
              <w:t>Sản phẩm hoặc dịch vụ có thể bị bán cho khách hàng không được phép hoặc cho một rủi ro tín dụng không thể chấp nhận được, dẫn đến các khoản phải thu không thể thu hồi.</w:t>
            </w:r>
          </w:p>
        </w:tc>
      </w:tr>
      <w:tr>
        <w:tc>
          <w:tcPr>
            <w:tcW w:type="dxa" w:w="4680"/>
          </w:tcPr>
          <w:p>
            <w:r/>
            <w:r>
              <w:rPr>
                <w:b w:val="0"/>
                <w:i w:val="0"/>
                <w:sz w:val="19"/>
              </w:rPr>
              <w:t>D-3</w:t>
            </w:r>
          </w:p>
        </w:tc>
        <w:tc>
          <w:tcPr>
            <w:tcW w:type="dxa" w:w="4680"/>
          </w:tcPr>
          <w:p>
            <w:r/>
            <w:r>
              <w:rPr>
                <w:b w:val="0"/>
                <w:i w:val="0"/>
                <w:sz w:val="19"/>
              </w:rPr>
              <w:t>Việc cố ý sửa đổi hồ sơ/hóa đơn các khoản phải thu có thể xảy ra.</w:t>
            </w:r>
          </w:p>
        </w:tc>
      </w:tr>
      <w:tr>
        <w:tc>
          <w:tcPr>
            <w:tcW w:type="dxa" w:w="4680"/>
          </w:tcPr>
          <w:p>
            <w:r/>
            <w:r>
              <w:rPr>
                <w:b w:val="0"/>
                <w:i w:val="0"/>
                <w:sz w:val="19"/>
              </w:rPr>
              <w:t>D-4</w:t>
            </w:r>
          </w:p>
        </w:tc>
        <w:tc>
          <w:tcPr>
            <w:tcW w:type="dxa" w:w="4680"/>
          </w:tcPr>
          <w:p>
            <w:r/>
            <w:r>
              <w:rPr>
                <w:b w:val="0"/>
                <w:i w:val="0"/>
                <w:sz w:val="19"/>
              </w:rPr>
              <w:t>Doanh thu có thể bị mất do các quyết định tín dụng kém.</w:t>
            </w:r>
          </w:p>
        </w:tc>
      </w:tr>
      <w:tr>
        <w:tc>
          <w:tcPr>
            <w:tcW w:type="dxa" w:w="4680"/>
          </w:tcPr>
          <w:p>
            <w:r/>
            <w:r>
              <w:rPr>
                <w:b w:val="0"/>
                <w:i w:val="0"/>
                <w:sz w:val="19"/>
              </w:rPr>
              <w:t>D-5</w:t>
            </w:r>
          </w:p>
        </w:tc>
        <w:tc>
          <w:tcPr>
            <w:tcW w:type="dxa" w:w="4680"/>
          </w:tcPr>
          <w:p>
            <w:r/>
            <w:r>
              <w:rPr>
                <w:b w:val="0"/>
                <w:i w:val="0"/>
                <w:sz w:val="19"/>
              </w:rPr>
              <w:t>Tiền của công ty có thể bị giải ngân cho những khách hàng có số dư quá hạn.</w:t>
            </w:r>
          </w:p>
        </w:tc>
      </w:tr>
      <w:tr>
        <w:tc>
          <w:tcPr>
            <w:tcW w:type="dxa" w:w="4680"/>
          </w:tcPr>
          <w:p>
            <w:r/>
            <w:r>
              <w:rPr>
                <w:b w:val="0"/>
                <w:i w:val="0"/>
                <w:sz w:val="19"/>
              </w:rPr>
              <w:t>D-6</w:t>
            </w:r>
          </w:p>
        </w:tc>
        <w:tc>
          <w:tcPr>
            <w:tcW w:type="dxa" w:w="4680"/>
          </w:tcPr>
          <w:p>
            <w:r/>
            <w:r>
              <w:rPr>
                <w:b w:val="0"/>
                <w:i w:val="0"/>
                <w:sz w:val="19"/>
              </w:rPr>
              <w:t>Sự không hài lòng của khách hàng có thể xảy ra nếu việc giải quyết không được thực hiện kịp thời.</w:t>
            </w:r>
          </w:p>
        </w:tc>
      </w:tr>
    </w:tbl>
    <w:p>
      <w:pPr>
        <w:spacing w:after="0"/>
      </w:pPr>
    </w:p>
    <w:p>
      <w:pPr>
        <w:pStyle w:val="Heading2"/>
      </w:pPr>
      <w:r>
        <w:rPr>
          <w:rFonts w:ascii="Calibri" w:hAnsi="Calibri"/>
          <w:b/>
          <w:i w:val="0"/>
          <w:sz w:val="32"/>
        </w:rPr>
        <w:t>2.5 VẬN CHUYỂN</w:t>
      </w:r>
    </w:p>
    <w:p>
      <w:pPr>
        <w:pStyle w:val="Heading3"/>
      </w:pPr>
      <w:r>
        <w:rPr>
          <w:rFonts w:ascii="Calibri" w:hAnsi="Calibri"/>
          <w:b/>
          <w:i w:val="0"/>
          <w:sz w:val="26"/>
        </w:rPr>
        <w:t>Giới thiệu</w:t>
      </w:r>
    </w:p>
    <w:p>
      <w:pPr>
        <w:spacing w:after="80"/>
      </w:pPr>
      <w:r>
        <w:rPr>
          <w:b w:val="0"/>
          <w:i w:val="0"/>
        </w:rPr>
        <w:t>Các giao dịch vận chuyển được kiểm soát bằng số phải được chuẩn bị cho tất cả hàng hóa được vận chuyển. Bằng chứng về việc vận chuyển phải được chuyển đến mô-đun kế toán hoặc lập hóa đơn một cách kịp thời, thường trong vòng 24 giờ. Các yêu cầu về thời điểm chốt bán hàng cho mục đích ghi nhận doanh thu sẽ được bộ phận vận chuyển tuân thủ.</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2.5.1</w:t>
            </w:r>
          </w:p>
        </w:tc>
        <w:tc>
          <w:tcPr>
            <w:tcW w:type="dxa" w:w="4680"/>
          </w:tcPr>
          <w:p>
            <w:r/>
            <w:r>
              <w:rPr>
                <w:b/>
                <w:i w:val="0"/>
                <w:sz w:val="19"/>
              </w:rPr>
              <w:t>Lô hàng được phép.</w:t>
            </w:r>
            <w:r>
              <w:rPr>
                <w:b w:val="0"/>
                <w:i w:val="0"/>
                <w:sz w:val="19"/>
              </w:rPr>
              <w:t xml:space="preserve"> Cần có sự cho phép bằng văn bản hợp lệ với nhu cầu kinh doanh phù hợp cho tất cả sản phẩm xuất khỏi cơ sở công ty. </w:t>
            </w:r>
            <w:r>
              <w:rPr>
                <w:b/>
                <w:i w:val="0"/>
                <w:sz w:val="19"/>
              </w:rPr>
              <w:t>Tham khảo rủi ro: E-1, E-2, E-3, E-4</w:t>
            </w:r>
          </w:p>
        </w:tc>
      </w:tr>
      <w:tr>
        <w:tc>
          <w:tcPr>
            <w:tcW w:type="dxa" w:w="4680"/>
          </w:tcPr>
          <w:p>
            <w:r/>
            <w:r>
              <w:rPr>
                <w:b w:val="0"/>
                <w:i w:val="0"/>
                <w:sz w:val="19"/>
              </w:rPr>
              <w:t>2.5.2</w:t>
            </w:r>
          </w:p>
        </w:tc>
        <w:tc>
          <w:tcPr>
            <w:tcW w:type="dxa" w:w="4680"/>
          </w:tcPr>
          <w:p>
            <w:r/>
            <w:r>
              <w:rPr>
                <w:b/>
                <w:i w:val="0"/>
                <w:sz w:val="19"/>
              </w:rPr>
              <w:t>Hạch toán lô hàng.</w:t>
            </w:r>
            <w:r>
              <w:rPr>
                <w:b w:val="0"/>
                <w:i w:val="0"/>
                <w:sz w:val="19"/>
              </w:rPr>
              <w:t xml:space="preserve"> Đơn bán hàng hoặc giấy phép vận chuyển phải được hạch toán định kỳ bởi người độc lập với các chức năng xử lý đơn hàng và vận chuyển. Việc này bao gồm đảm bảo tất cả các lô sản phẩm đã được xuất hóa đơn và được phản ánh chính xác trong hồ sơ tồn kho. </w:t>
            </w:r>
            <w:r>
              <w:rPr>
                <w:b/>
                <w:i w:val="0"/>
                <w:sz w:val="19"/>
              </w:rPr>
              <w:t>Tham khảo rủi ro: E-3, E-5, E-9, E-10</w:t>
            </w:r>
          </w:p>
        </w:tc>
      </w:tr>
      <w:tr>
        <w:tc>
          <w:tcPr>
            <w:tcW w:type="dxa" w:w="4680"/>
          </w:tcPr>
          <w:p>
            <w:r/>
            <w:r>
              <w:rPr>
                <w:b w:val="0"/>
                <w:i w:val="0"/>
                <w:sz w:val="19"/>
              </w:rPr>
              <w:t>2.5.3</w:t>
            </w:r>
          </w:p>
        </w:tc>
        <w:tc>
          <w:tcPr>
            <w:tcW w:type="dxa" w:w="4680"/>
          </w:tcPr>
          <w:p>
            <w:r/>
            <w:r>
              <w:rPr>
                <w:b/>
                <w:i w:val="0"/>
                <w:sz w:val="19"/>
              </w:rPr>
              <w:t>Lô hàng có chứng từ.</w:t>
            </w:r>
            <w:r>
              <w:rPr>
                <w:b w:val="0"/>
                <w:i w:val="0"/>
                <w:sz w:val="19"/>
              </w:rPr>
              <w:t xml:space="preserve"> Phải chuẩn bị chứng từ chính xác đáp ứng các yêu cầu pháp lý và hợp đồng cho tất cả các lô hàng. </w:t>
            </w:r>
            <w:r>
              <w:rPr>
                <w:b/>
                <w:i w:val="0"/>
                <w:sz w:val="19"/>
              </w:rPr>
              <w:t>Tham khảo rủi ro: E-1, E-2</w:t>
            </w:r>
          </w:p>
        </w:tc>
      </w:tr>
      <w:tr>
        <w:tc>
          <w:tcPr>
            <w:tcW w:type="dxa" w:w="4680"/>
          </w:tcPr>
          <w:p>
            <w:r/>
            <w:r>
              <w:rPr>
                <w:b w:val="0"/>
                <w:i w:val="0"/>
                <w:sz w:val="19"/>
              </w:rPr>
              <w:t>2.5.4</w:t>
            </w:r>
          </w:p>
        </w:tc>
        <w:tc>
          <w:tcPr>
            <w:tcW w:type="dxa" w:w="4680"/>
          </w:tcPr>
          <w:p>
            <w:r/>
            <w:r>
              <w:rPr>
                <w:b/>
                <w:i w:val="0"/>
                <w:sz w:val="19"/>
              </w:rPr>
              <w:t>Hồ sơ vận chuyển.</w:t>
            </w:r>
            <w:r>
              <w:rPr>
                <w:b w:val="0"/>
                <w:i w:val="0"/>
                <w:sz w:val="19"/>
              </w:rPr>
              <w:t xml:space="preserve"> Chứng từ vận chuyển phải được đánh số trước khi tính toàn vẹn của trình tự không được kiểm soát bằng máy tính. Chứng từ bị thiếu phải được điều tra. </w:t>
            </w:r>
            <w:r>
              <w:rPr>
                <w:b/>
                <w:i w:val="0"/>
                <w:sz w:val="19"/>
              </w:rPr>
              <w:t>Tham khảo rủi ro: E-3, E-7, E-8</w:t>
            </w:r>
          </w:p>
        </w:tc>
      </w:tr>
      <w:tr>
        <w:tc>
          <w:tcPr>
            <w:tcW w:type="dxa" w:w="4680"/>
          </w:tcPr>
          <w:p>
            <w:r/>
            <w:r>
              <w:rPr>
                <w:b w:val="0"/>
                <w:i w:val="0"/>
                <w:sz w:val="19"/>
              </w:rPr>
              <w:t>2.5.5</w:t>
            </w:r>
          </w:p>
        </w:tc>
        <w:tc>
          <w:tcPr>
            <w:tcW w:type="dxa" w:w="4680"/>
          </w:tcPr>
          <w:p>
            <w:r/>
            <w:r>
              <w:rPr>
                <w:b/>
                <w:i w:val="0"/>
                <w:sz w:val="19"/>
              </w:rPr>
              <w:t>Chuyển giao sản phẩm.</w:t>
            </w:r>
            <w:r>
              <w:rPr>
                <w:b w:val="0"/>
                <w:i w:val="0"/>
                <w:sz w:val="19"/>
              </w:rPr>
              <w:t xml:space="preserve"> Phải lấy bằng chứng vận chuyển, chẳng hạn như vận đơn có ký, từ đơn vị vận chuyển để xác lập việc chuyển giao sản phẩm về mặt thực tế và pháp lý. Những chứng từ như vậy phải luôn phản ánh ngày vận chuyển thực tế. </w:t>
            </w:r>
            <w:r>
              <w:rPr>
                <w:b/>
                <w:i w:val="0"/>
                <w:sz w:val="19"/>
              </w:rPr>
              <w:t>Tham khảo rủi ro: E-3, E-6, E-7</w:t>
            </w:r>
          </w:p>
        </w:tc>
      </w:tr>
      <w:tr>
        <w:tc>
          <w:tcPr>
            <w:tcW w:type="dxa" w:w="4680"/>
          </w:tcPr>
          <w:p>
            <w:r/>
            <w:r>
              <w:rPr>
                <w:b w:val="0"/>
                <w:i w:val="0"/>
                <w:sz w:val="19"/>
              </w:rPr>
              <w:t>2.5.6</w:t>
            </w:r>
          </w:p>
        </w:tc>
        <w:tc>
          <w:tcPr>
            <w:tcW w:type="dxa" w:w="4680"/>
          </w:tcPr>
          <w:p>
            <w:r/>
            <w:r>
              <w:rPr>
                <w:b/>
                <w:i w:val="0"/>
                <w:sz w:val="19"/>
              </w:rPr>
              <w:t>Xác minh số lượng và sản phẩm.</w:t>
            </w:r>
            <w:r>
              <w:rPr>
                <w:b w:val="0"/>
                <w:i w:val="0"/>
                <w:sz w:val="19"/>
              </w:rPr>
              <w:t xml:space="preserve"> Người độc lập với chức năng vận chuyển phải xác minh loại và số lượng sản phẩm sẽ vận chuyển, ít nhất là trên cơ sở kiểm tra mẫu. Cần lấy một số hình thức xác nhận số lượng/loại từ đơn vị vận chuyển. </w:t>
            </w:r>
            <w:r>
              <w:rPr>
                <w:b/>
                <w:i w:val="0"/>
                <w:sz w:val="19"/>
              </w:rPr>
              <w:t>Tham khảo rủi ro: E-2, E-4</w:t>
            </w:r>
          </w:p>
        </w:tc>
      </w:tr>
      <w:tr>
        <w:tc>
          <w:tcPr>
            <w:tcW w:type="dxa" w:w="4680"/>
          </w:tcPr>
          <w:p>
            <w:r/>
            <w:r>
              <w:rPr>
                <w:b w:val="0"/>
                <w:i w:val="0"/>
                <w:sz w:val="19"/>
              </w:rPr>
              <w:t>2.5.7</w:t>
            </w:r>
          </w:p>
        </w:tc>
        <w:tc>
          <w:tcPr>
            <w:tcW w:type="dxa" w:w="4680"/>
          </w:tcPr>
          <w:p>
            <w:r/>
            <w:r>
              <w:rPr>
                <w:b/>
                <w:i w:val="0"/>
                <w:sz w:val="19"/>
              </w:rPr>
              <w:t>Bố trí kho hàng.</w:t>
            </w:r>
            <w:r>
              <w:rPr>
                <w:b w:val="0"/>
                <w:i w:val="0"/>
                <w:sz w:val="19"/>
              </w:rPr>
              <w:t xml:space="preserve"> Bộ phận Vận chuyển phải được tách biệt về mặt vật lý khỏi khu vực sản xuất và tiếp nhận, theo yêu cầu của thông lệ kinh doanh tốt. Sản phẩm trả về phải được tách biệt khỏi hàng tồn kho sẵn sàng để bán. </w:t>
            </w:r>
            <w:r>
              <w:rPr>
                <w:b/>
                <w:i w:val="0"/>
                <w:sz w:val="19"/>
              </w:rPr>
              <w:t>Tham khảo rủi ro: E-4</w:t>
            </w:r>
          </w:p>
        </w:tc>
      </w:tr>
      <w:tr>
        <w:tc>
          <w:tcPr>
            <w:tcW w:type="dxa" w:w="4680"/>
          </w:tcPr>
          <w:p>
            <w:r/>
            <w:r>
              <w:rPr>
                <w:b w:val="0"/>
                <w:i w:val="0"/>
                <w:sz w:val="19"/>
              </w:rPr>
              <w:t>2.5.8</w:t>
            </w:r>
          </w:p>
        </w:tc>
        <w:tc>
          <w:tcPr>
            <w:tcW w:type="dxa" w:w="4680"/>
          </w:tcPr>
          <w:p>
            <w:r/>
            <w:r>
              <w:rPr>
                <w:b/>
                <w:i w:val="0"/>
                <w:sz w:val="19"/>
              </w:rPr>
              <w:t>Quyền ra vào kho hàng.</w:t>
            </w:r>
            <w:r>
              <w:rPr>
                <w:b w:val="0"/>
                <w:i w:val="0"/>
                <w:sz w:val="19"/>
              </w:rPr>
              <w:t xml:space="preserve"> Việc vào khu vực vận chuyển phải được giới hạn chỉ cho nhân viên được ủy quyền. </w:t>
            </w:r>
            <w:r>
              <w:rPr>
                <w:b/>
                <w:i w:val="0"/>
                <w:sz w:val="19"/>
              </w:rPr>
              <w:t>Tham khảo rủi ro: E-4, E-10</w:t>
            </w:r>
          </w:p>
        </w:tc>
      </w:tr>
      <w:tr>
        <w:tc>
          <w:tcPr>
            <w:tcW w:type="dxa" w:w="4680"/>
          </w:tcPr>
          <w:p>
            <w:r/>
            <w:r>
              <w:rPr>
                <w:b w:val="0"/>
                <w:i w:val="0"/>
                <w:sz w:val="19"/>
              </w:rPr>
              <w:t>2.5.9</w:t>
            </w:r>
          </w:p>
        </w:tc>
        <w:tc>
          <w:tcPr>
            <w:tcW w:type="dxa" w:w="4680"/>
          </w:tcPr>
          <w:p>
            <w:r/>
            <w:r>
              <w:rPr>
                <w:b/>
                <w:i w:val="0"/>
                <w:sz w:val="19"/>
              </w:rPr>
              <w:t>Chốt doanh số.</w:t>
            </w:r>
            <w:r>
              <w:rPr>
                <w:b w:val="0"/>
                <w:i w:val="0"/>
                <w:sz w:val="19"/>
              </w:rPr>
              <w:t xml:space="preserve"> Không được có bất kỳ sai lệch nào so với chính sách chốt doanh số của công ty. </w:t>
            </w:r>
            <w:r>
              <w:rPr>
                <w:b/>
                <w:i w:val="0"/>
                <w:sz w:val="19"/>
              </w:rPr>
              <w:t>Tham khảo rủi ro: E-7</w:t>
            </w:r>
          </w:p>
        </w:tc>
      </w:tr>
      <w:tr>
        <w:tc>
          <w:tcPr>
            <w:tcW w:type="dxa" w:w="4680"/>
          </w:tcPr>
          <w:p>
            <w:r/>
            <w:r>
              <w:rPr>
                <w:b w:val="0"/>
                <w:i w:val="0"/>
                <w:sz w:val="19"/>
              </w:rPr>
              <w:t>2.5.10</w:t>
            </w:r>
          </w:p>
        </w:tc>
        <w:tc>
          <w:tcPr>
            <w:tcW w:type="dxa" w:w="4680"/>
          </w:tcPr>
          <w:p>
            <w:r/>
            <w:r>
              <w:rPr>
                <w:b/>
                <w:i w:val="0"/>
                <w:sz w:val="19"/>
              </w:rPr>
              <w:t>Biểu mẫu vận chuyển để trống.</w:t>
            </w:r>
            <w:r>
              <w:rPr>
                <w:b w:val="0"/>
                <w:i w:val="0"/>
                <w:sz w:val="19"/>
              </w:rPr>
              <w:t xml:space="preserve"> Các giấy phép vận chuyển để trống, chứng từ vận chuyển được kiểm soát bằng số và vận đơn phải được bảo vệ khỏi truy cập và sử dụng trái phép. </w:t>
            </w:r>
            <w:r>
              <w:rPr>
                <w:b/>
                <w:i w:val="0"/>
                <w:sz w:val="19"/>
              </w:rPr>
              <w:t>Tham khảo rủi ro: E-8, E-10</w:t>
            </w:r>
          </w:p>
        </w:tc>
      </w:tr>
      <w:tr>
        <w:tc>
          <w:tcPr>
            <w:tcW w:type="dxa" w:w="4680"/>
          </w:tcPr>
          <w:p>
            <w:r/>
            <w:r>
              <w:rPr>
                <w:b w:val="0"/>
                <w:i w:val="0"/>
                <w:sz w:val="19"/>
              </w:rPr>
              <w:t>2.5.11</w:t>
            </w:r>
          </w:p>
        </w:tc>
        <w:tc>
          <w:tcPr>
            <w:tcW w:type="dxa" w:w="4680"/>
          </w:tcPr>
          <w:p>
            <w:r/>
            <w:r>
              <w:rPr>
                <w:b/>
                <w:i w:val="0"/>
                <w:sz w:val="19"/>
              </w:rPr>
              <w:t>Phân tách nhiệm vụ.</w:t>
            </w:r>
            <w:r>
              <w:rPr>
                <w:b w:val="0"/>
                <w:i w:val="0"/>
                <w:sz w:val="19"/>
              </w:rPr>
              <w:t xml:space="preserve"> Chức năng vận chuyển phải độc lập với việc kiểm kê hàng tồn kho thực tế, nhập đơn hàng, lập hóa đơn, các khoản phải thu và chức năng sổ cái chung. </w:t>
            </w:r>
            <w:r>
              <w:rPr>
                <w:b/>
                <w:i w:val="0"/>
                <w:sz w:val="19"/>
              </w:rPr>
              <w:t>Tham khảo rủi ro: E-3, E-10</w:t>
            </w:r>
          </w:p>
        </w:tc>
      </w:tr>
      <w:tr>
        <w:tc>
          <w:tcPr>
            <w:tcW w:type="dxa" w:w="4680"/>
          </w:tcPr>
          <w:p>
            <w:r/>
            <w:r>
              <w:rPr>
                <w:b w:val="0"/>
                <w:i w:val="0"/>
                <w:sz w:val="19"/>
              </w:rPr>
              <w:t>2.5.12</w:t>
            </w:r>
          </w:p>
        </w:tc>
        <w:tc>
          <w:tcPr>
            <w:tcW w:type="dxa" w:w="4680"/>
          </w:tcPr>
          <w:p>
            <w:r/>
            <w:r>
              <w:rPr>
                <w:b/>
                <w:i w:val="0"/>
                <w:sz w:val="19"/>
              </w:rPr>
              <w:t>Khiếu nại.</w:t>
            </w:r>
            <w:r>
              <w:rPr>
                <w:b w:val="0"/>
                <w:i w:val="0"/>
                <w:sz w:val="19"/>
              </w:rPr>
              <w:t xml:space="preserve"> Thư từ của khách hàng (khiếu nại về hóa đơn và vận chuyển, các vấn đề dịch vụ, v.v.) phải được điều tra và giải quyết kịp thời. </w:t>
            </w:r>
            <w:r>
              <w:rPr>
                <w:b/>
                <w:i w:val="0"/>
                <w:sz w:val="19"/>
              </w:rPr>
              <w:t>Tham khảo rủi ro: E-4, E-8, E-10, E-11</w:t>
            </w:r>
          </w:p>
        </w:tc>
      </w:tr>
      <w:tr>
        <w:tc>
          <w:tcPr>
            <w:tcW w:type="dxa" w:w="4680"/>
          </w:tcPr>
          <w:p>
            <w:r/>
            <w:r>
              <w:rPr>
                <w:b w:val="0"/>
                <w:i w:val="0"/>
                <w:sz w:val="19"/>
              </w:rPr>
              <w:t>2.5.13</w:t>
            </w:r>
          </w:p>
        </w:tc>
        <w:tc>
          <w:tcPr>
            <w:tcW w:type="dxa" w:w="4680"/>
          </w:tcPr>
          <w:p>
            <w:r/>
            <w:r>
              <w:rPr>
                <w:b/>
                <w:i w:val="0"/>
                <w:sz w:val="19"/>
              </w:rPr>
              <w:t>Giao hàng trực tiếp (Drop Shipments).</w:t>
            </w:r>
            <w:r>
              <w:rPr>
                <w:b w:val="0"/>
                <w:i w:val="0"/>
                <w:sz w:val="19"/>
              </w:rPr>
              <w:t xml:space="preserve"> Các địa điểm có liên quan đến giao hàng trực tiếp trong nước và quốc tế phải có quy trình được ghi thành văn bản và được thực thi. </w:t>
            </w:r>
            <w:r>
              <w:rPr>
                <w:b/>
                <w:i w:val="0"/>
                <w:sz w:val="19"/>
              </w:rPr>
              <w:t>Tham khảo rủi ro: E-1, E-2, E-3, E-7</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E-1</w:t>
            </w:r>
          </w:p>
        </w:tc>
        <w:tc>
          <w:tcPr>
            <w:tcW w:type="dxa" w:w="4680"/>
          </w:tcPr>
          <w:p>
            <w:r/>
            <w:r>
              <w:rPr>
                <w:b w:val="0"/>
                <w:i w:val="0"/>
                <w:sz w:val="19"/>
              </w:rPr>
              <w:t>Hàng hóa có thể được gửi đến khách hàng không đúng hoặc không được phép, hoặc đến địa điểm khách hàng không đúng.</w:t>
            </w:r>
          </w:p>
        </w:tc>
      </w:tr>
      <w:tr>
        <w:tc>
          <w:tcPr>
            <w:tcW w:type="dxa" w:w="4680"/>
          </w:tcPr>
          <w:p>
            <w:r/>
            <w:r>
              <w:rPr>
                <w:b w:val="0"/>
                <w:i w:val="0"/>
                <w:sz w:val="19"/>
              </w:rPr>
              <w:t>E-2</w:t>
            </w:r>
          </w:p>
        </w:tc>
        <w:tc>
          <w:tcPr>
            <w:tcW w:type="dxa" w:w="4680"/>
          </w:tcPr>
          <w:p>
            <w:r/>
            <w:r>
              <w:rPr>
                <w:b w:val="0"/>
                <w:i w:val="0"/>
                <w:sz w:val="19"/>
              </w:rPr>
              <w:t>Sản phẩm hoặc số lượng không đúng có thể được gửi đi, hoặc sản phẩm có thể được gửi sớm, muộn, hoặc vi phạm các yêu cầu kiểm soát xuất khẩu và/hoặc hải quan.</w:t>
            </w:r>
          </w:p>
        </w:tc>
      </w:tr>
      <w:tr>
        <w:tc>
          <w:tcPr>
            <w:tcW w:type="dxa" w:w="4680"/>
          </w:tcPr>
          <w:p>
            <w:r/>
            <w:r>
              <w:rPr>
                <w:b w:val="0"/>
                <w:i w:val="0"/>
                <w:sz w:val="19"/>
              </w:rPr>
              <w:t>E-3</w:t>
            </w:r>
          </w:p>
        </w:tc>
        <w:tc>
          <w:tcPr>
            <w:tcW w:type="dxa" w:w="4680"/>
          </w:tcPr>
          <w:p>
            <w:r/>
            <w:r>
              <w:rPr>
                <w:b w:val="0"/>
                <w:i w:val="0"/>
                <w:sz w:val="19"/>
              </w:rPr>
              <w:t>Sản phẩm có thể đã được gửi đi nhưng chưa được lập hóa đơn hoặc ghi nhận.</w:t>
            </w:r>
          </w:p>
        </w:tc>
      </w:tr>
      <w:tr>
        <w:tc>
          <w:tcPr>
            <w:tcW w:type="dxa" w:w="4680"/>
          </w:tcPr>
          <w:p>
            <w:r/>
            <w:r>
              <w:rPr>
                <w:b w:val="0"/>
                <w:i w:val="0"/>
                <w:sz w:val="19"/>
              </w:rPr>
              <w:t>E-4</w:t>
            </w:r>
          </w:p>
        </w:tc>
        <w:tc>
          <w:tcPr>
            <w:tcW w:type="dxa" w:w="4680"/>
          </w:tcPr>
          <w:p>
            <w:r/>
            <w:r>
              <w:rPr>
                <w:b w:val="0"/>
                <w:i w:val="0"/>
                <w:sz w:val="19"/>
              </w:rPr>
              <w:t>Hàng hóa gửi cho khách hàng có thể bị thất lạc, đặt sai chỗ hoặc bị chiếm dụng sai mục đích.</w:t>
            </w:r>
          </w:p>
        </w:tc>
      </w:tr>
      <w:tr>
        <w:tc>
          <w:tcPr>
            <w:tcW w:type="dxa" w:w="4680"/>
          </w:tcPr>
          <w:p>
            <w:r/>
            <w:r>
              <w:rPr>
                <w:b w:val="0"/>
                <w:i w:val="0"/>
                <w:sz w:val="19"/>
              </w:rPr>
              <w:t>E-5</w:t>
            </w:r>
          </w:p>
        </w:tc>
        <w:tc>
          <w:tcPr>
            <w:tcW w:type="dxa" w:w="4680"/>
          </w:tcPr>
          <w:p>
            <w:r/>
            <w:r>
              <w:rPr>
                <w:b w:val="0"/>
                <w:i w:val="0"/>
                <w:sz w:val="19"/>
              </w:rPr>
              <w:t>Sản phẩm đã được phê duyệt để gửi đi có thể vẫn chưa được gửi.</w:t>
            </w:r>
          </w:p>
        </w:tc>
      </w:tr>
      <w:tr>
        <w:tc>
          <w:tcPr>
            <w:tcW w:type="dxa" w:w="4680"/>
          </w:tcPr>
          <w:p>
            <w:r/>
            <w:r>
              <w:rPr>
                <w:b w:val="0"/>
                <w:i w:val="0"/>
                <w:sz w:val="19"/>
              </w:rPr>
              <w:t>E-6</w:t>
            </w:r>
          </w:p>
        </w:tc>
        <w:tc>
          <w:tcPr>
            <w:tcW w:type="dxa" w:w="4680"/>
          </w:tcPr>
          <w:p>
            <w:r/>
            <w:r>
              <w:rPr>
                <w:b w:val="0"/>
                <w:i w:val="0"/>
                <w:sz w:val="19"/>
              </w:rPr>
              <w:t>Công ty có thể không đòi lại được tiền cho những sản phẩm bị đơn vị vận chuyển làm thất lạc.</w:t>
            </w:r>
          </w:p>
        </w:tc>
      </w:tr>
      <w:tr>
        <w:tc>
          <w:tcPr>
            <w:tcW w:type="dxa" w:w="4680"/>
          </w:tcPr>
          <w:p>
            <w:r/>
            <w:r>
              <w:rPr>
                <w:b w:val="0"/>
                <w:i w:val="0"/>
                <w:sz w:val="19"/>
              </w:rPr>
              <w:t>E-7</w:t>
            </w:r>
          </w:p>
        </w:tc>
        <w:tc>
          <w:tcPr>
            <w:tcW w:type="dxa" w:w="4680"/>
          </w:tcPr>
          <w:p>
            <w:r/>
            <w:r>
              <w:rPr>
                <w:b w:val="0"/>
                <w:i w:val="0"/>
                <w:sz w:val="19"/>
              </w:rPr>
              <w:t>Doanh thu và giá vốn hàng bán liên quan có thể bị ghi nhận sai kỳ kế toán, vì thông tin đầy đủ và chính xác có thể không được chuyển đến bộ phận kế toán/xuất hóa đơn.</w:t>
            </w:r>
          </w:p>
        </w:tc>
      </w:tr>
      <w:tr>
        <w:tc>
          <w:tcPr>
            <w:tcW w:type="dxa" w:w="4680"/>
          </w:tcPr>
          <w:p>
            <w:r/>
            <w:r>
              <w:rPr>
                <w:b w:val="0"/>
                <w:i w:val="0"/>
                <w:sz w:val="19"/>
              </w:rPr>
              <w:t>E-8</w:t>
            </w:r>
          </w:p>
        </w:tc>
        <w:tc>
          <w:tcPr>
            <w:tcW w:type="dxa" w:w="4680"/>
          </w:tcPr>
          <w:p>
            <w:r/>
            <w:r>
              <w:rPr>
                <w:b w:val="0"/>
                <w:i w:val="0"/>
                <w:sz w:val="19"/>
              </w:rPr>
              <w:t>Có thể mất khả năng kiểm soát trách nhiệm đối với sản phẩm đã gửi. Các lô hàng chưa xuất hóa đơn và/hoặc bị chiếm dụng sai mục đích có thể không được phát hiện.</w:t>
            </w:r>
          </w:p>
        </w:tc>
      </w:tr>
      <w:tr>
        <w:tc>
          <w:tcPr>
            <w:tcW w:type="dxa" w:w="4680"/>
          </w:tcPr>
          <w:p>
            <w:r/>
            <w:r>
              <w:rPr>
                <w:b w:val="0"/>
                <w:i w:val="0"/>
                <w:sz w:val="19"/>
              </w:rPr>
              <w:t>E-9</w:t>
            </w:r>
          </w:p>
        </w:tc>
        <w:tc>
          <w:tcPr>
            <w:tcW w:type="dxa" w:w="4680"/>
          </w:tcPr>
          <w:p>
            <w:r/>
            <w:r>
              <w:rPr>
                <w:b w:val="0"/>
                <w:i w:val="0"/>
                <w:sz w:val="19"/>
              </w:rPr>
              <w:t>Đơn hàng tồn đọng hoặc đơn bán hàng bị mất có thể không được phát hiện và xử lý kịp thời.</w:t>
            </w:r>
          </w:p>
        </w:tc>
      </w:tr>
      <w:tr>
        <w:tc>
          <w:tcPr>
            <w:tcW w:type="dxa" w:w="4680"/>
          </w:tcPr>
          <w:p>
            <w:r/>
            <w:r>
              <w:rPr>
                <w:b w:val="0"/>
                <w:i w:val="0"/>
                <w:sz w:val="19"/>
              </w:rPr>
              <w:t>E-10</w:t>
            </w:r>
          </w:p>
        </w:tc>
        <w:tc>
          <w:tcPr>
            <w:tcW w:type="dxa" w:w="4680"/>
          </w:tcPr>
          <w:p>
            <w:r/>
            <w:r>
              <w:rPr>
                <w:b w:val="0"/>
                <w:i w:val="0"/>
                <w:sz w:val="19"/>
              </w:rPr>
              <w:t>Có thể xảy ra sai sót cố ý hoặc hành vi chiếm dụng tài sản sai mục đích.</w:t>
            </w:r>
          </w:p>
        </w:tc>
      </w:tr>
      <w:tr>
        <w:tc>
          <w:tcPr>
            <w:tcW w:type="dxa" w:w="4680"/>
          </w:tcPr>
          <w:p>
            <w:r/>
            <w:r>
              <w:rPr>
                <w:b w:val="0"/>
                <w:i w:val="0"/>
                <w:sz w:val="19"/>
              </w:rPr>
              <w:t>E-11</w:t>
            </w:r>
          </w:p>
        </w:tc>
        <w:tc>
          <w:tcPr>
            <w:tcW w:type="dxa" w:w="4680"/>
          </w:tcPr>
          <w:p>
            <w:r/>
            <w:r>
              <w:rPr>
                <w:b w:val="0"/>
                <w:i w:val="0"/>
                <w:sz w:val="19"/>
              </w:rPr>
              <w:t>Có thể dẫn đến sự không hài lòng của khách hàng.</w:t>
            </w:r>
          </w:p>
        </w:tc>
      </w:tr>
    </w:tbl>
    <w:p>
      <w:pPr>
        <w:spacing w:after="0"/>
      </w:pPr>
    </w:p>
    <w:p>
      <w:pPr>
        <w:pStyle w:val="Heading2"/>
      </w:pPr>
      <w:r>
        <w:rPr>
          <w:rFonts w:ascii="Calibri" w:hAnsi="Calibri"/>
          <w:b/>
          <w:i w:val="0"/>
          <w:sz w:val="32"/>
        </w:rPr>
        <w:t>2.6 GHI NHẬN DOANH THU/XUẤT HÓA ĐƠN</w:t>
      </w:r>
    </w:p>
    <w:p>
      <w:pPr>
        <w:pStyle w:val="Heading3"/>
      </w:pPr>
      <w:r>
        <w:rPr>
          <w:rFonts w:ascii="Calibri" w:hAnsi="Calibri"/>
          <w:b/>
          <w:i w:val="0"/>
          <w:sz w:val="26"/>
        </w:rPr>
        <w:t>Giới thiệu</w:t>
      </w:r>
    </w:p>
    <w:p>
      <w:pPr>
        <w:spacing w:after="80"/>
      </w:pPr>
      <w:r>
        <w:rPr>
          <w:b w:val="0"/>
          <w:i w:val="0"/>
        </w:rPr>
        <w:t>Theo tiêu chí của Chuẩn mực Báo cáo Tài chính Quốc tế (IFRS), để doanh thu được ghi nhận, các điều kiện sau phải được thỏa mãn:</w:t>
      </w:r>
    </w:p>
    <w:p>
      <w:pPr>
        <w:spacing w:after="80"/>
        <w:ind w:left="360"/>
      </w:pPr>
      <w:r>
        <w:t xml:space="preserve">1. </w:t>
      </w:r>
      <w:r>
        <w:rPr>
          <w:b w:val="0"/>
          <w:i w:val="0"/>
        </w:rPr>
        <w:t>Rủi ro và lợi ích đã được chuyển từ người bán sang người mua.</w:t>
      </w:r>
    </w:p>
    <w:p>
      <w:pPr>
        <w:spacing w:after="80"/>
        <w:ind w:left="360"/>
      </w:pPr>
      <w:r>
        <w:t xml:space="preserve">2. </w:t>
      </w:r>
      <w:r>
        <w:rPr>
          <w:b w:val="0"/>
          <w:i w:val="0"/>
        </w:rPr>
        <w:t>Người bán không còn quyền kiểm soát đối với hàng hóa đã bán.</w:t>
      </w:r>
    </w:p>
    <w:p>
      <w:pPr>
        <w:spacing w:after="80"/>
        <w:ind w:left="360"/>
      </w:pPr>
      <w:r>
        <w:t xml:space="preserve">3. </w:t>
      </w:r>
      <w:r>
        <w:rPr>
          <w:b w:val="0"/>
          <w:i w:val="0"/>
        </w:rPr>
        <w:t>Việc thu tiền từ hàng hóa hoặc dịch vụ được đảm bảo một cách hợp lý.</w:t>
      </w:r>
    </w:p>
    <w:p>
      <w:pPr>
        <w:spacing w:after="80"/>
        <w:ind w:left="360"/>
      </w:pPr>
      <w:r>
        <w:t xml:space="preserve">4. </w:t>
      </w:r>
      <w:r>
        <w:rPr>
          <w:b w:val="0"/>
          <w:i w:val="0"/>
        </w:rPr>
        <w:t>Số tiền doanh thu có thể được đo lường một cách hợp lý.</w:t>
      </w:r>
    </w:p>
    <w:p>
      <w:pPr>
        <w:spacing w:after="80"/>
        <w:ind w:left="360"/>
      </w:pPr>
      <w:r>
        <w:t xml:space="preserve">5. </w:t>
      </w:r>
      <w:r>
        <w:rPr>
          <w:b w:val="0"/>
          <w:i w:val="0"/>
        </w:rPr>
        <w:t>Chi phí của doanh thu có thể được đo lường một cách hợp lý.</w:t>
      </w:r>
    </w:p>
    <w:p>
      <w:pPr>
        <w:spacing w:after="80"/>
      </w:pPr>
      <w:r>
        <w:rPr>
          <w:b w:val="0"/>
          <w:i w:val="0"/>
        </w:rPr>
        <w:t>Giải thích cho từng điều kiện được trình bày dưới đây.</w:t>
      </w:r>
    </w:p>
    <w:p>
      <w:pPr>
        <w:spacing w:after="80"/>
        <w:ind w:left="360"/>
      </w:pPr>
      <w:r>
        <w:t xml:space="preserve">• </w:t>
      </w:r>
      <w:r>
        <w:rPr>
          <w:b w:val="0"/>
          <w:i w:val="0"/>
        </w:rPr>
        <w:t>Điều kiện (1) và (2) được gọi là Thực hiện (Performance). Về mặt thực hiện, nó xảy ra khi người bán đã làm những gì được kỳ vọng để có quyền được thanh toán.</w:t>
      </w:r>
    </w:p>
    <w:p>
      <w:pPr>
        <w:spacing w:after="80"/>
        <w:ind w:left="360"/>
      </w:pPr>
      <w:r>
        <w:t xml:space="preserve">• </w:t>
      </w:r>
      <w:r>
        <w:rPr>
          <w:b w:val="0"/>
          <w:i w:val="0"/>
        </w:rPr>
        <w:t>Điều kiện (3) được gọi là Khả năng thu tiền (Collectibility). Người bán phải có kỳ vọng hợp lý rằng mình sẽ được thanh toán cho việc thực hiện.</w:t>
      </w:r>
    </w:p>
    <w:p>
      <w:pPr>
        <w:spacing w:after="80"/>
        <w:ind w:left="360"/>
      </w:pPr>
      <w:r>
        <w:t xml:space="preserve">• </w:t>
      </w:r>
      <w:r>
        <w:rPr>
          <w:b w:val="0"/>
          <w:i w:val="0"/>
        </w:rPr>
        <w:t>Điều kiện (4) và (5) được gọi là Khả năng đo lường (Measurability). Do nguyên tắc kế toán về nguyên tắc phù hợp, người bán phải có khả năng khớp doanh thu với chi phí. Do đó, cả doanh thu và chi phí đều phải có thể được đo lường một cách hợp lý.</w:t>
      </w:r>
    </w:p>
    <w:p>
      <w:pPr>
        <w:spacing w:after="80"/>
      </w:pPr>
      <w:r>
        <w:rPr>
          <w:b w:val="0"/>
          <w:i w:val="0"/>
        </w:rPr>
        <w:t>IFRS 15, doanh thu từ hợp đồng với khách hàng, thiết lập các bước cụ thể để ghi nhận doanh thu. Điều quan trọng cần lưu ý là có những trường hợp loại trừ khỏi IFRS 15 như:</w:t>
      </w:r>
    </w:p>
    <w:p>
      <w:pPr>
        <w:spacing w:after="80"/>
        <w:ind w:left="360"/>
      </w:pPr>
      <w:r>
        <w:t xml:space="preserve">• </w:t>
      </w:r>
      <w:r>
        <w:rPr>
          <w:b w:val="0"/>
          <w:i w:val="0"/>
        </w:rPr>
        <w:t>Hợp đồng thuê (IAS 17)</w:t>
      </w:r>
    </w:p>
    <w:p>
      <w:pPr>
        <w:spacing w:after="80"/>
        <w:ind w:left="360"/>
      </w:pPr>
      <w:r>
        <w:t xml:space="preserve">• </w:t>
      </w:r>
      <w:r>
        <w:rPr>
          <w:b w:val="0"/>
          <w:i w:val="0"/>
        </w:rPr>
        <w:t>Hợp đồng bảo hiểm (IFRS 4)</w:t>
      </w:r>
    </w:p>
    <w:p>
      <w:pPr>
        <w:spacing w:after="80"/>
        <w:ind w:left="360"/>
      </w:pPr>
      <w:r>
        <w:t xml:space="preserve">• </w:t>
      </w:r>
      <w:r>
        <w:rPr>
          <w:b w:val="0"/>
          <w:i w:val="0"/>
        </w:rPr>
        <w:t>Công cụ tài chính (IFRS 9)</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2.6.1</w:t>
            </w:r>
          </w:p>
        </w:tc>
        <w:tc>
          <w:tcPr>
            <w:tcW w:type="dxa" w:w="4680"/>
          </w:tcPr>
          <w:p>
            <w:r/>
            <w:r>
              <w:rPr>
                <w:b/>
                <w:i w:val="0"/>
                <w:sz w:val="19"/>
              </w:rPr>
              <w:t>Trách nhiệm.</w:t>
            </w:r>
            <w:r>
              <w:rPr>
                <w:b w:val="0"/>
                <w:i w:val="0"/>
                <w:sz w:val="19"/>
              </w:rPr>
              <w:t xml:space="preserve"> Quyết định cuối cùng về cách ghi nhận doanh thu là trách nhiệm thuộc về tài chính và không được giao phó cho các bộ phận chức năng khác. </w:t>
            </w:r>
            <w:r>
              <w:rPr>
                <w:b/>
                <w:i w:val="0"/>
                <w:sz w:val="19"/>
              </w:rPr>
              <w:t>Tham chiếu rủi ro: F-1, F-2</w:t>
            </w:r>
          </w:p>
        </w:tc>
      </w:tr>
      <w:tr>
        <w:tc>
          <w:tcPr>
            <w:tcW w:type="dxa" w:w="4680"/>
          </w:tcPr>
          <w:p>
            <w:r/>
            <w:r>
              <w:rPr>
                <w:b w:val="0"/>
                <w:i w:val="0"/>
                <w:sz w:val="19"/>
              </w:rPr>
              <w:t>2.6.2</w:t>
            </w:r>
          </w:p>
        </w:tc>
        <w:tc>
          <w:tcPr>
            <w:tcW w:type="dxa" w:w="4680"/>
          </w:tcPr>
          <w:p>
            <w:r/>
            <w:r>
              <w:rPr>
                <w:b/>
                <w:i w:val="0"/>
                <w:sz w:val="19"/>
              </w:rPr>
              <w:t>Giao dịch Bán hàng Đã ghi nhận.</w:t>
            </w:r>
            <w:r>
              <w:rPr>
                <w:b w:val="0"/>
                <w:i w:val="0"/>
                <w:sz w:val="19"/>
              </w:rPr>
              <w:t xml:space="preserve"> Việc hạch toán các giao dịch bán hàng là trách nhiệm thuộc về tài chính và không được giao phó cho các bộ phận chức năng khác. Bộ phận Tài chính/Vận hành tại địa phương phải đảm bảo việc lập hóa đơn được kiểm soát đầy đủ. </w:t>
            </w:r>
            <w:r>
              <w:rPr>
                <w:b/>
                <w:i w:val="0"/>
                <w:sz w:val="19"/>
              </w:rPr>
              <w:t>Tham chiếu rủi ro: F-3, F-4, F-5, F-6</w:t>
            </w:r>
          </w:p>
        </w:tc>
      </w:tr>
      <w:tr>
        <w:tc>
          <w:tcPr>
            <w:tcW w:type="dxa" w:w="4680"/>
          </w:tcPr>
          <w:p>
            <w:r/>
            <w:r>
              <w:rPr>
                <w:b w:val="0"/>
                <w:i w:val="0"/>
                <w:sz w:val="19"/>
              </w:rPr>
              <w:t>2.6.3</w:t>
            </w:r>
          </w:p>
        </w:tc>
        <w:tc>
          <w:tcPr>
            <w:tcW w:type="dxa" w:w="4680"/>
          </w:tcPr>
          <w:p>
            <w:r/>
            <w:r>
              <w:rPr>
                <w:b/>
                <w:i w:val="0"/>
                <w:sz w:val="19"/>
              </w:rPr>
              <w:t>Giao dịch Bán hàng Phi tiêu chuẩn.</w:t>
            </w:r>
            <w:r>
              <w:rPr>
                <w:b w:val="0"/>
                <w:i w:val="0"/>
                <w:sz w:val="19"/>
              </w:rPr>
              <w:t xml:space="preserve"> Các giao dịch bán hàng bất thường hoặc phi tiêu chuẩn cần được bộ phận tài chính xem xét để xác định việc ghi nhận doanh thu phù hợp. Ví dụ về các giao dịch phi tiêu chuẩn có thể bao gồm: sản phẩm tùy chỉnh, dịch vụ tùy chỉnh, quyền trả hàng, nâng cấp, lắp đặt bảo trì, nghiệm thu, bán hàng will-call, hóa đơn chậm, giao dịch cho thuê, trả trước, và hàng ký gửi hoặc hàng chưa xuất kho. </w:t>
            </w:r>
            <w:r>
              <w:rPr>
                <w:b/>
                <w:i w:val="0"/>
                <w:sz w:val="19"/>
              </w:rPr>
              <w:t>Tham chiếu rủi ro: F-1, F-2</w:t>
            </w:r>
          </w:p>
        </w:tc>
      </w:tr>
      <w:tr>
        <w:tc>
          <w:tcPr>
            <w:tcW w:type="dxa" w:w="4680"/>
          </w:tcPr>
          <w:p>
            <w:r/>
            <w:r>
              <w:rPr>
                <w:b w:val="0"/>
                <w:i w:val="0"/>
                <w:sz w:val="19"/>
              </w:rPr>
              <w:t>2.6.4</w:t>
            </w:r>
          </w:p>
        </w:tc>
        <w:tc>
          <w:tcPr>
            <w:tcW w:type="dxa" w:w="4680"/>
          </w:tcPr>
          <w:p>
            <w:r/>
            <w:r>
              <w:rPr>
                <w:b/>
                <w:i w:val="0"/>
                <w:sz w:val="19"/>
              </w:rPr>
              <w:t>Đảo ngược Doanh thu.</w:t>
            </w:r>
            <w:r>
              <w:rPr>
                <w:b w:val="0"/>
                <w:i w:val="0"/>
                <w:sz w:val="19"/>
              </w:rPr>
              <w:t xml:space="preserve"> Việc đảo ngược doanh thu phải được ghi nhận khi có quyết định chấm dứt kinh doanh, thu hồi sản phẩm, hoặc rút sản phẩm. </w:t>
            </w:r>
            <w:r>
              <w:rPr>
                <w:b/>
                <w:i w:val="0"/>
                <w:sz w:val="19"/>
              </w:rPr>
              <w:t>Tham chiếu rủi ro: F-1, F-2</w:t>
            </w:r>
          </w:p>
        </w:tc>
      </w:tr>
      <w:tr>
        <w:tc>
          <w:tcPr>
            <w:tcW w:type="dxa" w:w="4680"/>
          </w:tcPr>
          <w:p>
            <w:r/>
            <w:r>
              <w:rPr>
                <w:b w:val="0"/>
                <w:i w:val="0"/>
                <w:sz w:val="19"/>
              </w:rPr>
              <w:t>2.6.5</w:t>
            </w:r>
          </w:p>
        </w:tc>
        <w:tc>
          <w:tcPr>
            <w:tcW w:type="dxa" w:w="4680"/>
          </w:tcPr>
          <w:p>
            <w:r/>
            <w:r>
              <w:rPr>
                <w:b/>
                <w:i w:val="0"/>
                <w:sz w:val="19"/>
              </w:rPr>
              <w:t>Trả lại Sản phẩm.</w:t>
            </w:r>
            <w:r>
              <w:rPr>
                <w:b w:val="0"/>
                <w:i w:val="0"/>
                <w:sz w:val="19"/>
              </w:rPr>
              <w:t xml:space="preserve"> Nên tránh các giao dịch bán hàng có quyền trả hàng đáng kể. Tuy nhiên, nếu những giao dịch như vậy xảy ra, cần lập các khoản dự phòng thích hợp, và doanh thu không được ghi nhận cho đến khi các giao dịch bán hàng đó được cấp quản lý tài chính phù hợp xem xét để xác định thời điểm ghi nhận doanh thu thích hợp. </w:t>
            </w:r>
            <w:r>
              <w:rPr>
                <w:b/>
                <w:i w:val="0"/>
                <w:sz w:val="19"/>
              </w:rPr>
              <w:t>Tham chiếu rủi ro: F-1, F-2, F-7</w:t>
            </w:r>
          </w:p>
        </w:tc>
      </w:tr>
      <w:tr>
        <w:tc>
          <w:tcPr>
            <w:tcW w:type="dxa" w:w="4680"/>
          </w:tcPr>
          <w:p>
            <w:r/>
            <w:r>
              <w:rPr>
                <w:b w:val="0"/>
                <w:i w:val="0"/>
                <w:sz w:val="19"/>
              </w:rPr>
              <w:t>2.6.6</w:t>
            </w:r>
          </w:p>
        </w:tc>
        <w:tc>
          <w:tcPr>
            <w:tcW w:type="dxa" w:w="4680"/>
          </w:tcPr>
          <w:p>
            <w:r/>
            <w:r>
              <w:rPr>
                <w:b/>
                <w:i w:val="0"/>
                <w:sz w:val="19"/>
              </w:rPr>
              <w:t>Xem xét Hợp đồng.</w:t>
            </w:r>
            <w:r>
              <w:rPr>
                <w:b w:val="0"/>
                <w:i w:val="0"/>
                <w:sz w:val="19"/>
              </w:rPr>
              <w:t xml:space="preserve"> Các hợp đồng phải được xem xét định kỳ để đảm bảo lợi nhuận và thua lỗ được ghi nhận khi được xác định. Cần ước tính tổng doanh thu hợp đồng, tổng chi phí hợp đồng, và tỷ lệ hoàn thành để đảm bảo ghi nhận doanh thu phù hợp, tích lũy các khoản lỗ hợp đồng, và thực hiện cân bằng biên lợi nhuận. </w:t>
            </w:r>
            <w:r>
              <w:rPr>
                <w:b/>
                <w:i w:val="0"/>
                <w:sz w:val="19"/>
              </w:rPr>
              <w:t>Tham chiếu rủi ro: F-1, F-2</w:t>
            </w:r>
          </w:p>
        </w:tc>
      </w:tr>
      <w:tr>
        <w:tc>
          <w:tcPr>
            <w:tcW w:type="dxa" w:w="4680"/>
          </w:tcPr>
          <w:p>
            <w:r/>
            <w:r>
              <w:rPr>
                <w:b w:val="0"/>
                <w:i w:val="0"/>
                <w:sz w:val="19"/>
              </w:rPr>
              <w:t>2.6.7</w:t>
            </w:r>
          </w:p>
        </w:tc>
        <w:tc>
          <w:tcPr>
            <w:tcW w:type="dxa" w:w="4680"/>
          </w:tcPr>
          <w:p>
            <w:r/>
            <w:r>
              <w:rPr>
                <w:b/>
                <w:i w:val="0"/>
                <w:sz w:val="19"/>
              </w:rPr>
              <w:t>Dự phòng.</w:t>
            </w:r>
            <w:r>
              <w:rPr>
                <w:b w:val="0"/>
                <w:i w:val="0"/>
                <w:sz w:val="19"/>
              </w:rPr>
              <w:t xml:space="preserve"> Cần lập các khoản dự phòng thích hợp để chi trả cho chi phí bảo hành ước tính, hàng khách trả lại, hoặc các khoản giảm trừ khác cho khách hàng. Các khoản dự phòng này phải được xem xét định kỳ để đảm bảo tính đầy đủ. </w:t>
            </w:r>
            <w:r>
              <w:rPr>
                <w:b/>
                <w:i w:val="0"/>
                <w:sz w:val="19"/>
              </w:rPr>
              <w:t>Tham chiếu rủi ro: F-1, F-2</w:t>
            </w:r>
          </w:p>
        </w:tc>
      </w:tr>
      <w:tr>
        <w:tc>
          <w:tcPr>
            <w:tcW w:type="dxa" w:w="4680"/>
          </w:tcPr>
          <w:p>
            <w:r/>
            <w:r>
              <w:rPr>
                <w:b w:val="0"/>
                <w:i w:val="0"/>
                <w:sz w:val="19"/>
              </w:rPr>
              <w:t>2.6.8</w:t>
            </w:r>
          </w:p>
        </w:tc>
        <w:tc>
          <w:tcPr>
            <w:tcW w:type="dxa" w:w="4680"/>
          </w:tcPr>
          <w:p>
            <w:r/>
            <w:r>
              <w:rPr>
                <w:b/>
                <w:i w:val="0"/>
                <w:sz w:val="19"/>
              </w:rPr>
              <w:t>Bảo vệ giá.</w:t>
            </w:r>
            <w:r>
              <w:rPr>
                <w:b w:val="0"/>
                <w:i w:val="0"/>
                <w:sz w:val="19"/>
              </w:rPr>
              <w:t xml:space="preserve"> Phải lập một khoản dự phòng thích hợp cho các đợt giảm giá đã được phê duyệt và các khiếu nại chưa giải quyết liên quan. Khoản dự phòng nên được hoàn nhập khi hết thời hạn nộp, với điều kiện là khiếu nại đã được nộp hoặc đang chờ nộp lại. Các điều khoản bảo vệ giá không theo chuẩn phải được phê duyệt theo chính sách Phân cấp thẩm quyền (Delegation of Authority). </w:t>
            </w:r>
            <w:r>
              <w:rPr>
                <w:b/>
                <w:i w:val="0"/>
                <w:sz w:val="19"/>
              </w:rPr>
              <w:t>Tham chiếu rủi ro: F-1, F-2, F-3, F-7, F-8</w:t>
            </w:r>
          </w:p>
        </w:tc>
      </w:tr>
      <w:tr>
        <w:tc>
          <w:tcPr>
            <w:tcW w:type="dxa" w:w="4680"/>
          </w:tcPr>
          <w:p>
            <w:r/>
            <w:r>
              <w:rPr>
                <w:b w:val="0"/>
                <w:i w:val="0"/>
                <w:sz w:val="19"/>
              </w:rPr>
              <w:t>2.6.9</w:t>
            </w:r>
          </w:p>
        </w:tc>
        <w:tc>
          <w:tcPr>
            <w:tcW w:type="dxa" w:w="4680"/>
          </w:tcPr>
          <w:p>
            <w:r/>
            <w:r>
              <w:rPr>
                <w:b/>
                <w:i w:val="0"/>
                <w:sz w:val="19"/>
              </w:rPr>
              <w:t>Rà soát tài khoản.</w:t>
            </w:r>
            <w:r>
              <w:rPr>
                <w:b w:val="0"/>
                <w:i w:val="0"/>
                <w:sz w:val="19"/>
              </w:rPr>
              <w:t xml:space="preserve"> Các tài khoản doanh thu chờ phân bổ (deferred revenue), chi phí trích trước (accruals) và tài sản chờ phân bổ (deferred asset) phải được rà soát và đối chiếu kịp thời để đảm bảo các tài khoản này luôn cập nhật, đầy đủ, chính xác và được hỗ trợ bởi tài liệu phù hợp. </w:t>
            </w:r>
            <w:r>
              <w:rPr>
                <w:b/>
                <w:i w:val="0"/>
                <w:sz w:val="19"/>
              </w:rPr>
              <w:t>Tham chiếu rủi ro: F-1, F-2, F-3</w:t>
            </w:r>
          </w:p>
        </w:tc>
      </w:tr>
      <w:tr>
        <w:tc>
          <w:tcPr>
            <w:tcW w:type="dxa" w:w="4680"/>
          </w:tcPr>
          <w:p>
            <w:r/>
            <w:r>
              <w:rPr>
                <w:b w:val="0"/>
                <w:i w:val="0"/>
                <w:sz w:val="19"/>
              </w:rPr>
              <w:t>2.6.10</w:t>
            </w:r>
          </w:p>
        </w:tc>
        <w:tc>
          <w:tcPr>
            <w:tcW w:type="dxa" w:w="4680"/>
          </w:tcPr>
          <w:p>
            <w:r/>
            <w:r>
              <w:rPr>
                <w:b/>
                <w:i w:val="0"/>
                <w:sz w:val="19"/>
              </w:rPr>
              <w:t>Phân tách nhiệm vụ.</w:t>
            </w:r>
            <w:r>
              <w:rPr>
                <w:b w:val="0"/>
                <w:i w:val="0"/>
                <w:sz w:val="19"/>
              </w:rPr>
              <w:t xml:space="preserve"> Chức năng lập hóa đơn phải độc lập với chức năng vận chuyển và chức năng các khoản phải thu (accounts receivable). </w:t>
            </w:r>
            <w:r>
              <w:rPr>
                <w:b/>
                <w:i w:val="0"/>
                <w:sz w:val="19"/>
              </w:rPr>
              <w:t>Tham chiếu rủi ro: F-4, F-5, F-6</w:t>
            </w:r>
          </w:p>
        </w:tc>
      </w:tr>
      <w:tr>
        <w:tc>
          <w:tcPr>
            <w:tcW w:type="dxa" w:w="4680"/>
          </w:tcPr>
          <w:p>
            <w:r/>
            <w:r>
              <w:rPr>
                <w:b w:val="0"/>
                <w:i w:val="0"/>
                <w:sz w:val="19"/>
              </w:rPr>
              <w:t>2.6.11</w:t>
            </w:r>
          </w:p>
        </w:tc>
        <w:tc>
          <w:tcPr>
            <w:tcW w:type="dxa" w:w="4680"/>
          </w:tcPr>
          <w:p>
            <w:r/>
            <w:r>
              <w:rPr>
                <w:b/>
                <w:i w:val="0"/>
                <w:sz w:val="19"/>
              </w:rPr>
              <w:t>Giao dịch lập hóa đơn.</w:t>
            </w:r>
            <w:r>
              <w:rPr>
                <w:b w:val="0"/>
                <w:i w:val="0"/>
                <w:sz w:val="19"/>
              </w:rPr>
              <w:t xml:space="preserve"> Tất cả các giao dịch lập hóa đơn phải được chuẩn bị kịp thời trên cơ sở dữ liệu chủ (master data) đã được phê duyệt cùng tài liệu vận chuyển, việc cung cấp dịch vụ và các tiêu chí nghiệm thu hỗ trợ. Tất cả hóa đơn phải được đánh số trước khi tính liên tục của trình tự không do máy tính kiểm soát. </w:t>
            </w:r>
            <w:r>
              <w:rPr>
                <w:b/>
                <w:i w:val="0"/>
                <w:sz w:val="19"/>
              </w:rPr>
              <w:t>Tham chiếu rủi ro: F-1, F-2, F-3, F-4, F-6, F-8</w:t>
            </w:r>
          </w:p>
        </w:tc>
      </w:tr>
      <w:tr>
        <w:tc>
          <w:tcPr>
            <w:tcW w:type="dxa" w:w="4680"/>
          </w:tcPr>
          <w:p>
            <w:r/>
            <w:r>
              <w:rPr>
                <w:b w:val="0"/>
                <w:i w:val="0"/>
                <w:sz w:val="19"/>
              </w:rPr>
              <w:t>2.6.12</w:t>
            </w:r>
          </w:p>
        </w:tc>
        <w:tc>
          <w:tcPr>
            <w:tcW w:type="dxa" w:w="4680"/>
          </w:tcPr>
          <w:p>
            <w:r/>
            <w:r>
              <w:rPr>
                <w:b/>
                <w:i w:val="0"/>
                <w:sz w:val="19"/>
              </w:rPr>
              <w:t>Doanh thu trích trước.</w:t>
            </w:r>
            <w:r>
              <w:rPr>
                <w:b w:val="0"/>
                <w:i w:val="0"/>
                <w:sz w:val="19"/>
              </w:rPr>
              <w:t xml:space="preserve"> Khi đã trích trước cho các khoản phải thu chưa lập hóa đơn, phải thiết lập một quy trình để đảm bảo rằng khi các hóa đơn tiếp theo được tạo ra, doanh thu không bị ghi nhận hai lần. </w:t>
            </w:r>
            <w:r>
              <w:rPr>
                <w:b/>
                <w:i w:val="0"/>
                <w:sz w:val="19"/>
              </w:rPr>
              <w:t>Tham chiếu rủi ro: F-4, F-6</w:t>
            </w:r>
          </w:p>
        </w:tc>
      </w:tr>
      <w:tr>
        <w:tc>
          <w:tcPr>
            <w:tcW w:type="dxa" w:w="4680"/>
          </w:tcPr>
          <w:p>
            <w:r/>
            <w:r>
              <w:rPr>
                <w:b w:val="0"/>
                <w:i w:val="0"/>
                <w:sz w:val="19"/>
              </w:rPr>
              <w:t>2.6.13</w:t>
            </w:r>
          </w:p>
        </w:tc>
        <w:tc>
          <w:tcPr>
            <w:tcW w:type="dxa" w:w="4680"/>
          </w:tcPr>
          <w:p>
            <w:r/>
            <w:r>
              <w:rPr>
                <w:b/>
                <w:i w:val="0"/>
                <w:sz w:val="19"/>
              </w:rPr>
              <w:t>Doanh thu chờ phân bổ.</w:t>
            </w:r>
            <w:r>
              <w:rPr>
                <w:b w:val="0"/>
                <w:i w:val="0"/>
                <w:sz w:val="19"/>
              </w:rPr>
              <w:t xml:space="preserve"> Phải thiết lập một quy trình để đảm bảo các khoản đã lập hóa đơn thực sự đã được ghi nhận (earned). Khi doanh thu đã được hoãn lại, phải thiết lập một quy trình để đảm bảo doanh thu chờ phân bổ được hoàn nhập khi được ghi nhận. </w:t>
            </w:r>
            <w:r>
              <w:rPr>
                <w:b/>
                <w:i w:val="0"/>
                <w:sz w:val="19"/>
              </w:rPr>
              <w:t>Tham chiếu rủi ro: F-4, F-6</w:t>
            </w:r>
          </w:p>
        </w:tc>
      </w:tr>
      <w:tr>
        <w:tc>
          <w:tcPr>
            <w:tcW w:type="dxa" w:w="4680"/>
          </w:tcPr>
          <w:p>
            <w:r/>
            <w:r>
              <w:rPr>
                <w:b w:val="0"/>
                <w:i w:val="0"/>
                <w:sz w:val="19"/>
              </w:rPr>
              <w:t>2.6.14</w:t>
            </w:r>
          </w:p>
        </w:tc>
        <w:tc>
          <w:tcPr>
            <w:tcW w:type="dxa" w:w="4680"/>
          </w:tcPr>
          <w:p>
            <w:r/>
            <w:r>
              <w:rPr>
                <w:b/>
                <w:i w:val="0"/>
                <w:sz w:val="19"/>
              </w:rPr>
              <w:t>Tạm ứng tiền mặt.</w:t>
            </w:r>
            <w:r>
              <w:rPr>
                <w:b w:val="0"/>
                <w:i w:val="0"/>
                <w:sz w:val="19"/>
              </w:rPr>
              <w:t xml:space="preserve"> Phải thiết lập một quy trình để đảm bảo các khoản tạm ứng tiền mặt nhận từ khách hàng được trích trước trong phạm vi chưa được ghi nhận. Khi các khoản tạm ứng tiền mặt đã được ghi nhận, doanh thu nên được ghi nhận và khoản nợ phải trả cho tạm ứng tiền mặt đã nhận nên được hoàn nhập. </w:t>
            </w:r>
            <w:r>
              <w:rPr>
                <w:b/>
                <w:i w:val="0"/>
                <w:sz w:val="19"/>
              </w:rPr>
              <w:t>Tham chiếu rủi ro: F-4, F-6</w:t>
            </w:r>
          </w:p>
        </w:tc>
      </w:tr>
      <w:tr>
        <w:tc>
          <w:tcPr>
            <w:tcW w:type="dxa" w:w="4680"/>
          </w:tcPr>
          <w:p>
            <w:r/>
            <w:r>
              <w:rPr>
                <w:b w:val="0"/>
                <w:i w:val="0"/>
                <w:sz w:val="19"/>
              </w:rPr>
              <w:t>2.6.15</w:t>
            </w:r>
          </w:p>
        </w:tc>
        <w:tc>
          <w:tcPr>
            <w:tcW w:type="dxa" w:w="4680"/>
          </w:tcPr>
          <w:p>
            <w:r/>
            <w:r>
              <w:rPr>
                <w:b/>
                <w:i w:val="0"/>
                <w:sz w:val="19"/>
              </w:rPr>
              <w:t>Hóa đơn chính xác.</w:t>
            </w:r>
            <w:r>
              <w:rPr>
                <w:b w:val="0"/>
                <w:i w:val="0"/>
                <w:sz w:val="19"/>
              </w:rPr>
              <w:t xml:space="preserve"> Hóa đơn phải phản ánh chính xác các mặt hàng đã vận chuyển hoặc dịch vụ đã cung cấp. Hóa đơn, dù là thủ công hay do máy tính tạo ra, đều nên được rà soát tính chính xác theo phương pháp lấy mẫu kiểm tra. </w:t>
            </w:r>
            <w:r>
              <w:rPr>
                <w:b/>
                <w:i w:val="0"/>
                <w:sz w:val="19"/>
              </w:rPr>
              <w:t>Tham chiếu rủi ro: F-3, F-4, F-6, F-9, F-12</w:t>
            </w:r>
          </w:p>
        </w:tc>
      </w:tr>
      <w:tr>
        <w:tc>
          <w:tcPr>
            <w:tcW w:type="dxa" w:w="4680"/>
          </w:tcPr>
          <w:p>
            <w:r/>
            <w:r>
              <w:rPr>
                <w:b w:val="0"/>
                <w:i w:val="0"/>
                <w:sz w:val="19"/>
              </w:rPr>
              <w:t>2.6.16</w:t>
            </w:r>
          </w:p>
        </w:tc>
        <w:tc>
          <w:tcPr>
            <w:tcW w:type="dxa" w:w="4680"/>
          </w:tcPr>
          <w:p>
            <w:r/>
            <w:r>
              <w:rPr>
                <w:b/>
                <w:i w:val="0"/>
                <w:sz w:val="19"/>
              </w:rPr>
              <w:t>Thuế.</w:t>
            </w:r>
            <w:r>
              <w:rPr>
                <w:b w:val="0"/>
                <w:i w:val="0"/>
                <w:sz w:val="19"/>
              </w:rPr>
              <w:t xml:space="preserve"> Thuế bán hàng, thuế sử dụng và/hoặc thuế giá trị gia tăng phải được xuất hóa đơn theo đúng quy định pháp luật địa phương. Trường hợp không xuất hóa đơn thuế, cần có tài liệu chứng minh để xác nhận tình trạng miễn thuế của khách hàng. Tài liệu này phải được thu thập và lưu trữ. </w:t>
            </w:r>
            <w:r>
              <w:rPr>
                <w:b/>
                <w:i w:val="0"/>
                <w:sz w:val="19"/>
              </w:rPr>
              <w:t>Tham chiếu rủi ro: F-10</w:t>
            </w:r>
          </w:p>
        </w:tc>
      </w:tr>
      <w:tr>
        <w:tc>
          <w:tcPr>
            <w:tcW w:type="dxa" w:w="4680"/>
          </w:tcPr>
          <w:p>
            <w:r/>
            <w:r>
              <w:rPr>
                <w:b w:val="0"/>
                <w:i w:val="0"/>
                <w:sz w:val="19"/>
              </w:rPr>
              <w:t>2.6.17</w:t>
            </w:r>
          </w:p>
        </w:tc>
        <w:tc>
          <w:tcPr>
            <w:tcW w:type="dxa" w:w="4680"/>
          </w:tcPr>
          <w:p>
            <w:r/>
            <w:r>
              <w:rPr>
                <w:b/>
                <w:i w:val="0"/>
                <w:sz w:val="19"/>
              </w:rPr>
              <w:t>Hóa đơn "không đồng".</w:t>
            </w:r>
            <w:r>
              <w:rPr>
                <w:b w:val="0"/>
                <w:i w:val="0"/>
                <w:sz w:val="19"/>
              </w:rPr>
              <w:t xml:space="preserve"> Tất cả hóa đơn hoặc chứng từ thanh toán khác có các mục "không đồng" hoặc "miễn phí" đều phải được sự phê duyệt bằng văn bản của ban quản lý Tài chính và Tiếp thị địa phương (theo mức thẩm quyền tương ứng của từng bên). </w:t>
            </w:r>
            <w:r>
              <w:rPr>
                <w:b/>
                <w:i w:val="0"/>
                <w:sz w:val="19"/>
              </w:rPr>
              <w:t>Tham chiếu rủi ro: F-11</w:t>
            </w:r>
          </w:p>
        </w:tc>
      </w:tr>
      <w:tr>
        <w:tc>
          <w:tcPr>
            <w:tcW w:type="dxa" w:w="4680"/>
          </w:tcPr>
          <w:p>
            <w:r/>
            <w:r>
              <w:rPr>
                <w:b w:val="0"/>
                <w:i w:val="0"/>
                <w:sz w:val="19"/>
              </w:rPr>
              <w:t>2.6.18</w:t>
            </w:r>
          </w:p>
        </w:tc>
        <w:tc>
          <w:tcPr>
            <w:tcW w:type="dxa" w:w="4680"/>
          </w:tcPr>
          <w:p>
            <w:r/>
            <w:r>
              <w:rPr>
                <w:b/>
                <w:i w:val="0"/>
                <w:sz w:val="19"/>
              </w:rPr>
              <w:t>Giao hàng từng phần.</w:t>
            </w:r>
            <w:r>
              <w:rPr>
                <w:b w:val="0"/>
                <w:i w:val="0"/>
                <w:sz w:val="19"/>
              </w:rPr>
              <w:t xml:space="preserve"> Trường hợp khách hàng không chấp nhận giao hàng từng phần, việc xuất hóa đơn phải khớp với đơn đặt hàng (PO) của khách hàng. </w:t>
            </w:r>
            <w:r>
              <w:rPr>
                <w:b/>
                <w:i w:val="0"/>
                <w:sz w:val="19"/>
              </w:rPr>
              <w:t>Tham chiếu rủi ro: F-6</w:t>
            </w:r>
          </w:p>
        </w:tc>
      </w:tr>
      <w:tr>
        <w:tc>
          <w:tcPr>
            <w:tcW w:type="dxa" w:w="4680"/>
          </w:tcPr>
          <w:p>
            <w:r/>
            <w:r>
              <w:rPr>
                <w:b w:val="0"/>
                <w:i w:val="0"/>
                <w:sz w:val="19"/>
              </w:rPr>
              <w:t>2.6.19</w:t>
            </w:r>
          </w:p>
        </w:tc>
        <w:tc>
          <w:tcPr>
            <w:tcW w:type="dxa" w:w="4680"/>
          </w:tcPr>
          <w:p>
            <w:r/>
            <w:r>
              <w:rPr>
                <w:b/>
                <w:i w:val="0"/>
                <w:sz w:val="19"/>
              </w:rPr>
              <w:t>Gửi hóa đơn.</w:t>
            </w:r>
            <w:r>
              <w:rPr>
                <w:b w:val="0"/>
                <w:i w:val="0"/>
                <w:sz w:val="19"/>
              </w:rPr>
              <w:t xml:space="preserve"> Hóa đơn phải được gửi trực tiếp cho khách hàng ngay khi sản phẩm được giao hoặc dịch vụ hoàn thành, và không được trả lại bộ phận Tín dụng để chỉnh sửa. </w:t>
            </w:r>
            <w:r>
              <w:rPr>
                <w:b/>
                <w:i w:val="0"/>
                <w:sz w:val="19"/>
              </w:rPr>
              <w:t>Tham chiếu rủi ro: F-13</w:t>
            </w:r>
          </w:p>
        </w:tc>
      </w:tr>
      <w:tr>
        <w:tc>
          <w:tcPr>
            <w:tcW w:type="dxa" w:w="4680"/>
          </w:tcPr>
          <w:p>
            <w:r/>
            <w:r>
              <w:rPr>
                <w:b w:val="0"/>
                <w:i w:val="0"/>
                <w:sz w:val="19"/>
              </w:rPr>
              <w:t>2.6.20</w:t>
            </w:r>
          </w:p>
        </w:tc>
        <w:tc>
          <w:tcPr>
            <w:tcW w:type="dxa" w:w="4680"/>
          </w:tcPr>
          <w:p>
            <w:r/>
            <w:r>
              <w:rPr>
                <w:b/>
                <w:i w:val="0"/>
                <w:sz w:val="19"/>
              </w:rPr>
              <w:t>Các trường hợp ngoại lệ đã được phê duyệt.</w:t>
            </w:r>
            <w:r>
              <w:rPr>
                <w:b w:val="0"/>
                <w:i w:val="0"/>
                <w:sz w:val="19"/>
              </w:rPr>
              <w:t xml:space="preserve"> Tất cả các ngoại lệ trong xuất hóa đơn, chẳng hạn như hóa đơn/mục hàng miễn phí, ghi đè giá xuất hóa đơn, các khoản ghi có và điều chỉnh, và lệnh thay đổi, đều phải được phê duyệt đúng quy trình và nằm trong mức thẩm quyền của từng cá nhân. </w:t>
            </w:r>
            <w:r>
              <w:rPr>
                <w:b/>
                <w:i w:val="0"/>
                <w:sz w:val="19"/>
              </w:rPr>
              <w:t>Tham chiếu rủi ro: F-12, F-16</w:t>
            </w:r>
          </w:p>
        </w:tc>
      </w:tr>
      <w:tr>
        <w:tc>
          <w:tcPr>
            <w:tcW w:type="dxa" w:w="4680"/>
          </w:tcPr>
          <w:p>
            <w:r/>
            <w:r>
              <w:rPr>
                <w:b w:val="0"/>
                <w:i w:val="0"/>
                <w:sz w:val="19"/>
              </w:rPr>
              <w:t>2.6.21</w:t>
            </w:r>
          </w:p>
        </w:tc>
        <w:tc>
          <w:tcPr>
            <w:tcW w:type="dxa" w:w="4680"/>
          </w:tcPr>
          <w:p>
            <w:r/>
            <w:r>
              <w:rPr>
                <w:b/>
                <w:i w:val="0"/>
                <w:sz w:val="19"/>
              </w:rPr>
              <w:t>Các khoản ghi có và điều chỉnh.</w:t>
            </w:r>
            <w:r>
              <w:rPr>
                <w:b w:val="0"/>
                <w:i w:val="0"/>
                <w:sz w:val="19"/>
              </w:rPr>
              <w:t xml:space="preserve"> Các khoản ghi có và điều chỉnh liên quan đến hàng trả lại, giao hàng thiếu, chương trình khuyến mãi hoặc chiết khấu sản phẩm chỉ được xử lý khi khiếu nại đã được điều tra, tài liệu đầy đủ đã được chuẩn bị, và đã có sự ủy quyền từ ban quản lý Kinh doanh và Tiếp thị, Tài chính, Đơn vị Vận hành và Chuỗi Cung ứng phù hợp tùy theo bản chất của khoản điều chỉnh. Mọi sai lệch (ví dụ: chứng từ không khớp) phải được giải quyết kịp thời. </w:t>
            </w:r>
            <w:r>
              <w:rPr>
                <w:b/>
                <w:i w:val="0"/>
                <w:sz w:val="19"/>
              </w:rPr>
              <w:t>Tham chiếu rủi ro: F-5, F-14, F-15</w:t>
            </w:r>
          </w:p>
        </w:tc>
      </w:tr>
      <w:tr>
        <w:tc>
          <w:tcPr>
            <w:tcW w:type="dxa" w:w="4680"/>
          </w:tcPr>
          <w:p>
            <w:r/>
            <w:r>
              <w:rPr>
                <w:b w:val="0"/>
                <w:i w:val="0"/>
                <w:sz w:val="19"/>
              </w:rPr>
              <w:t>2.6.22</w:t>
            </w:r>
          </w:p>
        </w:tc>
        <w:tc>
          <w:tcPr>
            <w:tcW w:type="dxa" w:w="4680"/>
          </w:tcPr>
          <w:p>
            <w:r/>
            <w:r>
              <w:rPr>
                <w:b/>
                <w:i w:val="0"/>
                <w:sz w:val="19"/>
              </w:rPr>
              <w:t>Giấy báo ghi có được kiểm soát bằng số.</w:t>
            </w:r>
            <w:r>
              <w:rPr>
                <w:b w:val="0"/>
                <w:i w:val="0"/>
                <w:sz w:val="19"/>
              </w:rPr>
              <w:t xml:space="preserve"> Các giao dịch giấy báo ghi có phải được kiểm soát bằng số, và phải được hạch toán với giá trị được trích lập đúng đắn. Giấy báo ghi có phải được đánh số trước trong trường hợp tính toàn vẹn của thứ tự không được kiểm soát bằng máy tính. </w:t>
            </w:r>
            <w:r>
              <w:rPr>
                <w:b/>
                <w:i w:val="0"/>
                <w:sz w:val="19"/>
              </w:rPr>
              <w:t>Tham chiếu rủi ro: F-6, F-15</w:t>
            </w:r>
          </w:p>
        </w:tc>
      </w:tr>
      <w:tr>
        <w:tc>
          <w:tcPr>
            <w:tcW w:type="dxa" w:w="4680"/>
          </w:tcPr>
          <w:p>
            <w:r/>
            <w:r>
              <w:rPr>
                <w:b w:val="0"/>
                <w:i w:val="0"/>
                <w:sz w:val="19"/>
              </w:rPr>
              <w:t>2.6.23</w:t>
            </w:r>
          </w:p>
        </w:tc>
        <w:tc>
          <w:tcPr>
            <w:tcW w:type="dxa" w:w="4680"/>
          </w:tcPr>
          <w:p>
            <w:r/>
            <w:r>
              <w:rPr>
                <w:b/>
                <w:i w:val="0"/>
                <w:sz w:val="19"/>
              </w:rPr>
              <w:t>Giấy trắng.</w:t>
            </w:r>
            <w:r>
              <w:rPr>
                <w:b w:val="0"/>
                <w:i w:val="0"/>
                <w:sz w:val="19"/>
              </w:rPr>
              <w:t xml:space="preserve"> Giấy hóa đơn và giấy báo ghi có còn trắng phải được bảo vệ an toàn. </w:t>
            </w:r>
            <w:r>
              <w:rPr>
                <w:b/>
                <w:i w:val="0"/>
                <w:sz w:val="19"/>
              </w:rPr>
              <w:t>Tham chiếu rủi ro: F-16</w:t>
            </w:r>
          </w:p>
        </w:tc>
      </w:tr>
      <w:tr>
        <w:tc>
          <w:tcPr>
            <w:tcW w:type="dxa" w:w="4680"/>
          </w:tcPr>
          <w:p>
            <w:r/>
            <w:r>
              <w:rPr>
                <w:b w:val="0"/>
                <w:i w:val="0"/>
                <w:sz w:val="19"/>
              </w:rPr>
              <w:t>2.6.24</w:t>
            </w:r>
          </w:p>
        </w:tc>
        <w:tc>
          <w:tcPr>
            <w:tcW w:type="dxa" w:w="4680"/>
          </w:tcPr>
          <w:p>
            <w:r/>
            <w:r>
              <w:rPr>
                <w:b/>
                <w:i w:val="0"/>
                <w:sz w:val="19"/>
              </w:rPr>
              <w:t>Đơn hàng Will-Call.</w:t>
            </w:r>
            <w:r>
              <w:rPr>
                <w:b w:val="0"/>
                <w:i w:val="0"/>
                <w:sz w:val="19"/>
              </w:rPr>
              <w:t xml:space="preserve"> Phải thiết lập và thực thi một quy trình được ghi nhận bằng văn bản cho các đơn hàng will-call. </w:t>
            </w:r>
            <w:r>
              <w:rPr>
                <w:b/>
                <w:i w:val="0"/>
                <w:sz w:val="19"/>
              </w:rPr>
              <w:t>Tham chiếu rủi ro: F-3, F-4, F-5, F-10</w:t>
            </w:r>
          </w:p>
        </w:tc>
      </w:tr>
      <w:tr>
        <w:tc>
          <w:tcPr>
            <w:tcW w:type="dxa" w:w="4680"/>
          </w:tcPr>
          <w:p>
            <w:r/>
            <w:r>
              <w:rPr>
                <w:b w:val="0"/>
                <w:i w:val="0"/>
                <w:sz w:val="19"/>
              </w:rPr>
              <w:t>2.6.25</w:t>
            </w:r>
          </w:p>
        </w:tc>
        <w:tc>
          <w:tcPr>
            <w:tcW w:type="dxa" w:w="4680"/>
          </w:tcPr>
          <w:p>
            <w:r/>
            <w:r>
              <w:rPr>
                <w:b/>
                <w:i w:val="0"/>
                <w:sz w:val="19"/>
              </w:rPr>
              <w:t>Giá vốn hàng bán.</w:t>
            </w:r>
            <w:r>
              <w:rPr>
                <w:b w:val="0"/>
                <w:i w:val="0"/>
                <w:sz w:val="19"/>
              </w:rPr>
              <w:t xml:space="preserve"> Số lượng đơn vị đã bán hoặc tỷ lệ phần trăm hoàn thành trong hệ thống lập hóa đơn cần được so sánh để đảm bảo tính hợp lý với số lượng hoặc tỷ lệ phần trăm hoàn thành được dùng để tính Giá vốn hàng bán. </w:t>
            </w:r>
            <w:r>
              <w:rPr>
                <w:b/>
                <w:i w:val="0"/>
                <w:sz w:val="19"/>
              </w:rPr>
              <w:t>Tham chiếu rủi ro: F-1, F-6</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F-1</w:t>
            </w:r>
          </w:p>
        </w:tc>
        <w:tc>
          <w:tcPr>
            <w:tcW w:type="dxa" w:w="4680"/>
          </w:tcPr>
          <w:p>
            <w:r/>
            <w:r>
              <w:rPr>
                <w:b w:val="0"/>
                <w:i w:val="0"/>
                <w:sz w:val="19"/>
              </w:rPr>
              <w:t>Thông tin trong hồ sơ kế toán của công ty có thể không chính xác, và báo cáo tài chính có thể không được trình bày trung thực.</w:t>
            </w:r>
          </w:p>
        </w:tc>
      </w:tr>
      <w:tr>
        <w:tc>
          <w:tcPr>
            <w:tcW w:type="dxa" w:w="4680"/>
          </w:tcPr>
          <w:p>
            <w:r/>
            <w:r>
              <w:rPr>
                <w:b w:val="0"/>
                <w:i w:val="0"/>
                <w:sz w:val="19"/>
              </w:rPr>
              <w:t>F-2</w:t>
            </w:r>
          </w:p>
        </w:tc>
        <w:tc>
          <w:tcPr>
            <w:tcW w:type="dxa" w:w="4680"/>
          </w:tcPr>
          <w:p>
            <w:r/>
            <w:r>
              <w:rPr>
                <w:b w:val="0"/>
                <w:i w:val="0"/>
                <w:sz w:val="19"/>
              </w:rPr>
              <w:t>Các quyết định tài chính của ban lãnh đạo công ty có thể bị sai lệch do sử dụng dữ liệu tài chính không chính xác hoặc không nhất quán.</w:t>
            </w:r>
          </w:p>
        </w:tc>
      </w:tr>
      <w:tr>
        <w:tc>
          <w:tcPr>
            <w:tcW w:type="dxa" w:w="4680"/>
          </w:tcPr>
          <w:p>
            <w:r/>
            <w:r>
              <w:rPr>
                <w:b w:val="0"/>
                <w:i w:val="0"/>
                <w:sz w:val="19"/>
              </w:rPr>
              <w:t>F-3</w:t>
            </w:r>
          </w:p>
        </w:tc>
        <w:tc>
          <w:tcPr>
            <w:tcW w:type="dxa" w:w="4680"/>
          </w:tcPr>
          <w:p>
            <w:r/>
            <w:r>
              <w:rPr>
                <w:b w:val="0"/>
                <w:i w:val="0"/>
                <w:sz w:val="19"/>
              </w:rPr>
              <w:t>Các giao dịch bán hàng có thể được lập không đúng, và/hoặc hóa đơn cùng các điều khoản khác có thể bị khai sai.</w:t>
            </w:r>
          </w:p>
        </w:tc>
      </w:tr>
      <w:tr>
        <w:tc>
          <w:tcPr>
            <w:tcW w:type="dxa" w:w="4680"/>
          </w:tcPr>
          <w:p>
            <w:r/>
            <w:r>
              <w:rPr>
                <w:b w:val="0"/>
                <w:i w:val="0"/>
                <w:sz w:val="19"/>
              </w:rPr>
              <w:t>F-4</w:t>
            </w:r>
          </w:p>
        </w:tc>
        <w:tc>
          <w:tcPr>
            <w:tcW w:type="dxa" w:w="4680"/>
          </w:tcPr>
          <w:p>
            <w:r/>
            <w:r>
              <w:rPr>
                <w:b w:val="0"/>
                <w:i w:val="0"/>
                <w:sz w:val="19"/>
              </w:rPr>
              <w:t>Các giao dịch bán hàng có thể đã phát sinh nhưng có thể chưa được lập hóa đơn và/hoặc chưa được ghi nhận.</w:t>
            </w:r>
          </w:p>
        </w:tc>
      </w:tr>
      <w:tr>
        <w:tc>
          <w:tcPr>
            <w:tcW w:type="dxa" w:w="4680"/>
          </w:tcPr>
          <w:p>
            <w:r/>
            <w:r>
              <w:rPr>
                <w:b w:val="0"/>
                <w:i w:val="0"/>
                <w:sz w:val="19"/>
              </w:rPr>
              <w:t>F-5</w:t>
            </w:r>
          </w:p>
        </w:tc>
        <w:tc>
          <w:tcPr>
            <w:tcW w:type="dxa" w:w="4680"/>
          </w:tcPr>
          <w:p>
            <w:r/>
            <w:r>
              <w:rPr>
                <w:b w:val="0"/>
                <w:i w:val="0"/>
                <w:sz w:val="19"/>
              </w:rPr>
              <w:t>Có thể xảy ra hành vi biển thủ tài sản hoặc sai sót cố ý. Ví dụ bao gồm:</w:t>
            </w:r>
            <w:r>
              <w:br/>
            </w:r>
            <w:r>
              <w:rPr>
                <w:b w:val="0"/>
                <w:i w:val="0"/>
                <w:sz w:val="19"/>
              </w:rPr>
              <w:t>a. Sản phẩm hoặc dịch vụ có thể được giao hoặc cung cấp nhưng không được lập hóa đơn.</w:t>
            </w:r>
            <w:r>
              <w:br/>
            </w:r>
            <w:r>
              <w:rPr>
                <w:b w:val="0"/>
                <w:i w:val="0"/>
                <w:sz w:val="19"/>
              </w:rPr>
              <w:t>b. Hàng giao hoặc dịch vụ cung cấp có thể được lập hóa đơn nhưng không được ghi nhận vào hồ sơ kế toán.</w:t>
            </w:r>
            <w:r>
              <w:br/>
            </w:r>
            <w:r>
              <w:rPr>
                <w:b w:val="0"/>
                <w:i w:val="0"/>
                <w:sz w:val="19"/>
              </w:rPr>
              <w:t>c. Sản phẩm hoặc dịch vụ có thể được lập hóa đơn và ghi nhận nhưng không được giao hoặc cung cấp.</w:t>
            </w:r>
          </w:p>
        </w:tc>
      </w:tr>
      <w:tr>
        <w:tc>
          <w:tcPr>
            <w:tcW w:type="dxa" w:w="4680"/>
          </w:tcPr>
          <w:p>
            <w:r/>
            <w:r>
              <w:rPr>
                <w:b w:val="0"/>
                <w:i w:val="0"/>
                <w:sz w:val="19"/>
              </w:rPr>
              <w:t>F-6</w:t>
            </w:r>
          </w:p>
        </w:tc>
        <w:tc>
          <w:tcPr>
            <w:tcW w:type="dxa" w:w="4680"/>
          </w:tcPr>
          <w:p>
            <w:r/>
            <w:r>
              <w:rPr>
                <w:b w:val="0"/>
                <w:i w:val="0"/>
                <w:sz w:val="19"/>
              </w:rPr>
              <w:t>Doanh thu và giá vốn hàng bán có thể bị ghi nhận sai và/hoặc ghi nhận vào sai kỳ kế toán.</w:t>
            </w:r>
          </w:p>
        </w:tc>
      </w:tr>
      <w:tr>
        <w:tc>
          <w:tcPr>
            <w:tcW w:type="dxa" w:w="4680"/>
          </w:tcPr>
          <w:p>
            <w:r/>
            <w:r>
              <w:rPr>
                <w:b w:val="0"/>
                <w:i w:val="0"/>
                <w:sz w:val="19"/>
              </w:rPr>
              <w:t>F-7</w:t>
            </w:r>
          </w:p>
        </w:tc>
        <w:tc>
          <w:tcPr>
            <w:tcW w:type="dxa" w:w="4680"/>
          </w:tcPr>
          <w:p>
            <w:r/>
            <w:r>
              <w:rPr>
                <w:b w:val="0"/>
                <w:i w:val="0"/>
                <w:sz w:val="19"/>
              </w:rPr>
              <w:t>Lỗi lập hóa đơn có thể khiến dòng tiền không được tối đa hóa, và một số khoản phải thu có thể trở thành nợ khó đòi.</w:t>
            </w:r>
          </w:p>
        </w:tc>
      </w:tr>
      <w:tr>
        <w:tc>
          <w:tcPr>
            <w:tcW w:type="dxa" w:w="4680"/>
          </w:tcPr>
          <w:p>
            <w:r/>
            <w:r>
              <w:rPr>
                <w:b w:val="0"/>
                <w:i w:val="0"/>
                <w:sz w:val="19"/>
              </w:rPr>
              <w:t>F-8</w:t>
            </w:r>
          </w:p>
        </w:tc>
        <w:tc>
          <w:tcPr>
            <w:tcW w:type="dxa" w:w="4680"/>
          </w:tcPr>
          <w:p>
            <w:r/>
            <w:r>
              <w:rPr>
                <w:b w:val="0"/>
                <w:i w:val="0"/>
                <w:sz w:val="19"/>
              </w:rPr>
              <w:t>Dòng tiền có thể không được tối đa hóa do việc lập hóa đơn không kịp thời, và số tiền có thể không thu hồi được.</w:t>
            </w:r>
          </w:p>
        </w:tc>
      </w:tr>
      <w:tr>
        <w:tc>
          <w:tcPr>
            <w:tcW w:type="dxa" w:w="4680"/>
          </w:tcPr>
          <w:p>
            <w:r/>
            <w:r>
              <w:rPr>
                <w:b w:val="0"/>
                <w:i w:val="0"/>
                <w:sz w:val="19"/>
              </w:rPr>
              <w:t>F-9</w:t>
            </w:r>
          </w:p>
        </w:tc>
        <w:tc>
          <w:tcPr>
            <w:tcW w:type="dxa" w:w="4680"/>
          </w:tcPr>
          <w:p>
            <w:r/>
            <w:r>
              <w:rPr>
                <w:b w:val="0"/>
                <w:i w:val="0"/>
                <w:sz w:val="19"/>
              </w:rPr>
              <w:t>Các yêu cầu về xuất khẩu có thể bị vi phạm. Công ty có thể đối mặt với kiện tụng từ các nguồn bên ngoài vì khai sai hóa đơn.</w:t>
            </w:r>
          </w:p>
        </w:tc>
      </w:tr>
      <w:tr>
        <w:tc>
          <w:tcPr>
            <w:tcW w:type="dxa" w:w="4680"/>
          </w:tcPr>
          <w:p>
            <w:r/>
            <w:r>
              <w:rPr>
                <w:b w:val="0"/>
                <w:i w:val="0"/>
                <w:sz w:val="19"/>
              </w:rPr>
              <w:t>F-10</w:t>
            </w:r>
          </w:p>
        </w:tc>
        <w:tc>
          <w:tcPr>
            <w:tcW w:type="dxa" w:w="4680"/>
          </w:tcPr>
          <w:p>
            <w:r/>
            <w:r>
              <w:rPr>
                <w:b w:val="0"/>
                <w:i w:val="0"/>
                <w:sz w:val="19"/>
              </w:rPr>
              <w:t>Công ty sẽ phải chịu trách nhiệm về thuế bán hàng hoặc thuế giá trị gia tăng chưa được xuất hóa đơn khi không có đủ tài liệu xác minh tình trạng miễn thuế được lưu trữ.</w:t>
            </w:r>
          </w:p>
        </w:tc>
      </w:tr>
      <w:tr>
        <w:tc>
          <w:tcPr>
            <w:tcW w:type="dxa" w:w="4680"/>
          </w:tcPr>
          <w:p>
            <w:r/>
            <w:r>
              <w:rPr>
                <w:b w:val="0"/>
                <w:i w:val="0"/>
                <w:sz w:val="19"/>
              </w:rPr>
              <w:t>F-11</w:t>
            </w:r>
          </w:p>
        </w:tc>
        <w:tc>
          <w:tcPr>
            <w:tcW w:type="dxa" w:w="4680"/>
          </w:tcPr>
          <w:p>
            <w:r/>
            <w:r>
              <w:rPr>
                <w:b w:val="0"/>
                <w:i w:val="0"/>
                <w:sz w:val="19"/>
              </w:rPr>
              <w:t>Các giao dịch "không tính phí" có thể không được ghi nhận đúng vào sổ sách kế toán. Các giao dịch với bên liên quan có thể không được nhận diện.</w:t>
            </w:r>
          </w:p>
        </w:tc>
      </w:tr>
      <w:tr>
        <w:tc>
          <w:tcPr>
            <w:tcW w:type="dxa" w:w="4680"/>
          </w:tcPr>
          <w:p>
            <w:r/>
            <w:r>
              <w:rPr>
                <w:b w:val="0"/>
                <w:i w:val="0"/>
                <w:sz w:val="19"/>
              </w:rPr>
              <w:t>F-12</w:t>
            </w:r>
          </w:p>
        </w:tc>
        <w:tc>
          <w:tcPr>
            <w:tcW w:type="dxa" w:w="4680"/>
          </w:tcPr>
          <w:p>
            <w:r/>
            <w:r>
              <w:rPr>
                <w:b w:val="0"/>
                <w:i w:val="0"/>
                <w:sz w:val="19"/>
              </w:rPr>
              <w:t>Công ty có thể đang hỗ trợ khách hàng lách qua hệ thống kiểm soát nội bộ của khách hàng.</w:t>
            </w:r>
          </w:p>
        </w:tc>
      </w:tr>
      <w:tr>
        <w:tc>
          <w:tcPr>
            <w:tcW w:type="dxa" w:w="4680"/>
          </w:tcPr>
          <w:p>
            <w:r/>
            <w:r>
              <w:rPr>
                <w:b w:val="0"/>
                <w:i w:val="0"/>
                <w:sz w:val="19"/>
              </w:rPr>
              <w:t>F-13</w:t>
            </w:r>
          </w:p>
        </w:tc>
        <w:tc>
          <w:tcPr>
            <w:tcW w:type="dxa" w:w="4680"/>
          </w:tcPr>
          <w:p>
            <w:r/>
            <w:r>
              <w:rPr>
                <w:b w:val="0"/>
                <w:i w:val="0"/>
                <w:sz w:val="19"/>
              </w:rPr>
              <w:t>Việc cố ý sửa đổi hóa đơn và/hoặc hồ sơ khoản phải thu có thể xảy ra.</w:t>
            </w:r>
          </w:p>
        </w:tc>
      </w:tr>
      <w:tr>
        <w:tc>
          <w:tcPr>
            <w:tcW w:type="dxa" w:w="4680"/>
          </w:tcPr>
          <w:p>
            <w:r/>
            <w:r>
              <w:rPr>
                <w:b w:val="0"/>
                <w:i w:val="0"/>
                <w:sz w:val="19"/>
              </w:rPr>
              <w:t>F-14</w:t>
            </w:r>
          </w:p>
        </w:tc>
        <w:tc>
          <w:tcPr>
            <w:tcW w:type="dxa" w:w="4680"/>
          </w:tcPr>
          <w:p>
            <w:r/>
            <w:r>
              <w:rPr>
                <w:b w:val="0"/>
                <w:i w:val="0"/>
                <w:sz w:val="19"/>
              </w:rPr>
              <w:t>Các giao dịch tín dụng có thể không phản ánh đúng cách xử lý kế toán hoặc có thể xung đột với các thông lệ kinh doanh tốt.</w:t>
            </w:r>
          </w:p>
        </w:tc>
      </w:tr>
      <w:tr>
        <w:tc>
          <w:tcPr>
            <w:tcW w:type="dxa" w:w="4680"/>
          </w:tcPr>
          <w:p>
            <w:r/>
            <w:r>
              <w:rPr>
                <w:b w:val="0"/>
                <w:i w:val="0"/>
                <w:sz w:val="19"/>
              </w:rPr>
              <w:t>F-15</w:t>
            </w:r>
          </w:p>
        </w:tc>
        <w:tc>
          <w:tcPr>
            <w:tcW w:type="dxa" w:w="4680"/>
          </w:tcPr>
          <w:p>
            <w:r/>
            <w:r>
              <w:rPr>
                <w:b w:val="0"/>
                <w:i w:val="0"/>
                <w:sz w:val="19"/>
              </w:rPr>
              <w:t>Tất cả các giao dịch tín dụng có thể không được ghi nhận vào sổ kế toán.</w:t>
            </w:r>
          </w:p>
        </w:tc>
      </w:tr>
      <w:tr>
        <w:tc>
          <w:tcPr>
            <w:tcW w:type="dxa" w:w="4680"/>
          </w:tcPr>
          <w:p>
            <w:r/>
            <w:r>
              <w:rPr>
                <w:b w:val="0"/>
                <w:i w:val="0"/>
                <w:sz w:val="19"/>
              </w:rPr>
              <w:t>F-16</w:t>
            </w:r>
          </w:p>
        </w:tc>
        <w:tc>
          <w:tcPr>
            <w:tcW w:type="dxa" w:w="4680"/>
          </w:tcPr>
          <w:p>
            <w:r/>
            <w:r>
              <w:rPr>
                <w:b w:val="0"/>
                <w:i w:val="0"/>
                <w:sz w:val="19"/>
              </w:rPr>
              <w:t>Có thể xảy ra việc sử dụng tài liệu trái phép, dẫn đến thất thoát doanh thu hoặc ảnh hưởng tiêu cực đến uy tín của công ty.</w:t>
            </w:r>
          </w:p>
        </w:tc>
      </w:tr>
    </w:tbl>
    <w:p>
      <w:pPr>
        <w:spacing w:after="0"/>
      </w:pPr>
    </w:p>
    <w:p>
      <w:pPr>
        <w:pStyle w:val="Heading2"/>
      </w:pPr>
      <w:r>
        <w:rPr>
          <w:rFonts w:ascii="Calibri" w:hAnsi="Calibri"/>
          <w:b/>
          <w:i w:val="0"/>
          <w:sz w:val="32"/>
        </w:rPr>
        <w:t>2.7 CÁC KHOẢN PHẢI THU (AR)</w:t>
      </w:r>
    </w:p>
    <w:p>
      <w:pPr>
        <w:pStyle w:val="Heading3"/>
      </w:pPr>
      <w:r>
        <w:rPr>
          <w:rFonts w:ascii="Calibri" w:hAnsi="Calibri"/>
          <w:b/>
          <w:i w:val="0"/>
          <w:sz w:val="26"/>
        </w:rPr>
        <w:t>Giới thiệu</w:t>
      </w:r>
    </w:p>
    <w:p>
      <w:pPr>
        <w:spacing w:after="80"/>
      </w:pPr>
      <w:r>
        <w:rPr>
          <w:b w:val="0"/>
          <w:i w:val="0"/>
        </w:rPr>
        <w:t>AR là một phần không thể tách rời trong quy trình tạo thu nhập của công ty và cần được đặc biệt chú trọng để đảm bảo các khoản tiền mà công ty được hưởng luôn được theo dõi, thu hồi và báo cáo một cách chính xác. Các kiểm soát viên (controller) và chuyên gia AR cần có khả năng áp dụng kỹ năng và hiểu biết của mình cho các công ty ở mọi quy mô — từ công ty nhỏ do chủ sở hữu tự điều hành, công ty tầm trung, cho đến các tập đoàn thuộc Fortune 500.</w:t>
      </w:r>
    </w:p>
    <w:p>
      <w:pPr>
        <w:spacing w:after="80"/>
      </w:pPr>
      <w:r>
        <w:rPr>
          <w:b w:val="0"/>
          <w:i w:val="0"/>
        </w:rPr>
        <w:t>Một công ty tầm trung có thể có hệ thống xuất hóa đơn điện tử hoặc dựa trên máy tính, cho phép công ty biết được thời điểm phát hành hóa đơn để phân loại tuổi nợ của các khoản phải thu. Tuy nhiên, công ty có thể không sử dụng hệ thống như vậy mà dựa vào các quy trình được định sẵn và hồ sơ giấy tờ. Một công ty như thế có thể chỉ thuê một người chịu trách nhiệm về AR, hoặc nhiều nhất là bốn đến năm người.</w:t>
      </w:r>
    </w:p>
    <w:p>
      <w:pPr>
        <w:spacing w:after="80"/>
      </w:pPr>
      <w:r>
        <w:rPr>
          <w:b w:val="0"/>
          <w:i w:val="0"/>
        </w:rPr>
        <w:t>Một tập đoàn lớn thuộc Fortune 500 có thể có cả một bộ phận chuyên trách quản lý AR. Các quy trình có thể bao gồm hệ thống máy tính kết nối trực tiếp với bộ phận kinh doanh và bộ phận tín dụng. Hóa đơn có thể bao gồm nhiều sản phẩm và nhiều lần giao hàng với các điều khoản khác nhau. Nhân sự có thể khác nhau tùy theo kinh nghiệm và nền tảng, tất cả đều cần được quản lý sao cho tối đa hóa việc tạo doanh thu với chi phí tương ứng càng thấp càng tốt.</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2.7.1</w:t>
            </w:r>
          </w:p>
        </w:tc>
        <w:tc>
          <w:tcPr>
            <w:tcW w:type="dxa" w:w="4680"/>
          </w:tcPr>
          <w:p>
            <w:r/>
            <w:r>
              <w:rPr>
                <w:b/>
                <w:i w:val="0"/>
                <w:sz w:val="19"/>
              </w:rPr>
              <w:t>Phân tách Nhiệm vụ.</w:t>
            </w:r>
            <w:r>
              <w:rPr>
                <w:b w:val="0"/>
                <w:i w:val="0"/>
                <w:sz w:val="19"/>
              </w:rPr>
              <w:t xml:space="preserve"> Chức năng các khoản phải thu phải tách biệt khỏi các chức năng tín dụng, thu hồi nợ, xuất hóa đơn và chuyển tiền thanh toán. </w:t>
            </w:r>
            <w:r>
              <w:rPr>
                <w:b/>
                <w:i w:val="0"/>
                <w:sz w:val="19"/>
              </w:rPr>
              <w:t>Tham chiếu rủi ro: G-1</w:t>
            </w:r>
          </w:p>
        </w:tc>
      </w:tr>
      <w:tr>
        <w:tc>
          <w:tcPr>
            <w:tcW w:type="dxa" w:w="4680"/>
          </w:tcPr>
          <w:p>
            <w:r/>
            <w:r>
              <w:rPr>
                <w:b w:val="0"/>
                <w:i w:val="0"/>
                <w:sz w:val="19"/>
              </w:rPr>
              <w:t>2.7.2</w:t>
            </w:r>
          </w:p>
        </w:tc>
        <w:tc>
          <w:tcPr>
            <w:tcW w:type="dxa" w:w="4680"/>
          </w:tcPr>
          <w:p>
            <w:r/>
            <w:r>
              <w:rPr>
                <w:b/>
                <w:i w:val="0"/>
                <w:sz w:val="19"/>
              </w:rPr>
              <w:t>Dữ liệu Đầu vào Xuất hóa đơn và Chuyển tiền Thanh toán.</w:t>
            </w:r>
            <w:r>
              <w:rPr>
                <w:b w:val="0"/>
                <w:i w:val="0"/>
                <w:sz w:val="19"/>
              </w:rPr>
              <w:t xml:space="preserve"> Dữ liệu đầu vào cho sổ phụ chi tiết các khoản phải thu phải dựa trên hồ sơ xuất hóa đơn hợp lệ cho khách hàng và các khoản chuyển tiền thanh toán. Phải thiết lập các quy trình để đảm bảo việc ghi nhận hóa đơn được chính xác và kịp thời. </w:t>
            </w:r>
            <w:r>
              <w:rPr>
                <w:b/>
                <w:i w:val="0"/>
                <w:sz w:val="19"/>
              </w:rPr>
              <w:t>Tham chiếu rủi ro: G-2, G-3, G-6</w:t>
            </w:r>
          </w:p>
        </w:tc>
      </w:tr>
      <w:tr>
        <w:tc>
          <w:tcPr>
            <w:tcW w:type="dxa" w:w="4680"/>
          </w:tcPr>
          <w:p>
            <w:r/>
            <w:r>
              <w:rPr>
                <w:b w:val="0"/>
                <w:i w:val="0"/>
                <w:sz w:val="19"/>
              </w:rPr>
              <w:t>2.7.3</w:t>
            </w:r>
          </w:p>
        </w:tc>
        <w:tc>
          <w:tcPr>
            <w:tcW w:type="dxa" w:w="4680"/>
          </w:tcPr>
          <w:p>
            <w:r/>
            <w:r>
              <w:rPr>
                <w:b/>
                <w:i w:val="0"/>
                <w:sz w:val="19"/>
              </w:rPr>
              <w:t>Đối chiếu Sổ Cái Tổng hợp.</w:t>
            </w:r>
            <w:r>
              <w:rPr>
                <w:b w:val="0"/>
                <w:i w:val="0"/>
                <w:sz w:val="19"/>
              </w:rPr>
              <w:t xml:space="preserve"> Sổ phụ chi tiết các khoản phải thu phải được đối chiếu (nội dung đã được biết rõ và tình trạng hiện tại đã được cập nhật) với sổ cái tổng hợp hàng tháng và mọi chênh lệch phải được nghiên cứu và giải quyết. Cấp quản lý tài chính phù hợp tiếp theo phải phê duyệt việc đối chiếu này. </w:t>
            </w:r>
            <w:r>
              <w:rPr>
                <w:b/>
                <w:i w:val="0"/>
                <w:sz w:val="19"/>
              </w:rPr>
              <w:t>Tham chiếu rủi ro: G-4, G-6</w:t>
            </w:r>
          </w:p>
        </w:tc>
      </w:tr>
      <w:tr>
        <w:tc>
          <w:tcPr>
            <w:tcW w:type="dxa" w:w="4680"/>
          </w:tcPr>
          <w:p>
            <w:r/>
            <w:r>
              <w:rPr>
                <w:b w:val="0"/>
                <w:i w:val="0"/>
                <w:sz w:val="19"/>
              </w:rPr>
              <w:t>2.7.4</w:t>
            </w:r>
          </w:p>
        </w:tc>
        <w:tc>
          <w:tcPr>
            <w:tcW w:type="dxa" w:w="4680"/>
          </w:tcPr>
          <w:p>
            <w:r/>
            <w:r>
              <w:rPr>
                <w:b/>
                <w:i w:val="0"/>
                <w:sz w:val="19"/>
              </w:rPr>
              <w:t>Phân tích tuổi nợ.</w:t>
            </w:r>
            <w:r>
              <w:rPr>
                <w:b w:val="0"/>
                <w:i w:val="0"/>
                <w:sz w:val="19"/>
              </w:rPr>
              <w:t xml:space="preserve"> Ban quản lý đơn vị kinh doanh phải xem xét phân tích tuổi nợ (aging) của chi tiết các khoản phải thu mỗi tháng để phát hiện bất kỳ khoản nào bất thường hoặc quá hạn nghiêm trọng. Bảng phân tích tuổi nợ phải chính xác và không bị bóp méo bởi các khoản nợ phải trả của khách hàng (ví dụ: tiền khách hàng ứng trước, tiền đặt cọc, thanh toán theo cột mốc, hoặc tiền mặt hay tín dụng chưa áp dụng). </w:t>
            </w:r>
            <w:r>
              <w:rPr>
                <w:b/>
                <w:i w:val="0"/>
                <w:sz w:val="19"/>
              </w:rPr>
              <w:t>Tham chiếu rủi ro: G-3, G-5</w:t>
            </w:r>
          </w:p>
        </w:tc>
      </w:tr>
      <w:tr>
        <w:tc>
          <w:tcPr>
            <w:tcW w:type="dxa" w:w="4680"/>
          </w:tcPr>
          <w:p>
            <w:r/>
            <w:r>
              <w:rPr>
                <w:b w:val="0"/>
                <w:i w:val="0"/>
                <w:sz w:val="19"/>
              </w:rPr>
              <w:t>2.7.5</w:t>
            </w:r>
          </w:p>
        </w:tc>
        <w:tc>
          <w:tcPr>
            <w:tcW w:type="dxa" w:w="4680"/>
          </w:tcPr>
          <w:p>
            <w:r/>
            <w:r>
              <w:rPr>
                <w:b/>
                <w:i w:val="0"/>
                <w:sz w:val="19"/>
              </w:rPr>
              <w:t>Điều chỉnh tuổi nợ.</w:t>
            </w:r>
            <w:r>
              <w:rPr>
                <w:b w:val="0"/>
                <w:i w:val="0"/>
                <w:sz w:val="19"/>
              </w:rPr>
              <w:t xml:space="preserve"> Không được thay đổi phân tích tuổi nợ của các khoản phải thu. Ban quản lý tài chính phải phê duyệt mọi thay đổi đối với tuổi nợ của một hóa đơn cụ thể. </w:t>
            </w:r>
            <w:r>
              <w:rPr>
                <w:b/>
                <w:i w:val="0"/>
                <w:sz w:val="19"/>
              </w:rPr>
              <w:t>Tham chiếu rủi ro: G-9, G-10</w:t>
            </w:r>
          </w:p>
        </w:tc>
      </w:tr>
      <w:tr>
        <w:tc>
          <w:tcPr>
            <w:tcW w:type="dxa" w:w="4680"/>
          </w:tcPr>
          <w:p>
            <w:r/>
            <w:r>
              <w:rPr>
                <w:b w:val="0"/>
                <w:i w:val="0"/>
                <w:sz w:val="19"/>
              </w:rPr>
              <w:t>2.7.6</w:t>
            </w:r>
          </w:p>
        </w:tc>
        <w:tc>
          <w:tcPr>
            <w:tcW w:type="dxa" w:w="4680"/>
          </w:tcPr>
          <w:p>
            <w:r/>
            <w:r>
              <w:rPr>
                <w:b/>
                <w:i w:val="0"/>
                <w:sz w:val="19"/>
              </w:rPr>
              <w:t>Điều chỉnh số dư.</w:t>
            </w:r>
            <w:r>
              <w:rPr>
                <w:b w:val="0"/>
                <w:i w:val="0"/>
                <w:sz w:val="19"/>
              </w:rPr>
              <w:t xml:space="preserve"> Tất cả các bút toán điều chỉnh sổ nhật ký đối với các khoản phải thu phải được phê duyệt theo chính sách phù hợp của công ty (hoặc chính sách phù hợp của đơn vị địa phương/đơn vị kinh doanh nếu chặt chẽ hơn) và được ghi nhận vào kỳ kế toán mà việc điều chỉnh được xác định. </w:t>
            </w:r>
            <w:r>
              <w:rPr>
                <w:b/>
                <w:i w:val="0"/>
                <w:sz w:val="19"/>
              </w:rPr>
              <w:t>Tham chiếu rủi ro: G-6, G-7, G-8</w:t>
            </w:r>
          </w:p>
        </w:tc>
      </w:tr>
      <w:tr>
        <w:tc>
          <w:tcPr>
            <w:tcW w:type="dxa" w:w="4680"/>
          </w:tcPr>
          <w:p>
            <w:r/>
            <w:r>
              <w:rPr>
                <w:b w:val="0"/>
                <w:i w:val="0"/>
                <w:sz w:val="19"/>
              </w:rPr>
              <w:t>2.7.7</w:t>
            </w:r>
          </w:p>
        </w:tc>
        <w:tc>
          <w:tcPr>
            <w:tcW w:type="dxa" w:w="4680"/>
          </w:tcPr>
          <w:p>
            <w:r/>
            <w:r>
              <w:rPr>
                <w:b/>
                <w:i w:val="0"/>
                <w:sz w:val="19"/>
              </w:rPr>
              <w:t>Báo cáo quản trị.</w:t>
            </w:r>
            <w:r>
              <w:rPr>
                <w:b w:val="0"/>
                <w:i w:val="0"/>
                <w:sz w:val="19"/>
              </w:rPr>
              <w:t xml:space="preserve"> Ban quản lý đơn vị kinh doanh và Ban quản lý tài chính phải triển khai một hệ thống báo cáo và xem xét quản trị để hỗ trợ việc quản lý số dư các khoản phải thu. Các báo cáo nội bộ nên bao gồm số ngày thu tiền bình quân (DSO), tuổi nợ của các khoản, danh sách các khoản nợ quá hạn, các khoản có khả năng xóa sổ, mức độ đầy đủ của các nỗ lực thu hồi, theo dõi tranh chấp, v.v. </w:t>
            </w:r>
            <w:r>
              <w:rPr>
                <w:b/>
                <w:i w:val="0"/>
                <w:sz w:val="19"/>
              </w:rPr>
              <w:t>Tham chiếu rủi ro: G-3, G-12</w:t>
            </w:r>
          </w:p>
        </w:tc>
      </w:tr>
      <w:tr>
        <w:tc>
          <w:tcPr>
            <w:tcW w:type="dxa" w:w="4680"/>
          </w:tcPr>
          <w:p>
            <w:r/>
            <w:r>
              <w:rPr>
                <w:b w:val="0"/>
                <w:i w:val="0"/>
                <w:sz w:val="19"/>
              </w:rPr>
              <w:t>2.7.8</w:t>
            </w:r>
          </w:p>
        </w:tc>
        <w:tc>
          <w:tcPr>
            <w:tcW w:type="dxa" w:w="4680"/>
          </w:tcPr>
          <w:p>
            <w:r/>
            <w:r>
              <w:rPr>
                <w:b/>
                <w:i w:val="0"/>
                <w:sz w:val="19"/>
              </w:rPr>
              <w:t>Dự phòng.</w:t>
            </w:r>
            <w:r>
              <w:rPr>
                <w:b w:val="0"/>
                <w:i w:val="0"/>
                <w:sz w:val="19"/>
              </w:rPr>
              <w:t xml:space="preserve"> Lấy chính sách của công ty làm hướng dẫn tối thiểu, Ban quản lý tài chính phải lập một khoản dự phòng đánh giá để ghi nhận các khoản phải thu theo giá trị thực hiện ròng của chúng. </w:t>
            </w:r>
            <w:r>
              <w:rPr>
                <w:b/>
                <w:i w:val="0"/>
                <w:sz w:val="19"/>
              </w:rPr>
              <w:t>Tham chiếu rủi ro: G-5</w:t>
            </w:r>
          </w:p>
        </w:tc>
      </w:tr>
      <w:tr>
        <w:tc>
          <w:tcPr>
            <w:tcW w:type="dxa" w:w="4680"/>
          </w:tcPr>
          <w:p>
            <w:r/>
            <w:r>
              <w:rPr>
                <w:b w:val="0"/>
                <w:i w:val="0"/>
                <w:sz w:val="19"/>
              </w:rPr>
              <w:t>2.7.9</w:t>
            </w:r>
          </w:p>
        </w:tc>
        <w:tc>
          <w:tcPr>
            <w:tcW w:type="dxa" w:w="4680"/>
          </w:tcPr>
          <w:p>
            <w:r/>
            <w:r>
              <w:rPr>
                <w:b/>
                <w:i w:val="0"/>
                <w:sz w:val="19"/>
              </w:rPr>
              <w:t>Xem xét dự phòng.</w:t>
            </w:r>
            <w:r>
              <w:rPr>
                <w:b w:val="0"/>
                <w:i w:val="0"/>
                <w:sz w:val="19"/>
              </w:rPr>
              <w:t xml:space="preserve"> Nhất quán với chính sách của công ty, Ban quản lý tài chính phải xem xét các khoản dự phòng đánh giá ít nhất mỗi quý một lần về tính đầy đủ và hợp lý, đồng thời thực hiện các điều chỉnh đối với dự phòng khi cần thiết. </w:t>
            </w:r>
            <w:r>
              <w:rPr>
                <w:b/>
                <w:i w:val="0"/>
                <w:sz w:val="19"/>
              </w:rPr>
              <w:t>Tham chiếu rủi ro: G-5</w:t>
            </w:r>
          </w:p>
        </w:tc>
      </w:tr>
      <w:tr>
        <w:tc>
          <w:tcPr>
            <w:tcW w:type="dxa" w:w="4680"/>
          </w:tcPr>
          <w:p>
            <w:r/>
            <w:r>
              <w:rPr>
                <w:b w:val="0"/>
                <w:i w:val="0"/>
                <w:sz w:val="19"/>
              </w:rPr>
              <w:t>2.7.10</w:t>
            </w:r>
          </w:p>
        </w:tc>
        <w:tc>
          <w:tcPr>
            <w:tcW w:type="dxa" w:w="4680"/>
          </w:tcPr>
          <w:p>
            <w:r/>
            <w:r>
              <w:rPr>
                <w:b/>
                <w:i w:val="0"/>
                <w:sz w:val="19"/>
              </w:rPr>
              <w:t>Giấy báo có.</w:t>
            </w:r>
            <w:r>
              <w:rPr>
                <w:b w:val="0"/>
                <w:i w:val="0"/>
                <w:sz w:val="19"/>
              </w:rPr>
              <w:t xml:space="preserve"> Việc giải quyết số dư khoản phải thu của khách hàng đang tranh chấp phải được ghi nhận bằng giấy báo có (credit memo). </w:t>
            </w:r>
            <w:r>
              <w:rPr>
                <w:b/>
                <w:i w:val="0"/>
                <w:sz w:val="19"/>
              </w:rPr>
              <w:t>Tham chiếu rủi ro: G-3, G-7, G-8</w:t>
            </w:r>
          </w:p>
        </w:tc>
      </w:tr>
      <w:tr>
        <w:tc>
          <w:tcPr>
            <w:tcW w:type="dxa" w:w="4680"/>
          </w:tcPr>
          <w:p>
            <w:r/>
            <w:r>
              <w:rPr>
                <w:b w:val="0"/>
                <w:i w:val="0"/>
                <w:sz w:val="19"/>
              </w:rPr>
              <w:t>2.7.11</w:t>
            </w:r>
          </w:p>
        </w:tc>
        <w:tc>
          <w:tcPr>
            <w:tcW w:type="dxa" w:w="4680"/>
          </w:tcPr>
          <w:p>
            <w:r/>
            <w:r>
              <w:rPr>
                <w:b/>
                <w:i w:val="0"/>
                <w:sz w:val="19"/>
              </w:rPr>
              <w:t>Hồ sơ được bảo vệ.</w:t>
            </w:r>
            <w:r>
              <w:rPr>
                <w:b w:val="0"/>
                <w:i w:val="0"/>
                <w:sz w:val="19"/>
              </w:rPr>
              <w:t xml:space="preserve"> Thông tin chi tiết về các khoản phải thu phải được bảo vệ khỏi mất mát, hủy hoại hoặc truy cập trái phép. </w:t>
            </w:r>
            <w:r>
              <w:rPr>
                <w:b/>
                <w:i w:val="0"/>
                <w:sz w:val="19"/>
              </w:rPr>
              <w:t>Tham chiếu rủi ro: G-9, G-10</w:t>
            </w:r>
          </w:p>
        </w:tc>
      </w:tr>
      <w:tr>
        <w:tc>
          <w:tcPr>
            <w:tcW w:type="dxa" w:w="4680"/>
          </w:tcPr>
          <w:p>
            <w:r/>
            <w:r>
              <w:rPr>
                <w:b w:val="0"/>
                <w:i w:val="0"/>
                <w:sz w:val="19"/>
              </w:rPr>
              <w:t>2.7.12</w:t>
            </w:r>
          </w:p>
        </w:tc>
        <w:tc>
          <w:tcPr>
            <w:tcW w:type="dxa" w:w="4680"/>
          </w:tcPr>
          <w:p>
            <w:r/>
            <w:r>
              <w:rPr>
                <w:b/>
                <w:i w:val="0"/>
                <w:sz w:val="19"/>
              </w:rPr>
              <w:t>Tài khoản nhân viên.</w:t>
            </w:r>
            <w:r>
              <w:rPr>
                <w:b w:val="0"/>
                <w:i w:val="0"/>
                <w:sz w:val="19"/>
              </w:rPr>
              <w:t xml:space="preserve"> Các khoản phải thu từ nhân viên, bao gồm tạm ứng công tác phí, phải được theo dõi tách biệt với sổ chi tiết các khoản phải thu khách hàng và phải được xem xét, đối chiếu hàng tháng. Cần thiết lập và thực thi một quy trình để tất toán tài khoản nhân viên trước khi chấm dứt hợp đồng lao động. </w:t>
            </w:r>
            <w:r>
              <w:rPr>
                <w:b/>
                <w:i w:val="0"/>
                <w:sz w:val="19"/>
              </w:rPr>
              <w:t>Tham chiếu rủi ro: G-3, G-4, G-6, G-11</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G-1</w:t>
            </w:r>
          </w:p>
        </w:tc>
        <w:tc>
          <w:tcPr>
            <w:tcW w:type="dxa" w:w="4680"/>
          </w:tcPr>
          <w:p>
            <w:r/>
            <w:r>
              <w:rPr>
                <w:b w:val="0"/>
                <w:i w:val="0"/>
                <w:sz w:val="19"/>
              </w:rPr>
              <w:t>Có thể xảy ra sai sót cố ý hoặc biển thủ tài sản. Ví dụ:</w:t>
            </w:r>
            <w:r>
              <w:br/>
            </w:r>
            <w:r>
              <w:rPr>
                <w:b w:val="0"/>
                <w:i w:val="0"/>
                <w:sz w:val="19"/>
              </w:rPr>
              <w:t>a. Hàng bán đã xuất hóa đơn nhưng không được ghi nhận. Khi nhận tiền, tiền mặt bị biển thủ.</w:t>
            </w:r>
            <w:r>
              <w:br/>
            </w:r>
            <w:r>
              <w:rPr>
                <w:b w:val="0"/>
                <w:i w:val="0"/>
                <w:sz w:val="19"/>
              </w:rPr>
              <w:t>b. Các khoản thu tiền mặt bị hạch toán sai vào tài khoản khách hàng và/hoặc bị biển thủ hoặc chuyển hướng.</w:t>
            </w:r>
          </w:p>
        </w:tc>
      </w:tr>
      <w:tr>
        <w:tc>
          <w:tcPr>
            <w:tcW w:type="dxa" w:w="4680"/>
          </w:tcPr>
          <w:p>
            <w:r/>
            <w:r>
              <w:rPr>
                <w:b w:val="0"/>
                <w:i w:val="0"/>
                <w:sz w:val="19"/>
              </w:rPr>
              <w:t>G-2</w:t>
            </w:r>
          </w:p>
        </w:tc>
        <w:tc>
          <w:tcPr>
            <w:tcW w:type="dxa" w:w="4680"/>
          </w:tcPr>
          <w:p>
            <w:r/>
            <w:r>
              <w:rPr>
                <w:b w:val="0"/>
                <w:i w:val="0"/>
                <w:sz w:val="19"/>
              </w:rPr>
              <w:t>Sổ chi tiết có thể không chính xác do hóa đơn và/hoặc các khoản thu tiền mặt có thể không được ghi nhận, ghi nhận sai, hoặc ghi nhận vào sai kỳ kế toán.</w:t>
            </w:r>
          </w:p>
        </w:tc>
      </w:tr>
      <w:tr>
        <w:tc>
          <w:tcPr>
            <w:tcW w:type="dxa" w:w="4680"/>
          </w:tcPr>
          <w:p>
            <w:r/>
            <w:r>
              <w:rPr>
                <w:b w:val="0"/>
                <w:i w:val="0"/>
                <w:sz w:val="19"/>
              </w:rPr>
              <w:t>G-3</w:t>
            </w:r>
          </w:p>
        </w:tc>
        <w:tc>
          <w:tcPr>
            <w:tcW w:type="dxa" w:w="4680"/>
          </w:tcPr>
          <w:p>
            <w:r/>
            <w:r>
              <w:rPr>
                <w:b w:val="0"/>
                <w:i w:val="0"/>
                <w:sz w:val="19"/>
              </w:rPr>
              <w:t>Có thể xảy ra hoạt động thu hồi nợ kém hiệu quả, và/hoặc việc phân tích tuổi nợ không chính xác có thể dẫn đến việc khách hàng chậm thanh toán hoặc xóa sổ các khoản nợ quá hạn.</w:t>
            </w:r>
          </w:p>
        </w:tc>
      </w:tr>
      <w:tr>
        <w:tc>
          <w:tcPr>
            <w:tcW w:type="dxa" w:w="4680"/>
          </w:tcPr>
          <w:p>
            <w:r/>
            <w:r>
              <w:rPr>
                <w:b w:val="0"/>
                <w:i w:val="0"/>
                <w:sz w:val="19"/>
              </w:rPr>
              <w:t>G-4</w:t>
            </w:r>
          </w:p>
        </w:tc>
        <w:tc>
          <w:tcPr>
            <w:tcW w:type="dxa" w:w="4680"/>
          </w:tcPr>
          <w:p>
            <w:r/>
            <w:r>
              <w:rPr>
                <w:b w:val="0"/>
                <w:i w:val="0"/>
                <w:sz w:val="19"/>
              </w:rPr>
              <w:t>Các sai sót trong sổ cái tổng hợp hoặc sổ chi tiết có thể không được phát hiện và sửa chữa kịp thời.</w:t>
            </w:r>
          </w:p>
        </w:tc>
      </w:tr>
      <w:tr>
        <w:tc>
          <w:tcPr>
            <w:tcW w:type="dxa" w:w="4680"/>
          </w:tcPr>
          <w:p>
            <w:r/>
            <w:r>
              <w:rPr>
                <w:b w:val="0"/>
                <w:i w:val="0"/>
                <w:sz w:val="19"/>
              </w:rPr>
              <w:t>G-5</w:t>
            </w:r>
          </w:p>
        </w:tc>
        <w:tc>
          <w:tcPr>
            <w:tcW w:type="dxa" w:w="4680"/>
          </w:tcPr>
          <w:p>
            <w:r/>
            <w:r>
              <w:rPr>
                <w:b w:val="0"/>
                <w:i w:val="0"/>
                <w:sz w:val="19"/>
              </w:rPr>
              <w:t>Các khoản dự phòng đánh giá giá trị các khoản phải thu có thể được tính toán sai. Các khoản phải thu thuần và báo cáo tài chính liên quan có thể bị trình bày sai.</w:t>
            </w:r>
          </w:p>
        </w:tc>
      </w:tr>
      <w:tr>
        <w:tc>
          <w:tcPr>
            <w:tcW w:type="dxa" w:w="4680"/>
          </w:tcPr>
          <w:p>
            <w:r/>
            <w:r>
              <w:rPr>
                <w:b w:val="0"/>
                <w:i w:val="0"/>
                <w:sz w:val="19"/>
              </w:rPr>
              <w:t>G-6</w:t>
            </w:r>
          </w:p>
        </w:tc>
        <w:tc>
          <w:tcPr>
            <w:tcW w:type="dxa" w:w="4680"/>
          </w:tcPr>
          <w:p>
            <w:r/>
            <w:r>
              <w:rPr>
                <w:b w:val="0"/>
                <w:i w:val="0"/>
                <w:sz w:val="19"/>
              </w:rPr>
              <w:t>Các hồ sơ tài chính và báo cáo tài chính có thể bị trình bày sai.</w:t>
            </w:r>
          </w:p>
        </w:tc>
      </w:tr>
      <w:tr>
        <w:tc>
          <w:tcPr>
            <w:tcW w:type="dxa" w:w="4680"/>
          </w:tcPr>
          <w:p>
            <w:r/>
            <w:r>
              <w:rPr>
                <w:b w:val="0"/>
                <w:i w:val="0"/>
                <w:sz w:val="19"/>
              </w:rPr>
              <w:t>G-7</w:t>
            </w:r>
          </w:p>
        </w:tc>
        <w:tc>
          <w:tcPr>
            <w:tcW w:type="dxa" w:w="4680"/>
          </w:tcPr>
          <w:p>
            <w:r/>
            <w:r>
              <w:rPr>
                <w:b w:val="0"/>
                <w:i w:val="0"/>
                <w:sz w:val="19"/>
              </w:rPr>
              <w:t>Các điều chỉnh đã xử lý có thể không phản ánh thông lệ kinh doanh tốt, hoặc các lỗi điều chỉnh có thể không được phát hiện.</w:t>
            </w:r>
          </w:p>
        </w:tc>
      </w:tr>
      <w:tr>
        <w:tc>
          <w:tcPr>
            <w:tcW w:type="dxa" w:w="4680"/>
          </w:tcPr>
          <w:p>
            <w:r/>
            <w:r>
              <w:rPr>
                <w:b w:val="0"/>
                <w:i w:val="0"/>
                <w:sz w:val="19"/>
              </w:rPr>
              <w:t>G-8</w:t>
            </w:r>
          </w:p>
        </w:tc>
        <w:tc>
          <w:tcPr>
            <w:tcW w:type="dxa" w:w="4680"/>
          </w:tcPr>
          <w:p>
            <w:r/>
            <w:r>
              <w:rPr>
                <w:b w:val="0"/>
                <w:i w:val="0"/>
                <w:sz w:val="19"/>
              </w:rPr>
              <w:t>Các khoản phải thu có thể đòi được có thể bị xóa sổ, và/hoặc các khoản thu tiền mặt có thể bị biển thủ.</w:t>
            </w:r>
          </w:p>
        </w:tc>
      </w:tr>
      <w:tr>
        <w:tc>
          <w:tcPr>
            <w:tcW w:type="dxa" w:w="4680"/>
          </w:tcPr>
          <w:p>
            <w:r/>
            <w:r>
              <w:rPr>
                <w:b w:val="0"/>
                <w:i w:val="0"/>
                <w:sz w:val="19"/>
              </w:rPr>
              <w:t>G-9</w:t>
            </w:r>
          </w:p>
        </w:tc>
        <w:tc>
          <w:tcPr>
            <w:tcW w:type="dxa" w:w="4680"/>
          </w:tcPr>
          <w:p>
            <w:r/>
            <w:r>
              <w:rPr>
                <w:b w:val="0"/>
                <w:i w:val="0"/>
                <w:sz w:val="19"/>
              </w:rPr>
              <w:t>Mất mát, hủy hoại hoặc thay đổi hồ sơ các khoản phải thu có thể dẫn đến việc không thể thu hồi các số dư chưa thanh toán.</w:t>
            </w:r>
          </w:p>
        </w:tc>
      </w:tr>
      <w:tr>
        <w:tc>
          <w:tcPr>
            <w:tcW w:type="dxa" w:w="4680"/>
          </w:tcPr>
          <w:p>
            <w:r/>
            <w:r>
              <w:rPr>
                <w:b w:val="0"/>
                <w:i w:val="0"/>
                <w:sz w:val="19"/>
              </w:rPr>
              <w:t>G-10</w:t>
            </w:r>
          </w:p>
        </w:tc>
        <w:tc>
          <w:tcPr>
            <w:tcW w:type="dxa" w:w="4680"/>
          </w:tcPr>
          <w:p>
            <w:r/>
            <w:r>
              <w:rPr>
                <w:b w:val="0"/>
                <w:i w:val="0"/>
                <w:sz w:val="19"/>
              </w:rPr>
              <w:t>Việc sử dụng trái phép thông tin phải thu của khách hàng có thể ảnh hưởng tiêu cực đến vị thế cạnh tranh hoặc danh tiếng của công ty.</w:t>
            </w:r>
          </w:p>
        </w:tc>
      </w:tr>
      <w:tr>
        <w:tc>
          <w:tcPr>
            <w:tcW w:type="dxa" w:w="4680"/>
          </w:tcPr>
          <w:p>
            <w:r/>
            <w:r>
              <w:rPr>
                <w:b w:val="0"/>
                <w:i w:val="0"/>
                <w:sz w:val="19"/>
              </w:rPr>
              <w:t>G-11</w:t>
            </w:r>
          </w:p>
        </w:tc>
        <w:tc>
          <w:tcPr>
            <w:tcW w:type="dxa" w:w="4680"/>
          </w:tcPr>
          <w:p>
            <w:r/>
            <w:r>
              <w:rPr>
                <w:b w:val="0"/>
                <w:i w:val="0"/>
                <w:sz w:val="19"/>
              </w:rPr>
              <w:t>Các khoản phải thu có thể không được thu hồi từ những nhân viên đã nghỉ việc.</w:t>
            </w:r>
          </w:p>
        </w:tc>
      </w:tr>
      <w:tr>
        <w:tc>
          <w:tcPr>
            <w:tcW w:type="dxa" w:w="4680"/>
          </w:tcPr>
          <w:p>
            <w:r/>
            <w:r>
              <w:rPr>
                <w:b w:val="0"/>
                <w:i w:val="0"/>
                <w:sz w:val="19"/>
              </w:rPr>
              <w:t>G-12</w:t>
            </w:r>
          </w:p>
        </w:tc>
        <w:tc>
          <w:tcPr>
            <w:tcW w:type="dxa" w:w="4680"/>
          </w:tcPr>
          <w:p>
            <w:r/>
            <w:r>
              <w:rPr>
                <w:b w:val="0"/>
                <w:i w:val="0"/>
                <w:sz w:val="19"/>
              </w:rPr>
              <w:t>Các sai sót và thiếu sót, thông lệ quản lý khoản phải thu kém, và việc tập trung rủi ro không phù hợp có thể không được phát hiện và khắc phục kịp thời.</w:t>
            </w:r>
          </w:p>
        </w:tc>
      </w:tr>
    </w:tbl>
    <w:p>
      <w:pPr>
        <w:spacing w:after="0"/>
      </w:pPr>
    </w:p>
    <w:p>
      <w:pPr>
        <w:pStyle w:val="Heading2"/>
      </w:pPr>
      <w:r>
        <w:rPr>
          <w:rFonts w:ascii="Calibri" w:hAnsi="Calibri"/>
          <w:b/>
          <w:i w:val="0"/>
          <w:sz w:val="32"/>
        </w:rPr>
        <w:t>2.8 THU HỒI</w:t>
      </w:r>
    </w:p>
    <w:p>
      <w:pPr>
        <w:pStyle w:val="Heading3"/>
      </w:pPr>
      <w:r>
        <w:rPr>
          <w:rFonts w:ascii="Calibri" w:hAnsi="Calibri"/>
          <w:b/>
          <w:i w:val="0"/>
          <w:sz w:val="26"/>
        </w:rPr>
        <w:t>Giới thiệu</w:t>
      </w:r>
    </w:p>
    <w:p>
      <w:pPr>
        <w:spacing w:after="80"/>
      </w:pPr>
      <w:r>
        <w:rPr>
          <w:b w:val="0"/>
          <w:i w:val="0"/>
        </w:rPr>
        <w:t>Các thủ tục thu hồi chính thức bằng văn bản phải được xây dựng và triển khai bởi từng đơn vị vận hành kiểm soát số dư các khoản phải thu.</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2.8.1</w:t>
            </w:r>
          </w:p>
        </w:tc>
        <w:tc>
          <w:tcPr>
            <w:tcW w:type="dxa" w:w="4680"/>
          </w:tcPr>
          <w:p>
            <w:r/>
            <w:r>
              <w:rPr>
                <w:b/>
                <w:i w:val="0"/>
                <w:sz w:val="19"/>
              </w:rPr>
              <w:t>Quy trình được ghi nhận thành văn bản.</w:t>
            </w:r>
            <w:r>
              <w:rPr>
                <w:b w:val="0"/>
                <w:i w:val="0"/>
                <w:sz w:val="19"/>
              </w:rPr>
              <w:t xml:space="preserve"> Những quy trình này, vốn định nghĩa việc thu hồi cũng như tần suất liên hệ và báo cáo, phải được xem xét và phê duyệt một cách thích đáng, đồng thời nên tuân thủ chính sách liên quan của công ty. </w:t>
            </w:r>
            <w:r>
              <w:rPr>
                <w:b/>
                <w:i w:val="0"/>
                <w:sz w:val="19"/>
              </w:rPr>
              <w:t>Tham chiếu rủi ro: H-1</w:t>
            </w:r>
          </w:p>
        </w:tc>
      </w:tr>
      <w:tr>
        <w:tc>
          <w:tcPr>
            <w:tcW w:type="dxa" w:w="4680"/>
          </w:tcPr>
          <w:p>
            <w:r/>
            <w:r>
              <w:rPr>
                <w:b w:val="0"/>
                <w:i w:val="0"/>
                <w:sz w:val="19"/>
              </w:rPr>
              <w:t>2.8.2</w:t>
            </w:r>
          </w:p>
        </w:tc>
        <w:tc>
          <w:tcPr>
            <w:tcW w:type="dxa" w:w="4680"/>
          </w:tcPr>
          <w:p>
            <w:r/>
            <w:r>
              <w:rPr>
                <w:b/>
                <w:i w:val="0"/>
                <w:sz w:val="19"/>
              </w:rPr>
              <w:t>Xem xét số dư khoản phải thu.</w:t>
            </w:r>
            <w:r>
              <w:rPr>
                <w:b w:val="0"/>
                <w:i w:val="0"/>
                <w:sz w:val="19"/>
              </w:rPr>
              <w:t xml:space="preserve"> Bộ phận Thu hồi nợ phải thường xuyên xem xét số dư chưa thanh toán của khách hàng (cả bên Nợ và bên Có) và khởi động các nỗ lực thu hồi đối với mọi khoản còn tồn đọng. Các nỗ lực thu hồi phải được ghi nhận đầy đủ trong hồ sơ tín dụng của khách hàng. </w:t>
            </w:r>
            <w:r>
              <w:rPr>
                <w:b/>
                <w:i w:val="0"/>
                <w:sz w:val="19"/>
              </w:rPr>
              <w:t>Tham chiếu rủi ro: H-2, H-3, H-5</w:t>
            </w:r>
          </w:p>
        </w:tc>
      </w:tr>
      <w:tr>
        <w:tc>
          <w:tcPr>
            <w:tcW w:type="dxa" w:w="4680"/>
          </w:tcPr>
          <w:p>
            <w:r/>
            <w:r>
              <w:rPr>
                <w:b w:val="0"/>
                <w:i w:val="0"/>
                <w:sz w:val="19"/>
              </w:rPr>
              <w:t>2.8.3</w:t>
            </w:r>
          </w:p>
        </w:tc>
        <w:tc>
          <w:tcPr>
            <w:tcW w:type="dxa" w:w="4680"/>
          </w:tcPr>
          <w:p>
            <w:r/>
            <w:r>
              <w:rPr>
                <w:b/>
                <w:i w:val="0"/>
                <w:sz w:val="19"/>
              </w:rPr>
              <w:t>Khiếu nại.</w:t>
            </w:r>
            <w:r>
              <w:rPr>
                <w:b w:val="0"/>
                <w:i w:val="0"/>
                <w:sz w:val="19"/>
              </w:rPr>
              <w:t xml:space="preserve"> Thư từ trao đổi với khách hàng (khiếu nại về hóa đơn/vận chuyển, vấn đề dịch vụ, v.v.) phải được điều tra và giải quyết kịp thời. </w:t>
            </w:r>
            <w:r>
              <w:rPr>
                <w:b/>
                <w:i w:val="0"/>
                <w:sz w:val="19"/>
              </w:rPr>
              <w:t>Tham chiếu rủi ro: H-3, H-4, H-5</w:t>
            </w:r>
          </w:p>
        </w:tc>
      </w:tr>
      <w:tr>
        <w:tc>
          <w:tcPr>
            <w:tcW w:type="dxa" w:w="4680"/>
          </w:tcPr>
          <w:p>
            <w:r/>
            <w:r>
              <w:rPr>
                <w:b w:val="0"/>
                <w:i w:val="0"/>
                <w:sz w:val="19"/>
              </w:rPr>
              <w:t>2.8.4</w:t>
            </w:r>
          </w:p>
        </w:tc>
        <w:tc>
          <w:tcPr>
            <w:tcW w:type="dxa" w:w="4680"/>
          </w:tcPr>
          <w:p>
            <w:r/>
            <w:r>
              <w:rPr>
                <w:b/>
                <w:i w:val="0"/>
                <w:sz w:val="19"/>
              </w:rPr>
              <w:t>Xóa nợ.</w:t>
            </w:r>
            <w:r>
              <w:rPr>
                <w:b w:val="0"/>
                <w:i w:val="0"/>
                <w:sz w:val="19"/>
              </w:rPr>
              <w:t xml:space="preserve"> Việc xóa nợ tài khoản khách hàng phải được ghi nhận và phê duyệt đầy đủ. </w:t>
            </w:r>
            <w:r>
              <w:rPr>
                <w:b/>
                <w:i w:val="0"/>
                <w:sz w:val="19"/>
              </w:rPr>
              <w:t>Tham chiếu rủi ro: H-3, H-4, H-6</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H-1</w:t>
            </w:r>
          </w:p>
        </w:tc>
        <w:tc>
          <w:tcPr>
            <w:tcW w:type="dxa" w:w="4680"/>
          </w:tcPr>
          <w:p>
            <w:r/>
            <w:r>
              <w:rPr>
                <w:b w:val="0"/>
                <w:i w:val="0"/>
                <w:sz w:val="19"/>
              </w:rPr>
              <w:t>Các chính sách và quy trình thu hồi nợ không đầy đủ hoặc không nhất quán có thể được áp dụng, dẫn đến các nỗ lực thu hồi không đầy đủ/kém hiệu quả.</w:t>
            </w:r>
          </w:p>
        </w:tc>
      </w:tr>
      <w:tr>
        <w:tc>
          <w:tcPr>
            <w:tcW w:type="dxa" w:w="4680"/>
          </w:tcPr>
          <w:p>
            <w:r/>
            <w:r>
              <w:rPr>
                <w:b w:val="0"/>
                <w:i w:val="0"/>
                <w:sz w:val="19"/>
              </w:rPr>
              <w:t>H-2</w:t>
            </w:r>
          </w:p>
        </w:tc>
        <w:tc>
          <w:tcPr>
            <w:tcW w:type="dxa" w:w="4680"/>
          </w:tcPr>
          <w:p>
            <w:r/>
            <w:r>
              <w:rPr>
                <w:b w:val="0"/>
                <w:i w:val="0"/>
                <w:sz w:val="19"/>
              </w:rPr>
              <w:t>Các khoản nợ quá hạn có thể phải xóa sổ do nỗ lực thu hồi không đầy đủ.</w:t>
            </w:r>
          </w:p>
        </w:tc>
      </w:tr>
      <w:tr>
        <w:tc>
          <w:tcPr>
            <w:tcW w:type="dxa" w:w="4680"/>
          </w:tcPr>
          <w:p>
            <w:r/>
            <w:r>
              <w:rPr>
                <w:b w:val="0"/>
                <w:i w:val="0"/>
                <w:sz w:val="19"/>
              </w:rPr>
              <w:t>H-3</w:t>
            </w:r>
          </w:p>
        </w:tc>
        <w:tc>
          <w:tcPr>
            <w:tcW w:type="dxa" w:w="4680"/>
          </w:tcPr>
          <w:p>
            <w:r/>
            <w:r>
              <w:rPr>
                <w:b w:val="0"/>
                <w:i w:val="0"/>
                <w:sz w:val="19"/>
              </w:rPr>
              <w:t>Việc áp dụng sai hoặc biển thủ các khoản thu tiền mặt có thể không được phát hiện và sửa chữa kịp thời.</w:t>
            </w:r>
          </w:p>
        </w:tc>
      </w:tr>
      <w:tr>
        <w:tc>
          <w:tcPr>
            <w:tcW w:type="dxa" w:w="4680"/>
          </w:tcPr>
          <w:p>
            <w:r/>
            <w:r>
              <w:rPr>
                <w:b w:val="0"/>
                <w:i w:val="0"/>
                <w:sz w:val="19"/>
              </w:rPr>
              <w:t>H-4</w:t>
            </w:r>
          </w:p>
        </w:tc>
        <w:tc>
          <w:tcPr>
            <w:tcW w:type="dxa" w:w="4680"/>
          </w:tcPr>
          <w:p>
            <w:r/>
            <w:r>
              <w:rPr>
                <w:b w:val="0"/>
                <w:i w:val="0"/>
                <w:sz w:val="19"/>
              </w:rPr>
              <w:t>Sự không hài lòng của khách hàng có thể dẫn đến mất khách hàng.</w:t>
            </w:r>
          </w:p>
        </w:tc>
      </w:tr>
      <w:tr>
        <w:tc>
          <w:tcPr>
            <w:tcW w:type="dxa" w:w="4680"/>
          </w:tcPr>
          <w:p>
            <w:r/>
            <w:r>
              <w:rPr>
                <w:b w:val="0"/>
                <w:i w:val="0"/>
                <w:sz w:val="19"/>
              </w:rPr>
              <w:t>H-5</w:t>
            </w:r>
          </w:p>
        </w:tc>
        <w:tc>
          <w:tcPr>
            <w:tcW w:type="dxa" w:w="4680"/>
          </w:tcPr>
          <w:p>
            <w:r/>
            <w:r>
              <w:rPr>
                <w:b w:val="0"/>
                <w:i w:val="0"/>
                <w:sz w:val="19"/>
              </w:rPr>
              <w:t>Dòng tiền có thể không được tối đa hóa.</w:t>
            </w:r>
          </w:p>
        </w:tc>
      </w:tr>
      <w:tr>
        <w:tc>
          <w:tcPr>
            <w:tcW w:type="dxa" w:w="4680"/>
          </w:tcPr>
          <w:p>
            <w:r/>
            <w:r>
              <w:rPr>
                <w:b w:val="0"/>
                <w:i w:val="0"/>
                <w:sz w:val="19"/>
              </w:rPr>
              <w:t>H-6</w:t>
            </w:r>
          </w:p>
        </w:tc>
        <w:tc>
          <w:tcPr>
            <w:tcW w:type="dxa" w:w="4680"/>
          </w:tcPr>
          <w:p>
            <w:r/>
            <w:r>
              <w:rPr>
                <w:b w:val="0"/>
                <w:i w:val="0"/>
                <w:sz w:val="19"/>
              </w:rPr>
              <w:t>Công ty có thể mất đi các khoản khấu trừ thuế có giá trị.</w:t>
            </w:r>
          </w:p>
        </w:tc>
      </w:tr>
    </w:tbl>
    <w:p>
      <w:pPr>
        <w:spacing w:after="0"/>
      </w:pPr>
    </w:p>
    <w:p>
      <w:pPr>
        <w:pStyle w:val="Heading2"/>
      </w:pPr>
      <w:r>
        <w:rPr>
          <w:rFonts w:ascii="Calibri" w:hAnsi="Calibri"/>
          <w:b/>
          <w:i w:val="0"/>
          <w:sz w:val="32"/>
        </w:rPr>
        <w:t>2.9 CÁC KHOẢN THU TIỀN MẶT VÀ VIỆC ÁP DỤNG</w:t>
      </w:r>
    </w:p>
    <w:p>
      <w:pPr>
        <w:pStyle w:val="Heading3"/>
      </w:pPr>
      <w:r>
        <w:rPr>
          <w:rFonts w:ascii="Calibri" w:hAnsi="Calibri"/>
          <w:b/>
          <w:i w:val="0"/>
          <w:sz w:val="26"/>
        </w:rPr>
        <w:t>Giới thiệu</w:t>
      </w:r>
    </w:p>
    <w:p>
      <w:pPr>
        <w:spacing w:after="80"/>
      </w:pPr>
      <w:r>
        <w:rPr>
          <w:b w:val="0"/>
          <w:i w:val="0"/>
        </w:rPr>
        <w:t>Tất cả các khoản chuyển tiền phải được áp dụng vào cấp tài khoản khách hàng cụ thể trong một khoảng thời gian nhất định (ví dụ: 72 giờ). Thẻ tín dụng, séc, chuyển khoản điện tử và các khoản thu qua trao đổi dữ liệu điện tử phải được coi là tiền mặt, và các tiêu chuẩn tương tự liên quan đến thu tiền mặt phải được tuân thủ. Các khoản thu tiền mặt phải được ghi nhật ký và gửi vào ngân hàng hàng ngày hoặc theo yêu cầu của thông lệ kinh doanh tốt.</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2.9.1</w:t>
            </w:r>
          </w:p>
        </w:tc>
        <w:tc>
          <w:tcPr>
            <w:tcW w:type="dxa" w:w="4680"/>
          </w:tcPr>
          <w:p>
            <w:r/>
            <w:r>
              <w:rPr>
                <w:b/>
                <w:i w:val="0"/>
                <w:sz w:val="19"/>
              </w:rPr>
              <w:t>Tiền mặt.</w:t>
            </w:r>
            <w:r>
              <w:rPr>
                <w:b w:val="0"/>
                <w:i w:val="0"/>
                <w:sz w:val="19"/>
              </w:rPr>
              <w:t xml:space="preserve"> Thẻ tín dụng, séc, chuyển khoản điện tử và các khoản thu qua trao đổi dữ liệu điện tử phải được coi là tiền mặt, và các tiêu chuẩn tương tự liên quan đến thu tiền mặt phải được tuân thủ. </w:t>
            </w:r>
            <w:r>
              <w:rPr>
                <w:b/>
                <w:i w:val="0"/>
                <w:sz w:val="19"/>
              </w:rPr>
              <w:t>Tham khảo các rủi ro: I-1, I-2, I-3, I-4, I-5, I-6, I-7</w:t>
            </w:r>
          </w:p>
        </w:tc>
      </w:tr>
      <w:tr>
        <w:tc>
          <w:tcPr>
            <w:tcW w:type="dxa" w:w="4680"/>
          </w:tcPr>
          <w:p>
            <w:r/>
            <w:r>
              <w:rPr>
                <w:b w:val="0"/>
                <w:i w:val="0"/>
                <w:sz w:val="19"/>
              </w:rPr>
              <w:t>2.9.2</w:t>
            </w:r>
          </w:p>
        </w:tc>
        <w:tc>
          <w:tcPr>
            <w:tcW w:type="dxa" w:w="4680"/>
          </w:tcPr>
          <w:p>
            <w:r/>
            <w:r>
              <w:rPr>
                <w:b/>
                <w:i w:val="0"/>
                <w:sz w:val="19"/>
              </w:rPr>
              <w:t>Ký hậu hạn chế.</w:t>
            </w:r>
            <w:r>
              <w:rPr>
                <w:b w:val="0"/>
                <w:i w:val="0"/>
                <w:sz w:val="19"/>
              </w:rPr>
              <w:t xml:space="preserve"> Tất cả séc phải được ký hậu hạn chế chỉ để gửi vào tài khoản và được bảo đảm ngay khi nhận được hoặc khi trở thành có thể chuyển nhượng (ví dụ: séc ghi ngày trong tương lai). </w:t>
            </w:r>
            <w:r>
              <w:rPr>
                <w:b/>
                <w:i w:val="0"/>
                <w:sz w:val="19"/>
              </w:rPr>
              <w:t>Tham khảo rủi ro: I-1</w:t>
            </w:r>
          </w:p>
        </w:tc>
      </w:tr>
      <w:tr>
        <w:tc>
          <w:tcPr>
            <w:tcW w:type="dxa" w:w="4680"/>
          </w:tcPr>
          <w:p>
            <w:r/>
            <w:r>
              <w:rPr>
                <w:b w:val="0"/>
                <w:i w:val="0"/>
                <w:sz w:val="19"/>
              </w:rPr>
              <w:t>2.9.3</w:t>
            </w:r>
          </w:p>
        </w:tc>
        <w:tc>
          <w:tcPr>
            <w:tcW w:type="dxa" w:w="4680"/>
          </w:tcPr>
          <w:p>
            <w:r/>
            <w:r>
              <w:rPr>
                <w:b/>
                <w:i w:val="0"/>
                <w:sz w:val="19"/>
              </w:rPr>
              <w:t>Tiền gửi.</w:t>
            </w:r>
            <w:r>
              <w:rPr>
                <w:b w:val="0"/>
                <w:i w:val="0"/>
                <w:sz w:val="19"/>
              </w:rPr>
              <w:t xml:space="preserve"> Nhật ký thu tiền mặt phải được đối chiếu với sao kê ngân hàng và được ghi vào sổ cái chung định kỳ bởi một người độc lập với chức năng thu tiền mặt. </w:t>
            </w:r>
            <w:r>
              <w:rPr>
                <w:b/>
                <w:i w:val="0"/>
                <w:sz w:val="19"/>
              </w:rPr>
              <w:t>Tham khảo các rủi ro: I-2, I-3, I-7</w:t>
            </w:r>
          </w:p>
        </w:tc>
      </w:tr>
      <w:tr>
        <w:tc>
          <w:tcPr>
            <w:tcW w:type="dxa" w:w="4680"/>
          </w:tcPr>
          <w:p>
            <w:r/>
            <w:r>
              <w:rPr>
                <w:b w:val="0"/>
                <w:i w:val="0"/>
                <w:sz w:val="19"/>
              </w:rPr>
              <w:t>2.9.4</w:t>
            </w:r>
          </w:p>
        </w:tc>
        <w:tc>
          <w:tcPr>
            <w:tcW w:type="dxa" w:w="4680"/>
          </w:tcPr>
          <w:p>
            <w:r/>
            <w:r>
              <w:rPr>
                <w:b w:val="0"/>
                <w:i w:val="0"/>
                <w:sz w:val="19"/>
              </w:rPr>
              <w:t>Phân tách nhiệm vụ. Việc kiểm soát và trách nhiệm đối với việc nhận và gửi tiền mặt phải được giao cho một cá nhân không chịu trách nhiệm về:</w:t>
            </w:r>
            <w:r>
              <w:br/>
            </w:r>
            <w:r>
              <w:rPr>
                <w:b w:val="0"/>
                <w:i w:val="0"/>
                <w:sz w:val="19"/>
              </w:rPr>
              <w:t>a. Ghi chép vào sổ phụ các khoản phải thu;</w:t>
            </w:r>
            <w:r>
              <w:br/>
            </w:r>
            <w:r>
              <w:rPr>
                <w:b w:val="0"/>
                <w:i w:val="0"/>
                <w:sz w:val="19"/>
              </w:rPr>
              <w:t>b. Ghi chép vào sổ cái chung;</w:t>
            </w:r>
            <w:r>
              <w:br/>
            </w:r>
            <w:r>
              <w:rPr>
                <w:b w:val="0"/>
                <w:i w:val="0"/>
                <w:sz w:val="19"/>
              </w:rPr>
              <w:t>c. Thu các khoản phải thu;</w:t>
            </w:r>
            <w:r>
              <w:br/>
            </w:r>
            <w:r>
              <w:rPr>
                <w:b w:val="0"/>
                <w:i w:val="0"/>
                <w:sz w:val="19"/>
              </w:rPr>
              <w:t>d. Phê duyệt việc xóa nợ khó đòi;</w:t>
            </w:r>
            <w:r>
              <w:br/>
            </w:r>
            <w:r>
              <w:rPr>
                <w:b w:val="0"/>
                <w:i w:val="0"/>
                <w:sz w:val="19"/>
              </w:rPr>
              <w:t>e. Phê duyệt các bút toán ghi có, chiết khấu, giảm trừ hoặc hàng khách trả lại; và</w:t>
            </w:r>
            <w:r>
              <w:br/>
            </w:r>
            <w:r>
              <w:rPr>
                <w:b w:val="0"/>
                <w:i w:val="0"/>
                <w:sz w:val="19"/>
              </w:rPr>
              <w:t>f. Chuẩn bị các chứng từ lập hóa đơn.</w:t>
            </w:r>
            <w:r>
              <w:br/>
            </w:r>
            <w:r>
              <w:rPr>
                <w:b w:val="0"/>
                <w:i w:val="0"/>
                <w:sz w:val="19"/>
              </w:rPr>
              <w:t xml:space="preserve">g. Cá nhân này nên được bảo lãnh. </w:t>
            </w:r>
            <w:r>
              <w:rPr>
                <w:b/>
                <w:i w:val="0"/>
                <w:sz w:val="19"/>
              </w:rPr>
              <w:t>Tham khảo các rủi ro: I-1, I-2, I-3, I-4, I-5, I-6, I-7</w:t>
            </w:r>
          </w:p>
        </w:tc>
      </w:tr>
      <w:tr>
        <w:tc>
          <w:tcPr>
            <w:tcW w:type="dxa" w:w="4680"/>
          </w:tcPr>
          <w:p>
            <w:r/>
            <w:r>
              <w:rPr>
                <w:b w:val="0"/>
                <w:i w:val="0"/>
                <w:sz w:val="19"/>
              </w:rPr>
              <w:t>2.9.5</w:t>
            </w:r>
          </w:p>
        </w:tc>
        <w:tc>
          <w:tcPr>
            <w:tcW w:type="dxa" w:w="4680"/>
          </w:tcPr>
          <w:p>
            <w:r/>
            <w:r>
              <w:rPr>
                <w:b/>
                <w:i w:val="0"/>
                <w:sz w:val="19"/>
              </w:rPr>
              <w:t>Tài khoản tiền gửi.</w:t>
            </w:r>
            <w:r>
              <w:rPr>
                <w:b w:val="0"/>
                <w:i w:val="0"/>
                <w:sz w:val="19"/>
              </w:rPr>
              <w:t xml:space="preserve"> Khi có thể, nên khuyến khích tất cả khách hàng thanh toán trực tiếp vào tài khoản tiền gửi hoặc các hệ thống thanh toán tự động khác tại các cơ sở ngân hàng đã thiết lập của công ty. </w:t>
            </w:r>
            <w:r>
              <w:rPr>
                <w:b/>
                <w:i w:val="0"/>
                <w:sz w:val="19"/>
              </w:rPr>
              <w:t>Tham khảo rủi ro: I-1, I-3, I-7</w:t>
            </w:r>
          </w:p>
        </w:tc>
      </w:tr>
      <w:tr>
        <w:tc>
          <w:tcPr>
            <w:tcW w:type="dxa" w:w="4680"/>
          </w:tcPr>
          <w:p>
            <w:r/>
            <w:r>
              <w:rPr>
                <w:b w:val="0"/>
                <w:i w:val="0"/>
                <w:sz w:val="19"/>
              </w:rPr>
              <w:t>2.9.6</w:t>
            </w:r>
          </w:p>
        </w:tc>
        <w:tc>
          <w:tcPr>
            <w:tcW w:type="dxa" w:w="4680"/>
          </w:tcPr>
          <w:p>
            <w:r/>
            <w:r>
              <w:rPr>
                <w:b/>
                <w:i w:val="0"/>
                <w:sz w:val="19"/>
              </w:rPr>
              <w:t>Ghi sổ.</w:t>
            </w:r>
            <w:r>
              <w:rPr>
                <w:b w:val="0"/>
                <w:i w:val="0"/>
                <w:sz w:val="19"/>
              </w:rPr>
              <w:t xml:space="preserve"> Tất cả các khoản thanh toán của khách hàng phải được ghi vào sổ phụ khoản phải thu hoặc tiền khách hàng trả trước trong vòng 24 giờ. Khi chấp nhận séc ghi ngày tương lai, séc phải được bảo quản an toàn và ghi sổ vào ngày đầu tiên sau khi séc có thể chuyển nhượng được. </w:t>
            </w:r>
            <w:r>
              <w:rPr>
                <w:b/>
                <w:i w:val="0"/>
                <w:sz w:val="19"/>
              </w:rPr>
              <w:t>Tham khảo rủi ro: I-2, I-4, I-5, I-6, I-7</w:t>
            </w:r>
          </w:p>
        </w:tc>
      </w:tr>
      <w:tr>
        <w:tc>
          <w:tcPr>
            <w:tcW w:type="dxa" w:w="4680"/>
          </w:tcPr>
          <w:p>
            <w:r/>
            <w:r>
              <w:rPr>
                <w:b w:val="0"/>
                <w:i w:val="0"/>
                <w:sz w:val="19"/>
              </w:rPr>
              <w:t>2.9.7</w:t>
            </w:r>
          </w:p>
        </w:tc>
        <w:tc>
          <w:tcPr>
            <w:tcW w:type="dxa" w:w="4680"/>
          </w:tcPr>
          <w:p>
            <w:r/>
            <w:r>
              <w:rPr>
                <w:b/>
                <w:i w:val="0"/>
                <w:sz w:val="19"/>
              </w:rPr>
              <w:t>Áp dụng thanh toán.</w:t>
            </w:r>
            <w:r>
              <w:rPr>
                <w:b w:val="0"/>
                <w:i w:val="0"/>
                <w:sz w:val="19"/>
              </w:rPr>
              <w:t xml:space="preserve"> Trừ khi khách hàng chấp thuận cách khác, các khoản thanh toán phải được áp dụng cho từng hóa đơn cụ thể. Khi chấp nhận tiền khách hàng trả trước, số tiền trả trước không được dùng để xóa số dư tài khoản cho đến khi khoản đó được ghi nhận là đã kiếm được. </w:t>
            </w:r>
            <w:r>
              <w:rPr>
                <w:b/>
                <w:i w:val="0"/>
                <w:sz w:val="19"/>
              </w:rPr>
              <w:t>Tham khảo rủi ro: I-2, I-4, I-5, I-6, I-7</w:t>
            </w:r>
          </w:p>
        </w:tc>
      </w:tr>
      <w:tr>
        <w:tc>
          <w:tcPr>
            <w:tcW w:type="dxa" w:w="4680"/>
          </w:tcPr>
          <w:p>
            <w:r/>
            <w:r>
              <w:rPr>
                <w:b w:val="0"/>
                <w:i w:val="0"/>
                <w:sz w:val="19"/>
              </w:rPr>
              <w:t>2.9.8</w:t>
            </w:r>
          </w:p>
        </w:tc>
        <w:tc>
          <w:tcPr>
            <w:tcW w:type="dxa" w:w="4680"/>
          </w:tcPr>
          <w:p>
            <w:r/>
            <w:r>
              <w:rPr>
                <w:b/>
                <w:i w:val="0"/>
                <w:sz w:val="19"/>
              </w:rPr>
              <w:t>Thủ tục chốt kỳ.</w:t>
            </w:r>
            <w:r>
              <w:rPr>
                <w:b w:val="0"/>
                <w:i w:val="0"/>
                <w:sz w:val="19"/>
              </w:rPr>
              <w:t xml:space="preserve"> Phải thiết lập và thực thi các thủ tục chốt kỳ thanh toán của khách hàng hàng tháng. </w:t>
            </w:r>
            <w:r>
              <w:rPr>
                <w:b/>
                <w:i w:val="0"/>
                <w:sz w:val="19"/>
              </w:rPr>
              <w:t>Tham khảo rủi ro: I-5, I-6</w:t>
            </w:r>
          </w:p>
        </w:tc>
      </w:tr>
      <w:tr>
        <w:tc>
          <w:tcPr>
            <w:tcW w:type="dxa" w:w="4680"/>
          </w:tcPr>
          <w:p>
            <w:r/>
            <w:r>
              <w:rPr>
                <w:b w:val="0"/>
                <w:i w:val="0"/>
                <w:sz w:val="19"/>
              </w:rPr>
              <w:t>2.9.9</w:t>
            </w:r>
          </w:p>
        </w:tc>
        <w:tc>
          <w:tcPr>
            <w:tcW w:type="dxa" w:w="4680"/>
          </w:tcPr>
          <w:p>
            <w:r/>
            <w:r>
              <w:rPr>
                <w:b/>
                <w:i w:val="0"/>
                <w:sz w:val="19"/>
              </w:rPr>
              <w:t>Các khoản thanh toán khác.</w:t>
            </w:r>
            <w:r>
              <w:rPr>
                <w:b w:val="0"/>
                <w:i w:val="0"/>
                <w:sz w:val="19"/>
              </w:rPr>
              <w:t xml:space="preserve"> Phải thiết lập các thủ tục kiểm soát đầy đủ đối với các khoản thanh toán khác nhận tại chỗ. Ban quản lý tài chính địa phương phù hợp phải phê duyệt các thủ tục này. </w:t>
            </w:r>
            <w:r>
              <w:rPr>
                <w:b/>
                <w:i w:val="0"/>
                <w:sz w:val="19"/>
              </w:rPr>
              <w:t>Tham khảo rủi ro: I-1, I-2, I-7</w:t>
            </w:r>
          </w:p>
        </w:tc>
      </w:tr>
      <w:tr>
        <w:tc>
          <w:tcPr>
            <w:tcW w:type="dxa" w:w="4680"/>
          </w:tcPr>
          <w:p>
            <w:r/>
            <w:r>
              <w:rPr>
                <w:b w:val="0"/>
                <w:i w:val="0"/>
                <w:sz w:val="19"/>
              </w:rPr>
              <w:t>2.9.10</w:t>
            </w:r>
          </w:p>
        </w:tc>
        <w:tc>
          <w:tcPr>
            <w:tcW w:type="dxa" w:w="4680"/>
          </w:tcPr>
          <w:p>
            <w:r/>
            <w:r>
              <w:rPr>
                <w:b/>
                <w:i w:val="0"/>
                <w:sz w:val="19"/>
              </w:rPr>
              <w:t>Séc không đủ tiền.</w:t>
            </w:r>
            <w:r>
              <w:rPr>
                <w:b w:val="0"/>
                <w:i w:val="0"/>
                <w:sz w:val="19"/>
              </w:rPr>
              <w:t xml:space="preserve"> Ban quản lý tài chính địa phương phải thiết lập quy trình xử lý séc bị trả lại do không đủ tiền để đảm bảo rằng hồ sơ các khoản chưa khớp được cập nhật và hành động chuyển sang tín dụng phù hợp được khởi tạo. </w:t>
            </w:r>
            <w:r>
              <w:rPr>
                <w:b/>
                <w:i w:val="0"/>
                <w:sz w:val="19"/>
              </w:rPr>
              <w:t>Tham khảo rủi ro: I-1, I-3, I-4, I-</w:t>
            </w:r>
            <w:r>
              <w:rPr>
                <w:b/>
                <w:i/>
                <w:sz w:val="19"/>
              </w:rPr>
              <w:t>5</w:t>
            </w:r>
            <w:r>
              <w:rPr>
                <w:b/>
                <w:i w:val="0"/>
                <w:sz w:val="19"/>
              </w:rPr>
              <w:t xml:space="preserve"> </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I-1</w:t>
            </w:r>
          </w:p>
        </w:tc>
        <w:tc>
          <w:tcPr>
            <w:tcW w:type="dxa" w:w="4680"/>
          </w:tcPr>
          <w:p>
            <w:r/>
            <w:r>
              <w:rPr>
                <w:b w:val="0"/>
                <w:i w:val="0"/>
                <w:sz w:val="19"/>
              </w:rPr>
              <w:t>Tiền thu có thể bị mất và/hoặc bị chiếm dụng sai mục đích.</w:t>
            </w:r>
          </w:p>
        </w:tc>
      </w:tr>
      <w:tr>
        <w:tc>
          <w:tcPr>
            <w:tcW w:type="dxa" w:w="4680"/>
          </w:tcPr>
          <w:p>
            <w:r/>
            <w:r>
              <w:rPr>
                <w:b w:val="0"/>
                <w:i w:val="0"/>
                <w:sz w:val="19"/>
              </w:rPr>
              <w:t>I-2</w:t>
            </w:r>
          </w:p>
        </w:tc>
        <w:tc>
          <w:tcPr>
            <w:tcW w:type="dxa" w:w="4680"/>
          </w:tcPr>
          <w:p>
            <w:r/>
            <w:r>
              <w:rPr>
                <w:b w:val="0"/>
                <w:i w:val="0"/>
                <w:sz w:val="19"/>
              </w:rPr>
              <w:t>Các khoản thu tiền mặt bị thất lạc, ghi nhận sai và/hoặc bị sử dụng sai mục đích có thể không được phát hiện và chỉnh sửa kịp thời.</w:t>
            </w:r>
          </w:p>
        </w:tc>
      </w:tr>
      <w:tr>
        <w:tc>
          <w:tcPr>
            <w:tcW w:type="dxa" w:w="4680"/>
          </w:tcPr>
          <w:p>
            <w:r/>
            <w:r>
              <w:rPr>
                <w:b w:val="0"/>
                <w:i w:val="0"/>
                <w:sz w:val="19"/>
              </w:rPr>
              <w:t>I-3</w:t>
            </w:r>
          </w:p>
        </w:tc>
        <w:tc>
          <w:tcPr>
            <w:tcW w:type="dxa" w:w="4680"/>
          </w:tcPr>
          <w:p>
            <w:r/>
            <w:r>
              <w:rPr>
                <w:b w:val="0"/>
                <w:i w:val="0"/>
                <w:sz w:val="19"/>
              </w:rPr>
              <w:t>Dòng tiền có thể không được tối đa hóa.</w:t>
            </w:r>
          </w:p>
        </w:tc>
      </w:tr>
      <w:tr>
        <w:tc>
          <w:tcPr>
            <w:tcW w:type="dxa" w:w="4680"/>
          </w:tcPr>
          <w:p>
            <w:r/>
            <w:r>
              <w:rPr>
                <w:b w:val="0"/>
                <w:i w:val="0"/>
                <w:sz w:val="19"/>
              </w:rPr>
              <w:t>I-4</w:t>
            </w:r>
          </w:p>
        </w:tc>
        <w:tc>
          <w:tcPr>
            <w:tcW w:type="dxa" w:w="4680"/>
          </w:tcPr>
          <w:p>
            <w:r/>
            <w:r>
              <w:rPr>
                <w:b w:val="0"/>
                <w:i w:val="0"/>
                <w:sz w:val="19"/>
              </w:rPr>
              <w:t>Các hoạt động thu hồi nợ kém hiệu quả có thể xảy ra do số dư tài khoản khách hàng không chính xác.</w:t>
            </w:r>
          </w:p>
        </w:tc>
      </w:tr>
      <w:tr>
        <w:tc>
          <w:tcPr>
            <w:tcW w:type="dxa" w:w="4680"/>
          </w:tcPr>
          <w:p>
            <w:r/>
            <w:r>
              <w:rPr>
                <w:b w:val="0"/>
                <w:i w:val="0"/>
                <w:sz w:val="19"/>
              </w:rPr>
              <w:t>I-5</w:t>
            </w:r>
          </w:p>
        </w:tc>
        <w:tc>
          <w:tcPr>
            <w:tcW w:type="dxa" w:w="4680"/>
          </w:tcPr>
          <w:p>
            <w:r/>
            <w:r>
              <w:rPr>
                <w:b w:val="0"/>
                <w:i w:val="0"/>
                <w:sz w:val="19"/>
              </w:rPr>
              <w:t>Số dư khoản phải thu và/hoặc phân tích tuổi nợ của các khoản phải thu được đưa vào báo cáo quản lý khoản phải thu nội bộ có thể không chính xác.</w:t>
            </w:r>
          </w:p>
        </w:tc>
      </w:tr>
      <w:tr>
        <w:tc>
          <w:tcPr>
            <w:tcW w:type="dxa" w:w="4680"/>
          </w:tcPr>
          <w:p>
            <w:r/>
            <w:r>
              <w:rPr>
                <w:b w:val="0"/>
                <w:i w:val="0"/>
                <w:sz w:val="19"/>
              </w:rPr>
              <w:t>I-6</w:t>
            </w:r>
          </w:p>
        </w:tc>
        <w:tc>
          <w:tcPr>
            <w:tcW w:type="dxa" w:w="4680"/>
          </w:tcPr>
          <w:p>
            <w:r/>
            <w:r>
              <w:rPr>
                <w:b w:val="0"/>
                <w:i w:val="0"/>
                <w:sz w:val="19"/>
              </w:rPr>
              <w:t>Hồ sơ tài chính và báo cáo tài chính có thể bị trình bày sai.</w:t>
            </w:r>
          </w:p>
        </w:tc>
      </w:tr>
      <w:tr>
        <w:tc>
          <w:tcPr>
            <w:tcW w:type="dxa" w:w="4680"/>
          </w:tcPr>
          <w:p>
            <w:r/>
            <w:r>
              <w:rPr>
                <w:b w:val="0"/>
                <w:i w:val="0"/>
                <w:sz w:val="19"/>
              </w:rPr>
              <w:t>I-7</w:t>
            </w:r>
          </w:p>
        </w:tc>
        <w:tc>
          <w:tcPr>
            <w:tcW w:type="dxa" w:w="4680"/>
          </w:tcPr>
          <w:p>
            <w:r/>
            <w:r>
              <w:rPr>
                <w:b w:val="0"/>
                <w:i w:val="0"/>
                <w:sz w:val="19"/>
              </w:rPr>
              <w:t>Khách hàng có thể không hài lòng nếu việc thực hiện đơn hàng không áp dụng đúng các khoản thanh toán tiền mặt.</w:t>
            </w:r>
          </w:p>
        </w:tc>
      </w:tr>
    </w:tbl>
    <w:p>
      <w:pPr>
        <w:spacing w:after="0"/>
      </w:pPr>
    </w:p>
    <w:p>
      <w:pPr>
        <w:pStyle w:val="Heading2"/>
      </w:pPr>
      <w:r>
        <w:rPr>
          <w:rFonts w:ascii="Calibri" w:hAnsi="Calibri"/>
          <w:b/>
          <w:i w:val="0"/>
          <w:sz w:val="32"/>
        </w:rPr>
        <w:t>2.10 THIẾT LẬP GIÁ</w:t>
      </w:r>
    </w:p>
    <w:p>
      <w:pPr>
        <w:pStyle w:val="Heading3"/>
      </w:pPr>
      <w:r>
        <w:rPr>
          <w:rFonts w:ascii="Calibri" w:hAnsi="Calibri"/>
          <w:b/>
          <w:i w:val="0"/>
          <w:sz w:val="26"/>
        </w:rPr>
        <w:t>Giới thiệu</w:t>
      </w:r>
    </w:p>
    <w:p>
      <w:pPr>
        <w:spacing w:after="80"/>
      </w:pPr>
      <w:r>
        <w:rPr>
          <w:b w:val="0"/>
          <w:i w:val="0"/>
        </w:rPr>
        <w:t>Chính sách định giá được ghi chép thành văn bản cũng như các hành động định giá cụ thể phải được ban quản lý đơn vị kinh doanh toàn cầu và đơn vị kinh doanh địa phương phê duyệt và được xem xét cùng bộ phận tài chính về tính khả thi hành chính. Các chiến lược định giá phải nhất quán trong việc xác định giá thị trường toàn cầu và mục tiêu biên lợi nhuận tối thiểu được thiết lập trước cho tất cả sản phẩm.</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2.10.1</w:t>
            </w:r>
          </w:p>
        </w:tc>
        <w:tc>
          <w:tcPr>
            <w:tcW w:type="dxa" w:w="4680"/>
          </w:tcPr>
          <w:p>
            <w:r/>
            <w:r>
              <w:rPr>
                <w:b/>
                <w:i w:val="0"/>
                <w:sz w:val="19"/>
              </w:rPr>
              <w:t>Giá đã được phê duyệt.</w:t>
            </w:r>
            <w:r>
              <w:rPr>
                <w:b w:val="0"/>
                <w:i w:val="0"/>
                <w:sz w:val="19"/>
              </w:rPr>
              <w:t xml:space="preserve"> Nhân viên pháp lý địa phương phải rà soát để đảm bảo tuân thủ các quy định về giá của địa phương và các chiến lược giá toàn cầu (phân biệt giá, thương mại song song, v.v.). Khi có liên quan, giá phải được xem xét cùng với các chương trình khuyến mãi, điều khoản và điều kiện, v.v. để đảm bảo ưu đãi tổng thể dành cho khách hàng là phù hợp. </w:t>
            </w:r>
            <w:r>
              <w:rPr>
                <w:b/>
                <w:i w:val="0"/>
                <w:sz w:val="19"/>
              </w:rPr>
              <w:t>Tham khảo các rủi ro: J-1, J-2, J-3</w:t>
            </w:r>
          </w:p>
        </w:tc>
      </w:tr>
      <w:tr>
        <w:tc>
          <w:tcPr>
            <w:tcW w:type="dxa" w:w="4680"/>
          </w:tcPr>
          <w:p>
            <w:r/>
            <w:r>
              <w:rPr>
                <w:b w:val="0"/>
                <w:i w:val="0"/>
                <w:sz w:val="19"/>
              </w:rPr>
              <w:t>2.10.2</w:t>
            </w:r>
          </w:p>
        </w:tc>
        <w:tc>
          <w:tcPr>
            <w:tcW w:type="dxa" w:w="4680"/>
          </w:tcPr>
          <w:p>
            <w:r/>
            <w:r>
              <w:rPr>
                <w:b/>
                <w:i w:val="0"/>
                <w:sz w:val="19"/>
              </w:rPr>
              <w:t>Chiến lược giá.</w:t>
            </w:r>
            <w:r>
              <w:rPr>
                <w:b w:val="0"/>
                <w:i w:val="0"/>
                <w:sz w:val="19"/>
              </w:rPr>
              <w:t xml:space="preserve"> Các chiến lược giá phải nhất quán trong việc xác định giá thị trường toàn cầu và các mục tiêu biên lợi nhuận tối thiểu được thiết lập trước cho tất cả sản phẩm. Khi có liên quan, giá phải được xem xét cùng với các chương trình khuyến mãi, điều khoản và điều kiện, v.v. để đảm bảo ưu đãi tổng thể dành cho khách hàng là phù hợp. </w:t>
            </w:r>
            <w:r>
              <w:rPr>
                <w:b/>
                <w:i w:val="0"/>
                <w:sz w:val="19"/>
              </w:rPr>
              <w:t>Tham khảo các rủi ro: J-1, J-2, J-3</w:t>
            </w:r>
          </w:p>
        </w:tc>
      </w:tr>
      <w:tr>
        <w:tc>
          <w:tcPr>
            <w:tcW w:type="dxa" w:w="4680"/>
          </w:tcPr>
          <w:p>
            <w:r/>
            <w:r>
              <w:rPr>
                <w:b w:val="0"/>
                <w:i w:val="0"/>
                <w:sz w:val="19"/>
              </w:rPr>
              <w:t>2.10.3</w:t>
            </w:r>
          </w:p>
        </w:tc>
        <w:tc>
          <w:tcPr>
            <w:tcW w:type="dxa" w:w="4680"/>
          </w:tcPr>
          <w:p>
            <w:r/>
            <w:r>
              <w:rPr>
                <w:b/>
                <w:i w:val="0"/>
                <w:sz w:val="19"/>
              </w:rPr>
              <w:t>Giá đã thiết lập.</w:t>
            </w:r>
            <w:r>
              <w:rPr>
                <w:b w:val="0"/>
                <w:i w:val="0"/>
                <w:sz w:val="19"/>
              </w:rPr>
              <w:t xml:space="preserve"> Phải đặt ra một mức giá cho mỗi sản phẩm với một bộ chiết khấu giá rõ ràng được thiết lập cho từng khách hàng hoặc nhóm khách hàng được xác định rõ ràng. Quyền hạn và các quy trình để thiết lập hoặc thay đổi giá phải được xác định rõ ràng với sự phân tách nhiệm vụ phù hợp. Các kiểm soát viên nên cùng nhau rà soát các thay đổi giá niêm yết trọng yếu và quyết định các hành động về giá trọng yếu tại các cuộc họp hàng tuần của họ. Khi giá phụ thuộc vào việc đáp ứng các cam kết về khối lượng, phải tham khảo ý kiến của nhân viên pháp lý địa phương. </w:t>
            </w:r>
            <w:r>
              <w:rPr>
                <w:b/>
                <w:i w:val="0"/>
                <w:sz w:val="19"/>
              </w:rPr>
              <w:t>Tham khảo các rủi ro: J-1, J-2, J-3</w:t>
            </w:r>
          </w:p>
        </w:tc>
      </w:tr>
      <w:tr>
        <w:tc>
          <w:tcPr>
            <w:tcW w:type="dxa" w:w="4680"/>
          </w:tcPr>
          <w:p>
            <w:r/>
            <w:r>
              <w:rPr>
                <w:b w:val="0"/>
                <w:i w:val="0"/>
                <w:sz w:val="19"/>
              </w:rPr>
              <w:t>2.10.4</w:t>
            </w:r>
          </w:p>
        </w:tc>
        <w:tc>
          <w:tcPr>
            <w:tcW w:type="dxa" w:w="4680"/>
          </w:tcPr>
          <w:p>
            <w:r/>
            <w:r>
              <w:rPr>
                <w:b/>
                <w:i w:val="0"/>
                <w:sz w:val="19"/>
              </w:rPr>
              <w:t>Tuân thủ thuế.</w:t>
            </w:r>
            <w:r>
              <w:rPr>
                <w:b w:val="0"/>
                <w:i w:val="0"/>
                <w:sz w:val="19"/>
              </w:rPr>
              <w:t xml:space="preserve"> Giá trong nước phải nhất quán với luật thuế địa phương. Giá quốc tế [giá xuất khẩu cho khách hàng thương mại nước ngoài (xuất khẩu cho thương mại) và giá chuyển nhượng cho các công ty con ở nước ngoài (xuất khẩu cho công ty con), v.v.] phải tuân thủ các hướng dẫn về thuế trong nước và quốc tế cũng như chính sách của công ty. </w:t>
            </w:r>
            <w:r>
              <w:rPr>
                <w:b/>
                <w:i w:val="0"/>
                <w:sz w:val="19"/>
              </w:rPr>
              <w:t>Tham khảo các rủi ro: J-1, J-2, J-3, J-4</w:t>
            </w:r>
          </w:p>
        </w:tc>
      </w:tr>
      <w:tr>
        <w:tc>
          <w:tcPr>
            <w:tcW w:type="dxa" w:w="4680"/>
          </w:tcPr>
          <w:p>
            <w:r/>
            <w:r>
              <w:rPr>
                <w:b w:val="0"/>
                <w:i w:val="0"/>
                <w:sz w:val="19"/>
              </w:rPr>
              <w:t>2.10.5</w:t>
            </w:r>
          </w:p>
        </w:tc>
        <w:tc>
          <w:tcPr>
            <w:tcW w:type="dxa" w:w="4680"/>
          </w:tcPr>
          <w:p>
            <w:r/>
            <w:r>
              <w:rPr>
                <w:b/>
                <w:i w:val="0"/>
                <w:sz w:val="19"/>
              </w:rPr>
              <w:t>“Giá dành cho khách hàng được ưu đãi nhất.”</w:t>
            </w:r>
            <w:r>
              <w:rPr>
                <w:b w:val="0"/>
                <w:i w:val="0"/>
                <w:sz w:val="19"/>
              </w:rPr>
              <w:t xml:space="preserve"> Nên tránh “giá dành cho khách hàng được ưu đãi nhất” khi có thể. Khi điều này là bắt buộc (ví dụ: khách hàng toàn cầu, khách hàng lớn, v.v.), phải có sự rà soát của pháp lý. Phải thiết lập các quy trình hành chính phù hợp để ngăn ngừa các vi phạm. Ngoài ra, phải có được sự phê duyệt phù hợp của đơn vị kinh doanh và Khu vực theo mức thẩm quyền thích hợp. </w:t>
            </w:r>
            <w:r>
              <w:rPr>
                <w:b/>
                <w:i w:val="0"/>
                <w:sz w:val="19"/>
              </w:rPr>
              <w:t>Tham khảo các rủi ro: J-1, J-2, J-3, J-4</w:t>
            </w:r>
          </w:p>
        </w:tc>
      </w:tr>
      <w:tr>
        <w:tc>
          <w:tcPr>
            <w:tcW w:type="dxa" w:w="4680"/>
          </w:tcPr>
          <w:p>
            <w:r/>
            <w:r>
              <w:rPr>
                <w:b w:val="0"/>
                <w:i w:val="0"/>
                <w:sz w:val="19"/>
              </w:rPr>
              <w:t>2.10.6</w:t>
            </w:r>
          </w:p>
        </w:tc>
        <w:tc>
          <w:tcPr>
            <w:tcW w:type="dxa" w:w="4680"/>
          </w:tcPr>
          <w:p>
            <w:r/>
            <w:r>
              <w:rPr>
                <w:b/>
                <w:i w:val="0"/>
                <w:sz w:val="19"/>
              </w:rPr>
              <w:t>Chiết khấu giá.</w:t>
            </w:r>
            <w:r>
              <w:rPr>
                <w:b w:val="0"/>
                <w:i w:val="0"/>
                <w:sz w:val="19"/>
              </w:rPr>
              <w:t xml:space="preserve"> Phải có được sự phê duyệt của ban quản lý Bán hàng/Tiếp thị và Tài chính, được ghi nhận thông qua các thư chào thầu đặc biệt, trước khi vận chuyển đơn hàng đối với các khoản chiết khấu hoặc trợ cấp vượt quá mức được ban quản lý đơn vị kinh doanh và khu vực quy định. </w:t>
            </w:r>
            <w:r>
              <w:rPr>
                <w:b/>
                <w:i w:val="0"/>
                <w:sz w:val="19"/>
              </w:rPr>
              <w:t>Tham khảo các rủi ro: J-1, J-2, J-3</w:t>
            </w:r>
          </w:p>
        </w:tc>
      </w:tr>
      <w:tr>
        <w:tc>
          <w:tcPr>
            <w:tcW w:type="dxa" w:w="4680"/>
          </w:tcPr>
          <w:p>
            <w:r/>
            <w:r>
              <w:rPr>
                <w:b w:val="0"/>
                <w:i w:val="0"/>
                <w:sz w:val="19"/>
              </w:rPr>
              <w:t>2.10.7</w:t>
            </w:r>
          </w:p>
        </w:tc>
        <w:tc>
          <w:tcPr>
            <w:tcW w:type="dxa" w:w="4680"/>
          </w:tcPr>
          <w:p>
            <w:r/>
            <w:r>
              <w:rPr>
                <w:b/>
                <w:i w:val="0"/>
                <w:sz w:val="19"/>
              </w:rPr>
              <w:t>Điều khoản thanh toán.</w:t>
            </w:r>
            <w:r>
              <w:rPr>
                <w:b w:val="0"/>
                <w:i w:val="0"/>
                <w:sz w:val="19"/>
              </w:rPr>
              <w:t xml:space="preserve"> Các điều khoản thanh toán tiêu chuẩn theo đơn vị kinh doanh theo quốc gia phải được áp dụng cho khách hàng hoặc các nhóm khách hàng. Các ngoại lệ đối với điều khoản thanh toán tiêu chuẩn chỉ được thực hiện song song với các quyết định về giá của từng khách hàng, bao gồm việc tuân thủ luật địa phương (ví dụ: Đạo luật Robinson-Patman) và tác động đến chiến lược giá toàn cầu của đơn vị kinh doanh. Các thay đổi hoặc ngoại lệ đối với điều khoản tiêu chuẩn yêu cầu sự phê duyệt theo chính sách phân cấp thẩm quyền. </w:t>
            </w:r>
            <w:r>
              <w:rPr>
                <w:b/>
                <w:i w:val="0"/>
                <w:sz w:val="19"/>
              </w:rPr>
              <w:t>Tham khảo rủi ro: J-1, J-2, J-3, J-5</w:t>
            </w:r>
          </w:p>
        </w:tc>
      </w:tr>
      <w:tr>
        <w:tc>
          <w:tcPr>
            <w:tcW w:type="dxa" w:w="4680"/>
          </w:tcPr>
          <w:p>
            <w:r/>
            <w:r>
              <w:rPr>
                <w:b w:val="0"/>
                <w:i w:val="0"/>
                <w:sz w:val="19"/>
              </w:rPr>
              <w:t>2.10.8</w:t>
            </w:r>
          </w:p>
        </w:tc>
        <w:tc>
          <w:tcPr>
            <w:tcW w:type="dxa" w:w="4680"/>
          </w:tcPr>
          <w:p>
            <w:r/>
            <w:r>
              <w:rPr>
                <w:b/>
                <w:i w:val="0"/>
                <w:sz w:val="19"/>
              </w:rPr>
              <w:t>Giá “chào thầu đặc biệt”.</w:t>
            </w:r>
            <w:r>
              <w:rPr>
                <w:b w:val="0"/>
                <w:i w:val="0"/>
                <w:sz w:val="19"/>
              </w:rPr>
              <w:t xml:space="preserve"> Khi áp dụng giá “chào thầu đặc biệt”, nên tham khảo ý kiến cố vấn pháp lý địa phương để đảm bảo thông lệ này được luật và quy định địa phương cho phép và để đảm bảo các hồ sơ phù hợp về mức giá đó được tạo lập và lưu giữ. </w:t>
            </w:r>
            <w:r>
              <w:rPr>
                <w:b/>
                <w:i w:val="0"/>
                <w:sz w:val="19"/>
              </w:rPr>
              <w:t>Tham khảo rủi ro: J-1, J-2, J-3, J-5</w:t>
            </w:r>
          </w:p>
        </w:tc>
      </w:tr>
      <w:tr>
        <w:tc>
          <w:tcPr>
            <w:tcW w:type="dxa" w:w="4680"/>
          </w:tcPr>
          <w:p>
            <w:r/>
            <w:r>
              <w:rPr>
                <w:b w:val="0"/>
                <w:i w:val="0"/>
                <w:sz w:val="19"/>
              </w:rPr>
              <w:t>2.10.9</w:t>
            </w:r>
          </w:p>
        </w:tc>
        <w:tc>
          <w:tcPr>
            <w:tcW w:type="dxa" w:w="4680"/>
          </w:tcPr>
          <w:p>
            <w:r/>
            <w:r>
              <w:rPr>
                <w:b/>
                <w:i w:val="0"/>
                <w:sz w:val="19"/>
              </w:rPr>
              <w:t>Cấu trúc mục tiêu bán hàng.</w:t>
            </w:r>
            <w:r>
              <w:rPr>
                <w:b w:val="0"/>
                <w:i w:val="0"/>
                <w:sz w:val="19"/>
              </w:rPr>
              <w:t xml:space="preserve"> Cấu trúc mục tiêu bán hàng không được khuyến khích việc giảm giá vào cuối kỳ. Việc giảm giá vào cuối kỳ nên được hạn chế sử dụng. </w:t>
            </w:r>
            <w:r>
              <w:rPr>
                <w:b/>
                <w:i w:val="0"/>
                <w:sz w:val="19"/>
              </w:rPr>
              <w:t>Tham khảo rủi ro: J-6</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J-1</w:t>
            </w:r>
          </w:p>
        </w:tc>
        <w:tc>
          <w:tcPr>
            <w:tcW w:type="dxa" w:w="4680"/>
          </w:tcPr>
          <w:p>
            <w:r/>
            <w:r>
              <w:rPr>
                <w:b w:val="0"/>
                <w:i w:val="0"/>
                <w:sz w:val="19"/>
              </w:rPr>
              <w:t>Có thể dẫn đến sự không hài lòng của khách hàng.</w:t>
            </w:r>
          </w:p>
        </w:tc>
      </w:tr>
      <w:tr>
        <w:tc>
          <w:tcPr>
            <w:tcW w:type="dxa" w:w="4680"/>
          </w:tcPr>
          <w:p>
            <w:r/>
            <w:r>
              <w:rPr>
                <w:b w:val="0"/>
                <w:i w:val="0"/>
                <w:sz w:val="19"/>
              </w:rPr>
              <w:t>J-2</w:t>
            </w:r>
          </w:p>
        </w:tc>
        <w:tc>
          <w:tcPr>
            <w:tcW w:type="dxa" w:w="4680"/>
          </w:tcPr>
          <w:p>
            <w:r/>
            <w:r>
              <w:rPr>
                <w:b w:val="0"/>
                <w:i w:val="0"/>
                <w:sz w:val="19"/>
              </w:rPr>
              <w:t>Có thể dẫn đến việc bị đánh giá tiền phạt và/hoặc hình phạt.</w:t>
            </w:r>
          </w:p>
        </w:tc>
      </w:tr>
      <w:tr>
        <w:tc>
          <w:tcPr>
            <w:tcW w:type="dxa" w:w="4680"/>
          </w:tcPr>
          <w:p>
            <w:r/>
            <w:r>
              <w:rPr>
                <w:b w:val="0"/>
                <w:i w:val="0"/>
                <w:sz w:val="19"/>
              </w:rPr>
              <w:t>J-3</w:t>
            </w:r>
          </w:p>
        </w:tc>
        <w:tc>
          <w:tcPr>
            <w:tcW w:type="dxa" w:w="4680"/>
          </w:tcPr>
          <w:p>
            <w:r/>
            <w:r>
              <w:rPr>
                <w:b w:val="0"/>
                <w:i w:val="0"/>
                <w:sz w:val="19"/>
              </w:rPr>
              <w:t>Mức giá khác nhau cho cùng một sản phẩm đối với những khách hàng tương tự có thể gây ra khó khăn về giá ở phạm vi địa phương và có thể cả toàn cầu. Ngoài ra, mức giá khác nhau cho cùng một sản phẩm đối với những khách hàng tương tự có thể là hành vi vi phạm pháp luật và dẫn đến các hình phạt đối với công ty.</w:t>
            </w:r>
          </w:p>
        </w:tc>
      </w:tr>
      <w:tr>
        <w:tc>
          <w:tcPr>
            <w:tcW w:type="dxa" w:w="4680"/>
          </w:tcPr>
          <w:p>
            <w:r/>
            <w:r>
              <w:rPr>
                <w:b w:val="0"/>
                <w:i w:val="0"/>
                <w:sz w:val="19"/>
              </w:rPr>
              <w:t>J-4</w:t>
            </w:r>
          </w:p>
        </w:tc>
        <w:tc>
          <w:tcPr>
            <w:tcW w:type="dxa" w:w="4680"/>
          </w:tcPr>
          <w:p>
            <w:r/>
            <w:r>
              <w:rPr>
                <w:b w:val="0"/>
                <w:i w:val="0"/>
                <w:sz w:val="19"/>
              </w:rPr>
              <w:t>Công ty có thể phải chịu thêm chi phí thuế.</w:t>
            </w:r>
          </w:p>
        </w:tc>
      </w:tr>
      <w:tr>
        <w:tc>
          <w:tcPr>
            <w:tcW w:type="dxa" w:w="4680"/>
          </w:tcPr>
          <w:p>
            <w:r/>
            <w:r>
              <w:rPr>
                <w:b w:val="0"/>
                <w:i w:val="0"/>
                <w:sz w:val="19"/>
              </w:rPr>
              <w:t>J-5</w:t>
            </w:r>
          </w:p>
        </w:tc>
        <w:tc>
          <w:tcPr>
            <w:tcW w:type="dxa" w:w="4680"/>
          </w:tcPr>
          <w:p>
            <w:r/>
            <w:r>
              <w:rPr>
                <w:b w:val="0"/>
                <w:i w:val="0"/>
                <w:sz w:val="19"/>
              </w:rPr>
              <w:t>Doanh thu thuần trên mỗi đơn vị có thể giảm một cách không cần thiết, và bộ phận marketing có thể đưa ra một chiến lược thay thế [ví dụ: khách hàng có thể sẵn sàng trả giá cao hơn cho sản phẩm của công ty so với đối thủ cạnh tranh nếu khách hàng hiểu rằng công ty cung cấp nhiều dịch vụ hơn (mang lại lợi ích cho khách hàng và đã bao gồm trong giá sản phẩm) so với đối thủ cạnh tranh].</w:t>
            </w:r>
          </w:p>
        </w:tc>
      </w:tr>
      <w:tr>
        <w:tc>
          <w:tcPr>
            <w:tcW w:type="dxa" w:w="4680"/>
          </w:tcPr>
          <w:p>
            <w:r/>
            <w:r>
              <w:rPr>
                <w:b w:val="0"/>
                <w:i w:val="0"/>
                <w:sz w:val="19"/>
              </w:rPr>
              <w:t>J-6</w:t>
            </w:r>
          </w:p>
        </w:tc>
        <w:tc>
          <w:tcPr>
            <w:tcW w:type="dxa" w:w="4680"/>
          </w:tcPr>
          <w:p>
            <w:r/>
            <w:r>
              <w:rPr>
                <w:b w:val="0"/>
                <w:i w:val="0"/>
                <w:sz w:val="19"/>
              </w:rPr>
              <w:t>Thói quen mua hàng có thể trở nên mang tính chu kỳ, và khách hàng có thể tránh mua vào thời điểm biên lợi nhuận cao hơn.</w:t>
            </w:r>
          </w:p>
        </w:tc>
      </w:tr>
    </w:tbl>
    <w:p>
      <w:pPr>
        <w:spacing w:after="0"/>
      </w:pPr>
    </w:p>
    <w:p>
      <w:pPr>
        <w:pStyle w:val="Heading2"/>
      </w:pPr>
      <w:r>
        <w:rPr>
          <w:rFonts w:ascii="Calibri" w:hAnsi="Calibri"/>
          <w:b/>
          <w:i w:val="0"/>
          <w:sz w:val="32"/>
        </w:rPr>
        <w:t>2.11 CÁC HOẠT ĐỘNG KHUYẾN MÃI</w:t>
      </w:r>
    </w:p>
    <w:p>
      <w:pPr>
        <w:pStyle w:val="Heading3"/>
      </w:pPr>
      <w:r>
        <w:rPr>
          <w:rFonts w:ascii="Calibri" w:hAnsi="Calibri"/>
          <w:b/>
          <w:i w:val="0"/>
          <w:sz w:val="26"/>
        </w:rPr>
        <w:t>Giới thiệu</w:t>
      </w:r>
    </w:p>
    <w:p>
      <w:pPr>
        <w:spacing w:after="80"/>
      </w:pPr>
      <w:r>
        <w:rPr>
          <w:b w:val="0"/>
          <w:i w:val="0"/>
        </w:rPr>
        <w:t>Các hoạt động định giá và khuyến mại có thể bao gồm, nhưng không giới hạn ở, những nội dung sau:</w:t>
      </w:r>
    </w:p>
    <w:p>
      <w:pPr>
        <w:spacing w:after="80"/>
        <w:ind w:left="360"/>
      </w:pPr>
      <w:r>
        <w:t xml:space="preserve">a. </w:t>
      </w:r>
      <w:r>
        <w:rPr>
          <w:b w:val="0"/>
          <w:i w:val="0"/>
        </w:rPr>
        <w:t>Chiết khấu theo sản lượng</w:t>
      </w:r>
    </w:p>
    <w:p>
      <w:pPr>
        <w:spacing w:after="80"/>
        <w:ind w:left="360"/>
      </w:pPr>
      <w:r>
        <w:t xml:space="preserve">b. </w:t>
      </w:r>
      <w:r>
        <w:rPr>
          <w:b w:val="0"/>
          <w:i w:val="0"/>
        </w:rPr>
        <w:t>Phiếu giảm giá</w:t>
      </w:r>
    </w:p>
    <w:p>
      <w:pPr>
        <w:spacing w:after="80"/>
        <w:ind w:left="360"/>
      </w:pPr>
      <w:r>
        <w:t xml:space="preserve">c. </w:t>
      </w:r>
      <w:r>
        <w:rPr>
          <w:b w:val="0"/>
          <w:i w:val="0"/>
        </w:rPr>
        <w:t>Hàng tặng cao cấp</w:t>
      </w:r>
    </w:p>
    <w:p>
      <w:pPr>
        <w:spacing w:after="80"/>
        <w:ind w:left="360"/>
      </w:pPr>
      <w:r>
        <w:t xml:space="preserve">d. </w:t>
      </w:r>
      <w:r>
        <w:rPr>
          <w:b w:val="0"/>
          <w:i w:val="0"/>
        </w:rPr>
        <w:t>Tặng sản phẩm</w:t>
      </w:r>
    </w:p>
    <w:p>
      <w:pPr>
        <w:spacing w:after="80"/>
        <w:ind w:left="360"/>
      </w:pPr>
      <w:r>
        <w:t xml:space="preserve">e. </w:t>
      </w:r>
      <w:r>
        <w:rPr>
          <w:b w:val="0"/>
          <w:i w:val="0"/>
        </w:rPr>
        <w:t>Các khoản trợ cấp</w:t>
      </w:r>
    </w:p>
    <w:p>
      <w:pPr>
        <w:spacing w:after="80"/>
        <w:ind w:left="360"/>
      </w:pPr>
      <w:r>
        <w:t xml:space="preserve">f. </w:t>
      </w:r>
      <w:r>
        <w:rPr>
          <w:b w:val="0"/>
          <w:i w:val="0"/>
        </w:rPr>
        <w:t>Quảng cáo hợp tác</w:t>
      </w:r>
    </w:p>
    <w:p>
      <w:pPr>
        <w:spacing w:after="80"/>
        <w:ind w:left="360"/>
      </w:pPr>
      <w:r>
        <w:t xml:space="preserve">g. </w:t>
      </w:r>
      <w:r>
        <w:rPr>
          <w:b w:val="0"/>
          <w:i w:val="0"/>
        </w:rPr>
        <w:t>Hoàn tiền mặt</w:t>
      </w:r>
    </w:p>
    <w:p>
      <w:pPr>
        <w:spacing w:after="80"/>
        <w:ind w:left="360"/>
      </w:pPr>
      <w:r>
        <w:t xml:space="preserve">h. </w:t>
      </w:r>
      <w:r>
        <w:rPr>
          <w:b w:val="0"/>
          <w:i w:val="0"/>
        </w:rPr>
        <w:t>Thanh toán cạnh tranh/chiến thuật</w:t>
      </w:r>
    </w:p>
    <w:p>
      <w:pPr>
        <w:spacing w:after="80"/>
        <w:ind w:left="360"/>
      </w:pPr>
      <w:r>
        <w:t xml:space="preserve">i. </w:t>
      </w:r>
      <w:r>
        <w:rPr>
          <w:b w:val="0"/>
          <w:i w:val="0"/>
        </w:rPr>
        <w:t>Hoàn tiền cho bên thứ ba (người dùng cuối)</w:t>
      </w:r>
    </w:p>
    <w:p>
      <w:pPr>
        <w:spacing w:after="80"/>
        <w:ind w:left="360"/>
      </w:pPr>
      <w:r>
        <w:t xml:space="preserve">j. </w:t>
      </w:r>
      <w:r>
        <w:rPr>
          <w:b w:val="0"/>
          <w:i w:val="0"/>
        </w:rPr>
        <w:t>Quỹ khuyến khích hiệu suất đặc biệt</w:t>
      </w:r>
    </w:p>
    <w:p>
      <w:pPr>
        <w:spacing w:after="80"/>
        <w:ind w:left="360"/>
      </w:pPr>
      <w:r>
        <w:t xml:space="preserve">k. </w:t>
      </w:r>
      <w:r>
        <w:rPr>
          <w:b w:val="0"/>
          <w:i w:val="0"/>
        </w:rPr>
        <w:t>Chiết khấu trừ thẳng trên hóa đơn</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2.11.1</w:t>
            </w:r>
          </w:p>
        </w:tc>
        <w:tc>
          <w:tcPr>
            <w:tcW w:type="dxa" w:w="4680"/>
          </w:tcPr>
          <w:p>
            <w:r/>
            <w:r>
              <w:rPr>
                <w:b/>
                <w:i w:val="0"/>
                <w:sz w:val="19"/>
              </w:rPr>
              <w:t>Chính sách và Quy trình.</w:t>
            </w:r>
            <w:r>
              <w:rPr>
                <w:b w:val="0"/>
                <w:i w:val="0"/>
                <w:sz w:val="19"/>
              </w:rPr>
              <w:t xml:space="preserve"> Cần thiết lập và xây dựng các chính sách và quy trình chính thức bằng văn bản để đảm bảo rằng các khoản thanh toán khuyến mại được xử lý đúng cách và kịp thời. </w:t>
            </w:r>
            <w:r>
              <w:rPr>
                <w:b/>
                <w:i w:val="0"/>
                <w:sz w:val="19"/>
              </w:rPr>
              <w:t>Tham chiếu rủi ro: K-3, K-7</w:t>
            </w:r>
          </w:p>
        </w:tc>
      </w:tr>
      <w:tr>
        <w:tc>
          <w:tcPr>
            <w:tcW w:type="dxa" w:w="4680"/>
          </w:tcPr>
          <w:p>
            <w:r/>
            <w:r>
              <w:rPr>
                <w:b w:val="0"/>
                <w:i w:val="0"/>
                <w:sz w:val="19"/>
              </w:rPr>
              <w:t>2.11.2</w:t>
            </w:r>
          </w:p>
        </w:tc>
        <w:tc>
          <w:tcPr>
            <w:tcW w:type="dxa" w:w="4680"/>
          </w:tcPr>
          <w:p>
            <w:r/>
            <w:r>
              <w:rPr>
                <w:b w:val="0"/>
                <w:i w:val="0"/>
                <w:sz w:val="19"/>
              </w:rPr>
              <w:t>Các Chương trình Khuyến mại Đã được Phê duyệt. Các chương trình khuyến mại phải được ban quản lý đơn vị vận hành toàn cầu và địa phương phê duyệt và được xem xét cùng bộ phận tài chính về tính khả thi hành chính. Nhân viên pháp lý địa phương phải xem xét để đảm bảo tuân thủ các quy định về giá của địa phương, và các chiến lược giá toàn cầu (phân biệt giá, thương mại song song, v.v.) trước khi lực lượng bán hàng hiện trường triển khai.</w:t>
            </w:r>
            <w:r>
              <w:br/>
            </w:r>
            <w:r>
              <w:rPr>
                <w:b w:val="0"/>
                <w:i w:val="0"/>
                <w:sz w:val="19"/>
              </w:rPr>
              <w:t>a. Các mức chiết khấu tối đa phải được thiết lập trước ở cấp độ toàn cầu cho từng loại sản phẩm.</w:t>
            </w:r>
            <w:r>
              <w:br/>
            </w:r>
            <w:r>
              <w:rPr>
                <w:b w:val="0"/>
                <w:i w:val="0"/>
                <w:sz w:val="19"/>
              </w:rPr>
              <w:t>b. Chỉ một số lượng hạn chế các chương trình khuyến mại được thực hiện đồng thời. Các chương trình phải có mục tiêu toàn cầu và quyền sở hữu chương trình tập trung.</w:t>
            </w:r>
            <w:r>
              <w:br/>
            </w:r>
            <w:r>
              <w:rPr>
                <w:b w:val="0"/>
                <w:i w:val="0"/>
                <w:sz w:val="19"/>
              </w:rPr>
              <w:t xml:space="preserve">c. Các chương trình khuyến mại phải được đánh giá thường xuyên để đảm bảo tối đa hóa chi phí/lợi ích và đáp ứng tất cả các yêu cầu của chính sách doanh thu đối ứng của công ty. </w:t>
            </w:r>
            <w:r>
              <w:rPr>
                <w:b/>
                <w:i w:val="0"/>
                <w:sz w:val="19"/>
              </w:rPr>
              <w:t>Tham khảo các rủi ro: K-1, K-2, K-4, K-5, K-6</w:t>
            </w:r>
          </w:p>
        </w:tc>
      </w:tr>
      <w:tr>
        <w:tc>
          <w:tcPr>
            <w:tcW w:type="dxa" w:w="4680"/>
          </w:tcPr>
          <w:p>
            <w:r/>
            <w:r>
              <w:rPr>
                <w:b w:val="0"/>
                <w:i w:val="0"/>
                <w:sz w:val="19"/>
              </w:rPr>
              <w:t>2.11.3</w:t>
            </w:r>
          </w:p>
        </w:tc>
        <w:tc>
          <w:tcPr>
            <w:tcW w:type="dxa" w:w="4680"/>
          </w:tcPr>
          <w:p>
            <w:r/>
            <w:r>
              <w:rPr>
                <w:b/>
                <w:i w:val="0"/>
                <w:sz w:val="19"/>
              </w:rPr>
              <w:t>Các khoản trích trước.</w:t>
            </w:r>
            <w:r>
              <w:rPr>
                <w:b w:val="0"/>
                <w:i w:val="0"/>
                <w:sz w:val="19"/>
              </w:rPr>
              <w:t xml:space="preserve"> Phải thực hiện các khoản trích trước phù hợp về số tiền và thời điểm đối với các hoạt động định giá và khuyến mại. Các khoản thanh toán khuyến mại đến nay cho tất cả các chương trình phải được đối chiếu và cân đối thường xuyên dựa trên mức độ trọng yếu và độ phức tạp. Các khoản trích trước phải được điều chỉnh cho phù hợp trong quá trình thực hiện chương trình và được kết chuyển vào cuối chương trình. </w:t>
            </w:r>
            <w:r>
              <w:rPr>
                <w:b/>
                <w:i w:val="0"/>
                <w:sz w:val="19"/>
              </w:rPr>
              <w:t>Tham khảo các rủi ro: K-2, K-3</w:t>
            </w:r>
          </w:p>
        </w:tc>
      </w:tr>
      <w:tr>
        <w:tc>
          <w:tcPr>
            <w:tcW w:type="dxa" w:w="4680"/>
          </w:tcPr>
          <w:p>
            <w:r/>
            <w:r>
              <w:rPr>
                <w:b w:val="0"/>
                <w:i w:val="0"/>
                <w:sz w:val="19"/>
              </w:rPr>
              <w:t>2.11.4</w:t>
            </w:r>
          </w:p>
        </w:tc>
        <w:tc>
          <w:tcPr>
            <w:tcW w:type="dxa" w:w="4680"/>
          </w:tcPr>
          <w:p>
            <w:r/>
            <w:r>
              <w:rPr>
                <w:b w:val="0"/>
                <w:i w:val="0"/>
                <w:sz w:val="19"/>
              </w:rPr>
              <w:t>Yêu cầu Thanh toán. Các khoản thanh toán (séc, tín dụng, sản phẩm miễn phí, v.v.) chỉ được thực hiện khi có:</w:t>
            </w:r>
            <w:r>
              <w:br/>
            </w:r>
            <w:r>
              <w:rPr>
                <w:b w:val="0"/>
                <w:i w:val="0"/>
                <w:sz w:val="19"/>
              </w:rPr>
              <w:t>a. Một chương trình tiếp thị đã được phê duyệt,</w:t>
            </w:r>
            <w:r>
              <w:br/>
            </w:r>
            <w:r>
              <w:rPr>
                <w:b w:val="0"/>
                <w:i w:val="0"/>
                <w:sz w:val="19"/>
              </w:rPr>
              <w:t>b. Tài liệu chứng minh rằng các cam kết thực hiện đã được đáp ứng (ví dụ: số khách hàng hợp lệ, mã nhận diện chương trình, mã sản phẩm, mẫu phương tiện truyền thông, bằng chứng thực hiện gốc, ảnh chụp trưng bày, v.v.), và</w:t>
            </w:r>
            <w:r>
              <w:br/>
            </w:r>
            <w:r>
              <w:rPr>
                <w:b w:val="0"/>
                <w:i w:val="0"/>
                <w:sz w:val="19"/>
              </w:rPr>
              <w:t xml:space="preserve">c. Đã có sự phê duyệt phù hợp.Yêu cầu thanh toán và tài liệu phù hợp phải được lưu trữ và bảo quản theo các chính sách lưu trữ hồ sơ.  </w:t>
            </w:r>
            <w:r>
              <w:rPr>
                <w:b/>
                <w:i w:val="0"/>
                <w:sz w:val="19"/>
              </w:rPr>
              <w:t>Tham khảo rủi ro: K-2</w:t>
            </w:r>
          </w:p>
        </w:tc>
      </w:tr>
      <w:tr>
        <w:tc>
          <w:tcPr>
            <w:tcW w:type="dxa" w:w="4680"/>
          </w:tcPr>
          <w:p>
            <w:r/>
            <w:r>
              <w:rPr>
                <w:b w:val="0"/>
                <w:i w:val="0"/>
                <w:sz w:val="19"/>
              </w:rPr>
              <w:t>2.11.5</w:t>
            </w:r>
          </w:p>
        </w:tc>
        <w:tc>
          <w:tcPr>
            <w:tcW w:type="dxa" w:w="4680"/>
          </w:tcPr>
          <w:p>
            <w:r/>
            <w:r>
              <w:rPr>
                <w:b/>
                <w:i w:val="0"/>
                <w:sz w:val="19"/>
              </w:rPr>
              <w:t>Các Ngoại lệ Đã được Phê duyệt.</w:t>
            </w:r>
            <w:r>
              <w:rPr>
                <w:b w:val="0"/>
                <w:i w:val="0"/>
                <w:sz w:val="19"/>
              </w:rPr>
              <w:t xml:space="preserve"> Phải thiết lập và thực thi một hệ thống phân cấp phê duyệt để đảm bảo rằng các cá nhân chỉ phê duyệt các ngoại lệ trong phạm vi thẩm quyền của mình. </w:t>
            </w:r>
            <w:r>
              <w:rPr>
                <w:b/>
                <w:i w:val="0"/>
                <w:sz w:val="19"/>
              </w:rPr>
              <w:t>Tham khảo các rủi ro: K-1, K-8</w:t>
            </w:r>
          </w:p>
        </w:tc>
      </w:tr>
      <w:tr>
        <w:tc>
          <w:tcPr>
            <w:tcW w:type="dxa" w:w="4680"/>
          </w:tcPr>
          <w:p>
            <w:r/>
            <w:r>
              <w:rPr>
                <w:b w:val="0"/>
                <w:i w:val="0"/>
                <w:sz w:val="19"/>
              </w:rPr>
              <w:t>2.11.6</w:t>
            </w:r>
          </w:p>
        </w:tc>
        <w:tc>
          <w:tcPr>
            <w:tcW w:type="dxa" w:w="4680"/>
          </w:tcPr>
          <w:p>
            <w:r/>
            <w:r>
              <w:rPr>
                <w:b/>
                <w:i w:val="0"/>
                <w:sz w:val="19"/>
              </w:rPr>
              <w:t>Phân tách Nhiệm vụ.</w:t>
            </w:r>
            <w:r>
              <w:rPr>
                <w:b w:val="0"/>
                <w:i w:val="0"/>
                <w:sz w:val="19"/>
              </w:rPr>
              <w:t xml:space="preserve"> Trách nhiệm tạo giá, phê duyệt và quản lý giá phải được xác định rõ ràng và phân tách phù hợp. Việc quản lý các hoạt động định giá và khuyến mại phải độc lập với chức năng bán hàng và phải chịu sự xem xét và phê duyệt của bộ phận tài chính. </w:t>
            </w:r>
            <w:r>
              <w:rPr>
                <w:b/>
                <w:i w:val="0"/>
                <w:sz w:val="19"/>
              </w:rPr>
              <w:t>Tham khảo các rủi ro: K-1, K-8</w:t>
            </w:r>
          </w:p>
        </w:tc>
      </w:tr>
      <w:tr>
        <w:tc>
          <w:tcPr>
            <w:tcW w:type="dxa" w:w="4680"/>
          </w:tcPr>
          <w:p>
            <w:r/>
            <w:r>
              <w:rPr>
                <w:b w:val="0"/>
                <w:i w:val="0"/>
                <w:sz w:val="19"/>
              </w:rPr>
              <w:t>2.11.7</w:t>
            </w:r>
          </w:p>
        </w:tc>
        <w:tc>
          <w:tcPr>
            <w:tcW w:type="dxa" w:w="4680"/>
          </w:tcPr>
          <w:p>
            <w:r/>
            <w:r>
              <w:rPr>
                <w:b/>
                <w:i w:val="0"/>
                <w:sz w:val="19"/>
              </w:rPr>
              <w:t>Thanh toán cho Đối tượng Không phải Khách hàng.</w:t>
            </w:r>
            <w:r>
              <w:rPr>
                <w:b w:val="0"/>
                <w:i w:val="0"/>
                <w:sz w:val="19"/>
              </w:rPr>
              <w:t xml:space="preserve"> Khi các khoản thanh toán được thực hiện cho đối tượng không phải khách hàng (ví dụ: hoàn trả chi phí truyền thông), phải thiết lập và ghi lại các chính sách về những khoản thanh toán này và phải tuân thủ các yêu cầu pháp lý và quy định của địa phương. </w:t>
            </w:r>
            <w:r>
              <w:rPr>
                <w:b/>
                <w:i w:val="0"/>
                <w:sz w:val="19"/>
              </w:rPr>
              <w:t>Tham khảo rủi ro: K-6</w:t>
            </w:r>
          </w:p>
        </w:tc>
      </w:tr>
      <w:tr>
        <w:tc>
          <w:tcPr>
            <w:tcW w:type="dxa" w:w="4680"/>
          </w:tcPr>
          <w:p>
            <w:r/>
            <w:r>
              <w:rPr>
                <w:b w:val="0"/>
                <w:i w:val="0"/>
                <w:sz w:val="19"/>
              </w:rPr>
              <w:t>2.11.8</w:t>
            </w:r>
          </w:p>
        </w:tc>
        <w:tc>
          <w:tcPr>
            <w:tcW w:type="dxa" w:w="4680"/>
          </w:tcPr>
          <w:p>
            <w:r/>
            <w:r>
              <w:rPr>
                <w:b/>
                <w:i w:val="0"/>
                <w:sz w:val="19"/>
              </w:rPr>
              <w:t>Xử lý Kế toán.</w:t>
            </w:r>
            <w:r>
              <w:rPr>
                <w:b w:val="0"/>
                <w:i w:val="0"/>
                <w:sz w:val="19"/>
              </w:rPr>
              <w:t xml:space="preserve"> Tất cả các khoản thanh toán phải được hạch toán đúng theo chính sách phù hợp của công ty (ví dụ: được xử lý như chi phí hoặc như khoản giảm trừ doanh thu). </w:t>
            </w:r>
            <w:r>
              <w:rPr>
                <w:b/>
                <w:i w:val="0"/>
                <w:sz w:val="19"/>
              </w:rPr>
              <w:t>Tham khảo rủi ro: K-2</w:t>
            </w:r>
          </w:p>
        </w:tc>
      </w:tr>
      <w:tr>
        <w:tc>
          <w:tcPr>
            <w:tcW w:type="dxa" w:w="4680"/>
          </w:tcPr>
          <w:p>
            <w:r/>
            <w:r>
              <w:rPr>
                <w:b w:val="0"/>
                <w:i w:val="0"/>
                <w:sz w:val="19"/>
              </w:rPr>
              <w:t>2.11.9</w:t>
            </w:r>
          </w:p>
        </w:tc>
        <w:tc>
          <w:tcPr>
            <w:tcW w:type="dxa" w:w="4680"/>
          </w:tcPr>
          <w:p>
            <w:r/>
            <w:r>
              <w:rPr>
                <w:b/>
                <w:i w:val="0"/>
                <w:sz w:val="19"/>
              </w:rPr>
              <w:t>Yêu cầu Séc Đã được Phê duyệt.</w:t>
            </w:r>
            <w:r>
              <w:rPr>
                <w:b w:val="0"/>
                <w:i w:val="0"/>
                <w:sz w:val="19"/>
              </w:rPr>
              <w:t xml:space="preserve"> Yêu cầu séc phải được phê duyệt bởi người độc lập với chức năng xử lý yêu cầu. </w:t>
            </w:r>
            <w:r>
              <w:rPr>
                <w:b/>
                <w:i w:val="0"/>
                <w:sz w:val="19"/>
              </w:rPr>
              <w:t>Tham khảo các rủi ro: K-1, K-8</w:t>
            </w:r>
          </w:p>
        </w:tc>
      </w:tr>
      <w:tr>
        <w:tc>
          <w:tcPr>
            <w:tcW w:type="dxa" w:w="4680"/>
          </w:tcPr>
          <w:p>
            <w:r/>
            <w:r>
              <w:rPr>
                <w:b w:val="0"/>
                <w:i w:val="0"/>
                <w:sz w:val="19"/>
              </w:rPr>
              <w:t>2.11.10</w:t>
            </w:r>
          </w:p>
        </w:tc>
        <w:tc>
          <w:tcPr>
            <w:tcW w:type="dxa" w:w="4680"/>
          </w:tcPr>
          <w:p>
            <w:r/>
            <w:r>
              <w:rPr>
                <w:b/>
                <w:i w:val="0"/>
                <w:sz w:val="19"/>
              </w:rPr>
              <w:t>Truy cập thông tin.</w:t>
            </w:r>
            <w:r>
              <w:rPr>
                <w:b w:val="0"/>
                <w:i w:val="0"/>
                <w:sz w:val="19"/>
              </w:rPr>
              <w:t xml:space="preserve"> Chỉ những cá nhân được ủy quyền mới được cấp quyền truy cập vào thông tin tích lũy (accrual) và thanh toán (payment) dành riêng cho khách hàng. Dữ liệu tích lũy và thanh toán dành riêng cho khách hàng phải được đánh giá độc lập định kỳ. </w:t>
            </w:r>
            <w:r>
              <w:rPr>
                <w:b/>
                <w:i w:val="0"/>
                <w:sz w:val="19"/>
              </w:rPr>
              <w:t>Tham chiếu rủi ro: K-1, K-8</w:t>
            </w:r>
          </w:p>
        </w:tc>
      </w:tr>
      <w:tr>
        <w:tc>
          <w:tcPr>
            <w:tcW w:type="dxa" w:w="4680"/>
          </w:tcPr>
          <w:p>
            <w:r/>
            <w:r>
              <w:rPr>
                <w:b w:val="0"/>
                <w:i w:val="0"/>
                <w:sz w:val="19"/>
              </w:rPr>
              <w:t>2.11.11</w:t>
            </w:r>
          </w:p>
        </w:tc>
        <w:tc>
          <w:tcPr>
            <w:tcW w:type="dxa" w:w="4680"/>
          </w:tcPr>
          <w:p>
            <w:r/>
            <w:r>
              <w:rPr>
                <w:b/>
                <w:i w:val="0"/>
                <w:sz w:val="19"/>
              </w:rPr>
              <w:t>Bảo vệ tài sản.</w:t>
            </w:r>
            <w:r>
              <w:rPr>
                <w:b w:val="0"/>
                <w:i w:val="0"/>
                <w:sz w:val="19"/>
              </w:rPr>
              <w:t xml:space="preserve"> Các mặt hàng cao cấp, séc trắng (blank check stocks) và hối phiếu vô danh (bearer drafts) phải được lưu trữ, bảo vệ và hạch toán đúng cách. </w:t>
            </w:r>
            <w:r>
              <w:rPr>
                <w:b/>
                <w:i w:val="0"/>
                <w:sz w:val="19"/>
              </w:rPr>
              <w:t>Tham chiếu rủi ro: K-8</w:t>
            </w:r>
          </w:p>
        </w:tc>
      </w:tr>
      <w:tr>
        <w:tc>
          <w:tcPr>
            <w:tcW w:type="dxa" w:w="4680"/>
          </w:tcPr>
          <w:p>
            <w:r/>
            <w:r>
              <w:rPr>
                <w:b w:val="0"/>
                <w:i w:val="0"/>
                <w:sz w:val="19"/>
              </w:rPr>
              <w:t>2.11.12</w:t>
            </w:r>
          </w:p>
        </w:tc>
        <w:tc>
          <w:tcPr>
            <w:tcW w:type="dxa" w:w="4680"/>
          </w:tcPr>
          <w:p>
            <w:r/>
            <w:r>
              <w:rPr>
                <w:b/>
                <w:i w:val="0"/>
                <w:sz w:val="19"/>
              </w:rPr>
              <w:t>Doanh thu thuần.</w:t>
            </w:r>
            <w:r>
              <w:rPr>
                <w:b w:val="0"/>
                <w:i w:val="0"/>
                <w:sz w:val="19"/>
              </w:rPr>
              <w:t xml:space="preserve"> Chênh lệch giữa doanh thu gộp và doanh thu thuần cần được phản ánh trong dự báo hàng năm của đơn vị kinh doanh, được theo dõi và quản lý. </w:t>
            </w:r>
            <w:r>
              <w:rPr>
                <w:b/>
                <w:i w:val="0"/>
                <w:sz w:val="19"/>
              </w:rPr>
              <w:t>Tham chiếu rủi ro: K-9</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K-1</w:t>
            </w:r>
          </w:p>
        </w:tc>
        <w:tc>
          <w:tcPr>
            <w:tcW w:type="dxa" w:w="4680"/>
          </w:tcPr>
          <w:p>
            <w:r/>
            <w:r>
              <w:rPr>
                <w:b w:val="0"/>
                <w:i w:val="0"/>
                <w:sz w:val="19"/>
              </w:rPr>
              <w:t>Quỹ khuyến mại trái phép có thể bị chi tiêu, khoản này có thể không thu hồi được và có thể vi phạm các luật và quy định về định giá công bằng.</w:t>
            </w:r>
          </w:p>
        </w:tc>
      </w:tr>
      <w:tr>
        <w:tc>
          <w:tcPr>
            <w:tcW w:type="dxa" w:w="4680"/>
          </w:tcPr>
          <w:p>
            <w:r/>
            <w:r>
              <w:rPr>
                <w:b w:val="0"/>
                <w:i w:val="0"/>
                <w:sz w:val="19"/>
              </w:rPr>
              <w:t>K-2</w:t>
            </w:r>
          </w:p>
        </w:tc>
        <w:tc>
          <w:tcPr>
            <w:tcW w:type="dxa" w:w="4680"/>
          </w:tcPr>
          <w:p>
            <w:r/>
            <w:r>
              <w:rPr>
                <w:b w:val="0"/>
                <w:i w:val="0"/>
                <w:sz w:val="19"/>
              </w:rPr>
              <w:t>Doanh thu bán hàng và/hoặc chi phí có thể bị trình bày sai trong báo cáo tài chính.</w:t>
            </w:r>
          </w:p>
        </w:tc>
      </w:tr>
      <w:tr>
        <w:tc>
          <w:tcPr>
            <w:tcW w:type="dxa" w:w="4680"/>
          </w:tcPr>
          <w:p>
            <w:r/>
            <w:r>
              <w:rPr>
                <w:b w:val="0"/>
                <w:i w:val="0"/>
                <w:sz w:val="19"/>
              </w:rPr>
              <w:t>K-3</w:t>
            </w:r>
          </w:p>
        </w:tc>
        <w:tc>
          <w:tcPr>
            <w:tcW w:type="dxa" w:w="4680"/>
          </w:tcPr>
          <w:p>
            <w:r/>
            <w:r>
              <w:rPr>
                <w:b w:val="0"/>
                <w:i w:val="0"/>
                <w:sz w:val="19"/>
              </w:rPr>
              <w:t>Có thể dẫn đến sự không hài lòng của khách hàng.</w:t>
            </w:r>
          </w:p>
        </w:tc>
      </w:tr>
      <w:tr>
        <w:tc>
          <w:tcPr>
            <w:tcW w:type="dxa" w:w="4680"/>
          </w:tcPr>
          <w:p>
            <w:r/>
            <w:r>
              <w:rPr>
                <w:b w:val="0"/>
                <w:i w:val="0"/>
                <w:sz w:val="19"/>
              </w:rPr>
              <w:t>K-4</w:t>
            </w:r>
          </w:p>
        </w:tc>
        <w:tc>
          <w:tcPr>
            <w:tcW w:type="dxa" w:w="4680"/>
          </w:tcPr>
          <w:p>
            <w:r/>
            <w:r>
              <w:rPr>
                <w:b w:val="0"/>
                <w:i w:val="0"/>
                <w:sz w:val="19"/>
              </w:rPr>
              <w:t>Có thể phát sinh thêm chi phí nhân công và chi phí gửi thư.</w:t>
            </w:r>
          </w:p>
        </w:tc>
      </w:tr>
      <w:tr>
        <w:tc>
          <w:tcPr>
            <w:tcW w:type="dxa" w:w="4680"/>
          </w:tcPr>
          <w:p>
            <w:r/>
            <w:r>
              <w:rPr>
                <w:b w:val="0"/>
                <w:i w:val="0"/>
                <w:sz w:val="19"/>
              </w:rPr>
              <w:t>K-5</w:t>
            </w:r>
          </w:p>
        </w:tc>
        <w:tc>
          <w:tcPr>
            <w:tcW w:type="dxa" w:w="4680"/>
          </w:tcPr>
          <w:p>
            <w:r/>
            <w:r>
              <w:rPr>
                <w:b w:val="0"/>
                <w:i w:val="0"/>
                <w:sz w:val="19"/>
              </w:rPr>
              <w:t>Khách hàng có thể không phản hồi theo cách mà chương trình tiếp thị được thiết kế để thúc đẩy họ.</w:t>
            </w:r>
          </w:p>
        </w:tc>
      </w:tr>
      <w:tr>
        <w:tc>
          <w:tcPr>
            <w:tcW w:type="dxa" w:w="4680"/>
          </w:tcPr>
          <w:p>
            <w:r/>
            <w:r>
              <w:rPr>
                <w:b w:val="0"/>
                <w:i w:val="0"/>
                <w:sz w:val="19"/>
              </w:rPr>
              <w:t>K-6</w:t>
            </w:r>
          </w:p>
        </w:tc>
        <w:tc>
          <w:tcPr>
            <w:tcW w:type="dxa" w:w="4680"/>
          </w:tcPr>
          <w:p>
            <w:r/>
            <w:r>
              <w:rPr>
                <w:b w:val="0"/>
                <w:i w:val="0"/>
                <w:sz w:val="19"/>
              </w:rPr>
              <w:t>Có thể dẫn đến việc bị xử phạt và/hoặc bị phạt tiền.</w:t>
            </w:r>
          </w:p>
        </w:tc>
      </w:tr>
      <w:tr>
        <w:tc>
          <w:tcPr>
            <w:tcW w:type="dxa" w:w="4680"/>
          </w:tcPr>
          <w:p>
            <w:r/>
            <w:r>
              <w:rPr>
                <w:b w:val="0"/>
                <w:i w:val="0"/>
                <w:sz w:val="19"/>
              </w:rPr>
              <w:t>K-7</w:t>
            </w:r>
          </w:p>
        </w:tc>
        <w:tc>
          <w:tcPr>
            <w:tcW w:type="dxa" w:w="4680"/>
          </w:tcPr>
          <w:p>
            <w:r/>
            <w:r>
              <w:rPr>
                <w:b w:val="0"/>
                <w:i w:val="0"/>
                <w:sz w:val="19"/>
              </w:rPr>
              <w:t>Có thể xảy ra việc ghi nhận khoản phải thu cao hơn thực tế.</w:t>
            </w:r>
          </w:p>
        </w:tc>
      </w:tr>
      <w:tr>
        <w:tc>
          <w:tcPr>
            <w:tcW w:type="dxa" w:w="4680"/>
          </w:tcPr>
          <w:p>
            <w:r/>
            <w:r>
              <w:rPr>
                <w:b w:val="0"/>
                <w:i w:val="0"/>
                <w:sz w:val="19"/>
              </w:rPr>
              <w:t>K-8</w:t>
            </w:r>
          </w:p>
        </w:tc>
        <w:tc>
          <w:tcPr>
            <w:tcW w:type="dxa" w:w="4680"/>
          </w:tcPr>
          <w:p>
            <w:r/>
            <w:r>
              <w:rPr>
                <w:b w:val="0"/>
                <w:i w:val="0"/>
                <w:sz w:val="19"/>
              </w:rPr>
              <w:t>Có thể thực hiện các khoản thanh toán không phù hợp.</w:t>
            </w:r>
          </w:p>
        </w:tc>
      </w:tr>
      <w:tr>
        <w:tc>
          <w:tcPr>
            <w:tcW w:type="dxa" w:w="4680"/>
          </w:tcPr>
          <w:p>
            <w:r/>
            <w:r>
              <w:rPr>
                <w:b w:val="0"/>
                <w:i w:val="0"/>
                <w:sz w:val="19"/>
              </w:rPr>
              <w:t>K-9</w:t>
            </w:r>
          </w:p>
        </w:tc>
        <w:tc>
          <w:tcPr>
            <w:tcW w:type="dxa" w:w="4680"/>
          </w:tcPr>
          <w:p>
            <w:r/>
            <w:r>
              <w:rPr>
                <w:b w:val="0"/>
                <w:i w:val="0"/>
                <w:sz w:val="19"/>
              </w:rPr>
              <w:t>Dòng tiền của công ty có thể không được tối ưu hóa.</w:t>
            </w:r>
          </w:p>
        </w:tc>
      </w:tr>
    </w:tbl>
    <w:p>
      <w:pPr>
        <w:spacing w:after="0"/>
      </w:pPr>
    </w:p>
    <w:p>
      <w:pPr>
        <w:pStyle w:val="Heading2"/>
      </w:pPr>
      <w:r>
        <w:rPr>
          <w:rFonts w:ascii="Calibri" w:hAnsi="Calibri"/>
          <w:b/>
          <w:i w:val="0"/>
          <w:sz w:val="32"/>
        </w:rPr>
        <w:t>GHI CHÚ</w:t>
      </w:r>
    </w:p>
    <w:p>
      <w:pPr>
        <w:pStyle w:val="Heading1"/>
      </w:pPr>
      <w:r>
        <w:rPr>
          <w:rFonts w:ascii="Calibri" w:hAnsi="Calibri"/>
          <w:b/>
          <w:i w:val="0"/>
          <w:sz w:val="40"/>
        </w:rPr>
        <w:t xml:space="preserve">CHƯƠNG 3 </w:t>
      </w:r>
      <w:r>
        <w:br/>
      </w:r>
      <w:r>
        <w:rPr>
          <w:rFonts w:ascii="Calibri" w:hAnsi="Calibri"/>
          <w:b/>
          <w:i w:val="0"/>
          <w:sz w:val="40"/>
        </w:rPr>
        <w:t xml:space="preserve"> Quy trình Ngân quỹ</w:t>
      </w:r>
    </w:p>
    <w:p>
      <w:pPr>
        <w:pStyle w:val="Heading2"/>
      </w:pPr>
      <w:r>
        <w:rPr>
          <w:rFonts w:ascii="Calibri" w:hAnsi="Calibri"/>
          <w:b/>
          <w:i w:val="0"/>
          <w:sz w:val="32"/>
        </w:rPr>
        <w:t>GIỚI THIỆU</w:t>
      </w:r>
    </w:p>
    <w:p>
      <w:pPr>
        <w:spacing w:after="80"/>
      </w:pPr>
      <w:r>
        <w:rPr>
          <w:b w:val="0"/>
          <w:i w:val="0"/>
        </w:rPr>
        <w:t>Quy trình Ngân quỹ bao gồm các chức năng liên quan đến việc xác định nhu cầu tiền mặt của công ty, quản lý đầu tư, quản lý ngoại hối, việc điều tra và lựa chọn các hình thức tài trợ phù hợp cùng việc giám sát tuân thủ các thỏa thuận tài trợ, việc phát hành và thu hồi cổ phiếu vốn, và việc chi trả cổ tức.</w:t>
      </w:r>
    </w:p>
    <w:p>
      <w:pPr>
        <w:spacing w:after="80"/>
      </w:pPr>
      <w:r>
        <w:rPr>
          <w:b w:val="0"/>
          <w:i w:val="0"/>
        </w:rPr>
        <w:t>Đối với quy trình Ngân quỹ, các khoản đầu tư tài chính và đầu tư vốn cổ phần được định nghĩa như sau:</w:t>
      </w:r>
    </w:p>
    <w:p>
      <w:pPr>
        <w:spacing w:after="80"/>
        <w:ind w:left="360"/>
      </w:pPr>
      <w:r>
        <w:t xml:space="preserve">• </w:t>
      </w:r>
      <w:r>
        <w:rPr>
          <w:b w:val="0"/>
          <w:i w:val="0"/>
        </w:rPr>
        <w:t>Đầu tư tài chính phát sinh từ việc mua các công cụ tài chính (chứng chỉ tiền gửi, quỹ thị trường tiền tệ, chứng khoán có thể bán được, trái phiếu trung hạn, v.v.) với mục đích duy nhất là tạo ra lợi nhuận tài chính.</w:t>
      </w:r>
    </w:p>
    <w:p>
      <w:pPr>
        <w:spacing w:after="80"/>
        <w:ind w:left="360"/>
      </w:pPr>
      <w:r>
        <w:t xml:space="preserve">• </w:t>
      </w:r>
      <w:r>
        <w:rPr>
          <w:b w:val="0"/>
          <w:i w:val="0"/>
        </w:rPr>
        <w:t>Đầu tư vốn cổ phần là các khoản đầu tư của công ty vào cổ phần phổ thông hoặc cổ phần ưu đãi của các công ty không liên kết và các liên doanh vì lý do tiếp thị và chiến lược.</w:t>
      </w:r>
    </w:p>
    <w:p>
      <w:pPr>
        <w:jc w:val="center"/>
      </w:pPr>
      <w:r>
        <w:drawing>
          <wp:inline xmlns:a="http://schemas.openxmlformats.org/drawingml/2006/main" xmlns:pic="http://schemas.openxmlformats.org/drawingml/2006/picture">
            <wp:extent cx="5486400" cy="2343040"/>
            <wp:docPr id="5" name="Picture 5"/>
            <wp:cNvGraphicFramePr>
              <a:graphicFrameLocks noChangeAspect="1"/>
            </wp:cNvGraphicFramePr>
            <a:graphic>
              <a:graphicData uri="http://schemas.openxmlformats.org/drawingml/2006/picture">
                <pic:pic>
                  <pic:nvPicPr>
                    <pic:cNvPr id="0" name="Image00006.jpg"/>
                    <pic:cNvPicPr/>
                  </pic:nvPicPr>
                  <pic:blipFill>
                    <a:blip r:embed="rId13"/>
                    <a:stretch>
                      <a:fillRect/>
                    </a:stretch>
                  </pic:blipFill>
                  <pic:spPr>
                    <a:xfrm>
                      <a:off x="0" y="0"/>
                      <a:ext cx="5486400" cy="2343040"/>
                    </a:xfrm>
                    <a:prstGeom prst="rect"/>
                  </pic:spPr>
                </pic:pic>
              </a:graphicData>
            </a:graphic>
          </wp:inline>
        </w:drawing>
      </w:r>
    </w:p>
    <w:p>
      <w:pPr>
        <w:pStyle w:val="Heading2"/>
      </w:pPr>
      <w:r>
        <w:rPr>
          <w:rFonts w:ascii="Calibri" w:hAnsi="Calibri"/>
          <w:b/>
          <w:i w:val="0"/>
          <w:sz w:val="32"/>
        </w:rPr>
        <w:t>TỔNG QUAN VỀ QUY TRÌNH</w:t>
      </w:r>
    </w:p>
    <w:p>
      <w:pPr>
        <w:spacing w:after="80"/>
      </w:pPr>
      <w:r>
        <w:rPr>
          <w:b w:val="0"/>
          <w:i w:val="0"/>
        </w:rPr>
        <w:t>Sơ đồ dưới đây cho thấy các yếu tố nền tảng cho quy trình Ngân quỹ (Treasury) là Kiểm soát nội bộ và Tuân thủ, Chính sách và Quy trình Ngân quỹ, cùng Quy tắc Ứng xử và "Tone at the Top" (Giọng điệu từ cấp cao nhất).</w:t>
      </w:r>
    </w:p>
    <w:p>
      <w:pPr>
        <w:pStyle w:val="Heading2"/>
      </w:pPr>
      <w:r>
        <w:rPr>
          <w:rFonts w:ascii="Calibri" w:hAnsi="Calibri"/>
          <w:b/>
          <w:i w:val="0"/>
          <w:sz w:val="32"/>
        </w:rPr>
        <w:t>CÁC CHỈ SỐ ĐO LƯỜNG</w:t>
      </w:r>
    </w:p>
    <w:tbl>
      <w:tblPr>
        <w:tblStyle w:val="TableGrid"/>
        <w:tblW w:type="auto" w:w="0"/>
        <w:tblLook w:firstColumn="1" w:firstRow="1" w:lastColumn="0" w:lastRow="0" w:noHBand="0" w:noVBand="1" w:val="04A0"/>
      </w:tblPr>
      <w:tblGrid>
        <w:gridCol w:w="9360"/>
      </w:tblGrid>
      <w:tr>
        <w:tc>
          <w:tcPr>
            <w:tcW w:type="dxa" w:w="9360"/>
          </w:tcPr>
          <w:p>
            <w:r/>
            <w:r>
              <w:rPr>
                <w:b/>
                <w:i w:val="0"/>
                <w:sz w:val="19"/>
              </w:rPr>
              <w:t>Bảng các chỉ số đo lường</w:t>
            </w:r>
          </w:p>
        </w:tc>
      </w:tr>
      <w:tr>
        <w:tc>
          <w:tcPr>
            <w:tcW w:type="dxa" w:w="9360"/>
          </w:tcPr>
          <w:p>
            <w:r/>
            <w:r>
              <w:rPr>
                <w:b w:val="0"/>
                <w:i w:val="0"/>
                <w:sz w:val="19"/>
              </w:rPr>
              <w:t xml:space="preserve">•  </w:t>
            </w:r>
            <w:r>
              <w:rPr>
                <w:b/>
                <w:i w:val="0"/>
                <w:sz w:val="19"/>
              </w:rPr>
              <w:t>Độ chính xác của Dự báo Tiền mặt</w:t>
            </w:r>
            <w:r>
              <w:rPr>
                <w:b w:val="0"/>
                <w:i w:val="0"/>
                <w:sz w:val="19"/>
              </w:rPr>
              <w:t xml:space="preserve"> —Số dư tiền mặt thực tế trừ số dư tiền mặt dự báo)/số dư tiền mặt dự báo.</w:t>
            </w:r>
            <w:r>
              <w:br/>
            </w:r>
            <w:r>
              <w:rPr>
                <w:b w:val="0"/>
                <w:i w:val="0"/>
                <w:sz w:val="19"/>
              </w:rPr>
              <w:t xml:space="preserve">•  </w:t>
            </w:r>
            <w:r>
              <w:rPr>
                <w:b/>
                <w:i w:val="0"/>
                <w:sz w:val="19"/>
              </w:rPr>
              <w:t>Độ chính xác của Thu nhập Đầu tư Dự báo</w:t>
            </w:r>
            <w:r>
              <w:rPr>
                <w:b w:val="0"/>
                <w:i w:val="0"/>
                <w:sz w:val="19"/>
              </w:rPr>
              <w:t xml:space="preserve"> —Thu nhập đầu tư lãi thực tế trừ thu nhập đầu tư dự báo)/thu nhập đầu tư dự báo.</w:t>
            </w:r>
            <w:r>
              <w:br/>
            </w:r>
            <w:r>
              <w:rPr>
                <w:b w:val="0"/>
                <w:i w:val="0"/>
                <w:sz w:val="19"/>
              </w:rPr>
              <w:t xml:space="preserve">•  </w:t>
            </w:r>
            <w:r>
              <w:rPr>
                <w:b/>
                <w:i w:val="0"/>
                <w:sz w:val="19"/>
              </w:rPr>
              <w:t>Độ chính xác của Chi phí Lãi vay Dự báo</w:t>
            </w:r>
            <w:r>
              <w:rPr>
                <w:b w:val="0"/>
                <w:i w:val="0"/>
                <w:sz w:val="19"/>
              </w:rPr>
              <w:t xml:space="preserve"> —Chi phí lãi vay thực tế trừ chi phí lãi vay dự báo/chi phí lãi vay dự báo.</w:t>
            </w:r>
            <w:r>
              <w:br/>
            </w:r>
            <w:r>
              <w:rPr>
                <w:b w:val="0"/>
                <w:i w:val="0"/>
                <w:sz w:val="19"/>
              </w:rPr>
              <w:t xml:space="preserve">•  </w:t>
            </w:r>
            <w:r>
              <w:rPr>
                <w:b/>
                <w:i w:val="0"/>
                <w:sz w:val="19"/>
              </w:rPr>
              <w:t>Độ chính xác của Phí Người được ủy thác/Tổ chức phát hành, Đại lý Thanh toán</w:t>
            </w:r>
            <w:r>
              <w:rPr>
                <w:b w:val="0"/>
                <w:i w:val="0"/>
                <w:sz w:val="19"/>
              </w:rPr>
              <w:t xml:space="preserve"> —Phí thực tế trừ phí dự báo)/phí dự báo.</w:t>
            </w:r>
            <w:r>
              <w:br/>
            </w:r>
            <w:r>
              <w:rPr>
                <w:b w:val="0"/>
                <w:i w:val="0"/>
                <w:sz w:val="19"/>
              </w:rPr>
              <w:t xml:space="preserve">•  </w:t>
            </w:r>
            <w:r>
              <w:rPr>
                <w:b/>
                <w:i w:val="0"/>
                <w:sz w:val="19"/>
              </w:rPr>
              <w:t>Tỷ lệ Phần trăm các Khoản Thanh toán Có Lỗi</w:t>
            </w:r>
            <w:r>
              <w:rPr>
                <w:b w:val="0"/>
                <w:i w:val="0"/>
                <w:sz w:val="19"/>
              </w:rPr>
              <w:t xml:space="preserve"> —(1) Số khoản thanh toán theo loại có lỗi/tổng số khoản thanh toán theo loại. (2) Số khoản thanh toán có lỗi/số khoản thanh toán.</w:t>
            </w:r>
            <w:r>
              <w:br/>
            </w:r>
            <w:r>
              <w:rPr>
                <w:b w:val="0"/>
                <w:i w:val="0"/>
                <w:sz w:val="19"/>
              </w:rPr>
              <w:t xml:space="preserve">•  </w:t>
            </w:r>
            <w:r>
              <w:rPr>
                <w:b/>
                <w:i w:val="0"/>
                <w:sz w:val="19"/>
              </w:rPr>
              <w:t>Tỷ lệ Phần trăm các Khoản Thanh toán Được Thực hiện Đúng hạn</w:t>
            </w:r>
            <w:r>
              <w:rPr>
                <w:b w:val="0"/>
                <w:i w:val="0"/>
                <w:sz w:val="19"/>
              </w:rPr>
              <w:t xml:space="preserve"> —Tổng số khoản thanh toán được thực hiện đúng hạn/tổng số khoản thanh toán đã thực hiện.</w:t>
            </w:r>
            <w:r>
              <w:br/>
            </w:r>
            <w:r>
              <w:rPr>
                <w:b w:val="0"/>
                <w:i w:val="0"/>
                <w:sz w:val="19"/>
              </w:rPr>
              <w:t xml:space="preserve">•  </w:t>
            </w:r>
            <w:r>
              <w:rPr>
                <w:b/>
                <w:i w:val="0"/>
                <w:sz w:val="19"/>
              </w:rPr>
              <w:t>Tỷ lệ Phần trăm Số dư Tiền mặt Hàng ngày so với Dự báo</w:t>
            </w:r>
            <w:r>
              <w:rPr>
                <w:b w:val="0"/>
                <w:i w:val="0"/>
                <w:sz w:val="19"/>
              </w:rPr>
              <w:t xml:space="preserve"> —Tổng số dư tiền mặt hàng ngày/tổng số dư tiền mặt dự báo.</w:t>
            </w:r>
            <w:r>
              <w:br/>
            </w:r>
            <w:r>
              <w:rPr>
                <w:b w:val="0"/>
                <w:i w:val="0"/>
                <w:sz w:val="19"/>
              </w:rPr>
              <w:t xml:space="preserve">•  </w:t>
            </w:r>
            <w:r>
              <w:rPr>
                <w:b/>
                <w:i w:val="0"/>
                <w:sz w:val="19"/>
              </w:rPr>
              <w:t>Số Ngày Tiền mặt Khả dụng</w:t>
            </w:r>
            <w:r>
              <w:rPr>
                <w:b w:val="0"/>
                <w:i w:val="0"/>
                <w:sz w:val="19"/>
              </w:rPr>
              <w:t xml:space="preserve"> —Tổng tiền mặt khả dụng/giá trị trung bình các khoản thanh toán mỗi ngày.</w:t>
            </w:r>
            <w:r>
              <w:br/>
            </w:r>
            <w:r>
              <w:rPr>
                <w:b w:val="0"/>
                <w:i w:val="0"/>
                <w:sz w:val="19"/>
              </w:rPr>
              <w:t xml:space="preserve">•  </w:t>
            </w:r>
            <w:r>
              <w:rPr>
                <w:b/>
                <w:i w:val="0"/>
                <w:sz w:val="19"/>
              </w:rPr>
              <w:t>Tỷ lệ Phần trăm Tín dụng Cam kết</w:t>
            </w:r>
            <w:r>
              <w:rPr>
                <w:b w:val="0"/>
                <w:i w:val="0"/>
                <w:sz w:val="19"/>
              </w:rPr>
              <w:t xml:space="preserve"> —Tổng giá trị gốc của các hạn mức tín dụng cam kết/tổng giá trị gốc của tất cả các hạn mức tín dụng.</w:t>
            </w:r>
            <w:r>
              <w:br/>
            </w:r>
            <w:r>
              <w:rPr>
                <w:b w:val="0"/>
                <w:i w:val="0"/>
                <w:sz w:val="19"/>
              </w:rPr>
              <w:t xml:space="preserve">•  </w:t>
            </w:r>
            <w:r>
              <w:rPr>
                <w:b/>
                <w:i w:val="0"/>
                <w:sz w:val="19"/>
              </w:rPr>
              <w:t>Tín dụng Khả dụng</w:t>
            </w:r>
            <w:r>
              <w:rPr>
                <w:b w:val="0"/>
                <w:i w:val="0"/>
                <w:sz w:val="19"/>
              </w:rPr>
              <w:t xml:space="preserve"> —Tổng giá trị gốc của tín dụng đã rút/tổng giá trị gốc của tất cả các hạn mức tín dụng.</w:t>
            </w:r>
            <w:r>
              <w:br/>
            </w:r>
            <w:r>
              <w:rPr>
                <w:b w:val="0"/>
                <w:i w:val="0"/>
                <w:sz w:val="19"/>
              </w:rPr>
              <w:t xml:space="preserve">•  </w:t>
            </w:r>
            <w:r>
              <w:rPr>
                <w:b/>
                <w:i w:val="0"/>
                <w:sz w:val="19"/>
              </w:rPr>
              <w:t>Xếp hạng Tín dụng Danh mục Đầu tư</w:t>
            </w:r>
            <w:r>
              <w:rPr>
                <w:b w:val="0"/>
                <w:i w:val="0"/>
                <w:sz w:val="19"/>
              </w:rPr>
              <w:t xml:space="preserve"> —Xếp hạng tín dụng trung bình có trọng số của tổ chức phát hành so với chuẩn mực chính sách đã đề ra.</w:t>
            </w:r>
          </w:p>
        </w:tc>
      </w:tr>
    </w:tbl>
    <w:p>
      <w:pPr>
        <w:spacing w:after="0"/>
      </w:pPr>
    </w:p>
    <w:p>
      <w:pPr>
        <w:pStyle w:val="Heading2"/>
      </w:pPr>
      <w:r>
        <w:rPr>
          <w:rFonts w:ascii="Calibri" w:hAnsi="Calibri"/>
          <w:b/>
          <w:i w:val="0"/>
          <w:sz w:val="32"/>
        </w:rPr>
        <w:t>ÁP DỤNG KIỂM SOÁT NỘI BỘ</w:t>
      </w:r>
    </w:p>
    <w:p>
      <w:pPr>
        <w:spacing w:after="80"/>
      </w:pPr>
      <w:r>
        <w:rPr>
          <w:b w:val="0"/>
          <w:i w:val="0"/>
        </w:rPr>
        <w:t>Khi ban lãnh đạo lựa chọn các thủ tục và kỹ thuật kiểm soát, mức độ kiểm soát được triển khai là một vấn đề thuộc phán đoán kinh doanh hợp lý. Nguyên tắc chung cần được sử dụng để xác định mức độ triển khai kiểm soát nội bộ là chi phí của một biện pháp kiểm soát không được vượt quá lợi ích thu được. Tuy nhiên, có một bộ kiểm soát tối thiểu cần tồn tại trong một môi trường kinh doanh bình thường. Các tiêu chuẩn kiểm soát nội bộ được liệt kê ở đây đại diện cho các biện pháp kiểm soát tối thiểu cần được triển khai trong quy trình Ngân quỹ.</w:t>
      </w:r>
    </w:p>
    <w:p>
      <w:pPr>
        <w:pStyle w:val="Heading2"/>
      </w:pPr>
      <w:r>
        <w:rPr>
          <w:rFonts w:ascii="Calibri" w:hAnsi="Calibri"/>
          <w:b/>
          <w:i w:val="0"/>
          <w:sz w:val="32"/>
        </w:rPr>
        <w:t>CÁC QUY TRÌNH CON</w:t>
      </w:r>
    </w:p>
    <w:p>
      <w:pPr>
        <w:spacing w:after="80"/>
      </w:pPr>
      <w:r>
        <w:rPr>
          <w:b w:val="0"/>
          <w:i w:val="0"/>
        </w:rPr>
        <w:t>Các chức năng quy trình con của quy trình Ngân quỹ là:</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3.1</w:t>
            </w:r>
          </w:p>
        </w:tc>
        <w:tc>
          <w:tcPr>
            <w:tcW w:type="dxa" w:w="4680"/>
          </w:tcPr>
          <w:p>
            <w:r/>
            <w:r>
              <w:rPr>
                <w:b w:val="0"/>
                <w:i w:val="0"/>
                <w:sz w:val="19"/>
              </w:rPr>
              <w:t>Kiểm soát Ngân quỹ Chung</w:t>
            </w:r>
          </w:p>
        </w:tc>
      </w:tr>
      <w:tr>
        <w:tc>
          <w:tcPr>
            <w:tcW w:type="dxa" w:w="4680"/>
          </w:tcPr>
          <w:p>
            <w:r/>
            <w:r>
              <w:rPr>
                <w:b w:val="0"/>
                <w:i w:val="0"/>
                <w:sz w:val="19"/>
              </w:rPr>
              <w:t>3.2</w:t>
            </w:r>
          </w:p>
        </w:tc>
        <w:tc>
          <w:tcPr>
            <w:tcW w:type="dxa" w:w="4680"/>
          </w:tcPr>
          <w:p>
            <w:r/>
            <w:r>
              <w:rPr>
                <w:b w:val="0"/>
                <w:i w:val="0"/>
                <w:sz w:val="19"/>
              </w:rPr>
              <w:t>Hoạt động Tài trợ</w:t>
            </w:r>
          </w:p>
        </w:tc>
      </w:tr>
      <w:tr>
        <w:tc>
          <w:tcPr>
            <w:tcW w:type="dxa" w:w="4680"/>
          </w:tcPr>
          <w:p>
            <w:r/>
            <w:r>
              <w:rPr>
                <w:b w:val="0"/>
                <w:i w:val="0"/>
                <w:sz w:val="19"/>
              </w:rPr>
              <w:t>3.3</w:t>
            </w:r>
          </w:p>
        </w:tc>
        <w:tc>
          <w:tcPr>
            <w:tcW w:type="dxa" w:w="4680"/>
          </w:tcPr>
          <w:p>
            <w:r/>
            <w:r>
              <w:rPr>
                <w:b w:val="0"/>
                <w:i w:val="0"/>
                <w:sz w:val="19"/>
              </w:rPr>
              <w:t>Đầu tư Nguồn vốn Khả dụng</w:t>
            </w:r>
          </w:p>
        </w:tc>
      </w:tr>
      <w:tr>
        <w:tc>
          <w:tcPr>
            <w:tcW w:type="dxa" w:w="4680"/>
          </w:tcPr>
          <w:p>
            <w:r/>
            <w:r>
              <w:rPr>
                <w:b w:val="0"/>
                <w:i w:val="0"/>
                <w:sz w:val="19"/>
              </w:rPr>
              <w:t>3.4</w:t>
            </w:r>
          </w:p>
        </w:tc>
        <w:tc>
          <w:tcPr>
            <w:tcW w:type="dxa" w:w="4680"/>
          </w:tcPr>
          <w:p>
            <w:r/>
            <w:r>
              <w:rPr>
                <w:b w:val="0"/>
                <w:i w:val="0"/>
                <w:sz w:val="19"/>
              </w:rPr>
              <w:t>Ngoại hối</w:t>
            </w:r>
          </w:p>
        </w:tc>
      </w:tr>
    </w:tbl>
    <w:p>
      <w:pPr>
        <w:spacing w:after="0"/>
      </w:pPr>
    </w:p>
    <w:p>
      <w:pPr>
        <w:pStyle w:val="Heading2"/>
      </w:pPr>
      <w:r>
        <w:rPr>
          <w:rFonts w:ascii="Calibri" w:hAnsi="Calibri"/>
          <w:b/>
          <w:i w:val="0"/>
          <w:sz w:val="32"/>
        </w:rPr>
        <w:t>3.1 CÁC KIỂM SOÁT CHUNG VỀ NGÂN QUỸ</w:t>
      </w:r>
    </w:p>
    <w:p>
      <w:pPr>
        <w:pStyle w:val="Heading3"/>
      </w:pPr>
      <w:r>
        <w:rPr>
          <w:rFonts w:ascii="Calibri" w:hAnsi="Calibri"/>
          <w:b/>
          <w:i w:val="0"/>
          <w:sz w:val="26"/>
        </w:rPr>
        <w:t>Giới thiệu</w:t>
      </w:r>
    </w:p>
    <w:p>
      <w:pPr>
        <w:spacing w:after="80"/>
      </w:pPr>
      <w:r>
        <w:rPr>
          <w:b w:val="0"/>
          <w:i w:val="0"/>
        </w:rPr>
        <w:t>Các chính sách được triển khai cho mọi khía cạnh của chức năng Ngân quỹ nhằm đảm bảo rằng việc phân tách nhiệm vụ, các kiểm soát và quy trình đối chiếu được thiết lập để giảm thiểu rủi ro cho công ty. Các giao dịch tài trợ, đầu tư tài chính, ngoại hối, cổ phần vốn và vốn chủ sở hữu phải được ghi nhận kịp thời và phân loại đúng đắn để tạo điều kiện cho việc báo cáo và công bố thông tin tài chính ra bên ngoài theo yêu cầu. Tất cả số dư đã ghi nhận phải được đối chiếu hàng tháng với chi tiết hỗ trợ (ví dụ: đối chiếu tài khoản ngân hàng, hạn mức tín dụng quay vòng, sổ phụ đầu tư, cổ phần vốn, hồ sơ sở hữu, v.v.).</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3.1.1</w:t>
            </w:r>
          </w:p>
        </w:tc>
        <w:tc>
          <w:tcPr>
            <w:tcW w:type="dxa" w:w="4680"/>
          </w:tcPr>
          <w:p>
            <w:r/>
            <w:r>
              <w:rPr>
                <w:b w:val="0"/>
                <w:i w:val="0"/>
                <w:sz w:val="19"/>
              </w:rPr>
              <w:t>Phân tách Nhiệm vụ. Các chính sách và quy trình cho các chức năng ngân quỹ đảm bảo:</w:t>
            </w:r>
            <w:r>
              <w:br/>
            </w:r>
            <w:r>
              <w:rPr>
                <w:b w:val="0"/>
                <w:i w:val="0"/>
                <w:sz w:val="19"/>
              </w:rPr>
              <w:t>a. Các quyết định đầu tư tài chính và hoạt động đầu tư thực tế phải được tách biệt khỏi trách nhiệm kế toán và trách nhiệm lưu giữ tài sản.</w:t>
            </w:r>
            <w:r>
              <w:br/>
            </w:r>
            <w:r>
              <w:rPr>
                <w:b w:val="0"/>
                <w:i w:val="0"/>
                <w:sz w:val="19"/>
              </w:rPr>
              <w:t>b. Việc thanh toán lãi và cổ tức phải được tách biệt khỏi việc hạch toán các chứng khoán nợ và chứng khoán vốn.</w:t>
            </w:r>
            <w:r>
              <w:br/>
            </w:r>
            <w:r>
              <w:rPr>
                <w:b w:val="0"/>
                <w:i w:val="0"/>
                <w:sz w:val="19"/>
              </w:rPr>
              <w:t>c. Quyền truy cập vào các khoản thu tiền mặt phải được tách biệt khỏi việc hạch toán các khoản thu tiền mặt liên quan.</w:t>
            </w:r>
            <w:r>
              <w:br/>
            </w:r>
            <w:r>
              <w:rPr>
                <w:b w:val="0"/>
                <w:i w:val="0"/>
                <w:sz w:val="19"/>
              </w:rPr>
              <w:t>d. Việc xử lý và xem xét các khoản vay phải được tách biệt khỏi các giao dịch đầu tư tài chính.</w:t>
            </w:r>
            <w:r>
              <w:br/>
            </w:r>
            <w:r>
              <w:rPr>
                <w:b w:val="0"/>
                <w:i w:val="0"/>
                <w:sz w:val="19"/>
              </w:rPr>
              <w:t xml:space="preserve">e. Các giao dịch ngoại hối, xác nhận ngoại hối và hoạt động hạch toán ngoại hối phải được phân tách đầy đủ. </w:t>
            </w:r>
            <w:r>
              <w:rPr>
                <w:b/>
                <w:i w:val="0"/>
                <w:sz w:val="19"/>
              </w:rPr>
              <w:t>Tham khảo rủi ro: A-1, A-2, A-4, A-6</w:t>
            </w:r>
          </w:p>
        </w:tc>
      </w:tr>
      <w:tr>
        <w:tc>
          <w:tcPr>
            <w:tcW w:type="dxa" w:w="4680"/>
          </w:tcPr>
          <w:p>
            <w:r/>
            <w:r>
              <w:rPr>
                <w:b w:val="0"/>
                <w:i w:val="0"/>
                <w:sz w:val="19"/>
              </w:rPr>
              <w:t>3.1.2</w:t>
            </w:r>
          </w:p>
        </w:tc>
        <w:tc>
          <w:tcPr>
            <w:tcW w:type="dxa" w:w="4680"/>
          </w:tcPr>
          <w:p>
            <w:r/>
            <w:r>
              <w:rPr>
                <w:b/>
                <w:i w:val="0"/>
                <w:sz w:val="19"/>
              </w:rPr>
              <w:t>Yêu cầu về Ngân hàng.</w:t>
            </w:r>
            <w:r>
              <w:rPr>
                <w:b w:val="0"/>
                <w:i w:val="0"/>
                <w:sz w:val="19"/>
              </w:rPr>
              <w:t xml:space="preserve"> Các quy trình về mở, duy trì và đóng tài khoản ngân hàng phải được thiết lập. Tối thiểu, các quy trình phải bao gồm các phê duyệt cần thiết, thẩm quyền ký và hạn mức ký, cùng các tiêu chuẩn về tài liệu. </w:t>
            </w:r>
            <w:r>
              <w:rPr>
                <w:b/>
                <w:i w:val="0"/>
                <w:sz w:val="19"/>
              </w:rPr>
              <w:t>Tham khảo rủi ro: A-1, A-2</w:t>
            </w:r>
          </w:p>
        </w:tc>
      </w:tr>
      <w:tr>
        <w:tc>
          <w:tcPr>
            <w:tcW w:type="dxa" w:w="4680"/>
          </w:tcPr>
          <w:p>
            <w:r/>
            <w:r>
              <w:rPr>
                <w:b w:val="0"/>
                <w:i w:val="0"/>
                <w:sz w:val="19"/>
              </w:rPr>
              <w:t>3.1.3</w:t>
            </w:r>
          </w:p>
        </w:tc>
        <w:tc>
          <w:tcPr>
            <w:tcW w:type="dxa" w:w="4680"/>
          </w:tcPr>
          <w:p>
            <w:r/>
            <w:r>
              <w:rPr>
                <w:b/>
                <w:i w:val="0"/>
                <w:sz w:val="19"/>
              </w:rPr>
              <w:t>Hồ sơ và Đối chiếu.</w:t>
            </w:r>
            <w:r>
              <w:rPr>
                <w:b w:val="0"/>
                <w:i w:val="0"/>
                <w:sz w:val="19"/>
              </w:rPr>
              <w:t xml:space="preserve"> Các giao dịch tài trợ, đầu tư tài chính, ngoại hối, cổ phần vốn và vốn chủ sở hữu phải được ghi nhận kịp thời và phân loại đúng đắn để tạo điều kiện cho việc báo cáo và công bố thông tin tài chính ra bên ngoài theo yêu cầu. Tất cả số dư đã ghi nhận phải được đối chiếu hàng tháng với chi tiết hỗ trợ (ví dụ: đối chiếu tài khoản ngân hàng, hạn mức tín dụng quay vòng, sổ phụ đầu tư, cổ phần vốn, hồ sơ sở hữu, v.v.). Các đối chiếu như vậy (nội dung đã được biết rõ và tình trạng được cập nhật) phải được thực hiện bởi nhân viên không tham gia vào các hoạt động tiền mặt hoặc lưu giữ tài sản. </w:t>
            </w:r>
            <w:r>
              <w:rPr>
                <w:b/>
                <w:i w:val="0"/>
                <w:sz w:val="19"/>
              </w:rPr>
              <w:t>Tham khảo rủi ro: A-1, A-3, A-4, A-5</w:t>
            </w:r>
          </w:p>
        </w:tc>
      </w:tr>
      <w:tr>
        <w:tc>
          <w:tcPr>
            <w:tcW w:type="dxa" w:w="4680"/>
          </w:tcPr>
          <w:p>
            <w:r/>
            <w:r>
              <w:rPr>
                <w:b w:val="0"/>
                <w:i w:val="0"/>
                <w:sz w:val="19"/>
              </w:rPr>
              <w:t>3.1.4</w:t>
            </w:r>
          </w:p>
        </w:tc>
        <w:tc>
          <w:tcPr>
            <w:tcW w:type="dxa" w:w="4680"/>
          </w:tcPr>
          <w:p>
            <w:r/>
            <w:r>
              <w:rPr>
                <w:b/>
                <w:i w:val="0"/>
                <w:sz w:val="19"/>
              </w:rPr>
              <w:t>Bảo vệ Hồ sơ và Chứng khoán.</w:t>
            </w:r>
            <w:r>
              <w:rPr>
                <w:b w:val="0"/>
                <w:i w:val="0"/>
                <w:sz w:val="19"/>
              </w:rPr>
              <w:t xml:space="preserve"> Quyền truy cập vào hồ sơ và chứng khoán liên quan đến tiền mặt, nợ, vốn chủ sở hữu, đầu tư tài chính và cổ phần vốn phải được hạn chế. </w:t>
            </w:r>
            <w:r>
              <w:rPr>
                <w:b/>
                <w:i w:val="0"/>
                <w:sz w:val="19"/>
              </w:rPr>
              <w:t>Tham khảo rủi ro: A-1, A-2, A-4</w:t>
            </w:r>
          </w:p>
        </w:tc>
      </w:tr>
      <w:tr>
        <w:tc>
          <w:tcPr>
            <w:tcW w:type="dxa" w:w="4680"/>
          </w:tcPr>
          <w:p>
            <w:r/>
            <w:r>
              <w:rPr>
                <w:b w:val="0"/>
                <w:i w:val="0"/>
                <w:sz w:val="19"/>
              </w:rPr>
              <w:t>3.1.5</w:t>
            </w:r>
          </w:p>
        </w:tc>
        <w:tc>
          <w:tcPr>
            <w:tcW w:type="dxa" w:w="4680"/>
          </w:tcPr>
          <w:p>
            <w:r/>
            <w:r>
              <w:rPr>
                <w:b/>
                <w:i w:val="0"/>
                <w:sz w:val="19"/>
              </w:rPr>
              <w:t>Hạch toán Chứng khoán của Công ty.</w:t>
            </w:r>
            <w:r>
              <w:rPr>
                <w:b w:val="0"/>
                <w:i w:val="0"/>
                <w:sz w:val="19"/>
              </w:rPr>
              <w:t xml:space="preserve"> Các ngân hàng, nhà môi giới, cơ quan đăng ký độc lập, đại lý chuyển nhượng hoặc các bên thứ ba được phê duyệt khác sẽ được sử dụng để hạch toán các thay đổi về quyền sở hữu đối với cổ phần đã phát hành và chưa phát hành của công ty, sự thay đổi trong các công cụ nợ của công ty, và những thay đổi trong các khoản đầu tư vốn chủ sở hữu tài chính và được giao dịch công khai của công ty. </w:t>
            </w:r>
            <w:r>
              <w:rPr>
                <w:b/>
                <w:i w:val="0"/>
                <w:sz w:val="19"/>
              </w:rPr>
              <w:t>Tham khảo rủi ro: A-2, A-3, A-4, A-5</w:t>
            </w:r>
          </w:p>
        </w:tc>
      </w:tr>
      <w:tr>
        <w:tc>
          <w:tcPr>
            <w:tcW w:type="dxa" w:w="4680"/>
          </w:tcPr>
          <w:p>
            <w:r/>
            <w:r>
              <w:rPr>
                <w:b w:val="0"/>
                <w:i w:val="0"/>
                <w:sz w:val="19"/>
              </w:rPr>
              <w:t>3.1.6</w:t>
            </w:r>
          </w:p>
        </w:tc>
        <w:tc>
          <w:tcPr>
            <w:tcW w:type="dxa" w:w="4680"/>
          </w:tcPr>
          <w:p>
            <w:r/>
            <w:r>
              <w:rPr>
                <w:b/>
                <w:i w:val="0"/>
                <w:sz w:val="19"/>
              </w:rPr>
              <w:t>Giao dịch Ngoại hối.</w:t>
            </w:r>
            <w:r>
              <w:rPr>
                <w:b w:val="0"/>
                <w:i w:val="0"/>
                <w:sz w:val="19"/>
              </w:rPr>
              <w:t xml:space="preserve"> Các quy trình phải được thiết lập để phê duyệt các giao dịch ngoại hối và đảm bảo các giao dịch được ghi chép tài liệu đầy đủ và ghi nhận vào đúng tài khoản. </w:t>
            </w:r>
            <w:r>
              <w:rPr>
                <w:b/>
                <w:i w:val="0"/>
                <w:sz w:val="19"/>
              </w:rPr>
              <w:t>Tham khảo rủi ro: A-5, A-6</w:t>
            </w:r>
          </w:p>
        </w:tc>
      </w:tr>
      <w:tr>
        <w:tc>
          <w:tcPr>
            <w:tcW w:type="dxa" w:w="4680"/>
          </w:tcPr>
          <w:p>
            <w:r/>
            <w:r>
              <w:rPr>
                <w:b w:val="0"/>
                <w:i w:val="0"/>
                <w:sz w:val="19"/>
              </w:rPr>
              <w:t>3.1.7</w:t>
            </w:r>
          </w:p>
        </w:tc>
        <w:tc>
          <w:tcPr>
            <w:tcW w:type="dxa" w:w="4680"/>
          </w:tcPr>
          <w:p>
            <w:r/>
            <w:r>
              <w:rPr>
                <w:b/>
                <w:i w:val="0"/>
                <w:sz w:val="19"/>
              </w:rPr>
              <w:t>Quản lý rủi ro tài chính.</w:t>
            </w:r>
            <w:r>
              <w:rPr>
                <w:b w:val="0"/>
                <w:i w:val="0"/>
                <w:sz w:val="19"/>
              </w:rPr>
              <w:t xml:space="preserve"> Cần thiết lập các quy trình để theo dõi mức độ phơi nhiễm với đối tác (counterparty exposure) và rủi ro thị trường liên quan đến các hoạt động tài trợ, đầu tư và ngoại hối. </w:t>
            </w:r>
            <w:r>
              <w:rPr>
                <w:b/>
                <w:i w:val="0"/>
                <w:sz w:val="19"/>
              </w:rPr>
              <w:t>Tham chiếu rủi ro: A-7</w:t>
            </w:r>
          </w:p>
        </w:tc>
      </w:tr>
      <w:tr>
        <w:tc>
          <w:tcPr>
            <w:tcW w:type="dxa" w:w="4680"/>
          </w:tcPr>
          <w:p>
            <w:r/>
            <w:r>
              <w:rPr>
                <w:b w:val="0"/>
                <w:i w:val="0"/>
                <w:sz w:val="19"/>
              </w:rPr>
              <w:t>3.1.8</w:t>
            </w:r>
          </w:p>
        </w:tc>
        <w:tc>
          <w:tcPr>
            <w:tcW w:type="dxa" w:w="4680"/>
          </w:tcPr>
          <w:p>
            <w:r/>
            <w:r>
              <w:rPr>
                <w:b/>
                <w:i w:val="0"/>
                <w:sz w:val="19"/>
              </w:rPr>
              <w:t>Giao dịch đối ứng/Bù trừ.</w:t>
            </w:r>
            <w:r>
              <w:rPr>
                <w:b w:val="0"/>
                <w:i w:val="0"/>
                <w:sz w:val="19"/>
              </w:rPr>
              <w:t xml:space="preserve"> Cần thiết lập các quy trình để đảm bảo rằng các nghĩa vụ giao dịch đối ứng/bù trừ được thực hiện đúng theo chính sách của công ty. </w:t>
            </w:r>
            <w:r>
              <w:rPr>
                <w:b/>
                <w:i w:val="0"/>
                <w:sz w:val="19"/>
              </w:rPr>
              <w:t>Tham chiếu rủi ro: A-8, A-9</w:t>
            </w:r>
          </w:p>
        </w:tc>
      </w:tr>
      <w:tr>
        <w:tc>
          <w:tcPr>
            <w:tcW w:type="dxa" w:w="4680"/>
          </w:tcPr>
          <w:p>
            <w:r/>
            <w:r>
              <w:rPr>
                <w:b w:val="0"/>
                <w:i w:val="0"/>
                <w:sz w:val="19"/>
              </w:rPr>
              <w:t>3.1.9</w:t>
            </w:r>
          </w:p>
        </w:tc>
        <w:tc>
          <w:tcPr>
            <w:tcW w:type="dxa" w:w="4680"/>
          </w:tcPr>
          <w:p>
            <w:r/>
            <w:r>
              <w:rPr>
                <w:b/>
                <w:i w:val="0"/>
                <w:sz w:val="19"/>
              </w:rPr>
              <w:t>Gộp chung tiền mặt (Cash Pooling).</w:t>
            </w:r>
            <w:r>
              <w:rPr>
                <w:b w:val="0"/>
                <w:i w:val="0"/>
                <w:sz w:val="19"/>
              </w:rPr>
              <w:t xml:space="preserve"> Cần thiết lập các quy trình để đảm bảo rằng tất cả các thỏa thuận gộp chung tiền mặt và bù trừ (netting) liên quan đến nhiều hơn một công ty/pháp nhân được thực hiện đúng theo chính sách của công ty. </w:t>
            </w:r>
            <w:r>
              <w:rPr>
                <w:b/>
                <w:i w:val="0"/>
                <w:sz w:val="19"/>
              </w:rPr>
              <w:t>Tham chiếu rủi ro: A-10</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A-1</w:t>
            </w:r>
          </w:p>
        </w:tc>
        <w:tc>
          <w:tcPr>
            <w:tcW w:type="dxa" w:w="4680"/>
          </w:tcPr>
          <w:p>
            <w:r/>
            <w:r>
              <w:rPr>
                <w:b w:val="0"/>
                <w:i w:val="0"/>
                <w:sz w:val="19"/>
              </w:rPr>
              <w:t>Tiền mặt hoặc chứng khoán có thể bị mất, bị đánh cắp, bị phá hủy hoặc bị chuyển hướng tạm thời.</w:t>
            </w:r>
          </w:p>
        </w:tc>
      </w:tr>
      <w:tr>
        <w:tc>
          <w:tcPr>
            <w:tcW w:type="dxa" w:w="4680"/>
          </w:tcPr>
          <w:p>
            <w:r/>
            <w:r>
              <w:rPr>
                <w:b w:val="0"/>
                <w:i w:val="0"/>
                <w:sz w:val="19"/>
              </w:rPr>
              <w:t>A-2</w:t>
            </w:r>
          </w:p>
        </w:tc>
        <w:tc>
          <w:tcPr>
            <w:tcW w:type="dxa" w:w="4680"/>
          </w:tcPr>
          <w:p>
            <w:r/>
            <w:r>
              <w:rPr>
                <w:b w:val="0"/>
                <w:i w:val="0"/>
                <w:sz w:val="19"/>
              </w:rPr>
              <w:t>Hồ sơ có thể bị nhân viên không có thẩm quyền lạm dụng hoặc sửa đổi, gây tổn hại cho công ty, chủ sở hữu hoặc chủ nợ của công ty.</w:t>
            </w:r>
          </w:p>
        </w:tc>
      </w:tr>
      <w:tr>
        <w:tc>
          <w:tcPr>
            <w:tcW w:type="dxa" w:w="4680"/>
          </w:tcPr>
          <w:p>
            <w:r/>
            <w:r>
              <w:rPr>
                <w:b w:val="0"/>
                <w:i w:val="0"/>
                <w:sz w:val="19"/>
              </w:rPr>
              <w:t>A-3</w:t>
            </w:r>
          </w:p>
        </w:tc>
        <w:tc>
          <w:tcPr>
            <w:tcW w:type="dxa" w:w="4680"/>
          </w:tcPr>
          <w:p>
            <w:r/>
            <w:r>
              <w:rPr>
                <w:b w:val="0"/>
                <w:i w:val="0"/>
                <w:sz w:val="19"/>
              </w:rPr>
              <w:t>Báo cáo có thể không chính xác, và các quyết định quan trọng sau đó có thể dựa trên thông tin sai lệch.</w:t>
            </w:r>
          </w:p>
        </w:tc>
      </w:tr>
      <w:tr>
        <w:tc>
          <w:tcPr>
            <w:tcW w:type="dxa" w:w="4680"/>
          </w:tcPr>
          <w:p>
            <w:r/>
            <w:r>
              <w:rPr>
                <w:b w:val="0"/>
                <w:i w:val="0"/>
                <w:sz w:val="19"/>
              </w:rPr>
              <w:t>A-4</w:t>
            </w:r>
          </w:p>
        </w:tc>
        <w:tc>
          <w:tcPr>
            <w:tcW w:type="dxa" w:w="4680"/>
          </w:tcPr>
          <w:p>
            <w:r/>
            <w:r>
              <w:rPr>
                <w:b w:val="0"/>
                <w:i w:val="0"/>
                <w:sz w:val="19"/>
              </w:rPr>
              <w:t>Các sai sót và thiếu sót trong việc bảo vệ thực tế, cấp phép và xử lý giao dịch có thể không được phát hiện và khắc phục.</w:t>
            </w:r>
          </w:p>
        </w:tc>
      </w:tr>
      <w:tr>
        <w:tc>
          <w:tcPr>
            <w:tcW w:type="dxa" w:w="4680"/>
          </w:tcPr>
          <w:p>
            <w:r/>
            <w:r>
              <w:rPr>
                <w:b w:val="0"/>
                <w:i w:val="0"/>
                <w:sz w:val="19"/>
              </w:rPr>
              <w:t>A-5</w:t>
            </w:r>
          </w:p>
        </w:tc>
        <w:tc>
          <w:tcPr>
            <w:tcW w:type="dxa" w:w="4680"/>
          </w:tcPr>
          <w:p>
            <w:r/>
            <w:r>
              <w:rPr>
                <w:b w:val="0"/>
                <w:i w:val="0"/>
                <w:sz w:val="19"/>
              </w:rPr>
              <w:t>Báo cáo tài chính và hồ sơ có thể bị sai lệch do việc chốt sổ hoặc định giá không đúng, bỏ sót một số dữ liệu tài chính, hoặc ghi nhận hay phân loại không chính xác.</w:t>
            </w:r>
          </w:p>
        </w:tc>
      </w:tr>
      <w:tr>
        <w:tc>
          <w:tcPr>
            <w:tcW w:type="dxa" w:w="4680"/>
          </w:tcPr>
          <w:p>
            <w:r/>
            <w:r>
              <w:rPr>
                <w:b w:val="0"/>
                <w:i w:val="0"/>
                <w:sz w:val="19"/>
              </w:rPr>
              <w:t>A-6</w:t>
            </w:r>
          </w:p>
        </w:tc>
        <w:tc>
          <w:tcPr>
            <w:tcW w:type="dxa" w:w="4680"/>
          </w:tcPr>
          <w:p>
            <w:r/>
            <w:r>
              <w:rPr>
                <w:b w:val="0"/>
                <w:i w:val="0"/>
                <w:sz w:val="19"/>
              </w:rPr>
              <w:t>Các giao dịch được thực hiện có thể không phù hợp với yêu cầu về tiền tệ của công ty.</w:t>
            </w:r>
          </w:p>
        </w:tc>
      </w:tr>
      <w:tr>
        <w:tc>
          <w:tcPr>
            <w:tcW w:type="dxa" w:w="4680"/>
          </w:tcPr>
          <w:p>
            <w:r/>
            <w:r>
              <w:rPr>
                <w:b w:val="0"/>
                <w:i w:val="0"/>
                <w:sz w:val="19"/>
              </w:rPr>
              <w:t>A-7</w:t>
            </w:r>
          </w:p>
        </w:tc>
        <w:tc>
          <w:tcPr>
            <w:tcW w:type="dxa" w:w="4680"/>
          </w:tcPr>
          <w:p>
            <w:r/>
            <w:r>
              <w:rPr>
                <w:b w:val="0"/>
                <w:i w:val="0"/>
                <w:sz w:val="19"/>
              </w:rPr>
              <w:t>Hoạt động tài trợ và đầu tư có thể khiến công ty đối mặt với rủi ro đối tác và rủi ro thị trường ở mức không thể chấp nhận được.</w:t>
            </w:r>
          </w:p>
        </w:tc>
      </w:tr>
      <w:tr>
        <w:tc>
          <w:tcPr>
            <w:tcW w:type="dxa" w:w="4680"/>
          </w:tcPr>
          <w:p>
            <w:r/>
            <w:r>
              <w:rPr>
                <w:b w:val="0"/>
                <w:i w:val="0"/>
                <w:sz w:val="19"/>
              </w:rPr>
              <w:t>A-8</w:t>
            </w:r>
          </w:p>
        </w:tc>
        <w:tc>
          <w:tcPr>
            <w:tcW w:type="dxa" w:w="4680"/>
          </w:tcPr>
          <w:p>
            <w:r/>
            <w:r>
              <w:rPr>
                <w:b w:val="0"/>
                <w:i w:val="0"/>
                <w:sz w:val="19"/>
              </w:rPr>
              <w:t>Thỏa thuận hàng đổi hàng/bù trừ có thể là bất hợp pháp hoặc vi phạm chính sách của công ty và xét đến quy tắc ứng xử của công ty.</w:t>
            </w:r>
          </w:p>
        </w:tc>
      </w:tr>
      <w:tr>
        <w:tc>
          <w:tcPr>
            <w:tcW w:type="dxa" w:w="4680"/>
          </w:tcPr>
          <w:p>
            <w:r/>
            <w:r>
              <w:rPr>
                <w:b w:val="0"/>
                <w:i w:val="0"/>
                <w:sz w:val="19"/>
              </w:rPr>
              <w:t>A-9</w:t>
            </w:r>
          </w:p>
        </w:tc>
        <w:tc>
          <w:tcPr>
            <w:tcW w:type="dxa" w:w="4680"/>
          </w:tcPr>
          <w:p>
            <w:r/>
            <w:r>
              <w:rPr>
                <w:b w:val="0"/>
                <w:i w:val="0"/>
                <w:sz w:val="19"/>
              </w:rPr>
              <w:t>Việc không đáp ứng và hoàn thành các nghĩa vụ hàng đổi hàng/bù trừ có thể dẫn đến các hình phạt, khoản bồi thường thiệt hại đã thỏa thuận, nguy cơ kiện tụng tiềm tàng ở nước ngoài, và các biện pháp trừng phạt khác có thể có từ chính phủ nước ngoài.</w:t>
            </w:r>
          </w:p>
        </w:tc>
      </w:tr>
      <w:tr>
        <w:tc>
          <w:tcPr>
            <w:tcW w:type="dxa" w:w="4680"/>
          </w:tcPr>
          <w:p>
            <w:r/>
            <w:r>
              <w:rPr>
                <w:b w:val="0"/>
                <w:i w:val="0"/>
                <w:sz w:val="19"/>
              </w:rPr>
              <w:t>A-10</w:t>
            </w:r>
          </w:p>
        </w:tc>
        <w:tc>
          <w:tcPr>
            <w:tcW w:type="dxa" w:w="4680"/>
          </w:tcPr>
          <w:p>
            <w:r/>
            <w:r>
              <w:rPr>
                <w:b w:val="0"/>
                <w:i w:val="0"/>
                <w:sz w:val="19"/>
              </w:rPr>
              <w:t>Các giao dịch có thể dẫn đến những hệ quả pháp lý và/hoặc thuế không mong muốn.</w:t>
            </w:r>
          </w:p>
        </w:tc>
      </w:tr>
    </w:tbl>
    <w:p>
      <w:pPr>
        <w:spacing w:after="0"/>
      </w:pPr>
    </w:p>
    <w:p>
      <w:pPr>
        <w:pStyle w:val="Heading2"/>
      </w:pPr>
      <w:r>
        <w:rPr>
          <w:rFonts w:ascii="Calibri" w:hAnsi="Calibri"/>
          <w:b/>
          <w:i w:val="0"/>
          <w:sz w:val="32"/>
        </w:rPr>
        <w:t>3.2 HOẠT ĐỘNG TÀI TRỢ</w:t>
      </w:r>
    </w:p>
    <w:p>
      <w:pPr>
        <w:pStyle w:val="Heading3"/>
      </w:pPr>
      <w:r>
        <w:rPr>
          <w:rFonts w:ascii="Calibri" w:hAnsi="Calibri"/>
          <w:b/>
          <w:i w:val="0"/>
          <w:sz w:val="26"/>
        </w:rPr>
        <w:t>Giới thiệu</w:t>
      </w:r>
    </w:p>
    <w:p>
      <w:pPr>
        <w:spacing w:after="80"/>
      </w:pPr>
      <w:r>
        <w:rPr>
          <w:b w:val="0"/>
          <w:i w:val="0"/>
        </w:rPr>
        <w:t>Các mục và hoạt động sau đây phải được hội đồng quản trị của công ty phê duyệt và phải được ghi lại trong biên bản các cuộc họp của họ: các nghị quyết về ngân hàng và việc phân công thẩm quyền được giao, các nghị quyết về vay vốn và phân công thẩm quyền, tất cả các thỏa thuận tài trợ nợ quan trọng và thuê tài chính.</w:t>
      </w:r>
    </w:p>
    <w:p>
      <w:pPr>
        <w:pStyle w:val="Heading3"/>
      </w:pPr>
      <w:r>
        <w:rPr>
          <w:rFonts w:ascii="Calibri" w:hAnsi="Calibri"/>
          <w:b/>
          <w:i w:val="0"/>
          <w:sz w:val="26"/>
        </w:rPr>
        <w:t>Chuẩn mực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3.2.1</w:t>
            </w:r>
          </w:p>
        </w:tc>
        <w:tc>
          <w:tcPr>
            <w:tcW w:type="dxa" w:w="4680"/>
          </w:tcPr>
          <w:p>
            <w:r/>
            <w:r>
              <w:rPr>
                <w:b/>
                <w:i w:val="0"/>
                <w:sz w:val="19"/>
              </w:rPr>
              <w:t>Phê duyệt của Hội đồng quản trị.</w:t>
            </w:r>
            <w:r>
              <w:rPr>
                <w:b w:val="0"/>
                <w:i w:val="0"/>
                <w:sz w:val="19"/>
              </w:rPr>
              <w:t xml:space="preserve"> Tổng hoạt động tài trợ của công ty phải được xem xét định kỳ với hội đồng quản trị. </w:t>
            </w:r>
            <w:r>
              <w:rPr>
                <w:b/>
                <w:i w:val="0"/>
                <w:sz w:val="19"/>
              </w:rPr>
              <w:t>Tham chiếu rủi ro: B-1, B-2, B-3</w:t>
            </w:r>
          </w:p>
        </w:tc>
      </w:tr>
      <w:tr>
        <w:tc>
          <w:tcPr>
            <w:tcW w:type="dxa" w:w="4680"/>
          </w:tcPr>
          <w:p>
            <w:r/>
            <w:r>
              <w:rPr>
                <w:b w:val="0"/>
                <w:i w:val="0"/>
                <w:sz w:val="19"/>
              </w:rPr>
              <w:t>3.2.2</w:t>
            </w:r>
          </w:p>
        </w:tc>
        <w:tc>
          <w:tcPr>
            <w:tcW w:type="dxa" w:w="4680"/>
          </w:tcPr>
          <w:p>
            <w:r/>
            <w:r>
              <w:rPr>
                <w:b/>
                <w:i w:val="0"/>
                <w:sz w:val="19"/>
              </w:rPr>
              <w:t>Ủy quyền và Phân quyền.</w:t>
            </w:r>
            <w:r>
              <w:rPr>
                <w:b w:val="0"/>
                <w:i w:val="0"/>
                <w:sz w:val="19"/>
              </w:rPr>
              <w:t xml:space="preserve"> Việc ủy quyền ký kết và hạn mức phân quyền phải được giám đốc tài chính (chief financial officer) phù hợp của pháp nhân phê duyệt. Tất cả các nghị quyết và ủy quyền tài trợ phải được xem xét với các tổ chức tài chính phù hợp theo định kỳ hoặc bất cứ khi nào có thay đổi. </w:t>
            </w:r>
            <w:r>
              <w:rPr>
                <w:b/>
                <w:i w:val="0"/>
                <w:sz w:val="19"/>
              </w:rPr>
              <w:t>Tham chiếu rủi ro: B-1, B-2, B-3, B-4</w:t>
            </w:r>
          </w:p>
        </w:tc>
      </w:tr>
      <w:tr>
        <w:tc>
          <w:tcPr>
            <w:tcW w:type="dxa" w:w="4680"/>
          </w:tcPr>
          <w:p>
            <w:r/>
            <w:r>
              <w:rPr>
                <w:b w:val="0"/>
                <w:i w:val="0"/>
                <w:sz w:val="19"/>
              </w:rPr>
              <w:t>3.2.3</w:t>
            </w:r>
          </w:p>
        </w:tc>
        <w:tc>
          <w:tcPr>
            <w:tcW w:type="dxa" w:w="4680"/>
          </w:tcPr>
          <w:p>
            <w:r/>
            <w:r>
              <w:rPr>
                <w:b/>
                <w:i w:val="0"/>
                <w:sz w:val="19"/>
              </w:rPr>
              <w:t>Phê duyệt của Bộ phận Ngân quỹ.</w:t>
            </w:r>
            <w:r>
              <w:rPr>
                <w:b w:val="0"/>
                <w:i w:val="0"/>
                <w:sz w:val="19"/>
              </w:rPr>
              <w:t xml:space="preserve"> Các thỏa thuận tài trợ phải được xem xét với bộ phận pháp lý của công ty và được ban quản lý ngân quỹ của công ty phê duyệt. Những thỏa thuận này bao gồm: các hợp đồng tài trợ khách hàng, các hợp đồng tài trợ nợ, các bảo lãnh và khoản vay hỗ trợ bên thứ ba, thuê và cho thuê tài sản cố định, các chương trình bao thanh toán (factoring) hoặc chiết khấu các khoản phải thu, thay đổi vốn cổ phần của công ty con, và các công cụ phái sinh lãi suất và ngoại tệ. </w:t>
            </w:r>
            <w:r>
              <w:rPr>
                <w:b/>
                <w:i w:val="0"/>
                <w:sz w:val="19"/>
              </w:rPr>
              <w:t>Tham chiếu rủi ro: B-1, B-2, B-3</w:t>
            </w:r>
          </w:p>
        </w:tc>
      </w:tr>
      <w:tr>
        <w:tc>
          <w:tcPr>
            <w:tcW w:type="dxa" w:w="4680"/>
          </w:tcPr>
          <w:p>
            <w:r/>
            <w:r>
              <w:rPr>
                <w:b w:val="0"/>
                <w:i w:val="0"/>
                <w:sz w:val="19"/>
              </w:rPr>
              <w:t>3.2.4</w:t>
            </w:r>
          </w:p>
        </w:tc>
        <w:tc>
          <w:tcPr>
            <w:tcW w:type="dxa" w:w="4680"/>
          </w:tcPr>
          <w:p>
            <w:r/>
            <w:r>
              <w:rPr>
                <w:b/>
                <w:i w:val="0"/>
                <w:sz w:val="19"/>
              </w:rPr>
              <w:t>Giao dịch Vốn.</w:t>
            </w:r>
            <w:r>
              <w:rPr>
                <w:b w:val="0"/>
                <w:i w:val="0"/>
                <w:sz w:val="19"/>
              </w:rPr>
              <w:t xml:space="preserve"> Tất cả các giao dịch vốn như phát hành cổ phiếu, chia tách cổ phiếu, cổ tức bằng cổ phiếu hoặc tiền mặt, quyền chọn cổ phiếu cho nhân viên, v.v., phải được hội đồng quản trị của công ty phê duyệt. </w:t>
            </w:r>
            <w:r>
              <w:rPr>
                <w:b/>
                <w:i w:val="0"/>
                <w:sz w:val="19"/>
              </w:rPr>
              <w:t>Tham chiếu rủi ro: B-1, B-2, B-3, B-5</w:t>
            </w:r>
          </w:p>
        </w:tc>
      </w:tr>
      <w:tr>
        <w:tc>
          <w:tcPr>
            <w:tcW w:type="dxa" w:w="4680"/>
          </w:tcPr>
          <w:p>
            <w:r/>
            <w:r>
              <w:rPr>
                <w:b w:val="0"/>
                <w:i w:val="0"/>
                <w:sz w:val="19"/>
              </w:rPr>
              <w:t>3.2.5</w:t>
            </w:r>
          </w:p>
        </w:tc>
        <w:tc>
          <w:tcPr>
            <w:tcW w:type="dxa" w:w="4680"/>
          </w:tcPr>
          <w:p>
            <w:r/>
            <w:r>
              <w:rPr>
                <w:b/>
                <w:i w:val="0"/>
                <w:sz w:val="19"/>
              </w:rPr>
              <w:t>Tuân thủ các Thỏa thuận.</w:t>
            </w:r>
            <w:r>
              <w:rPr>
                <w:b w:val="0"/>
                <w:i w:val="0"/>
                <w:sz w:val="19"/>
              </w:rPr>
              <w:t xml:space="preserve"> Tất cả các thỏa thuận tài trợ và hợp đồng ngoại hối phải được giám sát để đảm bảo tuân thủ các điều khoản, giao ước (covenant) và các nghĩa vụ cơ bản. </w:t>
            </w:r>
            <w:r>
              <w:rPr>
                <w:b/>
                <w:i w:val="0"/>
                <w:sz w:val="19"/>
              </w:rPr>
              <w:t>Tham chiếu rủi ro: B-3</w:t>
            </w:r>
          </w:p>
        </w:tc>
      </w:tr>
      <w:tr>
        <w:tc>
          <w:tcPr>
            <w:tcW w:type="dxa" w:w="4680"/>
          </w:tcPr>
          <w:p>
            <w:r/>
            <w:r>
              <w:rPr>
                <w:b w:val="0"/>
                <w:i w:val="0"/>
                <w:sz w:val="19"/>
              </w:rPr>
              <w:t>3.2.6</w:t>
            </w:r>
          </w:p>
        </w:tc>
        <w:tc>
          <w:tcPr>
            <w:tcW w:type="dxa" w:w="4680"/>
          </w:tcPr>
          <w:p>
            <w:r/>
            <w:r>
              <w:rPr>
                <w:b/>
                <w:i w:val="0"/>
                <w:sz w:val="19"/>
              </w:rPr>
              <w:t>Hủy bỏ Công cụ Tài chính.</w:t>
            </w:r>
            <w:r>
              <w:rPr>
                <w:b w:val="0"/>
                <w:i w:val="0"/>
                <w:sz w:val="19"/>
              </w:rPr>
              <w:t xml:space="preserve"> Tất cả các công cụ tài trợ phải được hủy bỏ một cách thích hợp, hoặc được hạch toán là đã hủy bỏ bởi bên lưu giữ, sau khi hoàn tất việc trả nợ. </w:t>
            </w:r>
            <w:r>
              <w:rPr>
                <w:b/>
                <w:i w:val="0"/>
                <w:sz w:val="19"/>
              </w:rPr>
              <w:t>Tham chiếu rủi ro: B-5</w:t>
            </w:r>
          </w:p>
        </w:tc>
      </w:tr>
      <w:tr>
        <w:tc>
          <w:tcPr>
            <w:tcW w:type="dxa" w:w="4680"/>
          </w:tcPr>
          <w:p>
            <w:r/>
            <w:r>
              <w:rPr>
                <w:b w:val="0"/>
                <w:i w:val="0"/>
                <w:sz w:val="19"/>
              </w:rPr>
              <w:t>3.2.7</w:t>
            </w:r>
          </w:p>
        </w:tc>
        <w:tc>
          <w:tcPr>
            <w:tcW w:type="dxa" w:w="4680"/>
          </w:tcPr>
          <w:p>
            <w:r/>
            <w:r>
              <w:rPr>
                <w:b/>
                <w:i w:val="0"/>
                <w:sz w:val="19"/>
              </w:rPr>
              <w:t>Xem xét của Ban quản lý.</w:t>
            </w:r>
            <w:r>
              <w:rPr>
                <w:b w:val="0"/>
                <w:i w:val="0"/>
                <w:sz w:val="19"/>
              </w:rPr>
              <w:t xml:space="preserve"> Tất cả các giao dịch đầu tư tài chính và đầu tư vốn cổ phần phải được xem xét về tính hợp lý và phê duyệt đúng đắn, được đối chiếu với các thông báo giao dịch hoặc tài liệu khác, và được ghi chép kịp thời vào tài khoản sổ cái tổng hợp (general ledger). </w:t>
            </w:r>
            <w:r>
              <w:rPr>
                <w:b/>
                <w:i w:val="0"/>
                <w:sz w:val="19"/>
              </w:rPr>
              <w:t>Tham chiếu rủi ro: B-5, B-6, B-7</w:t>
            </w:r>
          </w:p>
        </w:tc>
      </w:tr>
      <w:tr>
        <w:tc>
          <w:tcPr>
            <w:tcW w:type="dxa" w:w="4680"/>
          </w:tcPr>
          <w:p>
            <w:r/>
            <w:r>
              <w:rPr>
                <w:b w:val="0"/>
                <w:i w:val="0"/>
                <w:sz w:val="19"/>
              </w:rPr>
              <w:t>3.2.8</w:t>
            </w:r>
          </w:p>
        </w:tc>
        <w:tc>
          <w:tcPr>
            <w:tcW w:type="dxa" w:w="4680"/>
          </w:tcPr>
          <w:p>
            <w:r/>
            <w:r>
              <w:rPr>
                <w:b/>
                <w:i w:val="0"/>
                <w:sz w:val="19"/>
              </w:rPr>
              <w:t>Thông tin Cổ đông.</w:t>
            </w:r>
            <w:r>
              <w:rPr>
                <w:b w:val="0"/>
                <w:i w:val="0"/>
                <w:sz w:val="19"/>
              </w:rPr>
              <w:t xml:space="preserve"> Đối với các công ty đại chúng, tất cả thông tin cổ đông đều là bảo mật. Những thông tin này phải được duy trì để hạch toán các cổ phần được ủy quyền, đã phát hành và đang lưu hành, việc chuyển nhượng cổ phần đã phát hành, cổ tức, việc thực hiện quyền chọn cổ phiếu cho nhân viên, và cổ phiếu quỹ (treasury stock). </w:t>
            </w:r>
            <w:r>
              <w:rPr>
                <w:b/>
                <w:i w:val="0"/>
                <w:sz w:val="19"/>
              </w:rPr>
              <w:t>Tham chiếu rủi ro: B-3, B-5, B-6, B-7</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B-1</w:t>
            </w:r>
          </w:p>
        </w:tc>
        <w:tc>
          <w:tcPr>
            <w:tcW w:type="dxa" w:w="4680"/>
          </w:tcPr>
          <w:p>
            <w:r/>
            <w:r>
              <w:rPr>
                <w:b w:val="0"/>
                <w:i w:val="0"/>
                <w:sz w:val="19"/>
              </w:rPr>
              <w:t>Quỹ tài trợ có thể được huy động với chi phí hoặc điều khoản không được phép. Có thể phát sinh chi phí tài trợ quá cao và/hoặc các điều khoản hạn chế không cần thiết.</w:t>
            </w:r>
          </w:p>
        </w:tc>
      </w:tr>
      <w:tr>
        <w:tc>
          <w:tcPr>
            <w:tcW w:type="dxa" w:w="4680"/>
          </w:tcPr>
          <w:p>
            <w:r/>
            <w:r>
              <w:rPr>
                <w:b w:val="0"/>
                <w:i w:val="0"/>
                <w:sz w:val="19"/>
              </w:rPr>
              <w:t>B-2</w:t>
            </w:r>
          </w:p>
        </w:tc>
        <w:tc>
          <w:tcPr>
            <w:tcW w:type="dxa" w:w="4680"/>
          </w:tcPr>
          <w:p>
            <w:r/>
            <w:r>
              <w:rPr>
                <w:b w:val="0"/>
                <w:i w:val="0"/>
                <w:sz w:val="19"/>
              </w:rPr>
              <w:t>Việc tài trợ có thể là bất hợp pháp hoặc vi phạm chính sách của công ty. Có thể xảy ra tiền phạt, hình phạt, kiện tụng hoặc mất uy tín trên thị trường tài chính.</w:t>
            </w:r>
          </w:p>
        </w:tc>
      </w:tr>
      <w:tr>
        <w:tc>
          <w:tcPr>
            <w:tcW w:type="dxa" w:w="4680"/>
          </w:tcPr>
          <w:p>
            <w:r/>
            <w:r>
              <w:rPr>
                <w:b w:val="0"/>
                <w:i w:val="0"/>
                <w:sz w:val="19"/>
              </w:rPr>
              <w:t>B-3</w:t>
            </w:r>
          </w:p>
        </w:tc>
        <w:tc>
          <w:tcPr>
            <w:tcW w:type="dxa" w:w="4680"/>
          </w:tcPr>
          <w:p>
            <w:r/>
            <w:r>
              <w:rPr>
                <w:b w:val="0"/>
                <w:i w:val="0"/>
                <w:sz w:val="19"/>
              </w:rPr>
              <w:t>Các hạn chế và điều khoản pháp lý hoặc cho vay có thể bị vi phạm.</w:t>
            </w:r>
          </w:p>
        </w:tc>
      </w:tr>
      <w:tr>
        <w:tc>
          <w:tcPr>
            <w:tcW w:type="dxa" w:w="4680"/>
          </w:tcPr>
          <w:p>
            <w:r/>
            <w:r>
              <w:rPr>
                <w:b w:val="0"/>
                <w:i w:val="0"/>
                <w:sz w:val="19"/>
              </w:rPr>
              <w:t>B-4</w:t>
            </w:r>
          </w:p>
        </w:tc>
        <w:tc>
          <w:tcPr>
            <w:tcW w:type="dxa" w:w="4680"/>
          </w:tcPr>
          <w:p>
            <w:r/>
            <w:r>
              <w:rPr>
                <w:b w:val="0"/>
                <w:i w:val="0"/>
                <w:sz w:val="19"/>
              </w:rPr>
              <w:t>Các yêu cầu tài trợ có thể không được đáp ứng.</w:t>
            </w:r>
          </w:p>
        </w:tc>
      </w:tr>
      <w:tr>
        <w:tc>
          <w:tcPr>
            <w:tcW w:type="dxa" w:w="4680"/>
          </w:tcPr>
          <w:p>
            <w:r/>
            <w:r>
              <w:rPr>
                <w:b w:val="0"/>
                <w:i w:val="0"/>
                <w:sz w:val="19"/>
              </w:rPr>
              <w:t>B-5</w:t>
            </w:r>
          </w:p>
        </w:tc>
        <w:tc>
          <w:tcPr>
            <w:tcW w:type="dxa" w:w="4680"/>
          </w:tcPr>
          <w:p>
            <w:r/>
            <w:r>
              <w:rPr>
                <w:b w:val="0"/>
                <w:i w:val="0"/>
                <w:sz w:val="19"/>
              </w:rPr>
              <w:t>Các khoản thanh toán tiền mặt hoặc cổ tức có thể bị trùng lặp hoặc được giải ngân không đúng cách hoặc gian lận.</w:t>
            </w:r>
          </w:p>
        </w:tc>
      </w:tr>
      <w:tr>
        <w:tc>
          <w:tcPr>
            <w:tcW w:type="dxa" w:w="4680"/>
          </w:tcPr>
          <w:p>
            <w:r/>
            <w:r>
              <w:rPr>
                <w:b w:val="0"/>
                <w:i w:val="0"/>
                <w:sz w:val="19"/>
              </w:rPr>
              <w:t>B-6</w:t>
            </w:r>
          </w:p>
        </w:tc>
        <w:tc>
          <w:tcPr>
            <w:tcW w:type="dxa" w:w="4680"/>
          </w:tcPr>
          <w:p>
            <w:r/>
            <w:r>
              <w:rPr>
                <w:b w:val="0"/>
                <w:i w:val="0"/>
                <w:sz w:val="19"/>
              </w:rPr>
              <w:t>Báo cáo tài chính và hồ sơ có thể bị trình bày sai do việc chốt sổ hoặc định giá không đúng, bỏ sót một số dữ liệu tài chính, hoặc ghi chép hay phân loại không chính xác.</w:t>
            </w:r>
          </w:p>
        </w:tc>
      </w:tr>
      <w:tr>
        <w:tc>
          <w:tcPr>
            <w:tcW w:type="dxa" w:w="4680"/>
          </w:tcPr>
          <w:p>
            <w:r/>
            <w:r>
              <w:rPr>
                <w:b w:val="0"/>
                <w:i w:val="0"/>
                <w:sz w:val="19"/>
              </w:rPr>
              <w:t>B-7</w:t>
            </w:r>
          </w:p>
        </w:tc>
        <w:tc>
          <w:tcPr>
            <w:tcW w:type="dxa" w:w="4680"/>
          </w:tcPr>
          <w:p>
            <w:r/>
            <w:r>
              <w:rPr>
                <w:b w:val="0"/>
                <w:i w:val="0"/>
                <w:sz w:val="19"/>
              </w:rPr>
              <w:t>Các báo cáo có thể không chính xác, và các quyết định quan trọng sau đó có thể dựa trên thông tin sai lệch.</w:t>
            </w:r>
          </w:p>
        </w:tc>
      </w:tr>
    </w:tbl>
    <w:p>
      <w:pPr>
        <w:spacing w:after="0"/>
      </w:pPr>
    </w:p>
    <w:p>
      <w:pPr>
        <w:pStyle w:val="Heading2"/>
      </w:pPr>
      <w:r>
        <w:rPr>
          <w:rFonts w:ascii="Calibri" w:hAnsi="Calibri"/>
          <w:b/>
          <w:i w:val="0"/>
          <w:sz w:val="32"/>
        </w:rPr>
        <w:t>3.3 ĐẦU TƯ NGUỒN VỐN NHÀN RỖI</w:t>
      </w:r>
    </w:p>
    <w:p>
      <w:pPr>
        <w:pStyle w:val="Heading3"/>
      </w:pPr>
      <w:r>
        <w:rPr>
          <w:rFonts w:ascii="Calibri" w:hAnsi="Calibri"/>
          <w:b/>
          <w:i w:val="0"/>
          <w:sz w:val="26"/>
        </w:rPr>
        <w:t>Giới thiệu</w:t>
      </w:r>
    </w:p>
    <w:p>
      <w:pPr>
        <w:spacing w:after="80"/>
      </w:pPr>
      <w:r>
        <w:rPr>
          <w:b w:val="0"/>
          <w:i w:val="0"/>
        </w:rPr>
        <w:t>Các chính sách và quy trình đầu tư tài chính phải tồn tại và được thủ quỹ công ty hoặc người được ủy quyền phê duyệt trước, đồng thời phải quy định tối thiểu: loại, chất lượng tín dụng và kỳ hạn của công cụ, các đối tác được phê duyệt, hướng dẫn về mức độ rủi ro đối tác và nhân sự được ủy quyền.</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3.3.1</w:t>
            </w:r>
          </w:p>
        </w:tc>
        <w:tc>
          <w:tcPr>
            <w:tcW w:type="dxa" w:w="4680"/>
          </w:tcPr>
          <w:p>
            <w:r/>
            <w:r>
              <w:rPr>
                <w:b/>
                <w:i w:val="0"/>
                <w:sz w:val="19"/>
              </w:rPr>
              <w:t>Chính sách Đầu tư.</w:t>
            </w:r>
            <w:r>
              <w:rPr>
                <w:b w:val="0"/>
                <w:i w:val="0"/>
                <w:sz w:val="19"/>
              </w:rPr>
              <w:t xml:space="preserve"> Mọi khoản đầu tư nằm ngoài chính sách phải được thủ quỹ công ty phê duyệt riêng lẻ và trước. </w:t>
            </w:r>
            <w:r>
              <w:rPr>
                <w:b/>
                <w:i w:val="0"/>
                <w:sz w:val="19"/>
              </w:rPr>
              <w:t>Tham chiếu rủi ro: C-1, C-2</w:t>
            </w:r>
          </w:p>
        </w:tc>
      </w:tr>
      <w:tr>
        <w:tc>
          <w:tcPr>
            <w:tcW w:type="dxa" w:w="4680"/>
          </w:tcPr>
          <w:p>
            <w:r/>
            <w:r>
              <w:rPr>
                <w:b w:val="0"/>
                <w:i w:val="0"/>
                <w:sz w:val="19"/>
              </w:rPr>
              <w:t>3.3.2</w:t>
            </w:r>
          </w:p>
        </w:tc>
        <w:tc>
          <w:tcPr>
            <w:tcW w:type="dxa" w:w="4680"/>
          </w:tcPr>
          <w:p>
            <w:r/>
            <w:r>
              <w:rPr>
                <w:b/>
                <w:i w:val="0"/>
                <w:sz w:val="19"/>
              </w:rPr>
              <w:t>Bảo vệ Chứng khoán.</w:t>
            </w:r>
            <w:r>
              <w:rPr>
                <w:b w:val="0"/>
                <w:i w:val="0"/>
                <w:sz w:val="19"/>
              </w:rPr>
              <w:t xml:space="preserve"> Khi có thể, chứng khoán đã mua phải được đăng ký dưới tên công ty hoặc một công ty con hợp pháp phù hợp. Khi mua chứng khoán vô danh, phải nhận được các thông báo xác nhận phù hợp. Tất cả chứng khoán phải được lưu giữ an toàn bởi tổ chức tài chính phù hợp, trong két sắt nội bộ, hoặc bởi một đơn vị lưu ký do công ty chỉ định. </w:t>
            </w:r>
            <w:r>
              <w:rPr>
                <w:b/>
                <w:i w:val="0"/>
                <w:sz w:val="19"/>
              </w:rPr>
              <w:t>Tham chiếu rủi ro: C-3</w:t>
            </w:r>
          </w:p>
        </w:tc>
      </w:tr>
      <w:tr>
        <w:tc>
          <w:tcPr>
            <w:tcW w:type="dxa" w:w="4680"/>
          </w:tcPr>
          <w:p>
            <w:r/>
            <w:r>
              <w:rPr>
                <w:b w:val="0"/>
                <w:i w:val="0"/>
                <w:sz w:val="19"/>
              </w:rPr>
              <w:t>3.3.3</w:t>
            </w:r>
          </w:p>
        </w:tc>
        <w:tc>
          <w:tcPr>
            <w:tcW w:type="dxa" w:w="4680"/>
          </w:tcPr>
          <w:p>
            <w:r/>
            <w:r>
              <w:rPr>
                <w:b/>
                <w:i w:val="0"/>
                <w:sz w:val="19"/>
              </w:rPr>
              <w:t>Lưu trữ hồ sơ.</w:t>
            </w:r>
            <w:r>
              <w:rPr>
                <w:b w:val="0"/>
                <w:i w:val="0"/>
                <w:sz w:val="19"/>
              </w:rPr>
              <w:t xml:space="preserve"> Hồ sơ chi tiết về các khoản đầu tư tài chính và vốn cổ phần phải được duy trì và bảo vệ để bảo đảm thông tin thiết yếu liên quan đến quyền sở hữu và thu nhập dự kiến. Những hồ sơ này phải được lưu giữ độc lập với đơn vị lưu ký và phải được đối chiếu với chứng khoán hiện có theo định kỳ. </w:t>
            </w:r>
            <w:r>
              <w:rPr>
                <w:b/>
                <w:i w:val="0"/>
                <w:sz w:val="19"/>
              </w:rPr>
              <w:t>Tham chiếu rủi ro: C-3, C-4, C-5</w:t>
            </w:r>
          </w:p>
        </w:tc>
      </w:tr>
      <w:tr>
        <w:tc>
          <w:tcPr>
            <w:tcW w:type="dxa" w:w="4680"/>
          </w:tcPr>
          <w:p>
            <w:r/>
            <w:r>
              <w:rPr>
                <w:b w:val="0"/>
                <w:i w:val="0"/>
                <w:sz w:val="19"/>
              </w:rPr>
              <w:t>3.3.4</w:t>
            </w:r>
          </w:p>
        </w:tc>
        <w:tc>
          <w:tcPr>
            <w:tcW w:type="dxa" w:w="4680"/>
          </w:tcPr>
          <w:p>
            <w:r/>
            <w:r>
              <w:rPr>
                <w:b/>
                <w:i w:val="0"/>
                <w:sz w:val="19"/>
              </w:rPr>
              <w:t>Yêu cầu Giao dịch Đầu tư.</w:t>
            </w:r>
            <w:r>
              <w:rPr>
                <w:b w:val="0"/>
                <w:i w:val="0"/>
                <w:sz w:val="19"/>
              </w:rPr>
              <w:t xml:space="preserve"> Tất cả giao dịch đầu tư, dù là tài chính hay vốn cổ phần, đều phải được phê duyệt trước, được ghi nhận đầy đủ và được hạch toán kịp thời vào đúng tài khoản. </w:t>
            </w:r>
            <w:r>
              <w:rPr>
                <w:b/>
                <w:i w:val="0"/>
                <w:sz w:val="19"/>
              </w:rPr>
              <w:t>Tham chiếu rủi ro: C-2, C-3, C-5, C-6, C-7</w:t>
            </w:r>
          </w:p>
        </w:tc>
      </w:tr>
      <w:tr>
        <w:tc>
          <w:tcPr>
            <w:tcW w:type="dxa" w:w="4680"/>
          </w:tcPr>
          <w:p>
            <w:r/>
            <w:r>
              <w:rPr>
                <w:b w:val="0"/>
                <w:i w:val="0"/>
                <w:sz w:val="19"/>
              </w:rPr>
              <w:t>3.3.5</w:t>
            </w:r>
          </w:p>
        </w:tc>
        <w:tc>
          <w:tcPr>
            <w:tcW w:type="dxa" w:w="4680"/>
          </w:tcPr>
          <w:p>
            <w:r/>
            <w:r>
              <w:rPr>
                <w:b/>
                <w:i w:val="0"/>
                <w:sz w:val="19"/>
              </w:rPr>
              <w:t>Định giá Đầu tư.</w:t>
            </w:r>
            <w:r>
              <w:rPr>
                <w:b w:val="0"/>
                <w:i w:val="0"/>
                <w:sz w:val="19"/>
              </w:rPr>
              <w:t xml:space="preserve"> Các phương pháp định giá đầu tư tài chính và vốn cổ phần, bao gồm cả những khoản trong các kế hoạch hưu trí, phải được xây dựng theo các chính sách tài chính do kiểm soát viên tập đoàn thiết lập và các yêu cầu của cơ quan báo cáo chính phủ. Việc xóa sổ và điều chỉnh các tài khoản đầu tư phải được xem xét đúng mức, đánh giá về giá trị và được giám đốc tài chính tập đoàn phê duyệt theo chính sách tài chính. </w:t>
            </w:r>
            <w:r>
              <w:rPr>
                <w:b/>
                <w:i w:val="0"/>
                <w:sz w:val="19"/>
              </w:rPr>
              <w:t>Tham chiếu rủi ro: C-3, C-5, C-6</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C-1</w:t>
            </w:r>
          </w:p>
        </w:tc>
        <w:tc>
          <w:tcPr>
            <w:tcW w:type="dxa" w:w="4680"/>
          </w:tcPr>
          <w:p>
            <w:r/>
            <w:r>
              <w:rPr>
                <w:b w:val="0"/>
                <w:i w:val="0"/>
                <w:sz w:val="19"/>
              </w:rPr>
              <w:t>Các hạn chế và điều khoản ràng buộc về pháp lý hoặc khoản vay có thể bị vi phạm.</w:t>
            </w:r>
          </w:p>
        </w:tc>
      </w:tr>
      <w:tr>
        <w:tc>
          <w:tcPr>
            <w:tcW w:type="dxa" w:w="4680"/>
          </w:tcPr>
          <w:p>
            <w:r/>
            <w:r>
              <w:rPr>
                <w:b w:val="0"/>
                <w:i w:val="0"/>
                <w:sz w:val="19"/>
              </w:rPr>
              <w:t>C-2</w:t>
            </w:r>
          </w:p>
        </w:tc>
        <w:tc>
          <w:tcPr>
            <w:tcW w:type="dxa" w:w="4680"/>
          </w:tcPr>
          <w:p>
            <w:r/>
            <w:r>
              <w:rPr>
                <w:b w:val="0"/>
                <w:i w:val="0"/>
                <w:sz w:val="19"/>
              </w:rPr>
              <w:t>Các khoản đầu tư có thể được thực hiện một cách bất hợp pháp hoặc vi phạm chính sách của công ty, dẫn đến tiền phạt, hình phạt và/hoặc thua lỗ đầu tư.</w:t>
            </w:r>
          </w:p>
        </w:tc>
      </w:tr>
      <w:tr>
        <w:tc>
          <w:tcPr>
            <w:tcW w:type="dxa" w:w="4680"/>
          </w:tcPr>
          <w:p>
            <w:r/>
            <w:r>
              <w:rPr>
                <w:b w:val="0"/>
                <w:i w:val="0"/>
                <w:sz w:val="19"/>
              </w:rPr>
              <w:t>C-3</w:t>
            </w:r>
          </w:p>
        </w:tc>
        <w:tc>
          <w:tcPr>
            <w:tcW w:type="dxa" w:w="4680"/>
          </w:tcPr>
          <w:p>
            <w:r/>
            <w:r>
              <w:rPr>
                <w:b w:val="0"/>
                <w:i w:val="0"/>
                <w:sz w:val="19"/>
              </w:rPr>
              <w:t>Tiền mặt hoặc chứng khoán có thể bị đánh cắp, mất mát, phá hủy hoặc tạm thời bị chuyển hướng.</w:t>
            </w:r>
          </w:p>
        </w:tc>
      </w:tr>
      <w:tr>
        <w:tc>
          <w:tcPr>
            <w:tcW w:type="dxa" w:w="4680"/>
          </w:tcPr>
          <w:p>
            <w:r/>
            <w:r>
              <w:rPr>
                <w:b w:val="0"/>
                <w:i w:val="0"/>
                <w:sz w:val="19"/>
              </w:rPr>
              <w:t>C-4</w:t>
            </w:r>
          </w:p>
        </w:tc>
        <w:tc>
          <w:tcPr>
            <w:tcW w:type="dxa" w:w="4680"/>
          </w:tcPr>
          <w:p>
            <w:r/>
            <w:r>
              <w:rPr>
                <w:b w:val="0"/>
                <w:i w:val="0"/>
                <w:sz w:val="19"/>
              </w:rPr>
              <w:t>Hồ sơ có thể bị mất hoặc bị phá hủy.</w:t>
            </w:r>
          </w:p>
        </w:tc>
      </w:tr>
      <w:tr>
        <w:tc>
          <w:tcPr>
            <w:tcW w:type="dxa" w:w="4680"/>
          </w:tcPr>
          <w:p>
            <w:r/>
            <w:r>
              <w:rPr>
                <w:b w:val="0"/>
                <w:i w:val="0"/>
                <w:sz w:val="19"/>
              </w:rPr>
              <w:t>C-5</w:t>
            </w:r>
          </w:p>
        </w:tc>
        <w:tc>
          <w:tcPr>
            <w:tcW w:type="dxa" w:w="4680"/>
          </w:tcPr>
          <w:p>
            <w:r/>
            <w:r>
              <w:rPr>
                <w:b w:val="0"/>
                <w:i w:val="0"/>
                <w:sz w:val="19"/>
              </w:rPr>
              <w:t>Báo cáo tài chính và hồ sơ có thể bị trình bày sai do việc chốt sổ hoặc định giá không đúng, bỏ sót một số dữ liệu tài chính nhất định, hoặc ghi chép hay phân loại không chính xác.</w:t>
            </w:r>
          </w:p>
        </w:tc>
      </w:tr>
      <w:tr>
        <w:tc>
          <w:tcPr>
            <w:tcW w:type="dxa" w:w="4680"/>
          </w:tcPr>
          <w:p>
            <w:r/>
            <w:r>
              <w:rPr>
                <w:b w:val="0"/>
                <w:i w:val="0"/>
                <w:sz w:val="19"/>
              </w:rPr>
              <w:t>C-6</w:t>
            </w:r>
          </w:p>
        </w:tc>
        <w:tc>
          <w:tcPr>
            <w:tcW w:type="dxa" w:w="4680"/>
          </w:tcPr>
          <w:p>
            <w:r/>
            <w:r>
              <w:rPr>
                <w:b w:val="0"/>
                <w:i w:val="0"/>
                <w:sz w:val="19"/>
              </w:rPr>
              <w:t>Báo cáo có thể không chính xác, và các quyết định quan trọng sau đó có thể dựa trên thông tin sai lệch.</w:t>
            </w:r>
          </w:p>
        </w:tc>
      </w:tr>
      <w:tr>
        <w:tc>
          <w:tcPr>
            <w:tcW w:type="dxa" w:w="4680"/>
          </w:tcPr>
          <w:p>
            <w:r/>
            <w:r>
              <w:rPr>
                <w:b w:val="0"/>
                <w:i w:val="0"/>
                <w:sz w:val="19"/>
              </w:rPr>
              <w:t>C-7</w:t>
            </w:r>
          </w:p>
        </w:tc>
        <w:tc>
          <w:tcPr>
            <w:tcW w:type="dxa" w:w="4680"/>
          </w:tcPr>
          <w:p>
            <w:r/>
            <w:r>
              <w:rPr>
                <w:b w:val="0"/>
                <w:i w:val="0"/>
                <w:sz w:val="19"/>
              </w:rPr>
              <w:t>Các giao dịch có thể dẫn đến những hệ quả pháp lý và/hoặc thuế không mong muốn.</w:t>
            </w:r>
          </w:p>
        </w:tc>
      </w:tr>
    </w:tbl>
    <w:p>
      <w:pPr>
        <w:spacing w:after="0"/>
      </w:pPr>
    </w:p>
    <w:p>
      <w:pPr>
        <w:pStyle w:val="Heading2"/>
      </w:pPr>
      <w:r>
        <w:rPr>
          <w:rFonts w:ascii="Calibri" w:hAnsi="Calibri"/>
          <w:b/>
          <w:i w:val="0"/>
          <w:sz w:val="32"/>
        </w:rPr>
        <w:t>3.4 NGOẠI HỐI</w:t>
      </w:r>
    </w:p>
    <w:p>
      <w:pPr>
        <w:pStyle w:val="Heading3"/>
      </w:pPr>
      <w:r>
        <w:rPr>
          <w:rFonts w:ascii="Calibri" w:hAnsi="Calibri"/>
          <w:b/>
          <w:i w:val="0"/>
          <w:sz w:val="26"/>
        </w:rPr>
        <w:t>Giới thiệu</w:t>
      </w:r>
    </w:p>
    <w:p>
      <w:pPr>
        <w:spacing w:after="80"/>
      </w:pPr>
      <w:r>
        <w:rPr>
          <w:b w:val="0"/>
          <w:i w:val="0"/>
        </w:rPr>
        <w:t>Thủ quỹ công ty chịu trách nhiệm duy nhất trong việc quản lý rủi ro ngoại tệ của công ty. Các giao dịch ngoại tệ "giao ngay" (spot) được định nghĩa là việc mua và/hoặc bán ngoại tệ để đáp ứng các nghĩa vụ thanh toán đến hạn trong vòng một đến ba ngày làm việc tới không phải là "phòng ngừa rủi ro" (hedging) mà đòi hỏi phải thiết lập các quy trình và kiểm soát vận hành phải được thủ quỹ công ty hoặc người được ủy quyền phê duyệt.</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3.4.1</w:t>
            </w:r>
          </w:p>
        </w:tc>
        <w:tc>
          <w:tcPr>
            <w:tcW w:type="dxa" w:w="4680"/>
          </w:tcPr>
          <w:p>
            <w:r/>
            <w:r>
              <w:rPr>
                <w:b/>
                <w:i w:val="0"/>
                <w:sz w:val="19"/>
              </w:rPr>
              <w:t>Chiến lược phòng ngừa rủi ro và giao dịch.</w:t>
            </w:r>
            <w:r>
              <w:rPr>
                <w:b w:val="0"/>
                <w:i w:val="0"/>
                <w:sz w:val="19"/>
              </w:rPr>
              <w:t xml:space="preserve"> Các chiến lược và giao dịch phòng ngừa rủi ro (công cụ dùng để quản lý rủi ro ngoại tệ) chỉ được thực hiện khi có sự phê duyệt rõ ràng của thủ quỹ công ty. </w:t>
            </w:r>
            <w:r>
              <w:rPr>
                <w:b/>
                <w:i w:val="0"/>
                <w:sz w:val="19"/>
              </w:rPr>
              <w:t>Tham chiếu rủi ro: D-1, D-2, D-3</w:t>
            </w:r>
          </w:p>
        </w:tc>
      </w:tr>
      <w:tr>
        <w:tc>
          <w:tcPr>
            <w:tcW w:type="dxa" w:w="4680"/>
          </w:tcPr>
          <w:p>
            <w:r/>
            <w:r>
              <w:rPr>
                <w:b w:val="0"/>
                <w:i w:val="0"/>
                <w:sz w:val="19"/>
              </w:rPr>
              <w:t>3.4.2</w:t>
            </w:r>
          </w:p>
        </w:tc>
        <w:tc>
          <w:tcPr>
            <w:tcW w:type="dxa" w:w="4680"/>
          </w:tcPr>
          <w:p>
            <w:r/>
            <w:r>
              <w:rPr>
                <w:b/>
                <w:i w:val="0"/>
                <w:sz w:val="19"/>
              </w:rPr>
              <w:t>Quy trình giao dịch giao ngay.</w:t>
            </w:r>
            <w:r>
              <w:rPr>
                <w:b w:val="0"/>
                <w:i w:val="0"/>
                <w:sz w:val="19"/>
              </w:rPr>
              <w:t xml:space="preserve"> Giao dịch ngoại tệ "giao ngay" (spot), được định nghĩa là việc mua và/hoặc bán ngoại tệ để đáp ứng các nghĩa vụ thanh toán đến hạn trong vòng một đến ba ngày làm việc tới, không phải là "phòng ngừa rủi ro" nhưng đòi hỏi phải thiết lập các quy trình vận hành và kiểm soát phải được thủ quỹ công ty hoặc người được ủy quyền phê duyệt. </w:t>
            </w:r>
            <w:r>
              <w:rPr>
                <w:b/>
                <w:i w:val="0"/>
                <w:sz w:val="19"/>
              </w:rPr>
              <w:t>Tham chiếu rủi ro: D-1, D-2, D-3</w:t>
            </w:r>
          </w:p>
        </w:tc>
      </w:tr>
      <w:tr>
        <w:tc>
          <w:tcPr>
            <w:tcW w:type="dxa" w:w="4680"/>
          </w:tcPr>
          <w:p>
            <w:r/>
            <w:r>
              <w:rPr>
                <w:b w:val="0"/>
                <w:i w:val="0"/>
                <w:sz w:val="19"/>
              </w:rPr>
              <w:t>3.4.3</w:t>
            </w:r>
          </w:p>
        </w:tc>
        <w:tc>
          <w:tcPr>
            <w:tcW w:type="dxa" w:w="4680"/>
          </w:tcPr>
          <w:p>
            <w:r/>
            <w:r>
              <w:rPr>
                <w:b/>
                <w:i w:val="0"/>
                <w:sz w:val="19"/>
              </w:rPr>
              <w:t>Quy trình vận hành.</w:t>
            </w:r>
            <w:r>
              <w:rPr>
                <w:b w:val="0"/>
                <w:i w:val="0"/>
                <w:sz w:val="19"/>
              </w:rPr>
              <w:t xml:space="preserve"> Quy trình vận hành cho việc mua và/hoặc bán ngoại tệ phải bao gồm việc lựa chọn và luân chuyển các đối tác, quy định rõ thẩm quyền và hạn mức cho quá trình giao dịch và thực hiện giao dịch, cùng trách nhiệm cho việc thanh toán, xác nhận và ghi chép các giao dịch. </w:t>
            </w:r>
            <w:r>
              <w:rPr>
                <w:b/>
                <w:i w:val="0"/>
                <w:sz w:val="19"/>
              </w:rPr>
              <w:t>Tham chiếu rủi ro: D-4, D-5, D-6, D-7</w:t>
            </w:r>
          </w:p>
        </w:tc>
      </w:tr>
      <w:tr>
        <w:tc>
          <w:tcPr>
            <w:tcW w:type="dxa" w:w="4680"/>
          </w:tcPr>
          <w:p>
            <w:r/>
            <w:r>
              <w:rPr>
                <w:b w:val="0"/>
                <w:i w:val="0"/>
                <w:sz w:val="19"/>
              </w:rPr>
              <w:t>3.4.4</w:t>
            </w:r>
          </w:p>
        </w:tc>
        <w:tc>
          <w:tcPr>
            <w:tcW w:type="dxa" w:w="4680"/>
          </w:tcPr>
          <w:p>
            <w:r/>
            <w:r>
              <w:rPr>
                <w:b/>
                <w:i w:val="0"/>
                <w:sz w:val="19"/>
              </w:rPr>
              <w:t>Bù trừ các khoản rủi ro.</w:t>
            </w:r>
            <w:r>
              <w:rPr>
                <w:b w:val="0"/>
                <w:i w:val="0"/>
                <w:sz w:val="19"/>
              </w:rPr>
              <w:t xml:space="preserve"> Khi khả thi, các nghĩa vụ ngoại tệ giữa các đơn vị vận hành của công ty và các bên thứ ba được chỉ định sẽ được thanh toán thông qua quy trình bù trừ nội bộ công ty. Các hợp đồng ngoại tệ giữa các đơn vị vận hành của công ty và các bên thứ ba được chỉ định phải được định giá, ghi chép và hạch toán như thể chúng là các hợp đồng với bên thứ ba (độc lập). </w:t>
            </w:r>
            <w:r>
              <w:rPr>
                <w:b/>
                <w:i w:val="0"/>
                <w:sz w:val="19"/>
              </w:rPr>
              <w:t>Tham chiếu rủi ro: D-1, D-2, D-3</w:t>
            </w:r>
          </w:p>
        </w:tc>
      </w:tr>
      <w:tr>
        <w:tc>
          <w:tcPr>
            <w:tcW w:type="dxa" w:w="4680"/>
          </w:tcPr>
          <w:p>
            <w:r/>
            <w:r>
              <w:rPr>
                <w:b w:val="0"/>
                <w:i w:val="0"/>
                <w:sz w:val="19"/>
              </w:rPr>
              <w:t>3.4.5</w:t>
            </w:r>
          </w:p>
        </w:tc>
        <w:tc>
          <w:tcPr>
            <w:tcW w:type="dxa" w:w="4680"/>
          </w:tcPr>
          <w:p>
            <w:r/>
            <w:r>
              <w:rPr>
                <w:b/>
                <w:i w:val="0"/>
                <w:sz w:val="19"/>
              </w:rPr>
              <w:t>Quy trình phòng ngừa rủi ro.</w:t>
            </w:r>
            <w:r>
              <w:rPr>
                <w:b w:val="0"/>
                <w:i w:val="0"/>
                <w:sz w:val="19"/>
              </w:rPr>
              <w:t xml:space="preserve"> Quy trình vận hành cho các giao dịch "phòng ngừa rủi ro" giống như các quy trình được thiết kế cho giao dịch "giao ngay" trong mục 3.4.2 và 3.4.3 ở trên. Ngoài ra, bất kỳ giao dịch "phòng ngừa rủi ro" nào, bất kể cách hạch toán, đều phải được "đánh giá theo thị trường" (marked to market) một cách thường xuyên, ít nhất là hàng quý. </w:t>
            </w:r>
            <w:r>
              <w:rPr>
                <w:b/>
                <w:i w:val="0"/>
                <w:sz w:val="19"/>
              </w:rPr>
              <w:t>Tham chiếu rủi ro: D-1, D-2, D-3, D-4, D-5, D-6, D-7</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D-1</w:t>
            </w:r>
          </w:p>
        </w:tc>
        <w:tc>
          <w:tcPr>
            <w:tcW w:type="dxa" w:w="4680"/>
          </w:tcPr>
          <w:p>
            <w:r/>
            <w:r>
              <w:rPr>
                <w:b w:val="0"/>
                <w:i w:val="0"/>
                <w:sz w:val="19"/>
              </w:rPr>
              <w:t>Công ty có thể phải đối mặt với rủi ro gia tăng, chi phí gia tăng và/hoặc tổn thất tài chính tiềm tàng.</w:t>
            </w:r>
          </w:p>
        </w:tc>
      </w:tr>
      <w:tr>
        <w:tc>
          <w:tcPr>
            <w:tcW w:type="dxa" w:w="4680"/>
          </w:tcPr>
          <w:p>
            <w:r/>
            <w:r>
              <w:rPr>
                <w:b w:val="0"/>
                <w:i w:val="0"/>
                <w:sz w:val="19"/>
              </w:rPr>
              <w:t>D-2</w:t>
            </w:r>
          </w:p>
        </w:tc>
        <w:tc>
          <w:tcPr>
            <w:tcW w:type="dxa" w:w="4680"/>
          </w:tcPr>
          <w:p>
            <w:r/>
            <w:r>
              <w:rPr>
                <w:b w:val="0"/>
                <w:i w:val="0"/>
                <w:sz w:val="19"/>
              </w:rPr>
              <w:t>Các giao dịch có thể không nhất quán với các yêu cầu về tiền tệ và thông số rủi ro của công ty.</w:t>
            </w:r>
          </w:p>
        </w:tc>
      </w:tr>
      <w:tr>
        <w:tc>
          <w:tcPr>
            <w:tcW w:type="dxa" w:w="4680"/>
          </w:tcPr>
          <w:p>
            <w:r/>
            <w:r>
              <w:rPr>
                <w:b w:val="0"/>
                <w:i w:val="0"/>
                <w:sz w:val="19"/>
              </w:rPr>
              <w:t>D-3</w:t>
            </w:r>
          </w:p>
        </w:tc>
        <w:tc>
          <w:tcPr>
            <w:tcW w:type="dxa" w:w="4680"/>
          </w:tcPr>
          <w:p>
            <w:r/>
            <w:r>
              <w:rPr>
                <w:b w:val="0"/>
                <w:i w:val="0"/>
                <w:sz w:val="19"/>
              </w:rPr>
              <w:t>Các hành động không nhất quán có thể xảy ra, khiến công ty gia tăng mức độ phơi nhiễm với rủi ro ngoại hối thay vì giảm thiểu mức độ phơi nhiễm.</w:t>
            </w:r>
          </w:p>
        </w:tc>
      </w:tr>
      <w:tr>
        <w:tc>
          <w:tcPr>
            <w:tcW w:type="dxa" w:w="4680"/>
          </w:tcPr>
          <w:p>
            <w:r/>
            <w:r>
              <w:rPr>
                <w:b w:val="0"/>
                <w:i w:val="0"/>
                <w:sz w:val="19"/>
              </w:rPr>
              <w:t>D-4</w:t>
            </w:r>
          </w:p>
        </w:tc>
        <w:tc>
          <w:tcPr>
            <w:tcW w:type="dxa" w:w="4680"/>
          </w:tcPr>
          <w:p>
            <w:r/>
            <w:r>
              <w:rPr>
                <w:b w:val="0"/>
                <w:i w:val="0"/>
                <w:sz w:val="19"/>
              </w:rPr>
              <w:t>Các lỗi và thiếu sót trong việc bảo vệ vật lý, phân quyền và xử lý giao dịch có thể không được phát hiện và khắc phục.</w:t>
            </w:r>
          </w:p>
        </w:tc>
      </w:tr>
      <w:tr>
        <w:tc>
          <w:tcPr>
            <w:tcW w:type="dxa" w:w="4680"/>
          </w:tcPr>
          <w:p>
            <w:r/>
            <w:r>
              <w:rPr>
                <w:b w:val="0"/>
                <w:i w:val="0"/>
                <w:sz w:val="19"/>
              </w:rPr>
              <w:t>D-5</w:t>
            </w:r>
          </w:p>
        </w:tc>
        <w:tc>
          <w:tcPr>
            <w:tcW w:type="dxa" w:w="4680"/>
          </w:tcPr>
          <w:p>
            <w:r/>
            <w:r>
              <w:rPr>
                <w:b w:val="0"/>
                <w:i w:val="0"/>
                <w:sz w:val="19"/>
              </w:rPr>
              <w:t>Báo cáo có thể không chính xác, và các quyết định quan trọng sau đó có thể dựa trên thông tin sai lệch.</w:t>
            </w:r>
          </w:p>
        </w:tc>
      </w:tr>
      <w:tr>
        <w:tc>
          <w:tcPr>
            <w:tcW w:type="dxa" w:w="4680"/>
          </w:tcPr>
          <w:p>
            <w:r/>
            <w:r>
              <w:rPr>
                <w:b w:val="0"/>
                <w:i w:val="0"/>
                <w:sz w:val="19"/>
              </w:rPr>
              <w:t>D-6</w:t>
            </w:r>
          </w:p>
        </w:tc>
        <w:tc>
          <w:tcPr>
            <w:tcW w:type="dxa" w:w="4680"/>
          </w:tcPr>
          <w:p>
            <w:r/>
            <w:r>
              <w:rPr>
                <w:b w:val="0"/>
                <w:i w:val="0"/>
                <w:sz w:val="19"/>
              </w:rPr>
              <w:t>Báo cáo tài chính và hồ sơ có thể bị sai lệch do việc chốt sổ hoặc định giá không đúng, bỏ sót một số dữ liệu tài chính, hoặc ghi nhận hay phân loại không chính xác.</w:t>
            </w:r>
          </w:p>
        </w:tc>
      </w:tr>
      <w:tr>
        <w:tc>
          <w:tcPr>
            <w:tcW w:type="dxa" w:w="4680"/>
          </w:tcPr>
          <w:p>
            <w:r/>
            <w:r>
              <w:rPr>
                <w:b w:val="0"/>
                <w:i w:val="0"/>
                <w:sz w:val="19"/>
              </w:rPr>
              <w:t>D-7</w:t>
            </w:r>
          </w:p>
        </w:tc>
        <w:tc>
          <w:tcPr>
            <w:tcW w:type="dxa" w:w="4680"/>
          </w:tcPr>
          <w:p>
            <w:r/>
            <w:r>
              <w:rPr>
                <w:b w:val="0"/>
                <w:i w:val="0"/>
                <w:sz w:val="19"/>
              </w:rPr>
              <w:t>Việc phân loại không chính xác có thể gây ra những hậu quả về thuế và báo cáo bên ngoài.</w:t>
            </w:r>
          </w:p>
        </w:tc>
      </w:tr>
    </w:tbl>
    <w:p>
      <w:pPr>
        <w:spacing w:after="0"/>
      </w:pPr>
    </w:p>
    <w:p>
      <w:pPr>
        <w:pStyle w:val="Heading1"/>
      </w:pPr>
      <w:r>
        <w:rPr>
          <w:rFonts w:ascii="Calibri" w:hAnsi="Calibri"/>
          <w:b/>
          <w:i w:val="0"/>
          <w:sz w:val="40"/>
        </w:rPr>
        <w:t xml:space="preserve">CHƯƠNG 4 </w:t>
      </w:r>
      <w:r>
        <w:br/>
      </w:r>
      <w:r>
        <w:rPr>
          <w:rFonts w:ascii="Calibri" w:hAnsi="Calibri"/>
          <w:b/>
          <w:i w:val="0"/>
          <w:sz w:val="40"/>
        </w:rPr>
        <w:t xml:space="preserve"> Quy trình Mua hàng đến Thanh toán (Procure to Pay - P2P)</w:t>
      </w:r>
    </w:p>
    <w:p>
      <w:pPr>
        <w:pStyle w:val="Heading2"/>
      </w:pPr>
      <w:r>
        <w:rPr>
          <w:rFonts w:ascii="Calibri" w:hAnsi="Calibri"/>
          <w:b/>
          <w:i w:val="0"/>
          <w:sz w:val="32"/>
        </w:rPr>
        <w:t>GIỚI THIỆU</w:t>
      </w:r>
    </w:p>
    <w:p>
      <w:pPr>
        <w:spacing w:after="80"/>
      </w:pPr>
      <w:r>
        <w:rPr>
          <w:b w:val="0"/>
          <w:i w:val="0"/>
        </w:rPr>
        <w:t>Quy trình P2P bao gồm các chức năng: tìm kiếm và đánh giá nguồn cung cấp; khởi tạo yêu cầu về nguyên vật liệu, thiết bị, hàng hóa, vật tư hoặc dịch vụ; thu thập thông tin về tình trạng sẵn có và giá cả từ các nhà cung cấp đã được phê duyệt; đặt hàng hóa hoặc dịch vụ; nhận và kiểm tra hoặc chấp nhận nguyên vật liệu hay hàng hóa; hạch toán đúng số tiền phải trả cho nhà cung cấp; và xử lý thanh toán một cách có kiểm soát và hiệu quả. Trong bộ công cụ này, hoạt động nghiên cứu và phát triển sản phẩm được xếp vào quy trình P2P.</w:t>
      </w:r>
    </w:p>
    <w:p>
      <w:pPr>
        <w:pStyle w:val="Heading2"/>
      </w:pPr>
      <w:r>
        <w:rPr>
          <w:rFonts w:ascii="Calibri" w:hAnsi="Calibri"/>
          <w:b/>
          <w:i w:val="0"/>
          <w:sz w:val="32"/>
        </w:rPr>
        <w:t>CÂN NHẮC TỰ ĐỘNG HÓA ĐỂ GIẢM THIỂU RỦI RO TRONG QUY TRÌNH P2P</w:t>
      </w:r>
    </w:p>
    <w:p>
      <w:pPr>
        <w:spacing w:after="80"/>
      </w:pPr>
      <w:r>
        <w:rPr>
          <w:b w:val="0"/>
          <w:i w:val="0"/>
        </w:rPr>
        <w:t>Làm thế nào để một nhà lãnh đạo P2P dự đoán, lập kế hoạch và giảm thiểu rủi ro tiềm ẩn? Trong chương này, chúng ta sẽ bàn về cách 10 Giải pháp Tự động hóa P2P có thể được sử dụng để giúp giảm thiểu rủi ro. Chúng ta sẽ chỉ xác định những rủi ro cụ thể được giảm thiểu nhờ triển khai giải pháp đó.</w:t>
      </w:r>
    </w:p>
    <w:p>
      <w:pPr>
        <w:spacing w:after="80"/>
        <w:ind w:left="360"/>
      </w:pPr>
      <w:r>
        <w:t xml:space="preserve">1. </w:t>
      </w:r>
      <w:r>
        <w:rPr>
          <w:b/>
          <w:i w:val="0"/>
        </w:rPr>
        <w:t xml:space="preserve"> Cổng thông tin Nhà cung cấp (Supplier Portals) </w:t>
      </w:r>
      <w:r>
        <w:rPr>
          <w:b w:val="0"/>
          <w:i w:val="0"/>
        </w:rPr>
        <w:t xml:space="preserve"> — Cổng thông tin nhà cung cấp có thể được dùng để xác thực thông tin nhà cung cấp trước khi thông tin đó được nhập vào hồ sơ gốc nhà cung cấp. Thông tin nhà cung cấp có thể được xác thực dựa trên danh sách của Office of Foreign Asset Control (OFAC), Office of Inspector General (OIG) và các danh sách tuân thủ khác. Các mẫu W8 và W9 cũng có thể được xác thực với IRS và cơ quan thuế. Cuối cùng, khách hàng có thể yêu cầu thêm hồ sơ để chứng minh tính hợp lệ của nhà cung cấp và quy trình quản lý nhà cung cấp. </w:t>
      </w:r>
      <w:r>
        <w:rPr>
          <w:b/>
          <w:i w:val="0"/>
        </w:rPr>
        <w:t>Rủi ro được giảm thiểu</w:t>
      </w:r>
    </w:p>
    <w:p>
      <w:pPr>
        <w:spacing w:after="80"/>
        <w:ind w:left="720"/>
      </w:pPr>
      <w:r>
        <w:t xml:space="preserve">• </w:t>
      </w:r>
      <w:r>
        <w:rPr>
          <w:b w:val="0"/>
          <w:i w:val="0"/>
        </w:rPr>
        <w:t>Nhà cung cấp được tự động xác thực trước khi được nhập vào hồ sơ gốc nhà cung cấp.</w:t>
      </w:r>
    </w:p>
    <w:p>
      <w:pPr>
        <w:spacing w:after="80"/>
        <w:ind w:left="720"/>
      </w:pPr>
      <w:r>
        <w:t xml:space="preserve">• </w:t>
      </w:r>
      <w:r>
        <w:rPr>
          <w:b w:val="0"/>
          <w:i w:val="0"/>
        </w:rPr>
        <w:t>Các nhà cung cấp "lừa đảo" và "có rủi ro" có thể bị phát hiện nhờ các quy tắc xác thực có trong cổng thông tin nhà cung cấp.</w:t>
      </w:r>
    </w:p>
    <w:p>
      <w:pPr>
        <w:spacing w:after="80"/>
        <w:ind w:left="720"/>
      </w:pPr>
      <w:r>
        <w:t xml:space="preserve">• </w:t>
      </w:r>
      <w:r>
        <w:rPr>
          <w:b w:val="0"/>
          <w:i w:val="0"/>
        </w:rPr>
        <w:t>Kiểm tra tuân thủ cùng xác thực W8 và W9 giúp giảm rủi ro bị phạt tiền và sai sót thông tin thuế, những điều có thể dẫn đến các hình phạt.</w:t>
      </w:r>
    </w:p>
    <w:p>
      <w:pPr>
        <w:spacing w:after="80"/>
        <w:ind w:left="720"/>
      </w:pPr>
      <w:r>
        <w:t xml:space="preserve">• </w:t>
      </w:r>
      <w:r>
        <w:rPr>
          <w:b w:val="0"/>
          <w:i w:val="0"/>
        </w:rPr>
        <w:t>Một quy trình xác thực nhà cung cấp ngay từ đầu một cách chặt chẽ sẽ giảm rủi ro một nhân viên có ý định đóng vai nhà cung cấp.</w:t>
      </w:r>
    </w:p>
    <w:p>
      <w:pPr>
        <w:spacing w:after="80"/>
        <w:ind w:left="720"/>
      </w:pPr>
      <w:r>
        <w:t xml:space="preserve">• </w:t>
      </w:r>
      <w:r>
        <w:rPr>
          <w:b w:val="0"/>
          <w:i w:val="0"/>
        </w:rPr>
        <w:t>Tài liệu hỗ trợ cho việc xác thực nhà cung cấp được thu thập trong quá trình tiếp nhận (onboarding). Ngoài các biểu mẫu thuế, biểu mẫu bảo hiểm, thông tin thanh toán điện tử, thông tin về đa dạng và hồ sơ nhà cung cấp cũng có thể được thu thập trong một quy trình duy nhất.</w:t>
      </w:r>
    </w:p>
    <w:p>
      <w:pPr>
        <w:spacing w:after="80"/>
        <w:ind w:left="360"/>
      </w:pPr>
      <w:r>
        <w:t xml:space="preserve">2. </w:t>
      </w:r>
      <w:r>
        <w:rPr>
          <w:b/>
          <w:i w:val="0"/>
        </w:rPr>
        <w:t xml:space="preserve"> Mua sắm điện tử (E-Procurement) </w:t>
      </w:r>
      <w:r>
        <w:rPr>
          <w:b w:val="0"/>
          <w:i w:val="0"/>
        </w:rPr>
        <w:t xml:space="preserve"> —Giải pháp Mua sắm điện tử bao gồm khả năng phát hành Yêu cầu đặt hàng (Purchase Order Request) và Đơn đặt hàng (Purchase Order) cùng việc xây dựng chuỗi phê duyệt tương ứng một cách điện tử. Điều này loại bỏ công việc phát sinh là phải luân chuyển đơn đặt hàng (PO) thủ công từ người phê duyệt này sang người phê duyệt khác. Với một giải pháp Mua sắm điện tử được tích hợp với hệ thống ERP, tệp chính nhà cung cấp (supplier master file), bảng hệ thống tài khoản (chart of accounts) và các biến số khác được sử dụng để hỗ trợ quy trình đối chiếu ba chiều (three-way matching) trong mô-đun kế toán. Điều này tạo điều kiện cho trách nhiệm giải trình cao hơn và việc đối chiếu đơn đặt hàng, hóa đơn, cùng chi tiêu của tổ chức và nhà cung cấp một cách chính xác và kịp thời để đưa ra quyết định. </w:t>
      </w:r>
      <w:r>
        <w:rPr>
          <w:b/>
          <w:i w:val="0"/>
        </w:rPr>
        <w:t>Các rủi ro được giảm thiểu</w:t>
      </w:r>
    </w:p>
    <w:p>
      <w:pPr>
        <w:spacing w:after="80"/>
        <w:ind w:left="720"/>
      </w:pPr>
      <w:r>
        <w:t xml:space="preserve">• </w:t>
      </w:r>
      <w:r>
        <w:rPr>
          <w:b w:val="0"/>
          <w:i w:val="0"/>
        </w:rPr>
        <w:t>Yêu cầu mua hàng (Requisition) và Đơn đặt hàng (Purchase Order) được tạo một cách điện tử, loại bỏ rủi ro sai sót trong quá trình nhập dữ liệu thủ công.</w:t>
      </w:r>
    </w:p>
    <w:p>
      <w:pPr>
        <w:spacing w:after="80"/>
        <w:ind w:left="720"/>
      </w:pPr>
      <w:r>
        <w:t xml:space="preserve">• </w:t>
      </w:r>
      <w:r>
        <w:rPr>
          <w:b w:val="0"/>
          <w:i w:val="0"/>
        </w:rPr>
        <w:t>Tích hợp trực tiếp với hệ thống ERP hỗ trợ quy trình đối chiếu ba chiều và loại bỏ rủi ro về bất kỳ vấn đề đối chiếu tài khoản trung chuyển (clearing account) nào.</w:t>
      </w:r>
    </w:p>
    <w:p>
      <w:pPr>
        <w:spacing w:after="80"/>
        <w:ind w:left="360"/>
      </w:pPr>
      <w:r>
        <w:t xml:space="preserve">3. </w:t>
      </w:r>
      <w:r>
        <w:rPr>
          <w:b/>
          <w:i w:val="0"/>
        </w:rPr>
        <w:t xml:space="preserve"> Hóa đơn điện tử (E-Invoicing) </w:t>
      </w:r>
      <w:r>
        <w:rPr>
          <w:b w:val="0"/>
          <w:i w:val="0"/>
        </w:rPr>
        <w:t xml:space="preserve"> —Hóa đơn điện tử giúp quá trình xử lý hóa đơn nhà cung cấp trở nên dễ dàng, nhanh chóng và hiệu quả hơn. Hóa đơn điện tử là một trong những yếu tố then chốt giúp chức năng kế toán phải trả (accounts payable) được tự động hóa hoàn toàn. Các công ty trên khắp thế giới đang áp dụng hóa đơn điện tử để tinh gọn hoạt động, loại bỏ lãng phí và khai mở giá trị vốn lưu động từ các chiến lược thanh toán đổi mới. </w:t>
      </w:r>
      <w:r>
        <w:rPr>
          <w:b/>
          <w:i w:val="0"/>
        </w:rPr>
        <w:t>Các rủi ro được giảm thiểu</w:t>
      </w:r>
    </w:p>
    <w:p>
      <w:pPr>
        <w:spacing w:after="80"/>
        <w:ind w:left="720"/>
      </w:pPr>
      <w:r>
        <w:t xml:space="preserve">• </w:t>
      </w:r>
      <w:r>
        <w:rPr>
          <w:b w:val="0"/>
          <w:i w:val="0"/>
        </w:rPr>
        <w:t>Hóa đơn điện tử loại bỏ rủi ro xử lý trùng hóa đơn, thanh toán sai số tiền hoặc thanh toán hóa đơn cho nhà cung cấp không đúng.</w:t>
      </w:r>
    </w:p>
    <w:p>
      <w:pPr>
        <w:spacing w:after="80"/>
        <w:ind w:left="720"/>
      </w:pPr>
      <w:r>
        <w:t xml:space="preserve">• </w:t>
      </w:r>
      <w:r>
        <w:rPr>
          <w:b w:val="0"/>
          <w:i w:val="0"/>
        </w:rPr>
        <w:t>Nó loại bỏ khả năng tổn thất tài chính cho công ty vì hóa đơn được thanh toán chính xác hơn.</w:t>
      </w:r>
    </w:p>
    <w:p>
      <w:pPr>
        <w:spacing w:after="80"/>
        <w:ind w:left="720"/>
      </w:pPr>
      <w:r>
        <w:t xml:space="preserve">• </w:t>
      </w:r>
      <w:r>
        <w:rPr>
          <w:b w:val="0"/>
          <w:i w:val="0"/>
        </w:rPr>
        <w:t>Nó cũng giảm rủi ro gian lận và tích hợp các kiểm soát Phân tách nhiệm vụ (Segregation of Duties - SoD).</w:t>
      </w:r>
    </w:p>
    <w:p>
      <w:pPr>
        <w:spacing w:after="80"/>
        <w:ind w:left="360"/>
      </w:pPr>
      <w:r>
        <w:t xml:space="preserve">4. </w:t>
      </w:r>
      <w:r>
        <w:rPr>
          <w:b/>
          <w:i w:val="0"/>
        </w:rPr>
        <w:t xml:space="preserve"> Chuyển đổi từ PO sang Hóa đơn (PO to Invoice Conversion) </w:t>
      </w:r>
      <w:r>
        <w:rPr>
          <w:b w:val="0"/>
          <w:i w:val="0"/>
        </w:rPr>
        <w:t xml:space="preserve"> —Công nghệ này cho phép một tổ chức mua hàng gửi đơn đặt hàng đến nhà cung cấp một cách điện tử và sau đó cho phép tổ chức bán hàng chuyển đơn đặt hàng thành hóa đơn điện tử. Người bán sau đó có thể gửi hóa đơn ngay lập tức trở lại tổ chức kế toán phải trả. Hóa đơn tạo ra sẽ là bản sao của đơn đặt hàng gốc. </w:t>
      </w:r>
      <w:r>
        <w:rPr>
          <w:b/>
          <w:i w:val="0"/>
        </w:rPr>
        <w:t>Các rủi ro được giảm thiểu</w:t>
      </w:r>
    </w:p>
    <w:p>
      <w:pPr>
        <w:spacing w:after="80"/>
        <w:ind w:left="720"/>
      </w:pPr>
      <w:r>
        <w:t xml:space="preserve">• </w:t>
      </w:r>
      <w:r>
        <w:rPr>
          <w:b w:val="0"/>
          <w:i w:val="0"/>
        </w:rPr>
        <w:t>Loại bỏ rủi ro xử lý trùng hóa đơn, thanh toán sai số tiền hoặc thanh toán hóa đơn cho nhà cung cấp không đúng.</w:t>
      </w:r>
    </w:p>
    <w:p>
      <w:pPr>
        <w:spacing w:after="80"/>
        <w:ind w:left="720"/>
      </w:pPr>
      <w:r>
        <w:t xml:space="preserve">• </w:t>
      </w:r>
      <w:r>
        <w:rPr>
          <w:b w:val="0"/>
          <w:i w:val="0"/>
        </w:rPr>
        <w:t>Giải pháp tự động hóa này cũng giảm rủi ro gian lận và tích hợp các kiểm soát Phân tách nhiệm vụ (Segregation of Duties - SoD).</w:t>
      </w:r>
    </w:p>
    <w:p>
      <w:pPr>
        <w:spacing w:after="80"/>
        <w:ind w:left="720"/>
      </w:pPr>
      <w:r>
        <w:t xml:space="preserve">• </w:t>
      </w:r>
      <w:r>
        <w:rPr>
          <w:b w:val="0"/>
          <w:i w:val="0"/>
        </w:rPr>
        <w:t>Tăng tốc thời gian phê duyệt và có thể cải thiện việc quản lý vốn lưu động vì giờ đây có nhiều cơ hội hơn để được hưởng chiết khấu thanh toán sớm.</w:t>
      </w:r>
    </w:p>
    <w:p>
      <w:pPr>
        <w:spacing w:after="80"/>
        <w:ind w:left="720"/>
      </w:pPr>
      <w:r>
        <w:t xml:space="preserve">• </w:t>
      </w:r>
      <w:r>
        <w:rPr>
          <w:b w:val="0"/>
          <w:i w:val="0"/>
        </w:rPr>
        <w:t>Trạng thái phê duyệt của một hóa đơn có thể được chia sẻ với nhà cung cấp như một phần của giải pháp tự động hóa này. Điều này giảm bớt nhu cầu nhà cung cấp phải hỏi han và có thể nâng cao mức độ hài lòng của nhà cung cấp.</w:t>
      </w:r>
    </w:p>
    <w:p>
      <w:pPr>
        <w:spacing w:after="80"/>
        <w:ind w:left="360"/>
      </w:pPr>
      <w:r>
        <w:t xml:space="preserve">5. </w:t>
      </w:r>
      <w:r>
        <w:rPr>
          <w:b/>
          <w:i w:val="0"/>
        </w:rPr>
        <w:t xml:space="preserve"> Quản lý tài liệu, Quét hóa đơn và Trích xuất dữ liệu (Document Management, Invoice Scan, and Data Capture) </w:t>
      </w:r>
      <w:r>
        <w:rPr>
          <w:b w:val="0"/>
          <w:i w:val="0"/>
        </w:rPr>
        <w:t xml:space="preserve"> —Hệ thống quản lý tài liệu được dùng để theo dõi và lưu trữ tài liệu điện tử và/hoặc hình ảnh của tài liệu giấy. Nó thường cũng có khả năng theo dõi các phiên bản khác nhau được chỉnh sửa bởi những người dùng khác nhau. Thuật ngữ này có phần trùng lặp với các khái niệm về hệ thống quản lý nội dung (content management system). Nó thường được xem như một thành phần của hệ thống quản lý nội dung doanh nghiệp (enterprise content management - ECM). </w:t>
      </w:r>
      <w:r>
        <w:rPr>
          <w:b/>
          <w:i w:val="0"/>
        </w:rPr>
        <w:t>Các rủi ro được giảm thiểu</w:t>
      </w:r>
    </w:p>
    <w:p>
      <w:pPr>
        <w:spacing w:after="80"/>
        <w:ind w:left="720"/>
      </w:pPr>
      <w:r>
        <w:t xml:space="preserve">• </w:t>
      </w:r>
      <w:r>
        <w:rPr>
          <w:b w:val="0"/>
          <w:i w:val="0"/>
        </w:rPr>
        <w:t>Loại bỏ rủi ro xử lý trùng hóa đơn, thanh toán sai số tiền, hoặc thanh toán hóa đơn cho nhà cung cấp không đúng.</w:t>
      </w:r>
    </w:p>
    <w:p>
      <w:pPr>
        <w:spacing w:after="80"/>
        <w:ind w:left="720"/>
      </w:pPr>
      <w:r>
        <w:t xml:space="preserve">• </w:t>
      </w:r>
      <w:r>
        <w:rPr>
          <w:b w:val="0"/>
          <w:i w:val="0"/>
        </w:rPr>
        <w:t>Giải pháp tự động hóa này cũng giảm thiểu rủi ro gian lận và tích hợp các kiểm soát Phân tách nhiệm vụ (Segregation of Duties - SoD).</w:t>
      </w:r>
    </w:p>
    <w:p>
      <w:pPr>
        <w:spacing w:after="80"/>
        <w:ind w:left="360"/>
      </w:pPr>
      <w:r>
        <w:t xml:space="preserve">6. </w:t>
      </w:r>
      <w:r>
        <w:rPr>
          <w:b/>
          <w:i w:val="0"/>
        </w:rPr>
        <w:t xml:space="preserve"> Đối chiếu tự động </w:t>
      </w:r>
      <w:r>
        <w:rPr>
          <w:b w:val="0"/>
          <w:i w:val="0"/>
        </w:rPr>
        <w:t xml:space="preserve"> —Đối chiếu ba chiều tự động giúp khớp ngay lập tức hóa đơn, đơn đặt hàng và biên nhận khi sử dụng giải pháp tự động hóa tài khoản phải trả liên quan. Người dùng thiết lập các quy tắc kinh doanh cụ thể cho quá trình đối chiếu và xem xét các vết kiểm toán (audit trail) thu được để đảm bảo quy trình hoạt động đúng. Người dùng cũng chịu trách nhiệm giải quyết mọi trường hợp ngoại lệ có thể xảy ra để xác định xem có cần xử lý vi phạm quy tắc kinh doanh hay không. </w:t>
      </w:r>
      <w:r>
        <w:rPr>
          <w:b/>
          <w:i w:val="0"/>
        </w:rPr>
        <w:t>Rủi ro được giảm thiểu</w:t>
      </w:r>
    </w:p>
    <w:p>
      <w:pPr>
        <w:spacing w:after="80"/>
        <w:ind w:left="720"/>
      </w:pPr>
      <w:r>
        <w:t xml:space="preserve">• </w:t>
      </w:r>
      <w:r>
        <w:rPr>
          <w:b w:val="0"/>
          <w:i w:val="0"/>
        </w:rPr>
        <w:t>Đối chiếu tự động thực hiện đối chiếu ba chiều mà không cần con người can thiệp, giảm rủi ro sai sót và khớp lệnh không đúng.</w:t>
      </w:r>
    </w:p>
    <w:p>
      <w:pPr>
        <w:spacing w:after="80"/>
        <w:ind w:left="720"/>
      </w:pPr>
      <w:r>
        <w:t xml:space="preserve">• </w:t>
      </w:r>
      <w:r>
        <w:rPr>
          <w:b w:val="0"/>
          <w:i w:val="0"/>
        </w:rPr>
        <w:t>Giảm rủi ro thanh toán sai hoặc thanh toán trùng.</w:t>
      </w:r>
    </w:p>
    <w:p>
      <w:pPr>
        <w:spacing w:after="80"/>
        <w:ind w:left="720"/>
      </w:pPr>
      <w:r>
        <w:t xml:space="preserve">• </w:t>
      </w:r>
      <w:r>
        <w:rPr>
          <w:b w:val="0"/>
          <w:i w:val="0"/>
        </w:rPr>
        <w:t>Cải thiện thời gian chu kỳ xử lý hóa đơn và giảm chi phí xử lý.</w:t>
      </w:r>
    </w:p>
    <w:p>
      <w:pPr>
        <w:spacing w:after="80"/>
        <w:ind w:left="720"/>
      </w:pPr>
      <w:r>
        <w:t xml:space="preserve">• </w:t>
      </w:r>
      <w:r>
        <w:rPr>
          <w:b w:val="0"/>
          <w:i w:val="0"/>
        </w:rPr>
        <w:t>Cung cấp độ chính xác dữ liệu dựa trên các quy tắc đối chiếu do người dùng định nghĩa.</w:t>
      </w:r>
    </w:p>
    <w:p>
      <w:pPr>
        <w:spacing w:after="80"/>
        <w:ind w:left="360"/>
      </w:pPr>
      <w:r>
        <w:t xml:space="preserve">7. </w:t>
      </w:r>
      <w:r>
        <w:rPr>
          <w:b/>
          <w:i w:val="0"/>
        </w:rPr>
        <w:t xml:space="preserve"> Phê duyệt quy trình tự động </w:t>
      </w:r>
      <w:r>
        <w:rPr>
          <w:b w:val="0"/>
          <w:i w:val="0"/>
        </w:rPr>
        <w:t xml:space="preserve"> —Trong quy trình phê duyệt tự động, quá trình phê duyệt hóa đơn được liên kết với chính sách Ủy quyền (Delegation of Authority - DoA) của công ty bạn. Quá trình phê duyệt hóa đơn hoàn toàn tự động dựa trên các quy tắc được định nghĩa thông qua quy trình. Quy trình xác định liệu một hóa đơn có cần phê duyệt hay không; ai là người phê duyệt phù hợp; và thứ tự người phê duyệt nên phê duyệt thanh toán hóa đơn. Sau đó, quy trình lần lượt yêu cầu từng người phê duyệt trong danh sách phê duyệt phê duyệt hóa đơn trực tuyến. Ví dụ, bạn có thể định nghĩa một quy tắc để các hóa đơn trên $100,000 (hoặc một số tiền cụ thể được chỉ định trong chính sách DoA của bạn) yêu cầu CFO phê duyệt rồi sau đó CEO phê duyệt. </w:t>
      </w:r>
      <w:r>
        <w:rPr>
          <w:b/>
          <w:i w:val="0"/>
        </w:rPr>
        <w:t>Rủi ro được giảm thiểu</w:t>
      </w:r>
    </w:p>
    <w:p>
      <w:pPr>
        <w:spacing w:after="80"/>
        <w:ind w:left="720"/>
      </w:pPr>
      <w:r>
        <w:t xml:space="preserve">• </w:t>
      </w:r>
      <w:r>
        <w:rPr>
          <w:b w:val="0"/>
          <w:i w:val="0"/>
        </w:rPr>
        <w:t>Quy trình tự động có thể được liên kết với hồ sơ nhân viên chính, trong đó các cấp phê duyệt được tự động cập nhật khi một người phê duyệt chuyển sang phòng ban khác và được thăng chức.</w:t>
      </w:r>
    </w:p>
    <w:p>
      <w:pPr>
        <w:spacing w:after="80"/>
        <w:ind w:left="720"/>
      </w:pPr>
      <w:r>
        <w:t xml:space="preserve">• </w:t>
      </w:r>
      <w:r>
        <w:rPr>
          <w:b w:val="0"/>
          <w:i w:val="0"/>
        </w:rPr>
        <w:t>Giảm rủi ro gian lận vì không có cơ hội thao túng thủ công.</w:t>
      </w:r>
    </w:p>
    <w:p>
      <w:pPr>
        <w:spacing w:after="80"/>
        <w:ind w:left="720"/>
      </w:pPr>
      <w:r>
        <w:t xml:space="preserve">• </w:t>
      </w:r>
      <w:r>
        <w:rPr>
          <w:b w:val="0"/>
          <w:i w:val="0"/>
        </w:rPr>
        <w:t>Các quy trình leo thang có thể được tích hợp vào quy trình để liên kết với chính sách và bảng Ủy quyền (DoA).</w:t>
      </w:r>
    </w:p>
    <w:p>
      <w:pPr>
        <w:spacing w:after="80"/>
        <w:ind w:left="360"/>
      </w:pPr>
      <w:r>
        <w:t xml:space="preserve">8. </w:t>
      </w:r>
      <w:r>
        <w:rPr>
          <w:b/>
          <w:i w:val="0"/>
        </w:rPr>
        <w:t xml:space="preserve"> Thanh toán điện tử </w:t>
      </w:r>
      <w:r>
        <w:rPr>
          <w:b w:val="0"/>
          <w:i w:val="0"/>
        </w:rPr>
        <w:t xml:space="preserve"> —Nếu công ty bạn đang thanh toán hơn 50% hóa đơn bằng séc, thì quá nhiều rồi. Tôi đề xuất thanh toán hóa đơn bằng ACH hoặc P-Card. Hãy xem xét chi phí phát hành séc, phí bưu chính, phí nguồn lực, chi phí đối chiếu và rủi ro gian lận séc. Quy trình thanh toán điện tử cũng bao gồm việc sử dụng chuyển tiền nhà cung cấp qua ACH thay vì phát hành một giấy chuyển tiền thủ công riêng cho việc thanh toán hóa đơn. Ngoài ra, nếu phòng tài khoản phải trả của bạn đang đối mặt với các vấn đề chuyển giao tài sản vô chủ (escheatment) liên tục do séc nhà cung cấp chưa được quy đổi, ngoài việc xem xét ACH và P-Card cho quy trình thanh toán, hãy cân nhắc thuê ngoài quy trình thanh toán của bạn. </w:t>
      </w:r>
      <w:r>
        <w:rPr>
          <w:b/>
          <w:i w:val="0"/>
        </w:rPr>
        <w:t>Rủi ro được giảm thiểu</w:t>
      </w:r>
    </w:p>
    <w:p>
      <w:pPr>
        <w:spacing w:after="80"/>
        <w:ind w:left="720"/>
      </w:pPr>
      <w:r>
        <w:t xml:space="preserve">• </w:t>
      </w:r>
      <w:r>
        <w:rPr>
          <w:b w:val="0"/>
          <w:i w:val="0"/>
        </w:rPr>
        <w:t>Quy trình thanh toán điện tử giảm rủi ro và tăng cường kiểm soát nội bộ cho quy trình P2P.</w:t>
      </w:r>
    </w:p>
    <w:p>
      <w:pPr>
        <w:spacing w:after="80"/>
        <w:ind w:left="720"/>
      </w:pPr>
      <w:r>
        <w:t xml:space="preserve">• </w:t>
      </w:r>
      <w:r>
        <w:rPr>
          <w:b w:val="0"/>
          <w:i w:val="0"/>
        </w:rPr>
        <w:t>Việc sử dụng thanh toán điện tử giảm gian lận séc, các vấn đề đối chiếu séc và những thách thức trong quy trình chuyển giao tài sản vô chủ.</w:t>
      </w:r>
    </w:p>
    <w:p>
      <w:pPr>
        <w:spacing w:after="80"/>
        <w:ind w:left="720"/>
      </w:pPr>
      <w:r>
        <w:t xml:space="preserve">• </w:t>
      </w:r>
      <w:r>
        <w:rPr>
          <w:b w:val="0"/>
          <w:i w:val="0"/>
        </w:rPr>
        <w:t>Việc sử dụng chuyển tiền ACH trong quy trình P2P đảm bảo rằng chi tiết hóa đơn được áp dụng đúng cách.</w:t>
      </w:r>
    </w:p>
    <w:p>
      <w:pPr>
        <w:spacing w:after="80"/>
        <w:ind w:left="720"/>
      </w:pPr>
      <w:r>
        <w:t xml:space="preserve">• </w:t>
      </w:r>
      <w:r>
        <w:rPr>
          <w:b w:val="0"/>
          <w:i w:val="0"/>
        </w:rPr>
        <w:t>Ngoài việc nhận được các khoản hoàn tiền đáng kể khi nhiều nhà cung cấp thanh toán bằng P-Card, một trong những lợi ích của việc sử dụng P-Card là người mua đang thực hiện thanh toán trả chậm.</w:t>
      </w:r>
    </w:p>
    <w:p>
      <w:pPr>
        <w:spacing w:after="80"/>
        <w:ind w:left="720"/>
      </w:pPr>
      <w:r>
        <w:t xml:space="preserve">• </w:t>
      </w:r>
      <w:r>
        <w:rPr>
          <w:b w:val="0"/>
          <w:i w:val="0"/>
        </w:rPr>
        <w:t>Bộ phận tài khoản phải trả (accounts payable) có thể thanh toán cho nhà cung cấp bằng P-Card vào bất kỳ thời điểm nào trong thời hạn thanh toán và tất toán với đơn vị phát hành thẻ sau đó 30 đến 60 ngày.</w:t>
      </w:r>
    </w:p>
    <w:p>
      <w:pPr>
        <w:spacing w:after="80"/>
        <w:ind w:left="360"/>
      </w:pPr>
      <w:r>
        <w:t xml:space="preserve">9. </w:t>
      </w:r>
      <w:r>
        <w:rPr>
          <w:b/>
          <w:i w:val="0"/>
        </w:rPr>
        <w:t xml:space="preserve"> Công cụ Xác minh Quyền truy cập Hệ thống </w:t>
      </w:r>
      <w:r>
        <w:rPr>
          <w:b w:val="0"/>
          <w:i w:val="0"/>
        </w:rPr>
        <w:t xml:space="preserve"> — Các công cụ Xác minh Quyền truy cập Hệ thống có thể cung cấp khả năng giám sát theo thời gian thực và thực thi chủ động các chính sách Phân tách Nhiệm vụ (Segregation of Duties - SoD). Những công cụ như vậy có thể dự đoán trước một xung đột quyền truy cập hệ thống trước khi nó xảy ra và thậm chí có thể ngăn chặn việc gán một vai trò trong ứng dụng có thể gây tổn hại cho P2P hoặc đặt công ty vào tình thế rủi ro. </w:t>
      </w:r>
      <w:r>
        <w:rPr>
          <w:b/>
          <w:i w:val="0"/>
        </w:rPr>
        <w:t>Các rủi ro được giảm thiểu</w:t>
      </w:r>
    </w:p>
    <w:p>
      <w:pPr>
        <w:spacing w:after="80"/>
        <w:ind w:left="720"/>
      </w:pPr>
      <w:r>
        <w:t xml:space="preserve">• </w:t>
      </w:r>
      <w:r>
        <w:rPr>
          <w:b w:val="0"/>
          <w:i w:val="0"/>
        </w:rPr>
        <w:t>Các công cụ Xác minh Quyền truy cập Hệ thống có thể ngăn chặn một giao dịch gian lận được xử lý trong quy trình P2P. Ví dụ, một cá nhân không thể thiết lập một nhà cung cấp trong tệp danh mục nhà cung cấp chính, thanh toán cho nhà cung cấp đó, và hủy giao dịch khi có các kiểm soát quyền truy cập hệ thống phù hợp. Những kiểm soát này được gọi là kiểm soát SoD "nội bộ" (intra).</w:t>
      </w:r>
    </w:p>
    <w:p>
      <w:pPr>
        <w:spacing w:after="80"/>
        <w:ind w:left="720"/>
      </w:pPr>
      <w:r>
        <w:t xml:space="preserve">• </w:t>
      </w:r>
      <w:r>
        <w:rPr>
          <w:b w:val="0"/>
          <w:i w:val="0"/>
        </w:rPr>
        <w:t>Những công cụ này cũng có thể phát hiện một xung đột SoD "bổ sung" trong đó một nhân viên từ bộ phận khác có thể cố gắng xử lý một giao dịch không liên quan. Một nhân viên trong bộ phận tài khoản phải thu (accounts receivable) có thể cố gắng xử lý một giao dịch tài khoản phải trả gian lận.</w:t>
      </w:r>
    </w:p>
    <w:p>
      <w:pPr>
        <w:spacing w:after="80"/>
        <w:ind w:left="360"/>
      </w:pPr>
      <w:r>
        <w:t xml:space="preserve">10. </w:t>
      </w:r>
      <w:r>
        <w:rPr>
          <w:b/>
          <w:i w:val="0"/>
        </w:rPr>
        <w:t>Công cụ Tự Kiểm toán Tài khoản Phải trả</w:t>
      </w:r>
      <w:r>
        <w:rPr>
          <w:b w:val="0"/>
          <w:i w:val="0"/>
        </w:rPr>
        <w:t xml:space="preserve"> — Mục tiêu của bất kỳ bộ phận tài khoản phải trả nào là thanh toán cho nhà cung cấp "một lần và chỉ một lần". Thay vì để một bên thứ ba hoặc công ty kiểm toán bên ngoài xác định điểm yếu trong kiểm soát, nhiều công ty đã làm việc với một nhà cung cấp giải pháp để triển khai quy trình tự đánh giá nhằm xác định khoản thanh toán trùng lặp tiềm ẩn trước khi khoản thanh toán được khởi tạo. Phần mềm này xem xét các thuật toán logic "mờ" (fuzzy) để đánh dấu một khoản thanh toán trùng lặp hoặc sai sót tiềm ẩn. </w:t>
      </w:r>
      <w:r>
        <w:rPr>
          <w:b/>
          <w:i w:val="0"/>
        </w:rPr>
        <w:t>Các rủi ro được giảm thiểu</w:t>
      </w:r>
    </w:p>
    <w:p>
      <w:pPr>
        <w:spacing w:after="80"/>
        <w:ind w:left="720"/>
      </w:pPr>
      <w:r>
        <w:t xml:space="preserve">• </w:t>
      </w:r>
      <w:r>
        <w:rPr>
          <w:b w:val="0"/>
          <w:i w:val="0"/>
        </w:rPr>
        <w:t>Công cụ tự kiểm toán thường có thể được đưa vào chương trình kiểm soát nội bộ của công ty như một sáng kiến giám sát kiểm soát liên tục (continuous control monitoring - CCM).</w:t>
      </w:r>
    </w:p>
    <w:p>
      <w:pPr>
        <w:spacing w:after="80"/>
        <w:ind w:left="720"/>
      </w:pPr>
      <w:r>
        <w:t xml:space="preserve">• </w:t>
      </w:r>
      <w:r>
        <w:rPr>
          <w:b w:val="0"/>
          <w:i w:val="0"/>
        </w:rPr>
        <w:t>Các khoản thanh toán trùng lặp và sai sót được ngăn chặn trước khi tiền được giải ngân, cải thiện vốn lưu động và vị thế dòng tiền của công ty.</w:t>
      </w:r>
    </w:p>
    <w:p>
      <w:pPr>
        <w:spacing w:after="80"/>
        <w:ind w:left="720"/>
      </w:pPr>
      <w:r>
        <w:t xml:space="preserve">• </w:t>
      </w:r>
      <w:r>
        <w:rPr>
          <w:b w:val="0"/>
          <w:i w:val="0"/>
        </w:rPr>
        <w:t>Các cải tiến quy trình và cải tiến chương trình kiểm soát nội bộ có thể được thực hiện trong môi trường thời gian thực.</w:t>
      </w:r>
    </w:p>
    <w:p>
      <w:pPr>
        <w:jc w:val="center"/>
      </w:pPr>
      <w:r>
        <w:drawing>
          <wp:inline xmlns:a="http://schemas.openxmlformats.org/drawingml/2006/main" xmlns:pic="http://schemas.openxmlformats.org/drawingml/2006/picture">
            <wp:extent cx="5486400" cy="2400958"/>
            <wp:docPr id="6" name="Picture 6"/>
            <wp:cNvGraphicFramePr>
              <a:graphicFrameLocks noChangeAspect="1"/>
            </wp:cNvGraphicFramePr>
            <a:graphic>
              <a:graphicData uri="http://schemas.openxmlformats.org/drawingml/2006/picture">
                <pic:pic>
                  <pic:nvPicPr>
                    <pic:cNvPr id="0" name="Image00007.jpg"/>
                    <pic:cNvPicPr/>
                  </pic:nvPicPr>
                  <pic:blipFill>
                    <a:blip r:embed="rId14"/>
                    <a:stretch>
                      <a:fillRect/>
                    </a:stretch>
                  </pic:blipFill>
                  <pic:spPr>
                    <a:xfrm>
                      <a:off x="0" y="0"/>
                      <a:ext cx="5486400" cy="2400958"/>
                    </a:xfrm>
                    <a:prstGeom prst="rect"/>
                  </pic:spPr>
                </pic:pic>
              </a:graphicData>
            </a:graphic>
          </wp:inline>
        </w:drawing>
      </w:r>
    </w:p>
    <w:p>
      <w:pPr>
        <w:pStyle w:val="Heading2"/>
      </w:pPr>
      <w:r>
        <w:rPr>
          <w:rFonts w:ascii="Calibri" w:hAnsi="Calibri"/>
          <w:b/>
          <w:i w:val="0"/>
          <w:sz w:val="32"/>
        </w:rPr>
        <w:t>TỔNG QUAN QUY TRÌNH</w:t>
      </w:r>
    </w:p>
    <w:p>
      <w:pPr>
        <w:spacing w:after="80"/>
      </w:pPr>
      <w:r>
        <w:rPr>
          <w:b w:val="0"/>
          <w:i w:val="0"/>
        </w:rPr>
        <w:t>Sơ đồ dưới đây cho thấy các yếu tố nền tảng cho quy trình P2P là Kiểm soát Nội bộ và Tuân thủ, Hệ thống ERP, và Các Giải pháp Tự động hóa P2P.</w:t>
      </w:r>
    </w:p>
    <w:p>
      <w:pPr>
        <w:pStyle w:val="Heading2"/>
      </w:pPr>
      <w:r>
        <w:rPr>
          <w:rFonts w:ascii="Calibri" w:hAnsi="Calibri"/>
          <w:b/>
          <w:i w:val="0"/>
          <w:sz w:val="32"/>
        </w:rPr>
        <w:t>ÁP DỤNG KIỂM SOÁT NỘI BỘ</w:t>
      </w:r>
    </w:p>
    <w:p>
      <w:pPr>
        <w:spacing w:after="80"/>
      </w:pPr>
      <w:r>
        <w:rPr>
          <w:b w:val="0"/>
          <w:i w:val="0"/>
        </w:rPr>
        <w:t>Trong việc lựa chọn các thủ tục và kỹ thuật kiểm soát của ban quản lý, mức độ kiểm soát được triển khai là một vấn đề phán đoán kinh doanh hợp lý. Nguyên tắc chung cần được sử dụng để xác định mức độ triển khai kiểm soát nội bộ là chi phí của một kiểm soát không được vượt quá lợi ích thu được. Các tiêu chuẩn kiểm soát nội bộ được liệt kê ở đây đại diện cho các kiểm soát tối thiểu cần được triển khai trong quy trình P2P.</w:t>
      </w:r>
    </w:p>
    <w:p>
      <w:pPr>
        <w:pStyle w:val="Heading2"/>
      </w:pPr>
      <w:r>
        <w:rPr>
          <w:rFonts w:ascii="Calibri" w:hAnsi="Calibri"/>
          <w:b/>
          <w:i w:val="0"/>
          <w:sz w:val="32"/>
        </w:rPr>
        <w:t>CÁC CHỈ SỐ ĐO LƯỜNG</w:t>
      </w:r>
    </w:p>
    <w:tbl>
      <w:tblPr>
        <w:tblStyle w:val="TableGrid"/>
        <w:tblW w:type="auto" w:w="0"/>
        <w:tblLook w:firstColumn="1" w:firstRow="1" w:lastColumn="0" w:lastRow="0" w:noHBand="0" w:noVBand="1" w:val="04A0"/>
      </w:tblPr>
      <w:tblGrid>
        <w:gridCol w:w="9360"/>
      </w:tblGrid>
      <w:tr>
        <w:tc>
          <w:tcPr>
            <w:tcW w:type="dxa" w:w="9360"/>
          </w:tcPr>
          <w:p>
            <w:r/>
            <w:r>
              <w:rPr>
                <w:b/>
                <w:i w:val="0"/>
                <w:sz w:val="19"/>
              </w:rPr>
              <w:t>Bảng Các Chỉ số Đo lường</w:t>
            </w:r>
          </w:p>
        </w:tc>
      </w:tr>
      <w:tr>
        <w:tc>
          <w:tcPr>
            <w:tcW w:type="dxa" w:w="9360"/>
          </w:tcPr>
          <w:p>
            <w:r/>
            <w:r>
              <w:rPr>
                <w:b/>
                <w:i w:val="0"/>
                <w:sz w:val="19"/>
              </w:rPr>
              <w:t>Các Chỉ số Đo lường Chức năng</w:t>
            </w:r>
          </w:p>
        </w:tc>
      </w:tr>
      <w:tr>
        <w:tc>
          <w:tcPr>
            <w:tcW w:type="dxa" w:w="9360"/>
          </w:tcPr>
          <w:p>
            <w:r/>
            <w:r>
              <w:rPr>
                <w:b w:val="0"/>
                <w:i w:val="0"/>
                <w:sz w:val="19"/>
              </w:rPr>
              <w:t>• Tổng Chi phí của Toàn bộ Chức năng P2P dưới dạng Phần trăm Doanh thu</w:t>
            </w:r>
            <w:r>
              <w:br/>
            </w:r>
            <w:r>
              <w:rPr>
                <w:b w:val="0"/>
                <w:i w:val="0"/>
                <w:sz w:val="19"/>
              </w:rPr>
              <w:t>• Tổng Chi phí của Chức năng Mua hàng dưới dạng Phần trăm Doanh thu</w:t>
            </w:r>
            <w:r>
              <w:br/>
            </w:r>
            <w:r>
              <w:rPr>
                <w:b w:val="0"/>
                <w:i w:val="0"/>
                <w:sz w:val="19"/>
              </w:rPr>
              <w:t>• Tổng Chi phí của Chức năng Tài khoản Phải trả dưới dạng Phần trăm Doanh thu</w:t>
            </w:r>
            <w:r>
              <w:br/>
            </w:r>
            <w:r>
              <w:rPr>
                <w:b w:val="0"/>
                <w:i w:val="0"/>
                <w:sz w:val="19"/>
              </w:rPr>
              <w:t>• Số lượng FTE trong Toàn bộ Chức năng P2P</w:t>
            </w:r>
            <w:r>
              <w:br/>
            </w:r>
            <w:r>
              <w:rPr>
                <w:b w:val="0"/>
                <w:i w:val="0"/>
                <w:sz w:val="19"/>
              </w:rPr>
              <w:t>• Số lượng FTE trong các Chức năng Mua hàng</w:t>
            </w:r>
            <w:r>
              <w:br/>
            </w:r>
            <w:r>
              <w:rPr>
                <w:b w:val="0"/>
                <w:i w:val="0"/>
                <w:sz w:val="19"/>
              </w:rPr>
              <w:t>• Số lượng FTE trong Chức năng Tài khoản Phải trả</w:t>
            </w:r>
          </w:p>
        </w:tc>
      </w:tr>
      <w:tr>
        <w:tc>
          <w:tcPr>
            <w:tcW w:type="dxa" w:w="9360"/>
          </w:tcPr>
          <w:p>
            <w:r/>
            <w:r>
              <w:rPr>
                <w:b/>
                <w:i w:val="0"/>
                <w:sz w:val="19"/>
              </w:rPr>
              <w:t>Các chỉ số về Chi phí và Quy trình Mua hàng</w:t>
            </w:r>
          </w:p>
        </w:tc>
      </w:tr>
      <w:tr>
        <w:tc>
          <w:tcPr>
            <w:tcW w:type="dxa" w:w="9360"/>
          </w:tcPr>
          <w:p>
            <w:r/>
            <w:r>
              <w:rPr>
                <w:b w:val="0"/>
                <w:i w:val="0"/>
                <w:sz w:val="19"/>
              </w:rPr>
              <w:t>• Chi phí cho mỗi RFP</w:t>
            </w:r>
            <w:r>
              <w:br/>
            </w:r>
            <w:r>
              <w:rPr>
                <w:b w:val="0"/>
                <w:i w:val="0"/>
                <w:sz w:val="19"/>
              </w:rPr>
              <w:t>• Chi phí cho mỗi Hợp đồng</w:t>
            </w:r>
            <w:r>
              <w:br/>
            </w:r>
            <w:r>
              <w:rPr>
                <w:b w:val="0"/>
                <w:i w:val="0"/>
                <w:sz w:val="19"/>
              </w:rPr>
              <w:t>• Chi phí cho mỗi Đơn đặt hàng</w:t>
            </w:r>
            <w:r>
              <w:br/>
            </w:r>
            <w:r>
              <w:rPr>
                <w:b w:val="0"/>
                <w:i w:val="0"/>
                <w:sz w:val="19"/>
              </w:rPr>
              <w:t>• Tiết kiệm chi phí từ Mua hàng Chiến lược</w:t>
            </w:r>
            <w:r>
              <w:br/>
            </w:r>
            <w:r>
              <w:rPr>
                <w:b w:val="0"/>
                <w:i w:val="0"/>
                <w:sz w:val="19"/>
              </w:rPr>
              <w:t>• Lỗi trong Quy trình Đơn đặt hàng</w:t>
            </w:r>
            <w:r>
              <w:br/>
            </w:r>
            <w:r>
              <w:rPr>
                <w:b w:val="0"/>
                <w:i w:val="0"/>
                <w:sz w:val="19"/>
              </w:rPr>
              <w:t>• Các mặt hàng chưa được phê duyệt trong Quy trình Đơn đặt hàng</w:t>
            </w:r>
            <w:r>
              <w:br/>
            </w:r>
            <w:r>
              <w:rPr>
                <w:b w:val="0"/>
                <w:i w:val="0"/>
                <w:sz w:val="19"/>
              </w:rPr>
              <w:t>• Hóa đơn không có Đơn đặt hàng</w:t>
            </w:r>
            <w:r>
              <w:br/>
            </w:r>
            <w:r>
              <w:rPr>
                <w:b w:val="0"/>
                <w:i w:val="0"/>
                <w:sz w:val="19"/>
              </w:rPr>
              <w:t>• Chi phí cho mỗi giao dịch P-Card</w:t>
            </w:r>
            <w:r>
              <w:br/>
            </w:r>
            <w:r>
              <w:rPr>
                <w:b w:val="0"/>
                <w:i w:val="0"/>
                <w:sz w:val="19"/>
              </w:rPr>
              <w:t>• Nhà cung cấp sử dụng eProcurement</w:t>
            </w:r>
            <w:r>
              <w:br/>
            </w:r>
            <w:r>
              <w:rPr>
                <w:b w:val="0"/>
                <w:i w:val="0"/>
                <w:sz w:val="19"/>
              </w:rPr>
              <w:t>• Nhà cung cấp sử dụng Cổng thông tin Nhà cung cấp để Onboarding Trạng thái Hóa đơn</w:t>
            </w:r>
          </w:p>
        </w:tc>
      </w:tr>
      <w:tr>
        <w:tc>
          <w:tcPr>
            <w:tcW w:type="dxa" w:w="9360"/>
          </w:tcPr>
          <w:p>
            <w:r/>
            <w:r>
              <w:rPr>
                <w:b/>
                <w:i w:val="0"/>
                <w:sz w:val="19"/>
              </w:rPr>
              <w:t>Các chỉ số về Chi phí và Quy trình Kế toán Thanh toán</w:t>
            </w:r>
          </w:p>
        </w:tc>
      </w:tr>
      <w:tr>
        <w:tc>
          <w:tcPr>
            <w:tcW w:type="dxa" w:w="9360"/>
          </w:tcPr>
          <w:p>
            <w:r/>
            <w:r>
              <w:rPr>
                <w:b w:val="0"/>
                <w:i w:val="0"/>
                <w:sz w:val="19"/>
              </w:rPr>
              <w:t>• Chi phí cho mỗi Hóa đơn</w:t>
            </w:r>
            <w:r>
              <w:br/>
            </w:r>
            <w:r>
              <w:rPr>
                <w:b w:val="0"/>
                <w:i w:val="0"/>
                <w:sz w:val="19"/>
              </w:rPr>
              <w:t>• Chi phí cho mỗi Dòng mặt hàng trên Hóa đơn</w:t>
            </w:r>
            <w:r>
              <w:br/>
            </w:r>
            <w:r>
              <w:rPr>
                <w:b w:val="0"/>
                <w:i w:val="0"/>
                <w:sz w:val="19"/>
              </w:rPr>
              <w:t>• Tỷ lệ Khớp thanh toán lần đầu</w:t>
            </w:r>
            <w:r>
              <w:br/>
            </w:r>
            <w:r>
              <w:rPr>
                <w:b w:val="0"/>
                <w:i w:val="0"/>
                <w:sz w:val="19"/>
              </w:rPr>
              <w:t>• Thanh toán cho Nhà cung cấp có lỗi</w:t>
            </w:r>
            <w:r>
              <w:br/>
            </w:r>
            <w:r>
              <w:rPr>
                <w:b w:val="0"/>
                <w:i w:val="0"/>
                <w:sz w:val="19"/>
              </w:rPr>
              <w:t>• Số lượng Thanh toán trùng lặp (Phát hiện trước khi chạy Thanh toán) Số lượng</w:t>
            </w:r>
            <w:r>
              <w:br/>
            </w:r>
            <w:r>
              <w:rPr>
                <w:b w:val="0"/>
                <w:i w:val="0"/>
                <w:sz w:val="19"/>
              </w:rPr>
              <w:t>• Thanh toán trùng lặp (Phát hiện sau khi chạy Thanh toán)</w:t>
            </w:r>
            <w:r>
              <w:br/>
            </w:r>
            <w:r>
              <w:rPr>
                <w:b w:val="0"/>
                <w:i w:val="0"/>
                <w:sz w:val="19"/>
              </w:rPr>
              <w:t>• Tỷ lệ Thu hồi thanh toán (Sau thanh toán)</w:t>
            </w:r>
            <w:r>
              <w:br/>
            </w:r>
            <w:r>
              <w:rPr>
                <w:b w:val="0"/>
                <w:i w:val="0"/>
                <w:sz w:val="19"/>
              </w:rPr>
              <w:t>• Tỷ lệ Thu hồi bằng Séc (Sau thanh toán)</w:t>
            </w:r>
            <w:r>
              <w:br/>
            </w:r>
            <w:r>
              <w:rPr>
                <w:b w:val="0"/>
                <w:i w:val="0"/>
                <w:sz w:val="19"/>
              </w:rPr>
              <w:t>• Tỷ lệ Thu hồi bằng Giấy báo có (Thanh toán)</w:t>
            </w:r>
            <w:r>
              <w:br/>
            </w:r>
            <w:r>
              <w:rPr>
                <w:b w:val="0"/>
                <w:i w:val="0"/>
                <w:sz w:val="19"/>
              </w:rPr>
              <w:t>• Tỷ lệ sử dụng Hóa đơn điện tử (eInvoicing)</w:t>
            </w:r>
            <w:r>
              <w:br/>
            </w:r>
            <w:r>
              <w:rPr>
                <w:b w:val="0"/>
                <w:i w:val="0"/>
                <w:sz w:val="19"/>
              </w:rPr>
              <w:t>• Tỷ lệ sử dụng Thanh toán điện tử (ePayment)</w:t>
            </w:r>
            <w:r>
              <w:br/>
            </w:r>
            <w:r>
              <w:rPr>
                <w:b w:val="0"/>
                <w:i w:val="0"/>
                <w:sz w:val="19"/>
              </w:rPr>
              <w:t>• Hóa đơn được thanh toán trong Điều khoản quy định</w:t>
            </w:r>
            <w:r>
              <w:br/>
            </w:r>
            <w:r>
              <w:rPr>
                <w:b w:val="0"/>
                <w:i w:val="0"/>
                <w:sz w:val="19"/>
              </w:rPr>
              <w:t>• Giá trị Chiết khấu Nhà cung cấp được hưởng</w:t>
            </w:r>
            <w:r>
              <w:br/>
            </w:r>
            <w:r>
              <w:rPr>
                <w:b w:val="0"/>
                <w:i w:val="0"/>
                <w:sz w:val="19"/>
              </w:rPr>
              <w:t>• Số lượng Séc thủ công phát hành mỗi kỳ</w:t>
            </w:r>
            <w:r>
              <w:br/>
            </w:r>
            <w:r>
              <w:rPr>
                <w:b w:val="0"/>
                <w:i w:val="0"/>
                <w:sz w:val="19"/>
              </w:rPr>
              <w:t>• Thời gian Chu kỳ Thanh toán Hóa đơn</w:t>
            </w:r>
            <w:r>
              <w:br/>
            </w:r>
            <w:r>
              <w:rPr>
                <w:b w:val="0"/>
                <w:i w:val="0"/>
                <w:sz w:val="19"/>
              </w:rPr>
              <w:t>• Số lượng Hóa đơn xử lý hàng tháng</w:t>
            </w:r>
            <w:r>
              <w:br/>
            </w:r>
            <w:r>
              <w:rPr>
                <w:b w:val="0"/>
                <w:i w:val="0"/>
                <w:sz w:val="19"/>
              </w:rPr>
              <w:t>• Số dư Nhận hàng/Nhận hóa đơn (Tài khoản thanh toán bù trừ)</w:t>
            </w:r>
            <w:r>
              <w:br/>
            </w:r>
            <w:r>
              <w:rPr>
                <w:b w:val="0"/>
                <w:i w:val="0"/>
                <w:sz w:val="19"/>
              </w:rPr>
              <w:t>• Tuổi số dư Nhận hàng/Nhận hóa đơn</w:t>
            </w:r>
            <w:r>
              <w:br/>
            </w:r>
            <w:r>
              <w:rPr>
                <w:b w:val="0"/>
                <w:i w:val="0"/>
                <w:sz w:val="19"/>
              </w:rPr>
              <w:t>• Tuổi số dư Nhận hàng/Nhận hóa đơn theo Nguyên nhân gốc</w:t>
            </w:r>
            <w:r>
              <w:br/>
            </w:r>
            <w:r>
              <w:rPr>
                <w:b w:val="0"/>
                <w:i w:val="0"/>
                <w:sz w:val="19"/>
              </w:rPr>
              <w:t>• Hóa đơn thanh toán sớm</w:t>
            </w:r>
            <w:r>
              <w:br/>
            </w:r>
            <w:r>
              <w:rPr>
                <w:b w:val="0"/>
                <w:i w:val="0"/>
                <w:sz w:val="19"/>
              </w:rPr>
              <w:t>• Chi phí Dịch vụ Khách hàng cho mỗi Yêu cầu</w:t>
            </w:r>
            <w:r>
              <w:br/>
            </w:r>
            <w:r>
              <w:rPr>
                <w:b w:val="0"/>
                <w:i w:val="0"/>
                <w:sz w:val="19"/>
              </w:rPr>
              <w:t>• Thời gian Phản hồi Dịch vụ Khách hàng</w:t>
            </w:r>
            <w:r>
              <w:br/>
            </w:r>
            <w:r>
              <w:rPr>
                <w:b w:val="0"/>
                <w:i w:val="0"/>
                <w:sz w:val="19"/>
              </w:rPr>
              <w:t>• Thanh toán bị chặn—Số lượng Hóa đơn</w:t>
            </w:r>
            <w:r>
              <w:br/>
            </w:r>
            <w:r>
              <w:rPr>
                <w:b w:val="0"/>
                <w:i w:val="0"/>
                <w:sz w:val="19"/>
              </w:rPr>
              <w:t>• Thanh toán bị chặn—Số tiền</w:t>
            </w:r>
            <w:r>
              <w:br/>
            </w:r>
            <w:r>
              <w:rPr>
                <w:b w:val="0"/>
                <w:i w:val="0"/>
                <w:sz w:val="19"/>
              </w:rPr>
              <w:t>• Thanh toán bị chặn—Tuổi</w:t>
            </w:r>
            <w:r>
              <w:br/>
            </w:r>
            <w:r>
              <w:rPr>
                <w:b w:val="0"/>
                <w:i w:val="0"/>
                <w:sz w:val="19"/>
              </w:rPr>
              <w:t>• Thanh toán bị chặn—Theo Đơn vị Kinh doanh</w:t>
            </w:r>
            <w:r>
              <w:br/>
            </w:r>
            <w:r>
              <w:rPr>
                <w:b w:val="0"/>
                <w:i w:val="0"/>
                <w:sz w:val="19"/>
              </w:rPr>
              <w:t>• Số lượng Séc bị hủy</w:t>
            </w:r>
            <w:r>
              <w:br/>
            </w:r>
            <w:r>
              <w:rPr>
                <w:b w:val="0"/>
                <w:i w:val="0"/>
                <w:sz w:val="19"/>
              </w:rPr>
              <w:t>• Số lượng Séc phát hành lại</w:t>
            </w:r>
            <w:r>
              <w:br/>
            </w:r>
            <w:r>
              <w:rPr>
                <w:b w:val="0"/>
                <w:i w:val="0"/>
                <w:sz w:val="19"/>
              </w:rPr>
              <w:t>• Tỷ lệ Séc so với ACH</w:t>
            </w:r>
            <w:r>
              <w:br/>
            </w:r>
            <w:r>
              <w:rPr>
                <w:b w:val="0"/>
                <w:i w:val="0"/>
                <w:sz w:val="19"/>
              </w:rPr>
              <w:t>• Séc bị trả lại</w:t>
            </w:r>
            <w:r>
              <w:br/>
            </w:r>
            <w:r>
              <w:rPr>
                <w:b w:val="0"/>
                <w:i w:val="0"/>
                <w:sz w:val="19"/>
              </w:rPr>
              <w:t>•  Yêu cầu của Khách hàng theo Lý do</w:t>
            </w:r>
            <w:r>
              <w:br/>
            </w:r>
            <w:r>
              <w:rPr>
                <w:b w:val="0"/>
                <w:i w:val="0"/>
                <w:sz w:val="19"/>
              </w:rPr>
              <w:t>• Yêu cầu của Khách hàng Bên ngoài so với Nội bộ</w:t>
            </w:r>
            <w:r>
              <w:br/>
            </w:r>
            <w:r>
              <w:rPr>
                <w:b w:val="0"/>
                <w:i w:val="0"/>
                <w:sz w:val="19"/>
              </w:rPr>
              <w:t>• Năm Lý do Yêu cầu Hàng đầu</w:t>
            </w:r>
            <w:r>
              <w:br/>
            </w:r>
            <w:r>
              <w:rPr>
                <w:b w:val="0"/>
                <w:i w:val="0"/>
                <w:sz w:val="19"/>
              </w:rPr>
              <w:t>• Số lượng Nhà cung cấp</w:t>
            </w:r>
            <w:r>
              <w:br/>
            </w:r>
            <w:r>
              <w:rPr>
                <w:b w:val="0"/>
                <w:i w:val="0"/>
                <w:sz w:val="19"/>
              </w:rPr>
              <w:t>• Tỷ lệ Nhà cung cấp dùng một lần</w:t>
            </w:r>
            <w:r>
              <w:br/>
            </w:r>
            <w:r>
              <w:rPr>
                <w:b w:val="0"/>
                <w:i w:val="0"/>
                <w:sz w:val="19"/>
              </w:rPr>
              <w:t>• Tỷ lệ Nhà cung cấp nước ngoài</w:t>
            </w:r>
            <w:r>
              <w:br/>
            </w:r>
            <w:r>
              <w:rPr>
                <w:b w:val="0"/>
                <w:i w:val="0"/>
                <w:sz w:val="19"/>
              </w:rPr>
              <w:t>• Tổng số dư Nợ theo Tháng</w:t>
            </w:r>
            <w:r>
              <w:br/>
            </w:r>
            <w:r>
              <w:rPr>
                <w:b w:val="0"/>
                <w:i w:val="0"/>
                <w:sz w:val="19"/>
              </w:rPr>
              <w:t>• Tuổi số dư Nợ</w:t>
            </w:r>
            <w:r>
              <w:br/>
            </w:r>
            <w:r>
              <w:rPr>
                <w:b w:val="0"/>
                <w:i w:val="0"/>
                <w:sz w:val="19"/>
              </w:rPr>
              <w:t>• Tỷ lệ Nhà cung cấp có số dư Nợ</w:t>
            </w:r>
          </w:p>
        </w:tc>
      </w:tr>
      <w:tr>
        <w:tc>
          <w:tcPr>
            <w:tcW w:type="dxa" w:w="9360"/>
          </w:tcPr>
          <w:p>
            <w:r/>
            <w:r>
              <w:rPr>
                <w:b/>
                <w:i w:val="0"/>
                <w:sz w:val="19"/>
              </w:rPr>
              <w:t>Kiểm soát Nội bộ và Tuân thủ</w:t>
            </w:r>
          </w:p>
        </w:tc>
      </w:tr>
      <w:tr>
        <w:tc>
          <w:tcPr>
            <w:tcW w:type="dxa" w:w="9360"/>
          </w:tcPr>
          <w:p>
            <w:r/>
            <w:r>
              <w:rPr>
                <w:b w:val="0"/>
                <w:i w:val="0"/>
                <w:sz w:val="19"/>
              </w:rPr>
              <w:t>• Số lượng Vấn đề Khớp TIN</w:t>
            </w:r>
            <w:r>
              <w:br/>
            </w:r>
            <w:r>
              <w:rPr>
                <w:b w:val="0"/>
                <w:i w:val="0"/>
                <w:sz w:val="19"/>
              </w:rPr>
              <w:t>• Số lượng Vấn đề Tuân thủ Quy định</w:t>
            </w:r>
          </w:p>
        </w:tc>
      </w:tr>
      <w:tr>
        <w:tc>
          <w:tcPr>
            <w:tcW w:type="dxa" w:w="9360"/>
          </w:tcPr>
          <w:p>
            <w:r/>
            <w:r>
              <w:rPr>
                <w:b w:val="0"/>
                <w:i w:val="0"/>
                <w:sz w:val="19"/>
              </w:rPr>
              <w:t xml:space="preserve">• Vấn đề Tuân thủ Quy định theo Loại </w:t>
            </w:r>
            <w:r>
              <w:br/>
            </w:r>
            <w:r>
              <w:rPr>
                <w:b w:val="0"/>
                <w:i w:val="0"/>
                <w:sz w:val="19"/>
              </w:rPr>
              <w:t>• OFAC của Kiểm soát Tài sản Nước ngoài (OFAC)</w:t>
            </w:r>
            <w:r>
              <w:br/>
            </w:r>
            <w:r>
              <w:rPr>
                <w:b w:val="0"/>
                <w:i w:val="0"/>
                <w:sz w:val="19"/>
              </w:rPr>
              <w:t>• Cục Công nghiệp và An ninh (BIS)</w:t>
            </w:r>
            <w:r>
              <w:br/>
            </w:r>
            <w:r>
              <w:rPr>
                <w:b w:val="0"/>
                <w:i w:val="0"/>
                <w:sz w:val="19"/>
              </w:rPr>
              <w:t>• Văn phòng Tổng Thanh tra (OIG)</w:t>
            </w:r>
            <w:r>
              <w:br/>
            </w:r>
            <w:r>
              <w:rPr>
                <w:b w:val="0"/>
                <w:i w:val="0"/>
                <w:sz w:val="19"/>
              </w:rPr>
              <w:t>• Đạo luật Chống Tham nhũng Nước ngoài (FCPA)</w:t>
            </w:r>
          </w:p>
        </w:tc>
      </w:tr>
      <w:tr>
        <w:tc>
          <w:tcPr>
            <w:tcW w:type="dxa" w:w="9360"/>
          </w:tcPr>
          <w:p>
            <w:r/>
            <w:r>
              <w:rPr>
                <w:b w:val="0"/>
                <w:i w:val="0"/>
                <w:sz w:val="19"/>
              </w:rPr>
              <w:t>• Số lượng Vấn đề về Giá</w:t>
            </w:r>
            <w:r>
              <w:br/>
            </w:r>
            <w:r>
              <w:rPr>
                <w:b w:val="0"/>
                <w:i w:val="0"/>
                <w:sz w:val="19"/>
              </w:rPr>
              <w:t>• Số lượng Vấn đề Kiểm soát Nội bộ</w:t>
            </w:r>
            <w:r>
              <w:br/>
            </w:r>
            <w:r>
              <w:rPr>
                <w:b w:val="0"/>
                <w:i w:val="0"/>
                <w:sz w:val="19"/>
              </w:rPr>
              <w:t>• Tuổi của Vấn đề Kiểm soát Nội bộ</w:t>
            </w:r>
            <w:r>
              <w:br/>
            </w:r>
            <w:r>
              <w:rPr>
                <w:b w:val="0"/>
                <w:i w:val="0"/>
                <w:sz w:val="19"/>
              </w:rPr>
              <w:t>• Số lượng Tự đánh giá đã hoàn thành</w:t>
            </w:r>
            <w:r>
              <w:br/>
            </w:r>
            <w:r>
              <w:rPr>
                <w:b w:val="0"/>
                <w:i w:val="0"/>
                <w:sz w:val="19"/>
              </w:rPr>
              <w:t>• Thời gian Chu kỳ Khắc phục Vấn đề Kiểm soát Nội bộ</w:t>
            </w:r>
          </w:p>
        </w:tc>
      </w:tr>
      <w:tr>
        <w:tc>
          <w:tcPr>
            <w:tcW w:type="dxa" w:w="9360"/>
          </w:tcPr>
          <w:p>
            <w:r/>
            <w:r>
              <w:rPr>
                <w:b w:val="0"/>
                <w:i w:val="0"/>
                <w:sz w:val="19"/>
              </w:rPr>
              <w:t xml:space="preserve">• Vấn đề Kiểm soát Nội bộ theo Loại </w:t>
            </w:r>
            <w:r>
              <w:br/>
            </w:r>
            <w:r>
              <w:rPr>
                <w:b w:val="0"/>
                <w:i w:val="0"/>
                <w:sz w:val="19"/>
              </w:rPr>
              <w:t>• Lỗi Phân quyền</w:t>
            </w:r>
            <w:r>
              <w:br/>
            </w:r>
            <w:r>
              <w:rPr>
                <w:b w:val="0"/>
                <w:i w:val="0"/>
                <w:sz w:val="19"/>
              </w:rPr>
              <w:t>• Lỗi Phân tách Nhiệm vụ</w:t>
            </w:r>
            <w:r>
              <w:br/>
            </w:r>
            <w:r>
              <w:rPr>
                <w:b w:val="0"/>
                <w:i w:val="0"/>
                <w:sz w:val="19"/>
              </w:rPr>
              <w:t>• Mã hóa Hóa đơn cho Sai Nhà cung cấp</w:t>
            </w:r>
            <w:r>
              <w:br/>
            </w:r>
            <w:r>
              <w:rPr>
                <w:b w:val="0"/>
                <w:i w:val="0"/>
                <w:sz w:val="19"/>
              </w:rPr>
              <w:t>• Tỷ lệ Lỗi Tiền tệ (Thanh toán sai loại tiền)</w:t>
            </w:r>
            <w:r>
              <w:br/>
            </w:r>
            <w:r>
              <w:rPr>
                <w:b w:val="0"/>
                <w:i w:val="0"/>
                <w:sz w:val="19"/>
              </w:rPr>
              <w:t>• Nhà cung cấp trùng lặp trên Tệp chính Nhà cung cấp</w:t>
            </w:r>
            <w:r>
              <w:br/>
            </w:r>
            <w:r>
              <w:rPr>
                <w:b w:val="0"/>
                <w:i w:val="0"/>
                <w:sz w:val="19"/>
              </w:rPr>
              <w:t>• Giấy báo có bị thanh toán như Hóa đơn</w:t>
            </w:r>
            <w:r>
              <w:br/>
            </w:r>
            <w:r>
              <w:rPr>
                <w:b w:val="0"/>
                <w:i w:val="0"/>
                <w:sz w:val="19"/>
              </w:rPr>
              <w:t>• Hóa đơn đã được thanh toán bằng P-Card</w:t>
            </w:r>
          </w:p>
        </w:tc>
      </w:tr>
      <w:tr>
        <w:tc>
          <w:tcPr>
            <w:tcW w:type="dxa" w:w="9360"/>
          </w:tcPr>
          <w:p>
            <w:r/>
            <w:r>
              <w:rPr>
                <w:b w:val="0"/>
                <w:i w:val="0"/>
                <w:sz w:val="19"/>
              </w:rPr>
              <w:t>• Số lượng Nhà cung cấp đáng ngờ hoặc gian lận</w:t>
            </w:r>
            <w:r>
              <w:br/>
            </w:r>
            <w:r>
              <w:rPr>
                <w:b w:val="0"/>
                <w:i w:val="0"/>
                <w:sz w:val="19"/>
              </w:rPr>
              <w:t>• Số lượng Vấn đề Kiểm soát được báo cáo (Positive Pay, Positive Payee, ACH Debit Block, hoặc Filter)</w:t>
            </w:r>
          </w:p>
        </w:tc>
      </w:tr>
    </w:tbl>
    <w:p>
      <w:pPr>
        <w:spacing w:after="0"/>
      </w:pPr>
    </w:p>
    <w:p>
      <w:pPr>
        <w:pStyle w:val="Heading2"/>
      </w:pPr>
      <w:r>
        <w:rPr>
          <w:rFonts w:ascii="Calibri" w:hAnsi="Calibri"/>
          <w:b/>
          <w:i w:val="0"/>
          <w:sz w:val="32"/>
        </w:rPr>
        <w:t>CÁC QUY TRÌNH CON</w:t>
      </w:r>
    </w:p>
    <w:p>
      <w:pPr>
        <w:spacing w:after="80"/>
      </w:pPr>
      <w:r>
        <w:rPr>
          <w:b w:val="0"/>
          <w:i w:val="0"/>
        </w:rPr>
        <w:t>Các quy trình con cụ thể được bao gồm trong quy trình P2P là:</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4.1</w:t>
            </w:r>
          </w:p>
        </w:tc>
        <w:tc>
          <w:tcPr>
            <w:tcW w:type="dxa" w:w="4680"/>
          </w:tcPr>
          <w:p>
            <w:r/>
            <w:r>
              <w:rPr>
                <w:b w:val="0"/>
                <w:i w:val="0"/>
                <w:sz w:val="19"/>
              </w:rPr>
              <w:t>Lựa chọn và Quản lý Nhà cung cấp</w:t>
            </w:r>
          </w:p>
        </w:tc>
      </w:tr>
      <w:tr>
        <w:tc>
          <w:tcPr>
            <w:tcW w:type="dxa" w:w="4680"/>
          </w:tcPr>
          <w:p>
            <w:r/>
            <w:r>
              <w:rPr>
                <w:b w:val="0"/>
                <w:i w:val="0"/>
                <w:sz w:val="19"/>
              </w:rPr>
              <w:t>4.2</w:t>
            </w:r>
          </w:p>
        </w:tc>
        <w:tc>
          <w:tcPr>
            <w:tcW w:type="dxa" w:w="4680"/>
          </w:tcPr>
          <w:p>
            <w:r/>
            <w:r>
              <w:rPr>
                <w:b w:val="0"/>
                <w:i w:val="0"/>
                <w:sz w:val="19"/>
              </w:rPr>
              <w:t>Mua hàng/Đặt hàng</w:t>
            </w:r>
          </w:p>
        </w:tc>
      </w:tr>
      <w:tr>
        <w:tc>
          <w:tcPr>
            <w:tcW w:type="dxa" w:w="4680"/>
          </w:tcPr>
          <w:p>
            <w:r/>
            <w:r>
              <w:rPr>
                <w:b w:val="0"/>
                <w:i w:val="0"/>
                <w:sz w:val="19"/>
              </w:rPr>
              <w:t>4.3</w:t>
            </w:r>
          </w:p>
        </w:tc>
        <w:tc>
          <w:tcPr>
            <w:tcW w:type="dxa" w:w="4680"/>
          </w:tcPr>
          <w:p>
            <w:r/>
            <w:r>
              <w:rPr>
                <w:b w:val="0"/>
                <w:i w:val="0"/>
                <w:sz w:val="19"/>
              </w:rPr>
              <w:t>Kiểm soát nhập khẩu</w:t>
            </w:r>
          </w:p>
        </w:tc>
      </w:tr>
      <w:tr>
        <w:tc>
          <w:tcPr>
            <w:tcW w:type="dxa" w:w="4680"/>
          </w:tcPr>
          <w:p>
            <w:r/>
            <w:r>
              <w:rPr>
                <w:b w:val="0"/>
                <w:i w:val="0"/>
                <w:sz w:val="19"/>
              </w:rPr>
              <w:t>4.4</w:t>
            </w:r>
          </w:p>
        </w:tc>
        <w:tc>
          <w:tcPr>
            <w:tcW w:type="dxa" w:w="4680"/>
          </w:tcPr>
          <w:p>
            <w:r/>
            <w:r>
              <w:rPr>
                <w:b w:val="0"/>
                <w:i w:val="0"/>
                <w:sz w:val="19"/>
              </w:rPr>
              <w:t>Nhận hàng</w:t>
            </w:r>
          </w:p>
        </w:tc>
      </w:tr>
      <w:tr>
        <w:tc>
          <w:tcPr>
            <w:tcW w:type="dxa" w:w="4680"/>
          </w:tcPr>
          <w:p>
            <w:r/>
            <w:r>
              <w:rPr>
                <w:b w:val="0"/>
                <w:i w:val="0"/>
                <w:sz w:val="19"/>
              </w:rPr>
              <w:t>4.5</w:t>
            </w:r>
          </w:p>
        </w:tc>
        <w:tc>
          <w:tcPr>
            <w:tcW w:type="dxa" w:w="4680"/>
          </w:tcPr>
          <w:p>
            <w:r/>
            <w:r>
              <w:rPr>
                <w:b w:val="0"/>
                <w:i w:val="0"/>
                <w:sz w:val="19"/>
              </w:rPr>
              <w:t>Các khoản phải trả</w:t>
            </w:r>
          </w:p>
        </w:tc>
      </w:tr>
      <w:tr>
        <w:tc>
          <w:tcPr>
            <w:tcW w:type="dxa" w:w="4680"/>
          </w:tcPr>
          <w:p>
            <w:r/>
            <w:r>
              <w:rPr>
                <w:b w:val="0"/>
                <w:i w:val="0"/>
                <w:sz w:val="19"/>
              </w:rPr>
              <w:t>4.6</w:t>
            </w:r>
          </w:p>
        </w:tc>
        <w:tc>
          <w:tcPr>
            <w:tcW w:type="dxa" w:w="4680"/>
          </w:tcPr>
          <w:p>
            <w:r/>
            <w:r>
              <w:rPr>
                <w:b w:val="0"/>
                <w:i w:val="0"/>
                <w:sz w:val="19"/>
              </w:rPr>
              <w:t>Quy trình thanh toán – Tổng quan</w:t>
            </w:r>
          </w:p>
        </w:tc>
      </w:tr>
      <w:tr>
        <w:tc>
          <w:tcPr>
            <w:tcW w:type="dxa" w:w="4680"/>
          </w:tcPr>
          <w:p>
            <w:r/>
            <w:r>
              <w:rPr>
                <w:b w:val="0"/>
                <w:i w:val="0"/>
                <w:sz w:val="19"/>
              </w:rPr>
              <w:t>4.7</w:t>
            </w:r>
          </w:p>
        </w:tc>
        <w:tc>
          <w:tcPr>
            <w:tcW w:type="dxa" w:w="4680"/>
          </w:tcPr>
          <w:p>
            <w:r/>
            <w:r>
              <w:rPr>
                <w:b w:val="0"/>
                <w:i w:val="0"/>
                <w:sz w:val="19"/>
              </w:rPr>
              <w:t>Quy trình thanh toán — Công tác phí và chi phí tiếp khách</w:t>
            </w:r>
          </w:p>
        </w:tc>
      </w:tr>
      <w:tr>
        <w:tc>
          <w:tcPr>
            <w:tcW w:type="dxa" w:w="4680"/>
          </w:tcPr>
          <w:p>
            <w:r/>
            <w:r>
              <w:rPr>
                <w:b w:val="0"/>
                <w:i w:val="0"/>
                <w:sz w:val="19"/>
              </w:rPr>
              <w:t>4.8</w:t>
            </w:r>
          </w:p>
        </w:tc>
        <w:tc>
          <w:tcPr>
            <w:tcW w:type="dxa" w:w="4680"/>
          </w:tcPr>
          <w:p>
            <w:r/>
            <w:r>
              <w:rPr>
                <w:b w:val="0"/>
                <w:i w:val="0"/>
                <w:sz w:val="19"/>
              </w:rPr>
              <w:t>Nghiên cứu và phát triển sản phẩm</w:t>
            </w:r>
          </w:p>
        </w:tc>
      </w:tr>
      <w:tr>
        <w:tc>
          <w:tcPr>
            <w:tcW w:type="dxa" w:w="4680"/>
          </w:tcPr>
          <w:p>
            <w:r/>
            <w:r>
              <w:rPr>
                <w:b w:val="0"/>
                <w:i w:val="0"/>
                <w:sz w:val="19"/>
              </w:rPr>
              <w:t>4.9</w:t>
            </w:r>
          </w:p>
        </w:tc>
        <w:tc>
          <w:tcPr>
            <w:tcW w:type="dxa" w:w="4680"/>
          </w:tcPr>
          <w:p>
            <w:r/>
            <w:r>
              <w:rPr>
                <w:b w:val="0"/>
                <w:i w:val="0"/>
                <w:sz w:val="19"/>
              </w:rPr>
              <w:t>Thẻ mua hàng (P-Cards)</w:t>
            </w:r>
          </w:p>
        </w:tc>
      </w:tr>
    </w:tbl>
    <w:p>
      <w:pPr>
        <w:spacing w:after="0"/>
      </w:pPr>
    </w:p>
    <w:p>
      <w:pPr>
        <w:pStyle w:val="Heading2"/>
      </w:pPr>
      <w:r>
        <w:rPr>
          <w:rFonts w:ascii="Calibri" w:hAnsi="Calibri"/>
          <w:b/>
          <w:i w:val="0"/>
          <w:sz w:val="32"/>
        </w:rPr>
        <w:t>4.1 LỰA CHỌN VÀ QUẢN LÝ NHÀ CUNG CẤP</w:t>
      </w:r>
    </w:p>
    <w:p>
      <w:pPr>
        <w:pStyle w:val="Heading3"/>
      </w:pPr>
      <w:r>
        <w:rPr>
          <w:rFonts w:ascii="Calibri" w:hAnsi="Calibri"/>
          <w:b/>
          <w:i w:val="0"/>
          <w:sz w:val="26"/>
        </w:rPr>
        <w:t>Giới thiệu</w:t>
      </w:r>
    </w:p>
    <w:p>
      <w:pPr>
        <w:spacing w:after="80"/>
      </w:pPr>
      <w:r>
        <w:rPr>
          <w:b w:val="0"/>
          <w:i w:val="0"/>
        </w:rPr>
        <w:t>Mọi giao dịch mua hàng đều phải được thực hiện từ cơ sở dữ liệu/danh sách nhà cung cấp đã được phê duyệt, tuân theo các quy trình tại địa phương. Cần có một quy trình chính thức để phê duyệt việc mua hàng từ những nhà cung cấp không nằm trong cơ sở dữ liệu đã được phê duyệt hoặc nằm trong danh sách theo dõi của chính phủ như Văn phòng Kiểm soát Tài sản Nước ngoài (OFAC) và Văn phòng Tổng Thanh tra (OIG). Nhà cung cấp cần được sàng lọc để đảm bảo rằng các quan chức nước ngoài và những người có ảnh hưởng chính trị (PEP - politically exposed persons) không nằm trong hồ sơ gốc của nhà cung cấp, đồng thời đảm bảo không vi phạm Đạo luật Chống Tham nhũng Nước ngoài (FCPA). Việc không tuân thủ bất kỳ quy trình sàng lọc nào nêu trên đều có thể dẫn đến các khoản tiền phạt đáng kể và gây tổn hại đến danh tiếng của công ty.</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4.1.1</w:t>
            </w:r>
          </w:p>
        </w:tc>
        <w:tc>
          <w:tcPr>
            <w:tcW w:type="dxa" w:w="4680"/>
          </w:tcPr>
          <w:p>
            <w:r/>
            <w:r>
              <w:rPr>
                <w:b/>
                <w:i w:val="0"/>
                <w:sz w:val="19"/>
              </w:rPr>
              <w:t>Chiến lược Mua hàng.</w:t>
            </w:r>
            <w:r>
              <w:rPr>
                <w:b w:val="0"/>
                <w:i w:val="0"/>
                <w:sz w:val="19"/>
              </w:rPr>
              <w:t xml:space="preserve"> Các chiến lược tìm nguồn cung ứng, lựa chọn nhà cung cấp và quy trình đàm phán hợp đồng cần được xây dựng và ghi chép lại. </w:t>
            </w:r>
            <w:r>
              <w:rPr>
                <w:b/>
                <w:i w:val="0"/>
                <w:sz w:val="19"/>
              </w:rPr>
              <w:t>Tham chiếu các rủi ro: A-1, A-2, A-3, A-4</w:t>
            </w:r>
          </w:p>
        </w:tc>
      </w:tr>
      <w:tr>
        <w:tc>
          <w:tcPr>
            <w:tcW w:type="dxa" w:w="4680"/>
          </w:tcPr>
          <w:p>
            <w:r/>
            <w:r>
              <w:rPr>
                <w:b w:val="0"/>
                <w:i w:val="0"/>
                <w:sz w:val="19"/>
              </w:rPr>
              <w:t>4.1.2</w:t>
            </w:r>
          </w:p>
        </w:tc>
        <w:tc>
          <w:tcPr>
            <w:tcW w:type="dxa" w:w="4680"/>
          </w:tcPr>
          <w:p>
            <w:r/>
            <w:r>
              <w:rPr>
                <w:b/>
                <w:i w:val="0"/>
                <w:sz w:val="19"/>
              </w:rPr>
              <w:t>Lựa chọn Nhà cung cấp có Ghi chép.</w:t>
            </w:r>
            <w:r>
              <w:rPr>
                <w:b w:val="0"/>
                <w:i w:val="0"/>
                <w:sz w:val="19"/>
              </w:rPr>
              <w:t xml:space="preserve"> Bộ phận Mua hàng đã thiết lập và tuân theo các chính sách, quy trình được ghi chép lại để đánh giá và thẩm định nhà cung cấp dựa trên các tiêu chí đã đề ra trước khi trở thành nhà cung cấp được phê duyệt. Việc sàng lọc tuân thủ được thực hiện cho tất cả nhà cung cấp và mẫu đơn W-9 được thu thập đối với tất cả nhà cung cấp trong nước, kèm theo việc xác thực mã số thuế (TIN) với hồ sơ của IRS. Mẫu đơn W-8 được thu thập đối với tất cả nhà cung cấp nước ngoài (không phải Hoa Kỳ) và thông tin thuế giá trị gia tăng được xác thực tương ứng. </w:t>
            </w:r>
            <w:r>
              <w:rPr>
                <w:b/>
                <w:i w:val="0"/>
                <w:sz w:val="19"/>
              </w:rPr>
              <w:t>Tham chiếu các rủi ro: A-1, A-2, A-3, A-4, A-6</w:t>
            </w:r>
          </w:p>
        </w:tc>
      </w:tr>
      <w:tr>
        <w:tc>
          <w:tcPr>
            <w:tcW w:type="dxa" w:w="4680"/>
          </w:tcPr>
          <w:p>
            <w:r/>
            <w:r>
              <w:rPr>
                <w:b w:val="0"/>
                <w:i w:val="0"/>
                <w:sz w:val="19"/>
              </w:rPr>
              <w:t>4.1.3</w:t>
            </w:r>
          </w:p>
        </w:tc>
        <w:tc>
          <w:tcPr>
            <w:tcW w:type="dxa" w:w="4680"/>
          </w:tcPr>
          <w:p>
            <w:r/>
            <w:r>
              <w:rPr>
                <w:b/>
                <w:i w:val="0"/>
                <w:sz w:val="19"/>
              </w:rPr>
              <w:t>Mua hàng từ Nhà cung cấp Đã được Phê duyệt.</w:t>
            </w:r>
            <w:r>
              <w:rPr>
                <w:b w:val="0"/>
                <w:i w:val="0"/>
                <w:sz w:val="19"/>
              </w:rPr>
              <w:t xml:space="preserve"> Hồ sơ gốc của nhà cung cấp phải được xem xét, cập nhật và loại bỏ các nhà cung cấp không còn hoạt động (ví dụ: nhà cung cấp không có giao dịch trong 18–24 tháng) ít nhất mỗi năm một lần. Nhà cung cấp nên được thêm vào cơ sở dữ liệu nhà cung cấp sau khi hoàn tất quy trình lựa chọn nhà cung cấp và đánh giá tài chính. </w:t>
            </w:r>
            <w:r>
              <w:rPr>
                <w:b/>
                <w:i w:val="0"/>
                <w:sz w:val="19"/>
              </w:rPr>
              <w:t>Tham chiếu các rủi ro: A-1, A-2, A-3, A-4</w:t>
            </w:r>
          </w:p>
        </w:tc>
      </w:tr>
      <w:tr>
        <w:tc>
          <w:tcPr>
            <w:tcW w:type="dxa" w:w="4680"/>
          </w:tcPr>
          <w:p>
            <w:r/>
            <w:r>
              <w:rPr>
                <w:b w:val="0"/>
                <w:i w:val="0"/>
                <w:sz w:val="19"/>
              </w:rPr>
              <w:t>4.1.4</w:t>
            </w:r>
          </w:p>
        </w:tc>
        <w:tc>
          <w:tcPr>
            <w:tcW w:type="dxa" w:w="4680"/>
          </w:tcPr>
          <w:p>
            <w:r/>
            <w:r>
              <w:rPr>
                <w:b/>
                <w:i w:val="0"/>
                <w:sz w:val="19"/>
              </w:rPr>
              <w:t>Hợp đồng Toàn cầu và Khu vực.</w:t>
            </w:r>
            <w:r>
              <w:rPr>
                <w:b w:val="0"/>
                <w:i w:val="0"/>
                <w:sz w:val="19"/>
              </w:rPr>
              <w:t xml:space="preserve"> Khi có các hợp đồng toàn cầu, khu vực hoặc theo vùng địa lý (ví dụ: công nghệ thông tin), hợp đồng đó sẽ được tất cả các đơn vị vận hành bị ảnh hưởng tận dụng. </w:t>
            </w:r>
            <w:r>
              <w:rPr>
                <w:b/>
                <w:i w:val="0"/>
                <w:sz w:val="19"/>
              </w:rPr>
              <w:t>Tham chiếu các rủi ro: A-1, A-2, A-3, A-4</w:t>
            </w:r>
          </w:p>
        </w:tc>
      </w:tr>
      <w:tr>
        <w:tc>
          <w:tcPr>
            <w:tcW w:type="dxa" w:w="4680"/>
          </w:tcPr>
          <w:p>
            <w:r/>
            <w:r>
              <w:rPr>
                <w:b w:val="0"/>
                <w:i w:val="0"/>
                <w:sz w:val="19"/>
              </w:rPr>
              <w:t>4.1.5</w:t>
            </w:r>
          </w:p>
        </w:tc>
        <w:tc>
          <w:tcPr>
            <w:tcW w:type="dxa" w:w="4680"/>
          </w:tcPr>
          <w:p>
            <w:r/>
            <w:r>
              <w:rPr>
                <w:b/>
                <w:i w:val="0"/>
                <w:sz w:val="19"/>
              </w:rPr>
              <w:t>Kế hoạch Dự phòng Gián đoạn Kinh doanh.</w:t>
            </w:r>
            <w:r>
              <w:rPr>
                <w:b w:val="0"/>
                <w:i w:val="0"/>
                <w:sz w:val="19"/>
              </w:rPr>
              <w:t xml:space="preserve"> Chiến lược nhà cung cấp và tìm nguồn cung ứng phải tính đến các kế hoạch dự phòng nhằm giải quyết hoặc giảm thiểu rủi ro gián đoạn kinh doanh. Những kế hoạch này cần được xem xét và mô phỏng thường xuyên. </w:t>
            </w:r>
            <w:r>
              <w:rPr>
                <w:b/>
                <w:i w:val="0"/>
                <w:sz w:val="19"/>
              </w:rPr>
              <w:t>Tham chiếu rủi ro: A-6</w:t>
            </w:r>
          </w:p>
        </w:tc>
      </w:tr>
      <w:tr>
        <w:tc>
          <w:tcPr>
            <w:tcW w:type="dxa" w:w="4680"/>
          </w:tcPr>
          <w:p>
            <w:r/>
            <w:r>
              <w:rPr>
                <w:b w:val="0"/>
                <w:i w:val="0"/>
                <w:sz w:val="19"/>
              </w:rPr>
              <w:t>4.1.6</w:t>
            </w:r>
          </w:p>
        </w:tc>
        <w:tc>
          <w:tcPr>
            <w:tcW w:type="dxa" w:w="4680"/>
          </w:tcPr>
          <w:p>
            <w:r/>
            <w:r>
              <w:rPr>
                <w:b/>
                <w:i w:val="0"/>
                <w:sz w:val="19"/>
              </w:rPr>
              <w:t>Giám sát Hiệu suất Nhà cung cấp.</w:t>
            </w:r>
            <w:r>
              <w:rPr>
                <w:b w:val="0"/>
                <w:i w:val="0"/>
                <w:sz w:val="19"/>
              </w:rPr>
              <w:t xml:space="preserve"> Nhà cung cấp phải được giám sát định kỳ theo chính sách của Đơn vị Kinh doanh để đảm bảo rằng hiệu suất thực tế đáp ứng được kỳ vọng về chất lượng, chi phí và dịch vụ. </w:t>
            </w:r>
            <w:r>
              <w:rPr>
                <w:b/>
                <w:i w:val="0"/>
                <w:sz w:val="19"/>
              </w:rPr>
              <w:t>Tham chiếu các rủi ro: A-3, A-6, A-7</w:t>
            </w:r>
          </w:p>
        </w:tc>
      </w:tr>
      <w:tr>
        <w:tc>
          <w:tcPr>
            <w:tcW w:type="dxa" w:w="4680"/>
          </w:tcPr>
          <w:p>
            <w:r/>
            <w:r>
              <w:rPr>
                <w:b w:val="0"/>
                <w:i w:val="0"/>
                <w:sz w:val="19"/>
              </w:rPr>
              <w:t>4.1.7</w:t>
            </w:r>
          </w:p>
        </w:tc>
        <w:tc>
          <w:tcPr>
            <w:tcW w:type="dxa" w:w="4680"/>
          </w:tcPr>
          <w:p>
            <w:r/>
            <w:r>
              <w:rPr>
                <w:b/>
                <w:i w:val="0"/>
                <w:sz w:val="19"/>
              </w:rPr>
              <w:t>Quyền Sở hữu và Cập nhật Hồ sơ Gốc Nhà cung cấp.</w:t>
            </w:r>
            <w:r>
              <w:rPr>
                <w:b w:val="0"/>
                <w:i w:val="0"/>
                <w:sz w:val="19"/>
              </w:rPr>
              <w:t xml:space="preserve"> Việc cập nhật và bảo trì thực tế hồ sơ gốc nhà cung cấp phải do những cá nhân không tham gia vào quy trình lựa chọn nhà cung cấp thực hiện. </w:t>
            </w:r>
            <w:r>
              <w:rPr>
                <w:b/>
                <w:i w:val="0"/>
                <w:sz w:val="19"/>
              </w:rPr>
              <w:t>Tham chiếu các rủi ro: A-1, A-2, A-3, A-5</w:t>
            </w:r>
          </w:p>
        </w:tc>
      </w:tr>
    </w:tbl>
    <w:p>
      <w:pPr>
        <w:spacing w:after="0"/>
      </w:pPr>
    </w:p>
    <w:p>
      <w:pPr>
        <w:pStyle w:val="Heading3"/>
      </w:pPr>
      <w:r>
        <w:rPr>
          <w:rFonts w:ascii="Calibri" w:hAnsi="Calibri"/>
          <w:b/>
          <w:i w:val="0"/>
          <w:sz w:val="26"/>
        </w:rPr>
        <w:t>Rủi ro nếu không thực hiện theo tiêu chuẩn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A-1</w:t>
            </w:r>
          </w:p>
        </w:tc>
        <w:tc>
          <w:tcPr>
            <w:tcW w:type="dxa" w:w="4680"/>
          </w:tcPr>
          <w:p>
            <w:r/>
            <w:r>
              <w:rPr>
                <w:b w:val="0"/>
                <w:i w:val="0"/>
                <w:sz w:val="19"/>
              </w:rPr>
              <w:t>Có thể thực hiện mua hàng từ một nhà cung cấp chưa được phê duyệt.</w:t>
            </w:r>
          </w:p>
        </w:tc>
      </w:tr>
      <w:tr>
        <w:tc>
          <w:tcPr>
            <w:tcW w:type="dxa" w:w="4680"/>
          </w:tcPr>
          <w:p>
            <w:r/>
            <w:r>
              <w:rPr>
                <w:b w:val="0"/>
                <w:i w:val="0"/>
                <w:sz w:val="19"/>
              </w:rPr>
              <w:t>A-2</w:t>
            </w:r>
          </w:p>
        </w:tc>
        <w:tc>
          <w:tcPr>
            <w:tcW w:type="dxa" w:w="4680"/>
          </w:tcPr>
          <w:p>
            <w:r/>
            <w:r>
              <w:rPr>
                <w:b w:val="0"/>
                <w:i w:val="0"/>
                <w:sz w:val="19"/>
              </w:rPr>
              <w:t>Có thể xảy ra vi phạm kiểm soát xuất khẩu, giao dịch với bên liên quan, hoặc tình huống xung đột lợi ích. Khả năng xảy ra sai sót và bất thường tăng lên đáng kể.</w:t>
            </w:r>
          </w:p>
        </w:tc>
      </w:tr>
      <w:tr>
        <w:tc>
          <w:tcPr>
            <w:tcW w:type="dxa" w:w="4680"/>
          </w:tcPr>
          <w:p>
            <w:r/>
            <w:r>
              <w:rPr>
                <w:b w:val="0"/>
                <w:i w:val="0"/>
                <w:sz w:val="19"/>
              </w:rPr>
              <w:t>A-3</w:t>
            </w:r>
          </w:p>
        </w:tc>
        <w:tc>
          <w:tcPr>
            <w:tcW w:type="dxa" w:w="4680"/>
          </w:tcPr>
          <w:p>
            <w:r/>
            <w:r>
              <w:rPr>
                <w:b w:val="0"/>
                <w:i w:val="0"/>
                <w:sz w:val="19"/>
              </w:rPr>
              <w:t>Hàng hóa mua vào có thể không đạt tiêu chuẩn chất lượng. Có thể chấp nhận mức giá hoặc điều khoản không được phép.</w:t>
            </w:r>
          </w:p>
        </w:tc>
      </w:tr>
      <w:tr>
        <w:tc>
          <w:tcPr>
            <w:tcW w:type="dxa" w:w="4680"/>
          </w:tcPr>
          <w:p>
            <w:r/>
            <w:r>
              <w:rPr>
                <w:b w:val="0"/>
                <w:i w:val="0"/>
                <w:sz w:val="19"/>
              </w:rPr>
              <w:t>A-5</w:t>
            </w:r>
          </w:p>
        </w:tc>
        <w:tc>
          <w:tcPr>
            <w:tcW w:type="dxa" w:w="4680"/>
          </w:tcPr>
          <w:p>
            <w:r/>
            <w:r>
              <w:rPr>
                <w:b w:val="0"/>
                <w:i w:val="0"/>
                <w:sz w:val="19"/>
              </w:rPr>
              <w:t>Hồ sơ có thể bị lạm dụng hoặc sửa đổi bởi nhân viên không có thẩm quyền, gây tổn hại cho công ty và các nhà cung cấp của công ty.</w:t>
            </w:r>
          </w:p>
        </w:tc>
      </w:tr>
      <w:tr>
        <w:tc>
          <w:tcPr>
            <w:tcW w:type="dxa" w:w="4680"/>
          </w:tcPr>
          <w:p>
            <w:r/>
            <w:r>
              <w:rPr>
                <w:b w:val="0"/>
                <w:i w:val="0"/>
                <w:sz w:val="19"/>
              </w:rPr>
              <w:t>A-6</w:t>
            </w:r>
          </w:p>
        </w:tc>
        <w:tc>
          <w:tcPr>
            <w:tcW w:type="dxa" w:w="4680"/>
          </w:tcPr>
          <w:p>
            <w:r/>
            <w:r>
              <w:rPr>
                <w:b w:val="0"/>
                <w:i w:val="0"/>
                <w:sz w:val="19"/>
              </w:rPr>
              <w:t>Nguyên vật liệu có thể được nhận sớm hoặc muộn, dẫn đến gián đoạn hoạt động kinh doanh hoặc mức tồn kho quá cao.</w:t>
            </w:r>
          </w:p>
        </w:tc>
      </w:tr>
      <w:tr>
        <w:tc>
          <w:tcPr>
            <w:tcW w:type="dxa" w:w="4680"/>
          </w:tcPr>
          <w:p>
            <w:r/>
            <w:r>
              <w:rPr>
                <w:b w:val="0"/>
                <w:i w:val="0"/>
                <w:sz w:val="19"/>
              </w:rPr>
              <w:t>A-7</w:t>
            </w:r>
          </w:p>
        </w:tc>
        <w:tc>
          <w:tcPr>
            <w:tcW w:type="dxa" w:w="4680"/>
          </w:tcPr>
          <w:p>
            <w:r/>
            <w:r>
              <w:rPr>
                <w:b w:val="0"/>
                <w:i w:val="0"/>
                <w:sz w:val="19"/>
              </w:rPr>
              <w:t>Mất cơ hội điều chỉnh cơ sở nhà cung cấp để đáp ứng tốt hơn nhu cầu của công ty.</w:t>
            </w:r>
          </w:p>
        </w:tc>
      </w:tr>
    </w:tbl>
    <w:p>
      <w:pPr>
        <w:spacing w:after="0"/>
      </w:pPr>
    </w:p>
    <w:p>
      <w:pPr>
        <w:pStyle w:val="Heading2"/>
      </w:pPr>
      <w:r>
        <w:rPr>
          <w:rFonts w:ascii="Calibri" w:hAnsi="Calibri"/>
          <w:b/>
          <w:i w:val="0"/>
          <w:sz w:val="32"/>
        </w:rPr>
        <w:t>4.2 MUA HÀNG/ĐẶT HÀNG</w:t>
      </w:r>
    </w:p>
    <w:p>
      <w:pPr>
        <w:pStyle w:val="Heading3"/>
      </w:pPr>
      <w:r>
        <w:rPr>
          <w:rFonts w:ascii="Calibri" w:hAnsi="Calibri"/>
          <w:b/>
          <w:i w:val="0"/>
          <w:sz w:val="26"/>
        </w:rPr>
        <w:t>Giới thiệu</w:t>
      </w:r>
    </w:p>
    <w:p>
      <w:pPr>
        <w:spacing w:after="80"/>
      </w:pPr>
      <w:r>
        <w:rPr>
          <w:b w:val="0"/>
          <w:i w:val="0"/>
        </w:rPr>
        <w:t>Để giảm rủi ro cho công ty và nhà cung cấp trong quá trình mua hàng và đặt hàng, mọi trách nhiệm đặt hàng phải được tách biệt khỏi các hoạt động tài khoản phải trả/thanh toán, nhận hàng và kế toán. Trách nhiệm cần được xác định rõ ràng và quyền truy cập hệ thống phải được xác minh định kỳ.</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4.2.1</w:t>
            </w:r>
          </w:p>
        </w:tc>
        <w:tc>
          <w:tcPr>
            <w:tcW w:type="dxa" w:w="4680"/>
          </w:tcPr>
          <w:p>
            <w:r/>
            <w:r>
              <w:rPr>
                <w:b/>
                <w:i w:val="0"/>
                <w:sz w:val="19"/>
              </w:rPr>
              <w:t>Phân tách Nhiệm vụ.</w:t>
            </w:r>
            <w:r>
              <w:rPr>
                <w:b w:val="0"/>
                <w:i w:val="0"/>
                <w:sz w:val="19"/>
              </w:rPr>
              <w:t xml:space="preserve"> Tất cả các trách nhiệm mua hàng (đặt hàng) phải được tách biệt khỏi các hoạt động kế toán phải trả/thanh toán, nhận hàng và kế toán. </w:t>
            </w:r>
            <w:r>
              <w:rPr>
                <w:b/>
                <w:i w:val="0"/>
                <w:sz w:val="19"/>
              </w:rPr>
              <w:t>Tham chiếu rủi ro: B-1, B-2, B-5, B-6, B-7, B-9, B-11, B-12</w:t>
            </w:r>
          </w:p>
        </w:tc>
      </w:tr>
      <w:tr>
        <w:tc>
          <w:tcPr>
            <w:tcW w:type="dxa" w:w="4680"/>
          </w:tcPr>
          <w:p>
            <w:r/>
            <w:r>
              <w:rPr>
                <w:b w:val="0"/>
                <w:i w:val="0"/>
                <w:sz w:val="19"/>
              </w:rPr>
              <w:t>4.2.2</w:t>
            </w:r>
          </w:p>
        </w:tc>
        <w:tc>
          <w:tcPr>
            <w:tcW w:type="dxa" w:w="4680"/>
          </w:tcPr>
          <w:p>
            <w:r/>
            <w:r>
              <w:rPr>
                <w:b/>
                <w:i w:val="0"/>
                <w:sz w:val="19"/>
              </w:rPr>
              <w:t>Chính sách Mua hàng bằng Văn bản.</w:t>
            </w:r>
            <w:r>
              <w:rPr>
                <w:b w:val="0"/>
                <w:i w:val="0"/>
                <w:sz w:val="19"/>
              </w:rPr>
              <w:t xml:space="preserve"> Các chính sách và quy trình mua hàng được thiết lập, truyền đạt và tuân thủ. </w:t>
            </w:r>
            <w:r>
              <w:rPr>
                <w:b/>
                <w:i w:val="0"/>
                <w:sz w:val="19"/>
              </w:rPr>
              <w:t>Tham chiếu rủi ro: B-1, B-2, B-4, B-6, B-7, B-9, B-10, B-11</w:t>
            </w:r>
          </w:p>
        </w:tc>
      </w:tr>
      <w:tr>
        <w:tc>
          <w:tcPr>
            <w:tcW w:type="dxa" w:w="4680"/>
          </w:tcPr>
          <w:p>
            <w:r/>
            <w:r>
              <w:rPr>
                <w:b w:val="0"/>
                <w:i w:val="0"/>
                <w:sz w:val="19"/>
              </w:rPr>
              <w:t>4.2.3</w:t>
            </w:r>
          </w:p>
        </w:tc>
        <w:tc>
          <w:tcPr>
            <w:tcW w:type="dxa" w:w="4680"/>
          </w:tcPr>
          <w:p>
            <w:r/>
            <w:r>
              <w:rPr>
                <w:b/>
                <w:i w:val="0"/>
                <w:sz w:val="19"/>
              </w:rPr>
              <w:t>Kiểm soát Truy cập.</w:t>
            </w:r>
            <w:r>
              <w:rPr>
                <w:b w:val="0"/>
                <w:i w:val="0"/>
                <w:sz w:val="19"/>
              </w:rPr>
              <w:t xml:space="preserve"> Tất cả các đơn đặt hàng hoặc quyền truy cập vào màn hình nhập liệu phải được bảo vệ và các quy trình kiểm soát nội bộ cho việc xử lý và phê duyệt phải được thiết lập để ngăn chặn việc sử dụng trái phép. </w:t>
            </w:r>
            <w:r>
              <w:rPr>
                <w:b/>
                <w:i w:val="0"/>
                <w:sz w:val="19"/>
              </w:rPr>
              <w:t>Tham chiếu rủi ro: B-1, B-2, B-4, B-5, B-6, B-9, B-10, B-12</w:t>
            </w:r>
          </w:p>
        </w:tc>
      </w:tr>
      <w:tr>
        <w:tc>
          <w:tcPr>
            <w:tcW w:type="dxa" w:w="4680"/>
          </w:tcPr>
          <w:p>
            <w:r/>
            <w:r>
              <w:rPr>
                <w:b w:val="0"/>
                <w:i w:val="0"/>
                <w:sz w:val="19"/>
              </w:rPr>
              <w:t>4.2.4</w:t>
            </w:r>
          </w:p>
        </w:tc>
        <w:tc>
          <w:tcPr>
            <w:tcW w:type="dxa" w:w="4680"/>
          </w:tcPr>
          <w:p>
            <w:r/>
            <w:r>
              <w:rPr>
                <w:b/>
                <w:i w:val="0"/>
                <w:sz w:val="19"/>
              </w:rPr>
              <w:t>Đàm phán Giá Mua.</w:t>
            </w:r>
            <w:r>
              <w:rPr>
                <w:b w:val="0"/>
                <w:i w:val="0"/>
                <w:sz w:val="19"/>
              </w:rPr>
              <w:t xml:space="preserve"> Để đảm bảo lợi thế cạnh tranh của công ty, giá cả sẽ được đàm phán thông qua phân tích chi phí (ví dụ: tính giá mục tiêu), đấu thầu hoặc đánh giá chuẩn chi phí ngành. </w:t>
            </w:r>
            <w:r>
              <w:rPr>
                <w:b/>
                <w:i w:val="0"/>
                <w:sz w:val="19"/>
              </w:rPr>
              <w:t>Tham chiếu rủi ro: B-2, B-5, B-7</w:t>
            </w:r>
          </w:p>
        </w:tc>
      </w:tr>
      <w:tr>
        <w:tc>
          <w:tcPr>
            <w:tcW w:type="dxa" w:w="4680"/>
          </w:tcPr>
          <w:p>
            <w:r/>
            <w:r>
              <w:rPr>
                <w:b w:val="0"/>
                <w:i w:val="0"/>
                <w:sz w:val="19"/>
              </w:rPr>
              <w:t>4.2.5</w:t>
            </w:r>
          </w:p>
        </w:tc>
        <w:tc>
          <w:tcPr>
            <w:tcW w:type="dxa" w:w="4680"/>
          </w:tcPr>
          <w:p>
            <w:r/>
            <w:r>
              <w:rPr>
                <w:b/>
                <w:i w:val="0"/>
                <w:sz w:val="19"/>
              </w:rPr>
              <w:t>Hành vi Trước Quy trình Lựa chọn Nhà cung cấp.</w:t>
            </w:r>
            <w:r>
              <w:rPr>
                <w:b w:val="0"/>
                <w:i w:val="0"/>
                <w:sz w:val="19"/>
              </w:rPr>
              <w:t xml:space="preserve"> Các hợp đồng bằng lời nói hoặc văn bản, biên bản ghi nhớ và tuyên bố ý định có thể ràng buộc tài chính cho công ty không được thực hiện trước khi hoàn thành quy trình lựa chọn mà không có sự phê duyệt thích hợp. </w:t>
            </w:r>
            <w:r>
              <w:rPr>
                <w:b/>
                <w:i w:val="0"/>
                <w:sz w:val="19"/>
              </w:rPr>
              <w:t>Tham chiếu rủi ro: B-1, B-2, B-5, B-6, B-7, B-9, B-10</w:t>
            </w:r>
          </w:p>
        </w:tc>
      </w:tr>
      <w:tr>
        <w:tc>
          <w:tcPr>
            <w:tcW w:type="dxa" w:w="4680"/>
          </w:tcPr>
          <w:p>
            <w:r/>
            <w:r>
              <w:rPr>
                <w:b w:val="0"/>
                <w:i w:val="0"/>
                <w:sz w:val="19"/>
              </w:rPr>
              <w:t>4.2.6</w:t>
            </w:r>
          </w:p>
        </w:tc>
        <w:tc>
          <w:tcPr>
            <w:tcW w:type="dxa" w:w="4680"/>
          </w:tcPr>
          <w:p>
            <w:r/>
            <w:r>
              <w:rPr>
                <w:b/>
                <w:i w:val="0"/>
                <w:sz w:val="19"/>
              </w:rPr>
              <w:t>Thanh toán Trước.</w:t>
            </w:r>
            <w:r>
              <w:rPr>
                <w:b w:val="0"/>
                <w:i w:val="0"/>
                <w:sz w:val="19"/>
              </w:rPr>
              <w:t xml:space="preserve"> Nên tránh thanh toán trước nếu có thể. Cần thiết lập và tuân thủ một quy trình khi cần thanh toán trước khi vận chuyển hoặc nhận nguyên vật liệu để ngăn chặn việc thanh toán thừa. Không được thực hiện thanh toán trước trừ khi đó là một phần trong điều khoản của đơn đặt hàng. </w:t>
            </w:r>
            <w:r>
              <w:rPr>
                <w:b/>
                <w:i w:val="0"/>
                <w:sz w:val="19"/>
              </w:rPr>
              <w:t>Tham chiếu rủi ro: B-6, B-9, B-11</w:t>
            </w:r>
          </w:p>
        </w:tc>
      </w:tr>
      <w:tr>
        <w:tc>
          <w:tcPr>
            <w:tcW w:type="dxa" w:w="4680"/>
          </w:tcPr>
          <w:p>
            <w:r/>
            <w:r>
              <w:rPr>
                <w:b w:val="0"/>
                <w:i w:val="0"/>
                <w:sz w:val="19"/>
              </w:rPr>
              <w:t>4.2.7</w:t>
            </w:r>
          </w:p>
        </w:tc>
        <w:tc>
          <w:tcPr>
            <w:tcW w:type="dxa" w:w="4680"/>
          </w:tcPr>
          <w:p>
            <w:r/>
            <w:r>
              <w:rPr>
                <w:b/>
                <w:i w:val="0"/>
                <w:sz w:val="19"/>
              </w:rPr>
              <w:t>Dấu vết Kiểm toán Đơn hàng.</w:t>
            </w:r>
            <w:r>
              <w:rPr>
                <w:b w:val="0"/>
                <w:i w:val="0"/>
                <w:sz w:val="19"/>
              </w:rPr>
              <w:t xml:space="preserve"> Tất cả các đơn hàng/giao dịch phải có thể nhận diện duy nhất và có thể truy vết, đồng thời được hạch toán định kỳ. </w:t>
            </w:r>
            <w:r>
              <w:rPr>
                <w:b/>
                <w:i w:val="0"/>
                <w:sz w:val="19"/>
              </w:rPr>
              <w:t>Tham chiếu rủi ro: B-3, B-4, B-5, B-6, B-9, B-10, B-11, B-12</w:t>
            </w:r>
          </w:p>
        </w:tc>
      </w:tr>
      <w:tr>
        <w:tc>
          <w:tcPr>
            <w:tcW w:type="dxa" w:w="4680"/>
          </w:tcPr>
          <w:p>
            <w:r/>
            <w:r>
              <w:rPr>
                <w:b w:val="0"/>
                <w:i w:val="0"/>
                <w:sz w:val="19"/>
              </w:rPr>
              <w:t>4.2.8</w:t>
            </w:r>
          </w:p>
        </w:tc>
        <w:tc>
          <w:tcPr>
            <w:tcW w:type="dxa" w:w="4680"/>
          </w:tcPr>
          <w:p>
            <w:r/>
            <w:r>
              <w:rPr>
                <w:b/>
                <w:i w:val="0"/>
                <w:sz w:val="19"/>
              </w:rPr>
              <w:t>Chuyển tiếp hóa đơn.</w:t>
            </w:r>
            <w:r>
              <w:rPr>
                <w:b w:val="0"/>
                <w:i w:val="0"/>
                <w:sz w:val="19"/>
              </w:rPr>
              <w:t xml:space="preserve"> Đơn đặt hàng/giao dịch phải yêu cầu nhà cung cấp gửi hóa đơn trực tiếp đến bộ phận kế toán phải trả (accounts payable). </w:t>
            </w:r>
            <w:r>
              <w:rPr>
                <w:b/>
                <w:i w:val="0"/>
                <w:sz w:val="19"/>
              </w:rPr>
              <w:t>Tham khảo rủi ro: B-3, B-4, B-5, B-6, B-9, B-10, B-11</w:t>
            </w:r>
          </w:p>
        </w:tc>
      </w:tr>
      <w:tr>
        <w:tc>
          <w:tcPr>
            <w:tcW w:type="dxa" w:w="4680"/>
          </w:tcPr>
          <w:p>
            <w:r/>
            <w:r>
              <w:rPr>
                <w:b w:val="0"/>
                <w:i w:val="0"/>
                <w:sz w:val="19"/>
              </w:rPr>
              <w:t>4.2.9</w:t>
            </w:r>
          </w:p>
        </w:tc>
        <w:tc>
          <w:tcPr>
            <w:tcW w:type="dxa" w:w="4680"/>
          </w:tcPr>
          <w:p>
            <w:r/>
            <w:r>
              <w:rPr>
                <w:b/>
                <w:i w:val="0"/>
                <w:sz w:val="19"/>
              </w:rPr>
              <w:t>Phân phối đơn đặt hàng.</w:t>
            </w:r>
            <w:r>
              <w:rPr>
                <w:b w:val="0"/>
                <w:i w:val="0"/>
                <w:sz w:val="19"/>
              </w:rPr>
              <w:t xml:space="preserve"> Thông tin đơn đặt hàng phải được cung cấp cho bộ phận nhận hàng và bộ phận kế toán phải trả. Bộ phận kế toán phải trả và bộ phận nhận hàng phải được thông báo ngay lập tức về các đơn đặt hàng đã thay đổi hoặc bị hủy. </w:t>
            </w:r>
            <w:r>
              <w:rPr>
                <w:b/>
                <w:i w:val="0"/>
                <w:sz w:val="19"/>
              </w:rPr>
              <w:t>Tham khảo rủi ro: B-3, B-5, B-6, B-7, B-8, B-9, B-11, B-12, B-14</w:t>
            </w:r>
          </w:p>
        </w:tc>
      </w:tr>
      <w:tr>
        <w:tc>
          <w:tcPr>
            <w:tcW w:type="dxa" w:w="4680"/>
          </w:tcPr>
          <w:p>
            <w:r/>
            <w:r>
              <w:rPr>
                <w:b w:val="0"/>
                <w:i w:val="0"/>
                <w:sz w:val="19"/>
              </w:rPr>
              <w:t>4.2.10</w:t>
            </w:r>
          </w:p>
        </w:tc>
        <w:tc>
          <w:tcPr>
            <w:tcW w:type="dxa" w:w="4680"/>
          </w:tcPr>
          <w:p>
            <w:r/>
            <w:r>
              <w:rPr>
                <w:b/>
                <w:i w:val="0"/>
                <w:sz w:val="19"/>
              </w:rPr>
              <w:t>Quy trình trả lại hàng hóa.</w:t>
            </w:r>
            <w:r>
              <w:rPr>
                <w:b w:val="0"/>
                <w:i w:val="0"/>
                <w:sz w:val="19"/>
              </w:rPr>
              <w:t xml:space="preserve"> Cần thiết lập các quy trình để đảm bảo việc phê duyệt, ghi nhận và theo dõi đúng đắn tất cả các mặt hàng trả lại (do chất lượng kém, sai thông số kỹ thuật, v.v.). </w:t>
            </w:r>
            <w:r>
              <w:rPr>
                <w:b/>
                <w:i w:val="0"/>
                <w:sz w:val="19"/>
              </w:rPr>
              <w:t>Tham khảo rủi ro: B-4, B-5, B-7, B-9, B-10, B-11, B-12</w:t>
            </w:r>
          </w:p>
        </w:tc>
      </w:tr>
      <w:tr>
        <w:tc>
          <w:tcPr>
            <w:tcW w:type="dxa" w:w="4680"/>
          </w:tcPr>
          <w:p>
            <w:r/>
            <w:r>
              <w:rPr>
                <w:b w:val="0"/>
                <w:i w:val="0"/>
                <w:sz w:val="19"/>
              </w:rPr>
              <w:t>4.2.11</w:t>
            </w:r>
          </w:p>
        </w:tc>
        <w:tc>
          <w:tcPr>
            <w:tcW w:type="dxa" w:w="4680"/>
          </w:tcPr>
          <w:p>
            <w:r/>
            <w:r>
              <w:rPr>
                <w:b/>
                <w:i w:val="0"/>
                <w:sz w:val="19"/>
              </w:rPr>
              <w:t>Đánh giá quy trình mua hàng.</w:t>
            </w:r>
            <w:r>
              <w:rPr>
                <w:b w:val="0"/>
                <w:i w:val="0"/>
                <w:sz w:val="19"/>
              </w:rPr>
              <w:t xml:space="preserve"> Quy trình mua hàng nên được đánh giá nhất quán với việc quản lý nguồn cung. </w:t>
            </w:r>
            <w:r>
              <w:rPr>
                <w:b/>
                <w:i w:val="0"/>
                <w:sz w:val="19"/>
              </w:rPr>
              <w:t>Tham khảo rủi ro: B-7, B-8</w:t>
            </w:r>
          </w:p>
        </w:tc>
      </w:tr>
      <w:tr>
        <w:tc>
          <w:tcPr>
            <w:tcW w:type="dxa" w:w="4680"/>
          </w:tcPr>
          <w:p>
            <w:r/>
            <w:r>
              <w:rPr>
                <w:b w:val="0"/>
                <w:i w:val="0"/>
                <w:sz w:val="19"/>
              </w:rPr>
              <w:t>4.2.12</w:t>
            </w:r>
          </w:p>
        </w:tc>
        <w:tc>
          <w:tcPr>
            <w:tcW w:type="dxa" w:w="4680"/>
          </w:tcPr>
          <w:p>
            <w:r/>
            <w:r>
              <w:rPr>
                <w:b/>
                <w:i w:val="0"/>
                <w:sz w:val="19"/>
              </w:rPr>
              <w:t>Bảo vệ sở hữu trí tuệ.</w:t>
            </w:r>
            <w:r>
              <w:rPr>
                <w:b w:val="0"/>
                <w:i w:val="0"/>
                <w:sz w:val="19"/>
              </w:rPr>
              <w:t xml:space="preserve"> Các quy trình quản lý việc xem xét và phê duyệt hợp đồng cần đề cập đến việc bảo vệ sở hữu trí tuệ của công ty, bao gồm bằng sáng chế và nhãn hiệu. </w:t>
            </w:r>
            <w:r>
              <w:rPr>
                <w:b/>
                <w:i w:val="0"/>
                <w:sz w:val="19"/>
              </w:rPr>
              <w:t>Tham khảo rủi ro: B-4, B-5, B-10, B-12, B-13</w:t>
            </w:r>
          </w:p>
        </w:tc>
      </w:tr>
      <w:tr>
        <w:tc>
          <w:tcPr>
            <w:tcW w:type="dxa" w:w="4680"/>
          </w:tcPr>
          <w:p>
            <w:r/>
            <w:r>
              <w:rPr>
                <w:b w:val="0"/>
                <w:i w:val="0"/>
                <w:sz w:val="19"/>
              </w:rPr>
              <w:t>4.2.13</w:t>
            </w:r>
          </w:p>
        </w:tc>
        <w:tc>
          <w:tcPr>
            <w:tcW w:type="dxa" w:w="4680"/>
          </w:tcPr>
          <w:p>
            <w:r/>
            <w:r>
              <w:rPr>
                <w:b/>
                <w:i w:val="0"/>
                <w:sz w:val="19"/>
              </w:rPr>
              <w:t>Đơn đặt hàng trọn gói.</w:t>
            </w:r>
            <w:r>
              <w:rPr>
                <w:b w:val="0"/>
                <w:i w:val="0"/>
                <w:sz w:val="19"/>
              </w:rPr>
              <w:t xml:space="preserve"> Phải ghi rõ giới hạn "không vượt quá" và thời hạn trên mỗi đơn đặt hàng trọn gói. </w:t>
            </w:r>
            <w:r>
              <w:rPr>
                <w:b/>
                <w:i w:val="0"/>
                <w:sz w:val="19"/>
              </w:rPr>
              <w:t>Tham khảo rủi ro: B-8</w:t>
            </w:r>
          </w:p>
        </w:tc>
      </w:tr>
      <w:tr>
        <w:tc>
          <w:tcPr>
            <w:tcW w:type="dxa" w:w="4680"/>
          </w:tcPr>
          <w:p>
            <w:r/>
            <w:r>
              <w:rPr>
                <w:b w:val="0"/>
                <w:i w:val="0"/>
                <w:sz w:val="19"/>
              </w:rPr>
              <w:t>4.2.14</w:t>
            </w:r>
          </w:p>
        </w:tc>
        <w:tc>
          <w:tcPr>
            <w:tcW w:type="dxa" w:w="4680"/>
          </w:tcPr>
          <w:p>
            <w:r/>
            <w:r>
              <w:rPr>
                <w:b/>
                <w:i w:val="0"/>
                <w:sz w:val="19"/>
              </w:rPr>
              <w:t>Tính độc lập trong quy trình mua hàng.</w:t>
            </w:r>
            <w:r>
              <w:rPr>
                <w:b w:val="0"/>
                <w:i w:val="0"/>
                <w:sz w:val="19"/>
              </w:rPr>
              <w:t xml:space="preserve"> Phải duy trì tính độc lập giữa nhân viên mua hàng/người mua và nhà cung cấp. Điều này có thể được thực hiện thông qua việc luân chuyển người mua định kỳ, hoặc tham gia vào các hợp đồng của công ty, hoặc sử dụng các nhóm hàng hóa. Quy tắc ứng xử của công ty nên được phân phối cho tất cả nhà cung cấp. </w:t>
            </w:r>
            <w:r>
              <w:rPr>
                <w:b/>
                <w:i w:val="0"/>
                <w:sz w:val="19"/>
              </w:rPr>
              <w:t>Tham khảo rủi ro: B-1, B-2, B-3, B-4, B-5, B-7, B-11</w:t>
            </w:r>
          </w:p>
        </w:tc>
      </w:tr>
      <w:tr>
        <w:tc>
          <w:tcPr>
            <w:tcW w:type="dxa" w:w="4680"/>
          </w:tcPr>
          <w:p>
            <w:r/>
            <w:r>
              <w:rPr>
                <w:b w:val="0"/>
                <w:i w:val="0"/>
                <w:sz w:val="19"/>
              </w:rPr>
              <w:t>4.2.15</w:t>
            </w:r>
          </w:p>
        </w:tc>
        <w:tc>
          <w:tcPr>
            <w:tcW w:type="dxa" w:w="4680"/>
          </w:tcPr>
          <w:p>
            <w:r/>
            <w:r>
              <w:rPr>
                <w:b/>
                <w:i w:val="0"/>
                <w:sz w:val="19"/>
              </w:rPr>
              <w:t>Quy trình yêu cầu mua hàng.</w:t>
            </w:r>
            <w:r>
              <w:rPr>
                <w:b w:val="0"/>
                <w:i w:val="0"/>
                <w:sz w:val="19"/>
              </w:rPr>
              <w:t xml:space="preserve"> Các yêu cầu mua hàng (ví dụ: đơn đặt hàng, đơn hàng trọn gói, hợp đồng, v.v.) phải được khởi tạo bởi bộ phận yêu cầu và được phê duyệt đúng đắn, trong giới hạn của người phê duyệt, trước khi đưa ra yêu cầu mua hàng. Không được chia nhỏ đơn đặt hàng để lách giới hạn phê duyệt. </w:t>
            </w:r>
            <w:r>
              <w:rPr>
                <w:b/>
                <w:i w:val="0"/>
                <w:sz w:val="19"/>
              </w:rPr>
              <w:t>Tham khảo rủi ro: B-1, B-2, B-3, B-5, B-11</w:t>
            </w:r>
          </w:p>
        </w:tc>
      </w:tr>
      <w:tr>
        <w:tc>
          <w:tcPr>
            <w:tcW w:type="dxa" w:w="4680"/>
          </w:tcPr>
          <w:p>
            <w:r/>
            <w:r>
              <w:rPr>
                <w:b w:val="0"/>
                <w:i w:val="0"/>
                <w:sz w:val="19"/>
              </w:rPr>
              <w:t>4.2.16</w:t>
            </w:r>
          </w:p>
        </w:tc>
        <w:tc>
          <w:tcPr>
            <w:tcW w:type="dxa" w:w="4680"/>
          </w:tcPr>
          <w:p>
            <w:r/>
            <w:r>
              <w:rPr>
                <w:b/>
                <w:i w:val="0"/>
                <w:sz w:val="19"/>
              </w:rPr>
              <w:t>Yêu cầu mua sắm giá trị thấp.</w:t>
            </w:r>
            <w:r>
              <w:rPr>
                <w:b w:val="0"/>
                <w:i w:val="0"/>
                <w:sz w:val="19"/>
              </w:rPr>
              <w:t xml:space="preserve"> Phải thiết lập hạn mức ủy quyền cho những cá nhân thực hiện các giao dịch mua sắm giá trị thấp thông qua các quy trình mua sắm đặc biệt (ví dụ: thẻ tín dụng, danh mục đặt hàng, thẻ mua sắm, v.v.). </w:t>
            </w:r>
            <w:r>
              <w:rPr>
                <w:b/>
                <w:i w:val="0"/>
                <w:sz w:val="19"/>
              </w:rPr>
              <w:t>Tham chiếu rủi ro: B-1, B-3, B-5, B-11</w:t>
            </w:r>
          </w:p>
        </w:tc>
      </w:tr>
      <w:tr>
        <w:tc>
          <w:tcPr>
            <w:tcW w:type="dxa" w:w="4680"/>
          </w:tcPr>
          <w:p>
            <w:r/>
            <w:r>
              <w:rPr>
                <w:b w:val="0"/>
                <w:i w:val="0"/>
                <w:sz w:val="19"/>
              </w:rPr>
              <w:t>4.2.17</w:t>
            </w:r>
          </w:p>
        </w:tc>
        <w:tc>
          <w:tcPr>
            <w:tcW w:type="dxa" w:w="4680"/>
          </w:tcPr>
          <w:p>
            <w:r/>
            <w:r>
              <w:rPr>
                <w:b/>
                <w:i w:val="0"/>
                <w:sz w:val="19"/>
              </w:rPr>
              <w:t>Điều chỉnh đơn đặt hàng.</w:t>
            </w:r>
            <w:r>
              <w:rPr>
                <w:b w:val="0"/>
                <w:i w:val="0"/>
                <w:sz w:val="19"/>
              </w:rPr>
              <w:t xml:space="preserve"> Các điều chỉnh đơn đặt hàng về giá hoặc số lượng dẫn đến việc tăng vượt quá cấp phê duyệt của người mua phải được phê duyệt tuân thủ theo quy trình nội bộ. </w:t>
            </w:r>
            <w:r>
              <w:rPr>
                <w:b/>
                <w:i w:val="0"/>
                <w:sz w:val="19"/>
              </w:rPr>
              <w:t>Tham chiếu rủi ro: B-1, B-2, B-3, B-5, B-7, B-8</w:t>
            </w:r>
          </w:p>
        </w:tc>
      </w:tr>
      <w:tr>
        <w:tc>
          <w:tcPr>
            <w:tcW w:type="dxa" w:w="4680"/>
          </w:tcPr>
          <w:p>
            <w:r/>
            <w:r>
              <w:rPr>
                <w:b w:val="0"/>
                <w:i w:val="0"/>
                <w:sz w:val="19"/>
              </w:rPr>
              <w:t>4.2.18</w:t>
            </w:r>
          </w:p>
        </w:tc>
        <w:tc>
          <w:tcPr>
            <w:tcW w:type="dxa" w:w="4680"/>
          </w:tcPr>
          <w:p>
            <w:r/>
            <w:r>
              <w:rPr>
                <w:b/>
                <w:i w:val="0"/>
                <w:sz w:val="19"/>
              </w:rPr>
              <w:t>Đơn đặt hàng sau khi giao dịch đã xảy ra.</w:t>
            </w:r>
            <w:r>
              <w:rPr>
                <w:b w:val="0"/>
                <w:i w:val="0"/>
                <w:sz w:val="19"/>
              </w:rPr>
              <w:t xml:space="preserve"> Các đơn đặt hàng sau khi giao dịch đã xảy ra (After-the-Fact PO) được nhận diện, theo dõi và xử lý thường xuyên. Đơn đặt hàng sau khi giao dịch đã xảy ra thường được sử dụng khi yêu cầu mua sắm và đơn đặt hàng được phát hành sau khi giao dịch đã diễn ra và khi giao dịch đó không đáp ứng các yêu cầu hạn chế của mẫu yêu cầu thanh toán. </w:t>
            </w:r>
            <w:r>
              <w:rPr>
                <w:b/>
                <w:i w:val="0"/>
                <w:sz w:val="19"/>
              </w:rPr>
              <w:t>Tham chiếu rủi ro: B-1, B-3, B-5, B-7, B-8</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B-1</w:t>
            </w:r>
          </w:p>
        </w:tc>
        <w:tc>
          <w:tcPr>
            <w:tcW w:type="dxa" w:w="4680"/>
          </w:tcPr>
          <w:p>
            <w:r/>
            <w:r>
              <w:rPr>
                <w:b w:val="0"/>
                <w:i w:val="0"/>
                <w:sz w:val="19"/>
              </w:rPr>
              <w:t>Một đơn đặt hàng có thể:</w:t>
            </w:r>
            <w:r>
              <w:br/>
            </w:r>
            <w:r>
              <w:rPr>
                <w:b w:val="0"/>
                <w:i w:val="0"/>
                <w:sz w:val="19"/>
              </w:rPr>
              <w:t>a. Không được ủy quyền hoặc được ủy quyền không đúng cách</w:t>
            </w:r>
            <w:r>
              <w:br/>
            </w:r>
            <w:r>
              <w:rPr>
                <w:b w:val="0"/>
                <w:i w:val="0"/>
                <w:sz w:val="19"/>
              </w:rPr>
              <w:t>b. Được tạo từ một nhà cung cấp không được ủy quyền</w:t>
            </w:r>
            <w:r>
              <w:br/>
            </w:r>
            <w:r>
              <w:rPr>
                <w:b w:val="0"/>
                <w:i w:val="0"/>
                <w:sz w:val="19"/>
              </w:rPr>
              <w:t>c. Được đặt hàng và nhận bởi một cá nhân không được ủy quyền</w:t>
            </w:r>
          </w:p>
        </w:tc>
      </w:tr>
      <w:tr>
        <w:tc>
          <w:tcPr>
            <w:tcW w:type="dxa" w:w="4680"/>
          </w:tcPr>
          <w:p>
            <w:r/>
            <w:r>
              <w:rPr>
                <w:b w:val="0"/>
                <w:i w:val="0"/>
                <w:sz w:val="19"/>
              </w:rPr>
              <w:t>B-2</w:t>
            </w:r>
          </w:p>
        </w:tc>
        <w:tc>
          <w:tcPr>
            <w:tcW w:type="dxa" w:w="4680"/>
          </w:tcPr>
          <w:p>
            <w:r/>
            <w:r>
              <w:rPr>
                <w:b w:val="0"/>
                <w:i w:val="0"/>
                <w:sz w:val="19"/>
              </w:rPr>
              <w:t>Có thể xảy ra các vi phạm kiểm soát xuất nhập khẩu, giao dịch với bên liên quan, hoặc các tình huống xung đột lợi ích. Khả năng xảy ra sai sót và bất thường tăng lên đáng kể.</w:t>
            </w:r>
          </w:p>
        </w:tc>
      </w:tr>
      <w:tr>
        <w:tc>
          <w:tcPr>
            <w:tcW w:type="dxa" w:w="4680"/>
          </w:tcPr>
          <w:p>
            <w:r/>
            <w:r>
              <w:rPr>
                <w:b w:val="0"/>
                <w:i w:val="0"/>
                <w:sz w:val="19"/>
              </w:rPr>
              <w:t>B-3</w:t>
            </w:r>
          </w:p>
        </w:tc>
        <w:tc>
          <w:tcPr>
            <w:tcW w:type="dxa" w:w="4680"/>
          </w:tcPr>
          <w:p>
            <w:r/>
            <w:r>
              <w:rPr>
                <w:b w:val="0"/>
                <w:i w:val="0"/>
                <w:sz w:val="19"/>
              </w:rPr>
              <w:t>Thay vì được trả lại hoặc từ chối, những mặt hàng sau đây có thể được nhận và cuối cùng được thanh toán:</w:t>
            </w:r>
            <w:r>
              <w:br/>
            </w:r>
            <w:r>
              <w:rPr>
                <w:b w:val="0"/>
                <w:i w:val="0"/>
                <w:sz w:val="19"/>
              </w:rPr>
              <w:t>a. Hàng hóa hoặc dịch vụ không được đặt hàng</w:t>
            </w:r>
            <w:r>
              <w:br/>
            </w:r>
            <w:r>
              <w:rPr>
                <w:b w:val="0"/>
                <w:i w:val="0"/>
                <w:sz w:val="19"/>
              </w:rPr>
              <w:t>b. Số lượng quá nhiều hoặc mặt hàng không đúng</w:t>
            </w:r>
            <w:r>
              <w:br/>
            </w:r>
            <w:r>
              <w:rPr>
                <w:b w:val="0"/>
                <w:i w:val="0"/>
                <w:sz w:val="19"/>
              </w:rPr>
              <w:t>c. Đơn hàng đã hủy hoặc bị trùng lặp</w:t>
            </w:r>
          </w:p>
        </w:tc>
      </w:tr>
      <w:tr>
        <w:tc>
          <w:tcPr>
            <w:tcW w:type="dxa" w:w="4680"/>
          </w:tcPr>
          <w:p>
            <w:r/>
            <w:r>
              <w:rPr>
                <w:b w:val="0"/>
                <w:i w:val="0"/>
                <w:sz w:val="19"/>
              </w:rPr>
              <w:t>B-4</w:t>
            </w:r>
          </w:p>
        </w:tc>
        <w:tc>
          <w:tcPr>
            <w:tcW w:type="dxa" w:w="4680"/>
          </w:tcPr>
          <w:p>
            <w:r/>
            <w:r>
              <w:rPr>
                <w:b w:val="0"/>
                <w:i w:val="0"/>
                <w:sz w:val="19"/>
              </w:rPr>
              <w:t>Hồ sơ có thể bị mất hoặc bị tiêu hủy.</w:t>
            </w:r>
          </w:p>
        </w:tc>
      </w:tr>
      <w:tr>
        <w:tc>
          <w:tcPr>
            <w:tcW w:type="dxa" w:w="4680"/>
          </w:tcPr>
          <w:p>
            <w:r/>
            <w:r>
              <w:rPr>
                <w:b w:val="0"/>
                <w:i w:val="0"/>
                <w:sz w:val="19"/>
              </w:rPr>
              <w:t>B-5</w:t>
            </w:r>
          </w:p>
        </w:tc>
        <w:tc>
          <w:tcPr>
            <w:tcW w:type="dxa" w:w="4680"/>
          </w:tcPr>
          <w:p>
            <w:r/>
            <w:r>
              <w:rPr>
                <w:b w:val="0"/>
                <w:i w:val="0"/>
                <w:sz w:val="19"/>
              </w:rPr>
              <w:t>Hồ sơ có thể bị lạm dụng hoặc bị thay đổi bởi nhân viên không được ủy quyền, gây tổn hại cho công ty và các nhà cung cấp của công ty.</w:t>
            </w:r>
          </w:p>
        </w:tc>
      </w:tr>
      <w:tr>
        <w:tc>
          <w:tcPr>
            <w:tcW w:type="dxa" w:w="4680"/>
          </w:tcPr>
          <w:p>
            <w:r/>
            <w:r>
              <w:rPr>
                <w:b w:val="0"/>
                <w:i w:val="0"/>
                <w:sz w:val="19"/>
              </w:rPr>
              <w:t>B-6</w:t>
            </w:r>
          </w:p>
        </w:tc>
        <w:tc>
          <w:tcPr>
            <w:tcW w:type="dxa" w:w="4680"/>
          </w:tcPr>
          <w:p>
            <w:r/>
            <w:r>
              <w:rPr>
                <w:b w:val="0"/>
                <w:i w:val="0"/>
                <w:sz w:val="19"/>
              </w:rPr>
              <w:t>Hàng hóa và dịch vụ có thể đã được nhận nhưng không được báo cáo hoặc báo cáo không chính xác. Các khoản nợ phải trả không được ghi nhận và hàng tồn kho, giá vốn hàng bán bị báo cáo sai có thể xảy ra.</w:t>
            </w:r>
          </w:p>
        </w:tc>
      </w:tr>
      <w:tr>
        <w:tc>
          <w:tcPr>
            <w:tcW w:type="dxa" w:w="4680"/>
          </w:tcPr>
          <w:p>
            <w:r/>
            <w:r>
              <w:rPr>
                <w:b w:val="0"/>
                <w:i w:val="0"/>
                <w:sz w:val="19"/>
              </w:rPr>
              <w:t>B-7</w:t>
            </w:r>
          </w:p>
        </w:tc>
        <w:tc>
          <w:tcPr>
            <w:tcW w:type="dxa" w:w="4680"/>
          </w:tcPr>
          <w:p>
            <w:r/>
            <w:r>
              <w:rPr>
                <w:b w:val="0"/>
                <w:i w:val="0"/>
                <w:sz w:val="19"/>
              </w:rPr>
              <w:t>Hàng hóa mua vào có thể không đạt tiêu chuẩn chất lượng. Các mức giá hoặc điều khoản không được phép có thể bị chấp nhận.</w:t>
            </w:r>
          </w:p>
        </w:tc>
      </w:tr>
      <w:tr>
        <w:tc>
          <w:tcPr>
            <w:tcW w:type="dxa" w:w="4680"/>
          </w:tcPr>
          <w:p>
            <w:r/>
            <w:r>
              <w:rPr>
                <w:b w:val="0"/>
                <w:i w:val="0"/>
                <w:sz w:val="19"/>
              </w:rPr>
              <w:t>B-8</w:t>
            </w:r>
          </w:p>
        </w:tc>
        <w:tc>
          <w:tcPr>
            <w:tcW w:type="dxa" w:w="4680"/>
          </w:tcPr>
          <w:p>
            <w:r/>
            <w:r>
              <w:rPr>
                <w:b w:val="0"/>
                <w:i w:val="0"/>
                <w:sz w:val="19"/>
              </w:rPr>
              <w:t>Nguyên vật liệu có thể được nhận sớm hoặc muộn, dẫn đến gián đoạn hoạt động kinh doanh hoặc mức tồn kho dư thừa</w:t>
            </w:r>
          </w:p>
        </w:tc>
      </w:tr>
      <w:tr>
        <w:tc>
          <w:tcPr>
            <w:tcW w:type="dxa" w:w="4680"/>
          </w:tcPr>
          <w:p>
            <w:r/>
            <w:r>
              <w:rPr>
                <w:b w:val="0"/>
                <w:i w:val="0"/>
                <w:sz w:val="19"/>
              </w:rPr>
              <w:t>B-9</w:t>
            </w:r>
          </w:p>
        </w:tc>
        <w:tc>
          <w:tcPr>
            <w:tcW w:type="dxa" w:w="4680"/>
          </w:tcPr>
          <w:p>
            <w:r/>
            <w:r>
              <w:rPr>
                <w:b w:val="0"/>
                <w:i w:val="0"/>
                <w:sz w:val="19"/>
              </w:rPr>
              <w:t>Các khoản thanh toán trùng lặp có thể xảy ra, hoặc thanh toán sai số tiền hoặc cho nhà cung cấp không được phép hoặc không tồn tại.</w:t>
            </w:r>
          </w:p>
        </w:tc>
      </w:tr>
      <w:tr>
        <w:tc>
          <w:tcPr>
            <w:tcW w:type="dxa" w:w="4680"/>
          </w:tcPr>
          <w:p>
            <w:r/>
            <w:r>
              <w:rPr>
                <w:b w:val="0"/>
                <w:i w:val="0"/>
                <w:sz w:val="19"/>
              </w:rPr>
              <w:t>B-10</w:t>
            </w:r>
          </w:p>
        </w:tc>
        <w:tc>
          <w:tcPr>
            <w:tcW w:type="dxa" w:w="4680"/>
          </w:tcPr>
          <w:p>
            <w:r/>
            <w:r>
              <w:rPr>
                <w:b w:val="0"/>
                <w:i w:val="0"/>
                <w:sz w:val="19"/>
              </w:rPr>
              <w:t>Hồ sơ có thể không sẵn có cho các mục đích pháp lý, thuế hoặc kiểm toán bên ngoài.</w:t>
            </w:r>
          </w:p>
        </w:tc>
      </w:tr>
      <w:tr>
        <w:tc>
          <w:tcPr>
            <w:tcW w:type="dxa" w:w="4680"/>
          </w:tcPr>
          <w:p>
            <w:r/>
            <w:r>
              <w:rPr>
                <w:b w:val="0"/>
                <w:i w:val="0"/>
                <w:sz w:val="19"/>
              </w:rPr>
              <w:t>B-11</w:t>
            </w:r>
          </w:p>
        </w:tc>
        <w:tc>
          <w:tcPr>
            <w:tcW w:type="dxa" w:w="4680"/>
          </w:tcPr>
          <w:p>
            <w:r/>
            <w:r>
              <w:rPr>
                <w:b w:val="0"/>
                <w:i w:val="0"/>
                <w:sz w:val="19"/>
              </w:rPr>
              <w:t>Các giao dịch mua và/hoặc thanh toán có thể được ghi nhận sai số tiền, sai tài khoản hoặc sai kỳ.</w:t>
            </w:r>
          </w:p>
        </w:tc>
      </w:tr>
      <w:tr>
        <w:tc>
          <w:tcPr>
            <w:tcW w:type="dxa" w:w="4680"/>
          </w:tcPr>
          <w:p>
            <w:r/>
            <w:r>
              <w:rPr>
                <w:b w:val="0"/>
                <w:i w:val="0"/>
                <w:sz w:val="19"/>
              </w:rPr>
              <w:t>B-12</w:t>
            </w:r>
          </w:p>
        </w:tc>
        <w:tc>
          <w:tcPr>
            <w:tcW w:type="dxa" w:w="4680"/>
          </w:tcPr>
          <w:p>
            <w:r/>
            <w:r>
              <w:rPr>
                <w:b w:val="0"/>
                <w:i w:val="0"/>
                <w:sz w:val="19"/>
              </w:rPr>
              <w:t>Thanh toán có thể được thực hiện cho hàng hóa hoặc dịch vụ chưa từng được nhận.</w:t>
            </w:r>
          </w:p>
        </w:tc>
      </w:tr>
      <w:tr>
        <w:tc>
          <w:tcPr>
            <w:tcW w:type="dxa" w:w="4680"/>
          </w:tcPr>
          <w:p>
            <w:r/>
            <w:r>
              <w:rPr>
                <w:b w:val="0"/>
                <w:i w:val="0"/>
                <w:sz w:val="19"/>
              </w:rPr>
              <w:t>B-13</w:t>
            </w:r>
          </w:p>
        </w:tc>
        <w:tc>
          <w:tcPr>
            <w:tcW w:type="dxa" w:w="4680"/>
          </w:tcPr>
          <w:p>
            <w:r/>
            <w:r>
              <w:rPr>
                <w:b w:val="0"/>
                <w:i w:val="0"/>
                <w:sz w:val="19"/>
              </w:rPr>
              <w:t>Mất mát tài sản trí tuệ.</w:t>
            </w:r>
          </w:p>
        </w:tc>
      </w:tr>
      <w:tr>
        <w:tc>
          <w:tcPr>
            <w:tcW w:type="dxa" w:w="4680"/>
          </w:tcPr>
          <w:p>
            <w:r/>
            <w:r>
              <w:rPr>
                <w:b w:val="0"/>
                <w:i w:val="0"/>
                <w:sz w:val="19"/>
              </w:rPr>
              <w:t>B-14</w:t>
            </w:r>
          </w:p>
        </w:tc>
        <w:tc>
          <w:tcPr>
            <w:tcW w:type="dxa" w:w="4680"/>
          </w:tcPr>
          <w:p>
            <w:r/>
            <w:r>
              <w:rPr>
                <w:b w:val="0"/>
                <w:i w:val="0"/>
                <w:sz w:val="19"/>
              </w:rPr>
              <w:t>Một đơn đặt hàng có thể bị nhận bởi một cá nhân không được phép.</w:t>
            </w:r>
          </w:p>
        </w:tc>
      </w:tr>
    </w:tbl>
    <w:p>
      <w:pPr>
        <w:spacing w:after="0"/>
      </w:pPr>
    </w:p>
    <w:p>
      <w:pPr>
        <w:pStyle w:val="Heading2"/>
      </w:pPr>
      <w:r>
        <w:rPr>
          <w:rFonts w:ascii="Calibri" w:hAnsi="Calibri"/>
          <w:b/>
          <w:i w:val="0"/>
          <w:sz w:val="32"/>
        </w:rPr>
        <w:t>4.3 KIỂM SOÁT NHẬP KHẨU</w:t>
      </w:r>
    </w:p>
    <w:p>
      <w:pPr>
        <w:pStyle w:val="Heading3"/>
      </w:pPr>
      <w:r>
        <w:rPr>
          <w:rFonts w:ascii="Calibri" w:hAnsi="Calibri"/>
          <w:b/>
          <w:i w:val="0"/>
          <w:sz w:val="26"/>
        </w:rPr>
        <w:t>Giới thiệu</w:t>
      </w:r>
    </w:p>
    <w:p>
      <w:pPr>
        <w:spacing w:after="80"/>
      </w:pPr>
      <w:r>
        <w:rPr>
          <w:b w:val="0"/>
          <w:i w:val="0"/>
        </w:rPr>
        <w:t>Cả lực lượng tuần tra biên giới hải quan (CBP) và cộng đồng nhập khẩu/xuất khẩu đều có trách nhiệm chung trong việc tối đa hóa sự tuân thủ luật pháp và các quy định. Khi thực hiện nhiệm vụ này, CBP khuyến khích các nhà nhập khẩu/xuất khẩu làm quen với các luật và quy định hiện hành.</w:t>
      </w:r>
    </w:p>
    <w:p>
      <w:pPr>
        <w:spacing w:after="80"/>
      </w:pPr>
      <w:r>
        <w:rPr>
          <w:b w:val="0"/>
          <w:i w:val="0"/>
        </w:rPr>
        <w:t>Nói chung, cơ quan hải quan của mỗi quốc gia là một phần của bộ/ngành ngân khố/thuế vụ và có trách nhiệm chính là đảm bảo không chỉ việc thu thuế và các loại phí đối với hàng nhập khẩu mà còn đảm bảo hàng nhập khẩu đáp ứng tất cả các luật và quy định trong nước của họ. Những luật và quy định như vậy liên quan đến sức khỏe và phúc lợi của người dân cũng như các chính sách thương mại. Do đó, vai trò chính của cơ quan hải quan là thực thi tại biên giới chứ không phải tạo thuận lợi thương mại. Các cơ quan hải quan có quyền thực thi rộng rãi và mạnh mẽ như khám xét và tịch thu, và có thể áp đặt các hình phạt dân sự và hình sự nặng nề, bao gồm đình chỉ các đặc quyền nhập khẩu và áp dụng các án tù khi luật hải quan bị vi phạm.</w:t>
      </w:r>
    </w:p>
    <w:p>
      <w:pPr>
        <w:spacing w:after="80"/>
      </w:pPr>
      <w:r>
        <w:rPr>
          <w:b w:val="0"/>
          <w:i w:val="0"/>
        </w:rPr>
        <w:t>Công ty và các công ty con của mình nhập khẩu thành phẩm, nguyên liệu thô và linh kiện ở các mức độ khác nhau để hỗ trợ sản xuất và phân phối tại các thị trường địa phương. Để đảm bảo việc giải phóng hàng nhập khẩu khỏi sự giám sát của hải quan được tiếp tục kịp thời, công ty sẽ hoạt động tuân thủ đầy đủ tất cả các luật và quy định áp dụng cho hoạt động nhập khẩu của chúng ta và sẽ nhanh chóng giải quyết các nghĩa vụ tài chính cũng như các yêu cầu từ cơ quan hải quan.</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4.3.1</w:t>
            </w:r>
          </w:p>
        </w:tc>
        <w:tc>
          <w:tcPr>
            <w:tcW w:type="dxa" w:w="4680"/>
          </w:tcPr>
          <w:p>
            <w:r/>
            <w:r>
              <w:rPr>
                <w:b/>
                <w:i w:val="0"/>
                <w:sz w:val="19"/>
              </w:rPr>
              <w:t>Quy trình được ghi thành văn bản.</w:t>
            </w:r>
            <w:r>
              <w:rPr>
                <w:b w:val="0"/>
                <w:i w:val="0"/>
                <w:sz w:val="19"/>
              </w:rPr>
              <w:t xml:space="preserve"> Mỗi đơn vị hoạt động phải có các quy trình bằng văn bản để đảm bảo tuân thủ các luật và quy định hiện hành liên quan đến nhập khẩu, bao gồm việc định giá và phân loại sản phẩm. </w:t>
            </w:r>
            <w:r>
              <w:rPr>
                <w:b/>
                <w:i w:val="0"/>
                <w:sz w:val="19"/>
              </w:rPr>
              <w:t>Tham chiếu các rủi ro: C-1, C-2, C-3, C-4, C-5, C-6</w:t>
            </w:r>
          </w:p>
        </w:tc>
      </w:tr>
      <w:tr>
        <w:tc>
          <w:tcPr>
            <w:tcW w:type="dxa" w:w="4680"/>
          </w:tcPr>
          <w:p>
            <w:r/>
            <w:r>
              <w:rPr>
                <w:b w:val="0"/>
                <w:i w:val="0"/>
                <w:sz w:val="19"/>
              </w:rPr>
              <w:t>4.3.2</w:t>
            </w:r>
          </w:p>
        </w:tc>
        <w:tc>
          <w:tcPr>
            <w:tcW w:type="dxa" w:w="4680"/>
          </w:tcPr>
          <w:p>
            <w:r/>
            <w:r>
              <w:rPr>
                <w:b/>
                <w:i w:val="0"/>
                <w:sz w:val="19"/>
              </w:rPr>
              <w:t>Đại lý hải quan.</w:t>
            </w:r>
            <w:r>
              <w:rPr>
                <w:b w:val="0"/>
                <w:i w:val="0"/>
                <w:sz w:val="19"/>
              </w:rPr>
              <w:t xml:space="preserve"> Tất cả các đơn vị nhập khẩu, bao gồm cả những đơn vị sử dụng đại lý hải quan được chứng nhận cho mục đích nhập khẩu, phải thiết lập các hướng dẫn và ủy quyền bằng văn bản để đảm bảo tuân thủ các luật và quy định hiện hành. </w:t>
            </w:r>
            <w:r>
              <w:rPr>
                <w:b/>
                <w:i w:val="0"/>
                <w:sz w:val="19"/>
              </w:rPr>
              <w:t>Tham chiếu các rủi ro: C-1, C-2, C-3</w:t>
            </w:r>
          </w:p>
        </w:tc>
      </w:tr>
      <w:tr>
        <w:tc>
          <w:tcPr>
            <w:tcW w:type="dxa" w:w="4680"/>
          </w:tcPr>
          <w:p>
            <w:r/>
            <w:r>
              <w:rPr>
                <w:b w:val="0"/>
                <w:i w:val="0"/>
                <w:sz w:val="19"/>
              </w:rPr>
              <w:t>4.3.3</w:t>
            </w:r>
          </w:p>
        </w:tc>
        <w:tc>
          <w:tcPr>
            <w:tcW w:type="dxa" w:w="4680"/>
          </w:tcPr>
          <w:p>
            <w:r/>
            <w:r>
              <w:rPr>
                <w:b/>
                <w:i w:val="0"/>
                <w:sz w:val="19"/>
              </w:rPr>
              <w:t>Phản hồi kịp thời các yêu cầu.</w:t>
            </w:r>
            <w:r>
              <w:rPr>
                <w:b w:val="0"/>
                <w:i w:val="0"/>
                <w:sz w:val="19"/>
              </w:rPr>
              <w:t xml:space="preserve"> Tất cả các yêu cầu từ cơ quan hải quan và các nghĩa vụ tài chính đối với cơ quan hải quan phải được giải quyết kịp thời. </w:t>
            </w:r>
            <w:r>
              <w:rPr>
                <w:b/>
                <w:i w:val="0"/>
                <w:sz w:val="19"/>
              </w:rPr>
              <w:t>Tham chiếu các rủi ro: C-l, C-2, C-3, C-5, C-6</w:t>
            </w:r>
          </w:p>
        </w:tc>
      </w:tr>
      <w:tr>
        <w:tc>
          <w:tcPr>
            <w:tcW w:type="dxa" w:w="4680"/>
          </w:tcPr>
          <w:p>
            <w:r/>
            <w:r>
              <w:rPr>
                <w:b w:val="0"/>
                <w:i w:val="0"/>
                <w:sz w:val="19"/>
              </w:rPr>
              <w:t>4.3.4</w:t>
            </w:r>
          </w:p>
        </w:tc>
        <w:tc>
          <w:tcPr>
            <w:tcW w:type="dxa" w:w="4680"/>
          </w:tcPr>
          <w:p>
            <w:r/>
            <w:r>
              <w:rPr>
                <w:b/>
                <w:i w:val="0"/>
                <w:sz w:val="19"/>
              </w:rPr>
              <w:t>Các chương trình ưu đãi thương mại.</w:t>
            </w:r>
            <w:r>
              <w:rPr>
                <w:b w:val="0"/>
                <w:i w:val="0"/>
                <w:sz w:val="19"/>
              </w:rPr>
              <w:t xml:space="preserve"> Tất cả các đơn vị hoạt động tham gia vào các chương trình ưu đãi thương mại phải ghi thành văn bản các yêu cầu về điều kiện đủ cho các sản phẩm tham gia của mình để đảm bảo tuân thủ các luật và quy định hiện hành. </w:t>
            </w:r>
            <w:r>
              <w:rPr>
                <w:b/>
                <w:i w:val="0"/>
                <w:sz w:val="19"/>
              </w:rPr>
              <w:t>Tham chiếu các rủi ro: C-1, C-2, C-4, C-6</w:t>
            </w:r>
          </w:p>
        </w:tc>
      </w:tr>
      <w:tr>
        <w:tc>
          <w:tcPr>
            <w:tcW w:type="dxa" w:w="4680"/>
          </w:tcPr>
          <w:p>
            <w:r/>
            <w:r>
              <w:rPr>
                <w:b w:val="0"/>
                <w:i w:val="0"/>
                <w:sz w:val="19"/>
              </w:rPr>
              <w:t>4.3.5</w:t>
            </w:r>
          </w:p>
        </w:tc>
        <w:tc>
          <w:tcPr>
            <w:tcW w:type="dxa" w:w="4680"/>
          </w:tcPr>
          <w:p>
            <w:r/>
            <w:r>
              <w:rPr>
                <w:b/>
                <w:i w:val="0"/>
                <w:sz w:val="19"/>
              </w:rPr>
              <w:t>Khai báo và chứng nhận xuất xứ.</w:t>
            </w:r>
            <w:r>
              <w:rPr>
                <w:b w:val="0"/>
                <w:i w:val="0"/>
                <w:sz w:val="19"/>
              </w:rPr>
              <w:t xml:space="preserve"> Mọi khai báo và chứng nhận xuất xứ cho mục đích ưu đãi và không ưu đãi đều thuộc trách nhiệm của đơn vị xuất xứ (xuất khẩu) và phải được tổ chức Quản lý Nhập khẩu của đơn vị vận hành tiếp nhận xem xét về tính chính xác và tuân thủ. </w:t>
            </w:r>
            <w:r>
              <w:rPr>
                <w:b/>
                <w:i w:val="0"/>
                <w:sz w:val="19"/>
              </w:rPr>
              <w:t>Tham chiếu rủi ro: C-1, C-2, C-4, C-6</w:t>
            </w:r>
          </w:p>
        </w:tc>
      </w:tr>
      <w:tr>
        <w:tc>
          <w:tcPr>
            <w:tcW w:type="dxa" w:w="4680"/>
          </w:tcPr>
          <w:p>
            <w:r/>
            <w:r>
              <w:rPr>
                <w:b w:val="0"/>
                <w:i w:val="0"/>
                <w:sz w:val="19"/>
              </w:rPr>
              <w:t>4.3.6</w:t>
            </w:r>
          </w:p>
        </w:tc>
        <w:tc>
          <w:tcPr>
            <w:tcW w:type="dxa" w:w="4680"/>
          </w:tcPr>
          <w:p>
            <w:r/>
            <w:r>
              <w:rPr>
                <w:b/>
                <w:i w:val="0"/>
                <w:sz w:val="19"/>
              </w:rPr>
              <w:t>Quản lý thuế quan.</w:t>
            </w:r>
            <w:r>
              <w:rPr>
                <w:b w:val="0"/>
                <w:i w:val="0"/>
                <w:sz w:val="19"/>
              </w:rPr>
              <w:t xml:space="preserve"> Các chương trình hoàn thuế và hoãn thuế (ví dụ: hoàn thuế nhập khẩu, quản lý khu vực ngoại thương và các chương trình thuế đặc biệt khác) phải được thực hiện theo đúng các quy định hiện hành. </w:t>
            </w:r>
            <w:r>
              <w:rPr>
                <w:b/>
                <w:i w:val="0"/>
                <w:sz w:val="19"/>
              </w:rPr>
              <w:t>Tham chiếu rủi ro: C-1, C-2, C-6</w:t>
            </w:r>
          </w:p>
        </w:tc>
      </w:tr>
      <w:tr>
        <w:tc>
          <w:tcPr>
            <w:tcW w:type="dxa" w:w="4680"/>
          </w:tcPr>
          <w:p>
            <w:r/>
            <w:r>
              <w:rPr>
                <w:b w:val="0"/>
                <w:i w:val="0"/>
                <w:sz w:val="19"/>
              </w:rPr>
              <w:t>4.3.7</w:t>
            </w:r>
          </w:p>
        </w:tc>
        <w:tc>
          <w:tcPr>
            <w:tcW w:type="dxa" w:w="4680"/>
          </w:tcPr>
          <w:p>
            <w:r/>
            <w:r>
              <w:rPr>
                <w:b/>
                <w:i w:val="0"/>
                <w:sz w:val="19"/>
              </w:rPr>
              <w:t>Quản lý hồ sơ.</w:t>
            </w:r>
            <w:r>
              <w:rPr>
                <w:b w:val="0"/>
                <w:i w:val="0"/>
                <w:sz w:val="19"/>
              </w:rPr>
              <w:t xml:space="preserve"> Tất cả các đơn vị nhập khẩu phải thiết lập và duy trì hệ thống lưu trữ hồ sơ đầy đủ để đảm bảo tuân thủ tuyên bố chính sách công ty về quản lý hồ sơ. </w:t>
            </w:r>
            <w:r>
              <w:rPr>
                <w:b/>
                <w:i w:val="0"/>
                <w:sz w:val="19"/>
              </w:rPr>
              <w:t>Tham chiếu rủi ro: C-1, C-2, C-3, C-6</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C-1</w:t>
            </w:r>
          </w:p>
        </w:tc>
        <w:tc>
          <w:tcPr>
            <w:tcW w:type="dxa" w:w="4680"/>
          </w:tcPr>
          <w:p>
            <w:r/>
            <w:r>
              <w:rPr>
                <w:b w:val="0"/>
                <w:i w:val="0"/>
                <w:sz w:val="19"/>
              </w:rPr>
              <w:t>Các quy định của chính phủ và/hoặc hải quan có thể bị vi phạm.</w:t>
            </w:r>
          </w:p>
        </w:tc>
      </w:tr>
      <w:tr>
        <w:tc>
          <w:tcPr>
            <w:tcW w:type="dxa" w:w="4680"/>
          </w:tcPr>
          <w:p>
            <w:r/>
            <w:r>
              <w:rPr>
                <w:b w:val="0"/>
                <w:i w:val="0"/>
                <w:sz w:val="19"/>
              </w:rPr>
              <w:t>C-2</w:t>
            </w:r>
          </w:p>
        </w:tc>
        <w:tc>
          <w:tcPr>
            <w:tcW w:type="dxa" w:w="4680"/>
          </w:tcPr>
          <w:p>
            <w:r/>
            <w:r>
              <w:rPr>
                <w:b w:val="0"/>
                <w:i w:val="0"/>
                <w:sz w:val="19"/>
              </w:rPr>
              <w:t>Các hình phạt dân sự và hình sự đối với công ty và/hoặc từng nhân viên có thể xảy ra.</w:t>
            </w:r>
          </w:p>
        </w:tc>
      </w:tr>
      <w:tr>
        <w:tc>
          <w:tcPr>
            <w:tcW w:type="dxa" w:w="4680"/>
          </w:tcPr>
          <w:p>
            <w:r/>
            <w:r>
              <w:rPr>
                <w:b w:val="0"/>
                <w:i w:val="0"/>
                <w:sz w:val="19"/>
              </w:rPr>
              <w:t>C-3</w:t>
            </w:r>
          </w:p>
        </w:tc>
        <w:tc>
          <w:tcPr>
            <w:tcW w:type="dxa" w:w="4680"/>
          </w:tcPr>
          <w:p>
            <w:r/>
            <w:r>
              <w:rPr>
                <w:b w:val="0"/>
                <w:i w:val="0"/>
                <w:sz w:val="19"/>
              </w:rPr>
              <w:t>Các đặc quyền nhập khẩu có thể bị mất.</w:t>
            </w:r>
          </w:p>
        </w:tc>
      </w:tr>
      <w:tr>
        <w:tc>
          <w:tcPr>
            <w:tcW w:type="dxa" w:w="4680"/>
          </w:tcPr>
          <w:p>
            <w:r/>
            <w:r>
              <w:rPr>
                <w:b w:val="0"/>
                <w:i w:val="0"/>
                <w:sz w:val="19"/>
              </w:rPr>
              <w:t>C-4</w:t>
            </w:r>
          </w:p>
        </w:tc>
        <w:tc>
          <w:tcPr>
            <w:tcW w:type="dxa" w:w="4680"/>
          </w:tcPr>
          <w:p>
            <w:r/>
            <w:r>
              <w:rPr>
                <w:b w:val="0"/>
                <w:i w:val="0"/>
                <w:sz w:val="19"/>
              </w:rPr>
              <w:t>Toàn bộ công ty có thể mất mức thuế quan ưu đãi.</w:t>
            </w:r>
          </w:p>
        </w:tc>
      </w:tr>
      <w:tr>
        <w:tc>
          <w:tcPr>
            <w:tcW w:type="dxa" w:w="4680"/>
          </w:tcPr>
          <w:p>
            <w:r/>
            <w:r>
              <w:rPr>
                <w:b w:val="0"/>
                <w:i w:val="0"/>
                <w:sz w:val="19"/>
              </w:rPr>
              <w:t>C-5</w:t>
            </w:r>
          </w:p>
        </w:tc>
        <w:tc>
          <w:tcPr>
            <w:tcW w:type="dxa" w:w="4680"/>
          </w:tcPr>
          <w:p>
            <w:r/>
            <w:r>
              <w:rPr>
                <w:b w:val="0"/>
                <w:i w:val="0"/>
                <w:sz w:val="19"/>
              </w:rPr>
              <w:t>Việc không hành động có thể ảnh hưởng tiêu cực đến việc giải phóng hàng hóa kịp thời khỏi sự giám sát của hải quan.</w:t>
            </w:r>
          </w:p>
        </w:tc>
      </w:tr>
      <w:tr>
        <w:tc>
          <w:tcPr>
            <w:tcW w:type="dxa" w:w="4680"/>
          </w:tcPr>
          <w:p>
            <w:r/>
            <w:r>
              <w:rPr>
                <w:b w:val="0"/>
                <w:i w:val="0"/>
                <w:sz w:val="19"/>
              </w:rPr>
              <w:t>C-6</w:t>
            </w:r>
          </w:p>
        </w:tc>
        <w:tc>
          <w:tcPr>
            <w:tcW w:type="dxa" w:w="4680"/>
          </w:tcPr>
          <w:p>
            <w:r/>
            <w:r>
              <w:rPr>
                <w:b w:val="0"/>
                <w:i w:val="0"/>
                <w:sz w:val="19"/>
              </w:rPr>
              <w:t>Chứng từ không chính xác có thể dẫn đến rủi ro tài chính đáng kể cho công ty.</w:t>
            </w:r>
          </w:p>
        </w:tc>
      </w:tr>
    </w:tbl>
    <w:p>
      <w:pPr>
        <w:spacing w:after="0"/>
      </w:pPr>
    </w:p>
    <w:p>
      <w:pPr>
        <w:pStyle w:val="Heading2"/>
      </w:pPr>
      <w:r>
        <w:rPr>
          <w:rFonts w:ascii="Calibri" w:hAnsi="Calibri"/>
          <w:b/>
          <w:i w:val="0"/>
          <w:sz w:val="32"/>
        </w:rPr>
        <w:t>4.4 NHẬN HÀNG</w:t>
      </w:r>
    </w:p>
    <w:p>
      <w:pPr>
        <w:pStyle w:val="Heading3"/>
      </w:pPr>
      <w:r>
        <w:rPr>
          <w:rFonts w:ascii="Calibri" w:hAnsi="Calibri"/>
          <w:b/>
          <w:i w:val="0"/>
          <w:sz w:val="26"/>
        </w:rPr>
        <w:t>Giới thiệu</w:t>
      </w:r>
    </w:p>
    <w:p>
      <w:pPr>
        <w:spacing w:after="80"/>
      </w:pPr>
      <w:r>
        <w:rPr>
          <w:b w:val="0"/>
          <w:i w:val="0"/>
        </w:rPr>
        <w:t>Để đảm bảo việc phân tách nhiệm vụ phù hợp, bộ phận nhận hàng cần được tách biệt về mặt vật lý khỏi cơ sở sản xuất và bộ phận vận chuyển. Là một thành phần then chốt của quy trình mua hàng đến thanh toán (procure to pay - P2P), bộ phận nhận hàng chịu trách nhiệm ghi nhận tất cả các khoản nhận hàng của công ty. Việc nhận hàng hóa và dịch vụ chính xác thúc đẩy quy trình đối chiếu ba bên (three-way matching), trong đó đơn đặt hàng (purchase order - PO), hóa đơn và chứng từ nhận hàng được xác minh về giá cả, số lượng và đơn giá chính xác.</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4.4.1</w:t>
            </w:r>
          </w:p>
        </w:tc>
        <w:tc>
          <w:tcPr>
            <w:tcW w:type="dxa" w:w="4680"/>
          </w:tcPr>
          <w:p>
            <w:r/>
            <w:r>
              <w:rPr>
                <w:b/>
                <w:i w:val="0"/>
                <w:sz w:val="19"/>
              </w:rPr>
              <w:t>Tách biệt Vật lý của Bộ phận Nhận hàng.</w:t>
            </w:r>
            <w:r>
              <w:rPr>
                <w:b w:val="0"/>
                <w:i w:val="0"/>
                <w:sz w:val="19"/>
              </w:rPr>
              <w:t xml:space="preserve"> Bộ phận nhận hàng cần được tách biệt về mặt vật lý khỏi cơ sở sản xuất và bộ phận vận chuyển. Khi việc tách biệt không khả thi, phải thiết lập các kiểm soát bù đắp. </w:t>
            </w:r>
            <w:r>
              <w:rPr>
                <w:b/>
                <w:i w:val="0"/>
                <w:sz w:val="19"/>
              </w:rPr>
              <w:t>Tham khảo rủi ro: D-1, D-2, D-3</w:t>
            </w:r>
          </w:p>
        </w:tc>
      </w:tr>
      <w:tr>
        <w:tc>
          <w:tcPr>
            <w:tcW w:type="dxa" w:w="4680"/>
          </w:tcPr>
          <w:p>
            <w:r/>
            <w:r>
              <w:rPr>
                <w:b w:val="0"/>
                <w:i w:val="0"/>
                <w:sz w:val="19"/>
              </w:rPr>
              <w:t>4.4.2</w:t>
            </w:r>
          </w:p>
        </w:tc>
        <w:tc>
          <w:tcPr>
            <w:tcW w:type="dxa" w:w="4680"/>
          </w:tcPr>
          <w:p>
            <w:r/>
            <w:r>
              <w:rPr>
                <w:b/>
                <w:i w:val="0"/>
                <w:sz w:val="19"/>
              </w:rPr>
              <w:t>Phân tách Nhiệm vụ.</w:t>
            </w:r>
            <w:r>
              <w:rPr>
                <w:b w:val="0"/>
                <w:i w:val="0"/>
                <w:sz w:val="19"/>
              </w:rPr>
              <w:t xml:space="preserve"> Chức năng nhận hàng phải được tách biệt khỏi chức năng mua hàng, xử lý hóa đơn, tài khoản phải trả và sổ cái tổng hợp. </w:t>
            </w:r>
            <w:r>
              <w:rPr>
                <w:b/>
                <w:i w:val="0"/>
                <w:sz w:val="19"/>
              </w:rPr>
              <w:t>Tham khảo rủi ro: D-1, D-2, D-3, D-5, D-6, D-7, D-8</w:t>
            </w:r>
          </w:p>
        </w:tc>
      </w:tr>
      <w:tr>
        <w:tc>
          <w:tcPr>
            <w:tcW w:type="dxa" w:w="4680"/>
          </w:tcPr>
          <w:p>
            <w:r/>
            <w:r>
              <w:rPr>
                <w:b w:val="0"/>
                <w:i w:val="0"/>
                <w:sz w:val="19"/>
              </w:rPr>
              <w:t>4.4.3</w:t>
            </w:r>
          </w:p>
        </w:tc>
        <w:tc>
          <w:tcPr>
            <w:tcW w:type="dxa" w:w="4680"/>
          </w:tcPr>
          <w:p>
            <w:r/>
            <w:r>
              <w:rPr>
                <w:b/>
                <w:i w:val="0"/>
                <w:sz w:val="19"/>
              </w:rPr>
              <w:t>Quyền Truy cập vào Bộ phận Nhận hàng.</w:t>
            </w:r>
            <w:r>
              <w:rPr>
                <w:b w:val="0"/>
                <w:i w:val="0"/>
                <w:sz w:val="19"/>
              </w:rPr>
              <w:t xml:space="preserve"> Quyền truy cập vào bộ phận nhận hàng phải được giới hạn chỉ cho nhân sự được ủy quyền. </w:t>
            </w:r>
            <w:r>
              <w:rPr>
                <w:b/>
                <w:i w:val="0"/>
                <w:sz w:val="19"/>
              </w:rPr>
              <w:t>Tham khảo rủi ro: D-1, D-2, D-3, D-4, D-5, D-6</w:t>
            </w:r>
          </w:p>
        </w:tc>
      </w:tr>
      <w:tr>
        <w:tc>
          <w:tcPr>
            <w:tcW w:type="dxa" w:w="4680"/>
          </w:tcPr>
          <w:p>
            <w:r/>
            <w:r>
              <w:rPr>
                <w:b w:val="0"/>
                <w:i w:val="0"/>
                <w:sz w:val="19"/>
              </w:rPr>
              <w:t>4.4.4</w:t>
            </w:r>
          </w:p>
        </w:tc>
        <w:tc>
          <w:tcPr>
            <w:tcW w:type="dxa" w:w="4680"/>
          </w:tcPr>
          <w:p>
            <w:r/>
            <w:r>
              <w:rPr>
                <w:b/>
                <w:i w:val="0"/>
                <w:sz w:val="19"/>
              </w:rPr>
              <w:t>Chính sách Nhận hàng.</w:t>
            </w:r>
            <w:r>
              <w:rPr>
                <w:b w:val="0"/>
                <w:i w:val="0"/>
                <w:sz w:val="19"/>
              </w:rPr>
              <w:t xml:space="preserve"> Tất cả nguyên vật liệu, hàng hóa và vật tư nhập về phải được xử lý tại địa điểm nhận hàng được chỉ định tại mỗi cơ sở, trừ khi có sắp xếp và phê duyệt khác theo chính sách địa phương. </w:t>
            </w:r>
            <w:r>
              <w:rPr>
                <w:b/>
                <w:i w:val="0"/>
                <w:sz w:val="19"/>
              </w:rPr>
              <w:t>Tham khảo rủi ro: D-1, D-2, D-4, D-5</w:t>
            </w:r>
          </w:p>
        </w:tc>
      </w:tr>
      <w:tr>
        <w:tc>
          <w:tcPr>
            <w:tcW w:type="dxa" w:w="4680"/>
          </w:tcPr>
          <w:p>
            <w:r/>
            <w:r>
              <w:rPr>
                <w:b w:val="0"/>
                <w:i w:val="0"/>
                <w:sz w:val="19"/>
              </w:rPr>
              <w:t>4.4.5</w:t>
            </w:r>
          </w:p>
        </w:tc>
        <w:tc>
          <w:tcPr>
            <w:tcW w:type="dxa" w:w="4680"/>
          </w:tcPr>
          <w:p>
            <w:r/>
            <w:r>
              <w:rPr>
                <w:b/>
                <w:i w:val="0"/>
                <w:sz w:val="19"/>
              </w:rPr>
              <w:t>Chấp nhận hàng hóa đã nhận.</w:t>
            </w:r>
            <w:r>
              <w:rPr>
                <w:b w:val="0"/>
                <w:i w:val="0"/>
                <w:sz w:val="19"/>
              </w:rPr>
              <w:t xml:space="preserve"> Địa điểm nhận hàng chỉ chấp nhận những hàng hóa có đơn đặt hàng đã được phê duyệt hoặc khi văn bản tương đương đã được chuẩn bị. Mọi khoản nhận hàng khác cần được trả lại cho nhà cung cấp hoặc điều tra tính hợp lệ một cách kịp thời. </w:t>
            </w:r>
            <w:r>
              <w:rPr>
                <w:b/>
                <w:i w:val="0"/>
                <w:sz w:val="19"/>
              </w:rPr>
              <w:t>Tham chiếu rủi ro: D-3, D-4, D-5, D-6, D-7</w:t>
            </w:r>
          </w:p>
        </w:tc>
      </w:tr>
      <w:tr>
        <w:tc>
          <w:tcPr>
            <w:tcW w:type="dxa" w:w="4680"/>
          </w:tcPr>
          <w:p>
            <w:r/>
            <w:r>
              <w:rPr>
                <w:b w:val="0"/>
                <w:i w:val="0"/>
                <w:sz w:val="19"/>
              </w:rPr>
              <w:t>4.4.6</w:t>
            </w:r>
          </w:p>
        </w:tc>
        <w:tc>
          <w:tcPr>
            <w:tcW w:type="dxa" w:w="4680"/>
          </w:tcPr>
          <w:p>
            <w:r/>
            <w:r>
              <w:rPr>
                <w:b/>
                <w:i w:val="0"/>
                <w:sz w:val="19"/>
              </w:rPr>
              <w:t>Chứng từ nhận hàng.</w:t>
            </w:r>
            <w:r>
              <w:rPr>
                <w:b w:val="0"/>
                <w:i w:val="0"/>
                <w:sz w:val="19"/>
              </w:rPr>
              <w:t xml:space="preserve"> Mỗi địa điểm nhận hàng được chỉ định phải hạch toán và cung cấp bằng chứng về giao dịch nhận hàng cho tất cả nguyên vật liệu, hàng hóa hoặc vật tư được địa điểm nhận hàng chấp nhận. Phải có bằng chứng về hàng hóa được trả lại hoặc chuyển đến các khu vực khác. </w:t>
            </w:r>
            <w:r>
              <w:rPr>
                <w:b/>
                <w:i w:val="0"/>
                <w:sz w:val="19"/>
              </w:rPr>
              <w:t>Tham chiếu rủi ro: D-2, D-6, D-7</w:t>
            </w:r>
          </w:p>
        </w:tc>
      </w:tr>
      <w:tr>
        <w:tc>
          <w:tcPr>
            <w:tcW w:type="dxa" w:w="4680"/>
          </w:tcPr>
          <w:p>
            <w:r/>
            <w:r>
              <w:rPr>
                <w:b w:val="0"/>
                <w:i w:val="0"/>
                <w:sz w:val="19"/>
              </w:rPr>
              <w:t>4.4.7</w:t>
            </w:r>
          </w:p>
        </w:tc>
        <w:tc>
          <w:tcPr>
            <w:tcW w:type="dxa" w:w="4680"/>
          </w:tcPr>
          <w:p>
            <w:r/>
            <w:r>
              <w:rPr>
                <w:b/>
                <w:i w:val="0"/>
                <w:sz w:val="19"/>
              </w:rPr>
              <w:t>Ghi nhận nhận hàng.</w:t>
            </w:r>
            <w:r>
              <w:rPr>
                <w:b w:val="0"/>
                <w:i w:val="0"/>
                <w:sz w:val="19"/>
              </w:rPr>
              <w:t xml:space="preserve"> Các giao dịch nhận hàng sẽ không được tạo ra nếu không có việc thực nhận hàng hóa hoặc dịch vụ và bằng chứng giao hàng đầy đủ. </w:t>
            </w:r>
            <w:r>
              <w:rPr>
                <w:b/>
                <w:i w:val="0"/>
                <w:sz w:val="19"/>
              </w:rPr>
              <w:t>Tham chiếu rủi ro: D-3, D-6</w:t>
            </w:r>
          </w:p>
        </w:tc>
      </w:tr>
      <w:tr>
        <w:tc>
          <w:tcPr>
            <w:tcW w:type="dxa" w:w="4680"/>
          </w:tcPr>
          <w:p>
            <w:r/>
            <w:r>
              <w:rPr>
                <w:b w:val="0"/>
                <w:i w:val="0"/>
                <w:sz w:val="19"/>
              </w:rPr>
              <w:t>4.4.8</w:t>
            </w:r>
          </w:p>
        </w:tc>
        <w:tc>
          <w:tcPr>
            <w:tcW w:type="dxa" w:w="4680"/>
          </w:tcPr>
          <w:p>
            <w:r/>
            <w:r>
              <w:rPr>
                <w:b/>
                <w:i w:val="0"/>
                <w:sz w:val="19"/>
              </w:rPr>
              <w:t>Quy trình nhận hàng.</w:t>
            </w:r>
            <w:r>
              <w:rPr>
                <w:b w:val="0"/>
                <w:i w:val="0"/>
                <w:sz w:val="19"/>
              </w:rPr>
              <w:t xml:space="preserve"> Trong trường hợp không có chương trình đánh giá năng lực nhà cung cấp và giám sát hiệu suất hiệu quả, hàng hóa đến phải được đánh giá về hư hỏng và thiếu hụt. Hàng hóa phải được đếm, cân hoặc đo theo phương pháp lấy mẫu để xác định tính chính xác của các lô hàng từ nhà cung cấp. Mọi sai lệch và hư hỏng phải được ghi nhận, theo dõi và giải quyết thỏa đáng với nhà cung cấp. </w:t>
            </w:r>
            <w:r>
              <w:rPr>
                <w:b/>
                <w:i w:val="0"/>
                <w:sz w:val="19"/>
              </w:rPr>
              <w:t>Tham chiếu rủi ro: D-2, D-3, D-4, D-6, D-7</w:t>
            </w:r>
          </w:p>
        </w:tc>
      </w:tr>
      <w:tr>
        <w:tc>
          <w:tcPr>
            <w:tcW w:type="dxa" w:w="4680"/>
          </w:tcPr>
          <w:p>
            <w:r/>
            <w:r>
              <w:rPr>
                <w:b w:val="0"/>
                <w:i w:val="0"/>
                <w:sz w:val="19"/>
              </w:rPr>
              <w:t>4.4.9</w:t>
            </w:r>
          </w:p>
        </w:tc>
        <w:tc>
          <w:tcPr>
            <w:tcW w:type="dxa" w:w="4680"/>
          </w:tcPr>
          <w:p>
            <w:r/>
            <w:r>
              <w:rPr>
                <w:b/>
                <w:i w:val="0"/>
                <w:sz w:val="19"/>
              </w:rPr>
              <w:t>Thông tin nhận hàng.</w:t>
            </w:r>
            <w:r>
              <w:rPr>
                <w:b w:val="0"/>
                <w:i w:val="0"/>
                <w:sz w:val="19"/>
              </w:rPr>
              <w:t xml:space="preserve"> Thông tin giao dịch nhận hàng và bản sao chứng từ (BOL, phiếu đóng gói, v.v.) phải được lưu giữ tại bộ phận nhận hàng và cung cấp cho bộ phận mua hàng và kế toán phải trả để xử lý thanh toán cho nhà cung cấp một cách kịp thời. </w:t>
            </w:r>
            <w:r>
              <w:rPr>
                <w:b/>
                <w:i w:val="0"/>
                <w:sz w:val="19"/>
              </w:rPr>
              <w:t>Tham chiếu rủi ro: D-2, D-6, D-7</w:t>
            </w:r>
          </w:p>
        </w:tc>
      </w:tr>
      <w:tr>
        <w:tc>
          <w:tcPr>
            <w:tcW w:type="dxa" w:w="4680"/>
          </w:tcPr>
          <w:p>
            <w:r/>
            <w:r>
              <w:rPr>
                <w:b w:val="0"/>
                <w:i w:val="0"/>
                <w:sz w:val="19"/>
              </w:rPr>
              <w:t>4.4.10</w:t>
            </w:r>
          </w:p>
        </w:tc>
        <w:tc>
          <w:tcPr>
            <w:tcW w:type="dxa" w:w="4680"/>
          </w:tcPr>
          <w:p>
            <w:r/>
            <w:r>
              <w:rPr>
                <w:b/>
                <w:i w:val="0"/>
                <w:sz w:val="19"/>
              </w:rPr>
              <w:t>Kiểm tra chuỗi cung ứng.</w:t>
            </w:r>
            <w:r>
              <w:rPr>
                <w:b w:val="0"/>
                <w:i w:val="0"/>
                <w:sz w:val="19"/>
              </w:rPr>
              <w:t xml:space="preserve"> Trong trường hợp không có chương trình đánh giá năng lực nhà cung cấp và giám sát hiệu suất hiệu quả, hàng hóa đến phải được kiểm tra và thử nghiệm kịp thời về hư hỏng, đặc tính chất lượng, thông số kỹ thuật sản phẩm, v.v. bởi nhân viên chuỗi cung ứng phù hợp. </w:t>
            </w:r>
            <w:r>
              <w:rPr>
                <w:b/>
                <w:i w:val="0"/>
                <w:sz w:val="19"/>
              </w:rPr>
              <w:t>Tham chiếu rủi ro: D-4, D-7</w:t>
            </w:r>
          </w:p>
        </w:tc>
      </w:tr>
      <w:tr>
        <w:tc>
          <w:tcPr>
            <w:tcW w:type="dxa" w:w="4680"/>
          </w:tcPr>
          <w:p>
            <w:r/>
            <w:r>
              <w:rPr>
                <w:b w:val="0"/>
                <w:i w:val="0"/>
                <w:sz w:val="19"/>
              </w:rPr>
              <w:t>4.4.11</w:t>
            </w:r>
          </w:p>
        </w:tc>
        <w:tc>
          <w:tcPr>
            <w:tcW w:type="dxa" w:w="4680"/>
          </w:tcPr>
          <w:p>
            <w:r/>
            <w:r>
              <w:rPr>
                <w:b/>
                <w:i w:val="0"/>
                <w:sz w:val="19"/>
              </w:rPr>
              <w:t>Bảo vệ thông tin nhận hàng.</w:t>
            </w:r>
            <w:r>
              <w:rPr>
                <w:b w:val="0"/>
                <w:i w:val="0"/>
                <w:sz w:val="19"/>
              </w:rPr>
              <w:t xml:space="preserve"> Thông tin giao dịch nhận hàng phải được bảo vệ đầy đủ khỏi trộm cắp, phá hủy hoặc sử dụng trái phép. Các giao dịch nhận hàng phải có thể nhận dạng duy nhất, có thể truy xuất nguồn gốc và được hạch toán định kỳ. Quyền truy cập vào hệ thống nhận hàng phải được kiểm soát và bảo vệ bằng mật khẩu. </w:t>
            </w:r>
            <w:r>
              <w:rPr>
                <w:b/>
                <w:i w:val="0"/>
                <w:sz w:val="19"/>
              </w:rPr>
              <w:t>Tham chiếu rủi ro: D-1, D-2, D-4, D-5</w:t>
            </w:r>
          </w:p>
        </w:tc>
      </w:tr>
      <w:tr>
        <w:tc>
          <w:tcPr>
            <w:tcW w:type="dxa" w:w="4680"/>
          </w:tcPr>
          <w:p>
            <w:r/>
            <w:r>
              <w:rPr>
                <w:b w:val="0"/>
                <w:i w:val="0"/>
                <w:sz w:val="19"/>
              </w:rPr>
              <w:t>4.4.12</w:t>
            </w:r>
          </w:p>
        </w:tc>
        <w:tc>
          <w:tcPr>
            <w:tcW w:type="dxa" w:w="4680"/>
          </w:tcPr>
          <w:p>
            <w:r/>
            <w:r>
              <w:rPr>
                <w:b/>
                <w:i w:val="0"/>
                <w:sz w:val="19"/>
              </w:rPr>
              <w:t>Bảo vệ hàng hóa đã nhận.</w:t>
            </w:r>
            <w:r>
              <w:rPr>
                <w:b w:val="0"/>
                <w:i w:val="0"/>
                <w:sz w:val="19"/>
              </w:rPr>
              <w:t xml:space="preserve"> Hàng hóa đến phải được bảo đảm an toàn và bảo vệ ngay khi nhận. Các linh kiện có giá trị cao, chẳng hạn như vi xử lý, phải được bảo vệ trong suốt quá trình nhận hàng. </w:t>
            </w:r>
            <w:r>
              <w:rPr>
                <w:b/>
                <w:i w:val="0"/>
                <w:sz w:val="19"/>
              </w:rPr>
              <w:t>Tham chiếu rủi ro: D-1</w:t>
            </w:r>
          </w:p>
        </w:tc>
      </w:tr>
      <w:tr>
        <w:tc>
          <w:tcPr>
            <w:tcW w:type="dxa" w:w="4680"/>
          </w:tcPr>
          <w:p>
            <w:r/>
            <w:r>
              <w:rPr>
                <w:b w:val="0"/>
                <w:i w:val="0"/>
                <w:sz w:val="19"/>
              </w:rPr>
              <w:t>4.4.13</w:t>
            </w:r>
          </w:p>
        </w:tc>
        <w:tc>
          <w:tcPr>
            <w:tcW w:type="dxa" w:w="4680"/>
          </w:tcPr>
          <w:p>
            <w:r/>
            <w:r>
              <w:rPr>
                <w:b/>
                <w:i w:val="0"/>
                <w:sz w:val="19"/>
              </w:rPr>
              <w:t>Thay đổi đối với hồ sơ nhận hàng.</w:t>
            </w:r>
            <w:r>
              <w:rPr>
                <w:b w:val="0"/>
                <w:i w:val="0"/>
                <w:sz w:val="19"/>
              </w:rPr>
              <w:t xml:space="preserve"> Những thay đổi cần thiết để sửa lỗi trong các giao dịch nhận hàng gốc chỉ có thể được tạo ra bởi nhân sự được ủy quyền theo quy định của chính sách địa phương. </w:t>
            </w:r>
            <w:r>
              <w:rPr>
                <w:b/>
                <w:i w:val="0"/>
                <w:sz w:val="19"/>
              </w:rPr>
              <w:t>Tham khảo các rủi ro: D-1, D-2, D-4, D-5, D-6, D-7, D-8</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D-1</w:t>
            </w:r>
          </w:p>
        </w:tc>
        <w:tc>
          <w:tcPr>
            <w:tcW w:type="dxa" w:w="4680"/>
          </w:tcPr>
          <w:p>
            <w:r/>
            <w:r>
              <w:rPr>
                <w:b w:val="0"/>
                <w:i w:val="0"/>
                <w:sz w:val="19"/>
              </w:rPr>
              <w:t>Một giao dịch mua có thể:</w:t>
            </w:r>
            <w:r>
              <w:br/>
            </w:r>
            <w:r>
              <w:rPr>
                <w:b w:val="0"/>
                <w:i w:val="0"/>
                <w:sz w:val="19"/>
              </w:rPr>
              <w:t>a. Không được ủy quyền hoặc ủy quyền không đúng cách</w:t>
            </w:r>
            <w:r>
              <w:br/>
            </w:r>
            <w:r>
              <w:rPr>
                <w:b w:val="0"/>
                <w:i w:val="0"/>
                <w:sz w:val="19"/>
              </w:rPr>
              <w:t>b. Được thực hiện từ một nhà cung cấp không được ủy quyền</w:t>
            </w:r>
            <w:r>
              <w:br/>
            </w:r>
            <w:r>
              <w:rPr>
                <w:b w:val="0"/>
                <w:i w:val="0"/>
                <w:sz w:val="19"/>
              </w:rPr>
              <w:t>c. Được đặt hàng và nhận bởi một cá nhân không được ủy quyền</w:t>
            </w:r>
          </w:p>
        </w:tc>
      </w:tr>
      <w:tr>
        <w:tc>
          <w:tcPr>
            <w:tcW w:type="dxa" w:w="4680"/>
          </w:tcPr>
          <w:p>
            <w:r/>
            <w:r>
              <w:rPr>
                <w:b w:val="0"/>
                <w:i w:val="0"/>
                <w:sz w:val="19"/>
              </w:rPr>
              <w:t>D-2</w:t>
            </w:r>
          </w:p>
        </w:tc>
        <w:tc>
          <w:tcPr>
            <w:tcW w:type="dxa" w:w="4680"/>
          </w:tcPr>
          <w:p>
            <w:r/>
            <w:r>
              <w:rPr>
                <w:b w:val="0"/>
                <w:i w:val="0"/>
                <w:sz w:val="19"/>
              </w:rPr>
              <w:t>Các giao dịch với bên liên quan hoặc tình huống xung đột lợi ích có thể xảy ra. Khả năng xảy ra sai sót và bất thường tăng lên đáng kể.</w:t>
            </w:r>
          </w:p>
        </w:tc>
      </w:tr>
      <w:tr>
        <w:tc>
          <w:tcPr>
            <w:tcW w:type="dxa" w:w="4680"/>
          </w:tcPr>
          <w:p>
            <w:r/>
            <w:r>
              <w:rPr>
                <w:b w:val="0"/>
                <w:i w:val="0"/>
                <w:sz w:val="19"/>
              </w:rPr>
              <w:t>D-3</w:t>
            </w:r>
          </w:p>
        </w:tc>
        <w:tc>
          <w:tcPr>
            <w:tcW w:type="dxa" w:w="4680"/>
          </w:tcPr>
          <w:p>
            <w:r/>
            <w:r>
              <w:rPr>
                <w:b w:val="0"/>
                <w:i w:val="0"/>
                <w:sz w:val="19"/>
              </w:rPr>
              <w:t>Thay vì được trả lại hoặc từ chối, những mặt hàng sau đây có thể được nhận và cuối cùng được thanh toán:</w:t>
            </w:r>
            <w:r>
              <w:br/>
            </w:r>
            <w:r>
              <w:rPr>
                <w:b w:val="0"/>
                <w:i w:val="0"/>
                <w:sz w:val="19"/>
              </w:rPr>
              <w:t>a. Hàng hóa hoặc dịch vụ không được đặt hàng</w:t>
            </w:r>
            <w:r>
              <w:br/>
            </w:r>
            <w:r>
              <w:rPr>
                <w:b w:val="0"/>
                <w:i w:val="0"/>
                <w:sz w:val="19"/>
              </w:rPr>
              <w:t>b. Số lượng quá nhiều hoặc mặt hàng không đúng</w:t>
            </w:r>
            <w:r>
              <w:br/>
            </w:r>
            <w:r>
              <w:rPr>
                <w:b w:val="0"/>
                <w:i w:val="0"/>
                <w:sz w:val="19"/>
              </w:rPr>
              <w:t>c. Đơn hàng đã hủy hoặc trùng lặp</w:t>
            </w:r>
          </w:p>
        </w:tc>
      </w:tr>
      <w:tr>
        <w:tc>
          <w:tcPr>
            <w:tcW w:type="dxa" w:w="4680"/>
          </w:tcPr>
          <w:p>
            <w:r/>
            <w:r>
              <w:rPr>
                <w:b w:val="0"/>
                <w:i w:val="0"/>
                <w:sz w:val="19"/>
              </w:rPr>
              <w:t>D-4</w:t>
            </w:r>
          </w:p>
        </w:tc>
        <w:tc>
          <w:tcPr>
            <w:tcW w:type="dxa" w:w="4680"/>
          </w:tcPr>
          <w:p>
            <w:r/>
            <w:r>
              <w:rPr>
                <w:b w:val="0"/>
                <w:i w:val="0"/>
                <w:sz w:val="19"/>
              </w:rPr>
              <w:t>Hồ sơ có thể bị mất hoặc bị phá hủy.</w:t>
            </w:r>
          </w:p>
        </w:tc>
      </w:tr>
      <w:tr>
        <w:tc>
          <w:tcPr>
            <w:tcW w:type="dxa" w:w="4680"/>
          </w:tcPr>
          <w:p>
            <w:r/>
            <w:r>
              <w:rPr>
                <w:b w:val="0"/>
                <w:i w:val="0"/>
                <w:sz w:val="19"/>
              </w:rPr>
              <w:t>D-5</w:t>
            </w:r>
          </w:p>
        </w:tc>
        <w:tc>
          <w:tcPr>
            <w:tcW w:type="dxa" w:w="4680"/>
          </w:tcPr>
          <w:p>
            <w:r/>
            <w:r>
              <w:rPr>
                <w:b w:val="0"/>
                <w:i w:val="0"/>
                <w:sz w:val="19"/>
              </w:rPr>
              <w:t>Hồ sơ có thể bị lạm dụng hoặc bị thay đổi bởi nhân sự không được ủy quyền, gây tổn hại cho công ty và các nhà cung cấp của công ty.</w:t>
            </w:r>
          </w:p>
        </w:tc>
      </w:tr>
      <w:tr>
        <w:tc>
          <w:tcPr>
            <w:tcW w:type="dxa" w:w="4680"/>
          </w:tcPr>
          <w:p>
            <w:r/>
            <w:r>
              <w:rPr>
                <w:b w:val="0"/>
                <w:i w:val="0"/>
                <w:sz w:val="19"/>
              </w:rPr>
              <w:t>D-6</w:t>
            </w:r>
          </w:p>
        </w:tc>
        <w:tc>
          <w:tcPr>
            <w:tcW w:type="dxa" w:w="4680"/>
          </w:tcPr>
          <w:p>
            <w:r/>
            <w:r>
              <w:rPr>
                <w:b w:val="0"/>
                <w:i w:val="0"/>
                <w:sz w:val="19"/>
              </w:rPr>
              <w:t>Hàng hóa và dịch vụ có thể được nhận nhưng không được báo cáo hoặc báo cáo không chính xác. Các khoản nợ chưa ghi nhận và hàng tồn kho cũng như giá vốn hàng bán bị báo cáo sai có thể xảy ra.</w:t>
            </w:r>
          </w:p>
        </w:tc>
      </w:tr>
      <w:tr>
        <w:tc>
          <w:tcPr>
            <w:tcW w:type="dxa" w:w="4680"/>
          </w:tcPr>
          <w:p>
            <w:r/>
            <w:r>
              <w:rPr>
                <w:b w:val="0"/>
                <w:i w:val="0"/>
                <w:sz w:val="19"/>
              </w:rPr>
              <w:t>D-7</w:t>
            </w:r>
          </w:p>
        </w:tc>
        <w:tc>
          <w:tcPr>
            <w:tcW w:type="dxa" w:w="4680"/>
          </w:tcPr>
          <w:p>
            <w:r/>
            <w:r>
              <w:rPr>
                <w:b w:val="0"/>
                <w:i w:val="0"/>
                <w:sz w:val="19"/>
              </w:rPr>
              <w:t>Hàng hóa được mua có thể không đạt tiêu chuẩn chất lượng. Giá hoặc điều khoản không được ủy quyền có thể bị chấp nhận.</w:t>
            </w:r>
          </w:p>
        </w:tc>
      </w:tr>
      <w:tr>
        <w:tc>
          <w:tcPr>
            <w:tcW w:type="dxa" w:w="4680"/>
          </w:tcPr>
          <w:p>
            <w:r/>
            <w:r>
              <w:rPr>
                <w:b w:val="0"/>
                <w:i w:val="0"/>
                <w:sz w:val="19"/>
              </w:rPr>
              <w:t>D-8</w:t>
            </w:r>
          </w:p>
        </w:tc>
        <w:tc>
          <w:tcPr>
            <w:tcW w:type="dxa" w:w="4680"/>
          </w:tcPr>
          <w:p>
            <w:r/>
            <w:r>
              <w:rPr>
                <w:b w:val="0"/>
                <w:i w:val="0"/>
                <w:sz w:val="19"/>
              </w:rPr>
              <w:t>Các giao dịch mua và/hoặc thanh toán có thể bị ghi nhận sai số tiền, sai tài khoản hoặc sai kỳ.</w:t>
            </w:r>
          </w:p>
        </w:tc>
      </w:tr>
    </w:tbl>
    <w:p>
      <w:pPr>
        <w:spacing w:after="0"/>
      </w:pPr>
    </w:p>
    <w:p>
      <w:pPr>
        <w:pStyle w:val="Heading2"/>
      </w:pPr>
      <w:r>
        <w:rPr>
          <w:rFonts w:ascii="Calibri" w:hAnsi="Calibri"/>
          <w:b/>
          <w:i w:val="0"/>
          <w:sz w:val="32"/>
        </w:rPr>
        <w:t>4.5 CÁC KHOẢN PHẢI TRẢ</w:t>
      </w:r>
    </w:p>
    <w:p>
      <w:pPr>
        <w:pStyle w:val="Heading3"/>
      </w:pPr>
      <w:r>
        <w:rPr>
          <w:rFonts w:ascii="Calibri" w:hAnsi="Calibri"/>
          <w:b/>
          <w:i w:val="0"/>
          <w:sz w:val="26"/>
        </w:rPr>
        <w:t>Giới thiệu</w:t>
      </w:r>
    </w:p>
    <w:p>
      <w:pPr>
        <w:spacing w:after="80"/>
      </w:pPr>
      <w:r>
        <w:rPr>
          <w:b w:val="0"/>
          <w:i w:val="0"/>
        </w:rPr>
        <w:t>Quy trình hoặc chức năng AP (Accounts Payable - Các khoản phải trả) cực kỳ quan trọng vì nó liên quan đến gần như tất cả các khoản thanh toán của công ty ngoài tiền lương. Bất kể quy mô công ty như thế nào, sứ mệnh của AP là chỉ thanh toán các hóa đơn và chứng từ của công ty một cách hợp pháp và chính xác. Điều này có nghĩa là trước khi hóa đơn của nhà cung cấp được nhập vào sổ sách kế toán và lên lịch thanh toán, hóa đơn phải phản ánh:</w:t>
      </w:r>
    </w:p>
    <w:p>
      <w:pPr>
        <w:spacing w:after="80"/>
        <w:ind w:left="360"/>
      </w:pPr>
      <w:r>
        <w:t xml:space="preserve">• </w:t>
      </w:r>
      <w:r>
        <w:rPr>
          <w:b w:val="0"/>
          <w:i w:val="0"/>
        </w:rPr>
        <w:t>Những gì công ty đã đặt hàng</w:t>
      </w:r>
    </w:p>
    <w:p>
      <w:pPr>
        <w:spacing w:after="80"/>
        <w:ind w:left="360"/>
      </w:pPr>
      <w:r>
        <w:t xml:space="preserve">• </w:t>
      </w:r>
      <w:r>
        <w:rPr>
          <w:b w:val="0"/>
          <w:i w:val="0"/>
        </w:rPr>
        <w:t>Những gì công ty đã nhận được</w:t>
      </w:r>
    </w:p>
    <w:p>
      <w:pPr>
        <w:spacing w:after="80"/>
        <w:ind w:left="360"/>
      </w:pPr>
      <w:r>
        <w:t xml:space="preserve">• </w:t>
      </w:r>
      <w:r>
        <w:rPr>
          <w:b w:val="0"/>
          <w:i w:val="0"/>
        </w:rPr>
        <w:t>Đơn giá, cách tính toán, tổng cộng và các điều khoản phù hợp</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4.5.1</w:t>
            </w:r>
          </w:p>
        </w:tc>
        <w:tc>
          <w:tcPr>
            <w:tcW w:type="dxa" w:w="4680"/>
          </w:tcPr>
          <w:p>
            <w:r/>
            <w:r>
              <w:rPr>
                <w:b w:val="0"/>
                <w:i w:val="0"/>
                <w:sz w:val="19"/>
              </w:rPr>
              <w:t>Phân tách Nhiệm vụ. Chức năng các khoản phải trả phải được tách biệt khỏi các chức năng sau:</w:t>
            </w:r>
            <w:r>
              <w:br/>
            </w:r>
            <w:r>
              <w:rPr>
                <w:b w:val="0"/>
                <w:i w:val="0"/>
                <w:sz w:val="19"/>
              </w:rPr>
              <w:t>a. Nhận hàng</w:t>
            </w:r>
            <w:r>
              <w:br/>
            </w:r>
            <w:r>
              <w:rPr>
                <w:b w:val="0"/>
                <w:i w:val="0"/>
                <w:sz w:val="19"/>
              </w:rPr>
              <w:t>b. Mua hàng</w:t>
            </w:r>
            <w:r>
              <w:br/>
            </w:r>
            <w:r>
              <w:rPr>
                <w:b w:val="0"/>
                <w:i w:val="0"/>
                <w:sz w:val="19"/>
              </w:rPr>
              <w:t xml:space="preserve">c. Chi tiền mặt hoặc tương đương </w:t>
            </w:r>
            <w:r>
              <w:rPr>
                <w:b/>
                <w:i w:val="0"/>
                <w:sz w:val="19"/>
              </w:rPr>
              <w:t>Tham khảo rủi ro: E-1, E-2</w:t>
            </w:r>
          </w:p>
        </w:tc>
      </w:tr>
      <w:tr>
        <w:tc>
          <w:tcPr>
            <w:tcW w:type="dxa" w:w="4680"/>
          </w:tcPr>
          <w:p>
            <w:r/>
            <w:r>
              <w:rPr>
                <w:b w:val="0"/>
                <w:i w:val="0"/>
                <w:sz w:val="19"/>
              </w:rPr>
              <w:t>4.5.2</w:t>
            </w:r>
          </w:p>
        </w:tc>
        <w:tc>
          <w:tcPr>
            <w:tcW w:type="dxa" w:w="4680"/>
          </w:tcPr>
          <w:p>
            <w:r/>
            <w:r>
              <w:rPr>
                <w:b/>
                <w:i w:val="0"/>
                <w:sz w:val="19"/>
              </w:rPr>
              <w:t>Tính Chính xác của Hóa đơn.</w:t>
            </w:r>
            <w:r>
              <w:rPr>
                <w:b w:val="0"/>
                <w:i w:val="0"/>
                <w:sz w:val="19"/>
              </w:rPr>
              <w:t xml:space="preserve"> Trước khi thanh toán, hóa đơn của nhà cung cấp phải được xem xét về việc đã nhận nguyên vật liệu hoặc dịch vụ chưa, kiểm tra tính chính xác (giá, số lượng, phép nhân, tiền tệ, phí vận chuyển phù hợp, thuế bán hàng, v.v.) và phân loại cũng như phân bổ tài khoản, và đối chiếu với các điều khoản của PO/hợp đồng. Những hóa đơn có sai lệch vượt quá giới hạn dung sai hoặc thiếu thông tin tham chiếu (số lượng/số tiền PO) phải được giải quyết trước khi thanh toán. </w:t>
            </w:r>
            <w:r>
              <w:rPr>
                <w:b/>
                <w:i w:val="0"/>
                <w:sz w:val="19"/>
              </w:rPr>
              <w:t>Tham khảo rủi ro: E-2, E-4, E-5, E-6, E-7, E-8</w:t>
            </w:r>
          </w:p>
        </w:tc>
      </w:tr>
      <w:tr>
        <w:tc>
          <w:tcPr>
            <w:tcW w:type="dxa" w:w="4680"/>
          </w:tcPr>
          <w:p>
            <w:r/>
            <w:r>
              <w:rPr>
                <w:b w:val="0"/>
                <w:i w:val="0"/>
                <w:sz w:val="19"/>
              </w:rPr>
              <w:t>4.5.3</w:t>
            </w:r>
          </w:p>
        </w:tc>
        <w:tc>
          <w:tcPr>
            <w:tcW w:type="dxa" w:w="4680"/>
          </w:tcPr>
          <w:p>
            <w:r/>
            <w:r>
              <w:rPr>
                <w:b/>
                <w:i w:val="0"/>
                <w:sz w:val="19"/>
              </w:rPr>
              <w:t>Các Quy trình Thay thế.</w:t>
            </w:r>
            <w:r>
              <w:rPr>
                <w:b w:val="0"/>
                <w:i w:val="0"/>
                <w:sz w:val="19"/>
              </w:rPr>
              <w:t xml:space="preserve"> Nếu sử dụng các quy trình thay thế, chẳng hạn như thanh toán khi nhận hàng, Quyết toán Biên lai Đã Đánh giá (ERS - Evaluated Receipt Settlement), hàng ký gửi, hoặc Trao đổi Dữ liệu Điện tử (EDI - Electronic Data Interchange), thì các thủ tục đảm bảo giá cả và số lượng nhận hàng chính xác phải được lập thành văn bản và được ban quản lý vận hành và tài chính tại địa phương phê duyệt. </w:t>
            </w:r>
            <w:r>
              <w:rPr>
                <w:b/>
                <w:i w:val="0"/>
                <w:sz w:val="19"/>
              </w:rPr>
              <w:t>Tham khảo rủi ro: E-1, E-3, E-4, E-5, E-7, E-8</w:t>
            </w:r>
          </w:p>
        </w:tc>
      </w:tr>
      <w:tr>
        <w:tc>
          <w:tcPr>
            <w:tcW w:type="dxa" w:w="4680"/>
          </w:tcPr>
          <w:p>
            <w:r/>
            <w:r>
              <w:rPr>
                <w:b w:val="0"/>
                <w:i w:val="0"/>
                <w:sz w:val="19"/>
              </w:rPr>
              <w:t>4.5.4</w:t>
            </w:r>
          </w:p>
        </w:tc>
        <w:tc>
          <w:tcPr>
            <w:tcW w:type="dxa" w:w="4680"/>
          </w:tcPr>
          <w:p>
            <w:r/>
            <w:r>
              <w:rPr>
                <w:b/>
                <w:i w:val="0"/>
                <w:sz w:val="19"/>
              </w:rPr>
              <w:t>Phê duyệt hóa đơn.</w:t>
            </w:r>
            <w:r>
              <w:rPr>
                <w:b w:val="0"/>
                <w:i w:val="0"/>
                <w:sz w:val="19"/>
              </w:rPr>
              <w:t xml:space="preserve"> Hóa đơn không có đơn đặt hàng hoặc báo cáo nhận hàng (ví dụ: dịch vụ phi sản xuất, thanh toán tiền thuê, yêu cầu thanh toán, mua hàng một lần, v.v.) phải được nhân sự có thẩm quyền phê duyệt theo hạn mức phê duyệt của họ trước khi thanh toán. </w:t>
            </w:r>
            <w:r>
              <w:rPr>
                <w:b/>
                <w:i w:val="0"/>
                <w:sz w:val="19"/>
              </w:rPr>
              <w:t>Tham chiếu rủi ro: E-2, E-3, E-7, E-9</w:t>
            </w:r>
          </w:p>
        </w:tc>
      </w:tr>
      <w:tr>
        <w:tc>
          <w:tcPr>
            <w:tcW w:type="dxa" w:w="4680"/>
          </w:tcPr>
          <w:p>
            <w:r/>
            <w:r>
              <w:rPr>
                <w:b w:val="0"/>
                <w:i w:val="0"/>
                <w:sz w:val="19"/>
              </w:rPr>
              <w:t>4.5.5</w:t>
            </w:r>
          </w:p>
        </w:tc>
        <w:tc>
          <w:tcPr>
            <w:tcW w:type="dxa" w:w="4680"/>
          </w:tcPr>
          <w:p>
            <w:r/>
            <w:r>
              <w:rPr>
                <w:b/>
                <w:i w:val="0"/>
                <w:sz w:val="19"/>
              </w:rPr>
              <w:t>Hóa đơn gốc.</w:t>
            </w:r>
            <w:r>
              <w:rPr>
                <w:b w:val="0"/>
                <w:i w:val="0"/>
                <w:sz w:val="19"/>
              </w:rPr>
              <w:t xml:space="preserve"> Hóa đơn gốc hoặc hóa đơn điện tử đã được phê duyệt nên được dùng làm căn cứ để thanh toán. Trường hợp không có hóa đơn gốc, chỉ có thể dùng bản sao nếu bản sao đó được ghi rõ ràng là bản trùng. Tài liệu fax chỉ có thể được dùng để đẩy nhanh thanh toán khi có quy trình đối chiếu tài liệu fax với tài liệu gốc một cách kịp thời. </w:t>
            </w:r>
            <w:r>
              <w:rPr>
                <w:b/>
                <w:i w:val="0"/>
                <w:sz w:val="19"/>
              </w:rPr>
              <w:t>Tham chiếu rủi ro: E-5, E-6, E-7</w:t>
            </w:r>
          </w:p>
        </w:tc>
      </w:tr>
      <w:tr>
        <w:tc>
          <w:tcPr>
            <w:tcW w:type="dxa" w:w="4680"/>
          </w:tcPr>
          <w:p>
            <w:r/>
            <w:r>
              <w:rPr>
                <w:b w:val="0"/>
                <w:i w:val="0"/>
                <w:sz w:val="19"/>
              </w:rPr>
              <w:t>4.5.6</w:t>
            </w:r>
          </w:p>
        </w:tc>
        <w:tc>
          <w:tcPr>
            <w:tcW w:type="dxa" w:w="4680"/>
          </w:tcPr>
          <w:p>
            <w:r/>
            <w:r>
              <w:rPr>
                <w:b/>
                <w:i w:val="0"/>
                <w:sz w:val="19"/>
              </w:rPr>
              <w:t>Thanh toán trùng lặp.</w:t>
            </w:r>
            <w:r>
              <w:rPr>
                <w:b w:val="0"/>
                <w:i w:val="0"/>
                <w:sz w:val="19"/>
              </w:rPr>
              <w:t xml:space="preserve"> Phải có một quy trình để phát hiện và ngăn chặn các khoản thanh toán trùng lặp. Tài liệu hỗ trợ cho các khoản thanh toán phải là bản gốc và phải được hủy hiệu quả sau khi thanh toán để ngăn chặn việc tái sử dụng vô tình hoặc cố ý. Không nên thực hiện thanh toán dựa trên bảng kê sao kê trừ khi nhà cung cấp đã được phê duyệt trước cho việc đó. </w:t>
            </w:r>
            <w:r>
              <w:rPr>
                <w:b/>
                <w:i w:val="0"/>
                <w:sz w:val="19"/>
              </w:rPr>
              <w:t>Tham chiếu rủi ro: E-7, E-9</w:t>
            </w:r>
          </w:p>
        </w:tc>
      </w:tr>
      <w:tr>
        <w:tc>
          <w:tcPr>
            <w:tcW w:type="dxa" w:w="4680"/>
          </w:tcPr>
          <w:p>
            <w:r/>
            <w:r>
              <w:rPr>
                <w:b w:val="0"/>
                <w:i w:val="0"/>
                <w:sz w:val="19"/>
              </w:rPr>
              <w:t>4.5.7</w:t>
            </w:r>
          </w:p>
        </w:tc>
        <w:tc>
          <w:tcPr>
            <w:tcW w:type="dxa" w:w="4680"/>
          </w:tcPr>
          <w:p>
            <w:r/>
            <w:r>
              <w:rPr>
                <w:b/>
                <w:i w:val="0"/>
                <w:sz w:val="19"/>
              </w:rPr>
              <w:t xml:space="preserve">Đối chiếu tài khoản thanh toán Nhận hàng—Nhận hóa đơn (GR/IR).[/B]] Các đơn đặt hàng, giao dịch nhận hàng và hóa đơn chưa khớp còn tồn đọng phải được xem xét, điều tra và xử lý định kỳ. </w:t>
            </w:r>
            <w:r>
              <w:rPr>
                <w:b/>
                <w:i w:val="0"/>
                <w:sz w:val="19"/>
              </w:rPr>
              <w:t>Tham chiếu rủi ro: E-2, E-4</w:t>
            </w:r>
          </w:p>
        </w:tc>
      </w:tr>
      <w:tr>
        <w:tc>
          <w:tcPr>
            <w:tcW w:type="dxa" w:w="4680"/>
          </w:tcPr>
          <w:p>
            <w:r/>
            <w:r>
              <w:rPr>
                <w:b w:val="0"/>
                <w:i w:val="0"/>
                <w:sz w:val="19"/>
              </w:rPr>
              <w:t>4.5.8</w:t>
            </w:r>
          </w:p>
        </w:tc>
        <w:tc>
          <w:tcPr>
            <w:tcW w:type="dxa" w:w="4680"/>
          </w:tcPr>
          <w:p>
            <w:r/>
            <w:r>
              <w:rPr>
                <w:b/>
                <w:i w:val="0"/>
                <w:sz w:val="19"/>
              </w:rPr>
              <w:t>Bảng kê sao kê nhà cung cấp.</w:t>
            </w:r>
            <w:r>
              <w:rPr>
                <w:b w:val="0"/>
                <w:i w:val="0"/>
                <w:sz w:val="19"/>
              </w:rPr>
              <w:t xml:space="preserve"> Bảng kê sao kê nhà cung cấp phải được xem xét thường xuyên để phát hiện các khoản quá hạn và các khoản tín dụng còn mở, nhằm xử lý kịp thời. Đơn vị tiền tệ dùng cho bảng kê sao kê và hóa đơn phải nhất quán. </w:t>
            </w:r>
            <w:r>
              <w:rPr>
                <w:b/>
                <w:i w:val="0"/>
                <w:sz w:val="19"/>
              </w:rPr>
              <w:t>Tham chiếu rủi ro: E-2, E-4, E-7, E-8 và E-9</w:t>
            </w:r>
          </w:p>
        </w:tc>
      </w:tr>
      <w:tr>
        <w:tc>
          <w:tcPr>
            <w:tcW w:type="dxa" w:w="4680"/>
          </w:tcPr>
          <w:p>
            <w:r/>
            <w:r>
              <w:rPr>
                <w:b w:val="0"/>
                <w:i w:val="0"/>
                <w:sz w:val="19"/>
              </w:rPr>
              <w:t>4.5.9</w:t>
            </w:r>
          </w:p>
        </w:tc>
        <w:tc>
          <w:tcPr>
            <w:tcW w:type="dxa" w:w="4680"/>
          </w:tcPr>
          <w:p>
            <w:r/>
            <w:r>
              <w:rPr>
                <w:b/>
                <w:i w:val="0"/>
                <w:sz w:val="19"/>
              </w:rPr>
              <w:t>Đối chiếu.</w:t>
            </w:r>
            <w:r>
              <w:rPr>
                <w:b w:val="0"/>
                <w:i w:val="0"/>
                <w:sz w:val="19"/>
              </w:rPr>
              <w:t xml:space="preserve"> Các khoản được chuyển sang thanh toán phải được đối chiếu (nội dung đã rõ và trạng thái đã cập nhật) hàng tháng với các khoản thanh toán thực tế đã thực hiện và đã ghi nhận trong sổ cái chung. Bảng cân đối thử của tài khoản phải trả cũng phải được đối chiếu (nội dung đã rõ và trạng thái đã cập nhật) với sổ cái chung mỗi tháng. Mọi chênh lệch phải được xử lý kịp thời. </w:t>
            </w:r>
            <w:r>
              <w:rPr>
                <w:b/>
                <w:i w:val="0"/>
                <w:sz w:val="19"/>
              </w:rPr>
              <w:t>Tham chiếu rủi ro: E-8, E-9</w:t>
            </w:r>
          </w:p>
        </w:tc>
      </w:tr>
      <w:tr>
        <w:tc>
          <w:tcPr>
            <w:tcW w:type="dxa" w:w="4680"/>
          </w:tcPr>
          <w:p>
            <w:r/>
            <w:r>
              <w:rPr>
                <w:b w:val="0"/>
                <w:i w:val="0"/>
                <w:sz w:val="19"/>
              </w:rPr>
              <w:t>4.5.10</w:t>
            </w:r>
          </w:p>
        </w:tc>
        <w:tc>
          <w:tcPr>
            <w:tcW w:type="dxa" w:w="4680"/>
          </w:tcPr>
          <w:p>
            <w:r/>
            <w:r>
              <w:rPr>
                <w:b/>
                <w:i w:val="0"/>
                <w:sz w:val="19"/>
              </w:rPr>
              <w:t>Tài khoản số dư Nợ.</w:t>
            </w:r>
            <w:r>
              <w:rPr>
                <w:b w:val="0"/>
                <w:i w:val="0"/>
                <w:sz w:val="19"/>
              </w:rPr>
              <w:t xml:space="preserve"> Bộ phận tài khoản phải trả nên xem xét các tài khoản số dư Nợ ít nhất mỗi quý và yêu cầu hoàn trả đối với các khoản Nợ tồn đọng quá 90 ngày. Bất kỳ số dư Nợ đáng kể nào cũng nên được phân loại là khoản phải thu. </w:t>
            </w:r>
            <w:r>
              <w:rPr>
                <w:b/>
                <w:i w:val="0"/>
                <w:sz w:val="19"/>
              </w:rPr>
              <w:t>Tham chiếu rủi ro: E-6, E-7</w:t>
            </w:r>
          </w:p>
        </w:tc>
      </w:tr>
      <w:tr>
        <w:tc>
          <w:tcPr>
            <w:tcW w:type="dxa" w:w="4680"/>
          </w:tcPr>
          <w:p>
            <w:r/>
            <w:r>
              <w:rPr>
                <w:b w:val="0"/>
                <w:i w:val="0"/>
                <w:sz w:val="19"/>
              </w:rPr>
              <w:t>4.5.11</w:t>
            </w:r>
          </w:p>
        </w:tc>
        <w:tc>
          <w:tcPr>
            <w:tcW w:type="dxa" w:w="4680"/>
          </w:tcPr>
          <w:p>
            <w:r/>
            <w:r>
              <w:rPr>
                <w:b/>
                <w:i w:val="0"/>
                <w:sz w:val="19"/>
              </w:rPr>
              <w:t>Giấy báo Nợ và giấy báo Có.</w:t>
            </w:r>
            <w:r>
              <w:rPr>
                <w:b w:val="0"/>
                <w:i w:val="0"/>
                <w:sz w:val="19"/>
              </w:rPr>
              <w:t xml:space="preserve"> Giấy báo Nợ và giấy báo Có phát hành cho tài khoản nhà cung cấp phải được lập thành tài liệu, ghi nhận, kiểm soát và phê duyệt bởi nhân sự có thẩm quyền theo hạn mức phê duyệt của họ. </w:t>
            </w:r>
            <w:r>
              <w:rPr>
                <w:b/>
                <w:i w:val="0"/>
                <w:sz w:val="19"/>
              </w:rPr>
              <w:t>Tham chiếu rủi ro: E-6, E-7, E-9</w:t>
            </w:r>
          </w:p>
        </w:tc>
      </w:tr>
      <w:tr>
        <w:tc>
          <w:tcPr>
            <w:tcW w:type="dxa" w:w="4680"/>
          </w:tcPr>
          <w:p>
            <w:r/>
            <w:r>
              <w:rPr>
                <w:b w:val="0"/>
                <w:i w:val="0"/>
                <w:sz w:val="19"/>
              </w:rPr>
              <w:t>4.5.12</w:t>
            </w:r>
          </w:p>
        </w:tc>
        <w:tc>
          <w:tcPr>
            <w:tcW w:type="dxa" w:w="4680"/>
          </w:tcPr>
          <w:p>
            <w:r/>
            <w:r>
              <w:rPr>
                <w:b/>
                <w:i w:val="0"/>
                <w:sz w:val="19"/>
              </w:rPr>
              <w:t>Nhật ký kiểm toán cho giấy báo Nợ và giấy báo Có.</w:t>
            </w:r>
            <w:r>
              <w:rPr>
                <w:b w:val="0"/>
                <w:i w:val="0"/>
                <w:sz w:val="19"/>
              </w:rPr>
              <w:t xml:space="preserve"> Giấy báo nợ và giấy báo có phải có thể nhận diện và truy xuất duy nhất. Các tài liệu bản cứng do công ty tạo ra phải được đánh số trước để kiểm soát an ninh. </w:t>
            </w:r>
            <w:r>
              <w:rPr>
                <w:b/>
                <w:i w:val="0"/>
                <w:sz w:val="19"/>
              </w:rPr>
              <w:t>Tham chiếu rủi ro: E-9</w:t>
            </w:r>
          </w:p>
        </w:tc>
      </w:tr>
      <w:tr>
        <w:tc>
          <w:tcPr>
            <w:tcW w:type="dxa" w:w="4680"/>
          </w:tcPr>
          <w:p>
            <w:r/>
            <w:r>
              <w:rPr>
                <w:b w:val="0"/>
                <w:i w:val="0"/>
                <w:sz w:val="19"/>
              </w:rPr>
              <w:t>4.5.13</w:t>
            </w:r>
          </w:p>
        </w:tc>
        <w:tc>
          <w:tcPr>
            <w:tcW w:type="dxa" w:w="4680"/>
          </w:tcPr>
          <w:p>
            <w:r/>
            <w:r>
              <w:rPr>
                <w:b/>
                <w:i w:val="0"/>
                <w:sz w:val="19"/>
              </w:rPr>
              <w:t>Nhà cung cấp đã được thiết lập.</w:t>
            </w:r>
            <w:r>
              <w:rPr>
                <w:b w:val="0"/>
                <w:i w:val="0"/>
                <w:sz w:val="19"/>
              </w:rPr>
              <w:t xml:space="preserve"> Trước khi thanh toán, bộ phận tài khoản phải trả phải đảm bảo nhà cung cấp đã được thiết lập trên tệp danh sách nhà cung cấp được phê duyệt. Những nhà cung cấp không có trong tệp danh sách nhà cung cấp được phê duyệt phải được xác minh độc lập với nguồn gốc. </w:t>
            </w:r>
            <w:r>
              <w:rPr>
                <w:b/>
                <w:i w:val="0"/>
                <w:sz w:val="19"/>
              </w:rPr>
              <w:t>Tham chiếu rủi ro: E-4, E-7, E-9</w:t>
            </w:r>
          </w:p>
        </w:tc>
      </w:tr>
      <w:tr>
        <w:tc>
          <w:tcPr>
            <w:tcW w:type="dxa" w:w="4680"/>
          </w:tcPr>
          <w:p>
            <w:r/>
            <w:r>
              <w:rPr>
                <w:b w:val="0"/>
                <w:i w:val="0"/>
                <w:sz w:val="19"/>
              </w:rPr>
              <w:t>4.5.14</w:t>
            </w:r>
          </w:p>
        </w:tc>
        <w:tc>
          <w:tcPr>
            <w:tcW w:type="dxa" w:w="4680"/>
          </w:tcPr>
          <w:p>
            <w:r/>
            <w:r>
              <w:rPr>
                <w:b/>
                <w:i w:val="0"/>
                <w:sz w:val="19"/>
              </w:rPr>
              <w:t>Trích lập nợ phải trả.</w:t>
            </w:r>
            <w:r>
              <w:rPr>
                <w:b w:val="0"/>
                <w:i w:val="0"/>
                <w:sz w:val="19"/>
              </w:rPr>
              <w:t xml:space="preserve"> Phải có các quy trình và cơ chế để nhận diện và ghi nhận tất cả các hạng mục và dịch vụ đã được xuất hóa đơn nhưng chưa nhận được và đã nhận được nhưng chưa được xuất hóa đơn, nhằm đảm bảo kết quả tài chính được trình bày chính xác. Những hạng mục này phải được xử lý đúng đắn trong sổ sách kế toán. </w:t>
            </w:r>
            <w:r>
              <w:rPr>
                <w:b/>
                <w:i w:val="0"/>
                <w:sz w:val="19"/>
              </w:rPr>
              <w:t>Tham chiếu rủi ro: E-1, E-2, E-6</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E-1</w:t>
            </w:r>
          </w:p>
        </w:tc>
        <w:tc>
          <w:tcPr>
            <w:tcW w:type="dxa" w:w="4680"/>
          </w:tcPr>
          <w:p>
            <w:r/>
            <w:r>
              <w:rPr>
                <w:b w:val="0"/>
                <w:i w:val="0"/>
                <w:sz w:val="19"/>
              </w:rPr>
              <w:t>Hàng mua có thể bị đánh cắp, thất lạc, phá hủy hoặc tạm thời bị chuyển hướng. Khả năng xảy ra sai sót và bất thường tăng lên đáng kể.</w:t>
            </w:r>
          </w:p>
        </w:tc>
      </w:tr>
      <w:tr>
        <w:tc>
          <w:tcPr>
            <w:tcW w:type="dxa" w:w="4680"/>
          </w:tcPr>
          <w:p>
            <w:r/>
            <w:r>
              <w:rPr>
                <w:b w:val="0"/>
                <w:i w:val="0"/>
                <w:sz w:val="19"/>
              </w:rPr>
              <w:t>E-2</w:t>
            </w:r>
          </w:p>
        </w:tc>
        <w:tc>
          <w:tcPr>
            <w:tcW w:type="dxa" w:w="4680"/>
          </w:tcPr>
          <w:p>
            <w:r/>
            <w:r>
              <w:rPr>
                <w:b w:val="0"/>
                <w:i w:val="0"/>
                <w:sz w:val="19"/>
              </w:rPr>
              <w:t>Hàng mua có thể đã được nhận nhưng không bao giờ được báo cáo, hoặc được báo cáo không chính xác.</w:t>
            </w:r>
          </w:p>
        </w:tc>
      </w:tr>
      <w:tr>
        <w:tc>
          <w:tcPr>
            <w:tcW w:type="dxa" w:w="4680"/>
          </w:tcPr>
          <w:p>
            <w:r/>
            <w:r>
              <w:rPr>
                <w:b w:val="0"/>
                <w:i w:val="0"/>
                <w:sz w:val="19"/>
              </w:rPr>
              <w:t>E-3</w:t>
            </w:r>
          </w:p>
        </w:tc>
        <w:tc>
          <w:tcPr>
            <w:tcW w:type="dxa" w:w="4680"/>
          </w:tcPr>
          <w:p>
            <w:r/>
            <w:r>
              <w:rPr>
                <w:b w:val="0"/>
                <w:i w:val="0"/>
                <w:sz w:val="19"/>
              </w:rPr>
              <w:t>Hàng hóa hoặc dịch vụ có thể được đặt mua và nhận bởi một cá nhân không có thẩm quyền.</w:t>
            </w:r>
          </w:p>
        </w:tc>
      </w:tr>
      <w:tr>
        <w:tc>
          <w:tcPr>
            <w:tcW w:type="dxa" w:w="4680"/>
          </w:tcPr>
          <w:p>
            <w:r/>
            <w:r>
              <w:rPr>
                <w:b w:val="0"/>
                <w:i w:val="0"/>
                <w:sz w:val="19"/>
              </w:rPr>
              <w:t>E-4</w:t>
            </w:r>
          </w:p>
        </w:tc>
        <w:tc>
          <w:tcPr>
            <w:tcW w:type="dxa" w:w="4680"/>
          </w:tcPr>
          <w:p>
            <w:r/>
            <w:r>
              <w:rPr>
                <w:b w:val="0"/>
                <w:i w:val="0"/>
                <w:sz w:val="19"/>
              </w:rPr>
              <w:t>Thay vì được trả lại hoặc từ chối, những hàng hóa hoặc dịch vụ sau đây có thể được nhận và cuối cùng được thanh toán:</w:t>
            </w:r>
            <w:r>
              <w:br/>
            </w:r>
            <w:r>
              <w:rPr>
                <w:b w:val="0"/>
                <w:i w:val="0"/>
                <w:sz w:val="19"/>
              </w:rPr>
              <w:t>a. Hàng hóa hoặc dịch vụ không được đặt mua</w:t>
            </w:r>
            <w:r>
              <w:br/>
            </w:r>
            <w:r>
              <w:rPr>
                <w:b w:val="0"/>
                <w:i w:val="0"/>
                <w:sz w:val="19"/>
              </w:rPr>
              <w:t>b. Hàng tồn kho không đạt tiêu chuẩn chất lượng</w:t>
            </w:r>
            <w:r>
              <w:br/>
            </w:r>
            <w:r>
              <w:rPr>
                <w:b w:val="0"/>
                <w:i w:val="0"/>
                <w:sz w:val="19"/>
              </w:rPr>
              <w:t>c. Số lượng quá nhiều hoặc sai mặt hàng</w:t>
            </w:r>
          </w:p>
        </w:tc>
      </w:tr>
      <w:tr>
        <w:tc>
          <w:tcPr>
            <w:tcW w:type="dxa" w:w="4680"/>
          </w:tcPr>
          <w:p>
            <w:r/>
            <w:r>
              <w:rPr>
                <w:b w:val="0"/>
                <w:i w:val="0"/>
                <w:sz w:val="19"/>
              </w:rPr>
              <w:t>E-5</w:t>
            </w:r>
          </w:p>
        </w:tc>
        <w:tc>
          <w:tcPr>
            <w:tcW w:type="dxa" w:w="4680"/>
          </w:tcPr>
          <w:p>
            <w:r/>
            <w:r>
              <w:rPr>
                <w:b w:val="0"/>
                <w:i w:val="0"/>
                <w:sz w:val="19"/>
              </w:rPr>
              <w:t>Nguyên vật liệu có thể được nhận quá sớm hoặc quá muộn cho sản xuất. Có thể xảy ra gián đoạn kinh doanh hoặc mức tồn kho quá cao (về số lượng và/hoặc $$).</w:t>
            </w:r>
          </w:p>
        </w:tc>
      </w:tr>
      <w:tr>
        <w:tc>
          <w:tcPr>
            <w:tcW w:type="dxa" w:w="4680"/>
          </w:tcPr>
          <w:p>
            <w:r/>
            <w:r>
              <w:rPr>
                <w:b w:val="0"/>
                <w:i w:val="0"/>
                <w:sz w:val="19"/>
              </w:rPr>
              <w:t>E-6</w:t>
            </w:r>
          </w:p>
        </w:tc>
        <w:tc>
          <w:tcPr>
            <w:tcW w:type="dxa" w:w="4680"/>
          </w:tcPr>
          <w:p>
            <w:r/>
            <w:r>
              <w:rPr>
                <w:b w:val="0"/>
                <w:i w:val="0"/>
                <w:sz w:val="19"/>
              </w:rPr>
              <w:t>Có thể thanh toán cho hàng hóa hoặc dịch vụ chưa nhận được và/hoặc thanh toán trước khi nhận hàng.</w:t>
            </w:r>
          </w:p>
        </w:tc>
      </w:tr>
      <w:tr>
        <w:tc>
          <w:tcPr>
            <w:tcW w:type="dxa" w:w="4680"/>
          </w:tcPr>
          <w:p>
            <w:r/>
            <w:r>
              <w:rPr>
                <w:b w:val="0"/>
                <w:i w:val="0"/>
                <w:sz w:val="19"/>
              </w:rPr>
              <w:t>E-7</w:t>
            </w:r>
          </w:p>
        </w:tc>
        <w:tc>
          <w:tcPr>
            <w:tcW w:type="dxa" w:w="4680"/>
          </w:tcPr>
          <w:p>
            <w:r/>
            <w:r>
              <w:rPr>
                <w:b w:val="0"/>
                <w:i w:val="0"/>
                <w:sz w:val="19"/>
              </w:rPr>
              <w:t>Các khoản thanh toán cho nhà cung cấp có thể bị trùng lặp, sai sót hoặc gian lận.</w:t>
            </w:r>
          </w:p>
        </w:tc>
      </w:tr>
      <w:tr>
        <w:tc>
          <w:tcPr>
            <w:tcW w:type="dxa" w:w="4680"/>
          </w:tcPr>
          <w:p>
            <w:r/>
            <w:r>
              <w:rPr>
                <w:b w:val="0"/>
                <w:i w:val="0"/>
                <w:sz w:val="19"/>
              </w:rPr>
              <w:t>E-8</w:t>
            </w:r>
          </w:p>
        </w:tc>
        <w:tc>
          <w:tcPr>
            <w:tcW w:type="dxa" w:w="4680"/>
          </w:tcPr>
          <w:p>
            <w:r/>
            <w:r>
              <w:rPr>
                <w:b w:val="0"/>
                <w:i w:val="0"/>
                <w:sz w:val="19"/>
              </w:rPr>
              <w:t>Hồ sơ có thể bị mất hoặc bị phá hủy.</w:t>
            </w:r>
          </w:p>
        </w:tc>
      </w:tr>
      <w:tr>
        <w:tc>
          <w:tcPr>
            <w:tcW w:type="dxa" w:w="4680"/>
          </w:tcPr>
          <w:p>
            <w:r/>
            <w:r>
              <w:rPr>
                <w:b w:val="0"/>
                <w:i w:val="0"/>
                <w:sz w:val="19"/>
              </w:rPr>
              <w:t>E-9</w:t>
            </w:r>
          </w:p>
        </w:tc>
        <w:tc>
          <w:tcPr>
            <w:tcW w:type="dxa" w:w="4680"/>
          </w:tcPr>
          <w:p>
            <w:r/>
            <w:r>
              <w:rPr>
                <w:b w:val="0"/>
                <w:i w:val="0"/>
                <w:sz w:val="19"/>
              </w:rPr>
              <w:t>Hồ sơ có thể bị lạm dụng hoặc bị sửa đổi gây tổn hại cho công ty hoặc các nhà cung cấp của công ty.</w:t>
            </w:r>
          </w:p>
        </w:tc>
      </w:tr>
    </w:tbl>
    <w:p>
      <w:pPr>
        <w:spacing w:after="0"/>
      </w:pPr>
    </w:p>
    <w:p>
      <w:pPr>
        <w:pStyle w:val="Heading2"/>
      </w:pPr>
      <w:r>
        <w:rPr>
          <w:rFonts w:ascii="Calibri" w:hAnsi="Calibri"/>
          <w:b/>
          <w:i w:val="0"/>
          <w:sz w:val="32"/>
        </w:rPr>
        <w:t>4.6 QUY TRÌNH THANH TOÁN—TỔNG QUAN</w:t>
      </w:r>
    </w:p>
    <w:p>
      <w:pPr>
        <w:pStyle w:val="Heading3"/>
      </w:pPr>
      <w:r>
        <w:rPr>
          <w:rFonts w:ascii="Calibri" w:hAnsi="Calibri"/>
          <w:b/>
          <w:i w:val="0"/>
          <w:sz w:val="26"/>
        </w:rPr>
        <w:t>Giới thiệu</w:t>
      </w:r>
    </w:p>
    <w:p>
      <w:pPr>
        <w:spacing w:after="80"/>
      </w:pPr>
      <w:r>
        <w:rPr>
          <w:b w:val="0"/>
          <w:i w:val="0"/>
        </w:rPr>
        <w:t>Sau khi các khoản chi tiêu của công ty được phê duyệt để thanh toán, quy trình thanh toán thực tế bắt đầu, dẫn đến việc trao đổi tiền giữa công ty mua hàng và nhà cung cấp. Nhân sự tham gia vào quy trình thanh toán phải tuân thủ các chính sách và thủ tục được thiết kế để đảm bảo việc khởi tạo thanh toán chính xác, kịp thời và an toàn bằng phương thức thanh toán phù hợp cho từng khoản thanh toán.</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4.6.1</w:t>
            </w:r>
          </w:p>
        </w:tc>
        <w:tc>
          <w:tcPr>
            <w:tcW w:type="dxa" w:w="4680"/>
          </w:tcPr>
          <w:p>
            <w:r/>
            <w:r>
              <w:rPr>
                <w:b w:val="0"/>
                <w:i w:val="0"/>
                <w:sz w:val="19"/>
              </w:rPr>
              <w:t>Phân tách Nhiệm vụ. Chức năng giải ngân tiền mặt hoặc tài sản tương đương tiền mặt phải được tách biệt khỏi các chức năng sau:</w:t>
            </w:r>
            <w:r>
              <w:br/>
            </w:r>
            <w:r>
              <w:rPr>
                <w:b w:val="0"/>
                <w:i w:val="0"/>
                <w:sz w:val="19"/>
              </w:rPr>
              <w:t>a. Tiếp nhận</w:t>
            </w:r>
            <w:r>
              <w:br/>
            </w:r>
            <w:r>
              <w:rPr>
                <w:b w:val="0"/>
                <w:i w:val="0"/>
                <w:sz w:val="19"/>
              </w:rPr>
              <w:t>b. Mua hàng</w:t>
            </w:r>
            <w:r>
              <w:br/>
            </w:r>
            <w:r>
              <w:rPr>
                <w:b w:val="0"/>
                <w:i w:val="0"/>
                <w:sz w:val="19"/>
              </w:rPr>
              <w:t>c. Xử lý hóa đơn</w:t>
            </w:r>
            <w:r>
              <w:br/>
            </w:r>
            <w:r>
              <w:rPr>
                <w:b w:val="0"/>
                <w:i w:val="0"/>
                <w:sz w:val="19"/>
              </w:rPr>
              <w:t>d. Các khoản phải trả</w:t>
            </w:r>
            <w:r>
              <w:br/>
            </w:r>
            <w:r>
              <w:rPr>
                <w:b w:val="0"/>
                <w:i w:val="0"/>
                <w:sz w:val="19"/>
              </w:rPr>
              <w:t>e. Đối chiếu sổ cái chung</w:t>
            </w:r>
            <w:r>
              <w:br/>
            </w:r>
            <w:r>
              <w:rPr>
                <w:b w:val="0"/>
                <w:i w:val="0"/>
                <w:sz w:val="19"/>
              </w:rPr>
              <w:t xml:space="preserve">f. Thiết lập và thay đổi dữ liệu chính của người nhận thanh toán </w:t>
            </w:r>
            <w:r>
              <w:rPr>
                <w:b/>
                <w:i w:val="0"/>
                <w:sz w:val="19"/>
              </w:rPr>
              <w:t>Tham khảo rủi ro: F-1, F-2, F-3, F-7</w:t>
            </w:r>
          </w:p>
        </w:tc>
      </w:tr>
      <w:tr>
        <w:tc>
          <w:tcPr>
            <w:tcW w:type="dxa" w:w="4680"/>
          </w:tcPr>
          <w:p>
            <w:r/>
            <w:r>
              <w:rPr>
                <w:b w:val="0"/>
                <w:i w:val="0"/>
                <w:sz w:val="19"/>
              </w:rPr>
              <w:t>4.6.2</w:t>
            </w:r>
          </w:p>
        </w:tc>
        <w:tc>
          <w:tcPr>
            <w:tcW w:type="dxa" w:w="4680"/>
          </w:tcPr>
          <w:p>
            <w:r/>
            <w:r>
              <w:rPr>
                <w:b/>
                <w:i w:val="0"/>
                <w:sz w:val="19"/>
              </w:rPr>
              <w:t>Đối chiếu Thanh toán.</w:t>
            </w:r>
            <w:r>
              <w:rPr>
                <w:b w:val="0"/>
                <w:i w:val="0"/>
                <w:sz w:val="19"/>
              </w:rPr>
              <w:t xml:space="preserve"> Tất cả các khoản thanh toán và hoạt động thanh toán khác phải có thể truy xuất nguồn gốc, nhận diện duy nhất và được đối chiếu (nội dung được biết rõ và trạng thái được cập nhật) với sổ cái chung và sao kê ngân hàng hàng tháng. </w:t>
            </w:r>
            <w:r>
              <w:rPr>
                <w:b/>
                <w:i w:val="0"/>
                <w:sz w:val="19"/>
              </w:rPr>
              <w:t>Tham khảo rủi ro: F-l, F-4</w:t>
            </w:r>
          </w:p>
        </w:tc>
      </w:tr>
      <w:tr>
        <w:tc>
          <w:tcPr>
            <w:tcW w:type="dxa" w:w="4680"/>
          </w:tcPr>
          <w:p>
            <w:r/>
            <w:r>
              <w:rPr>
                <w:b w:val="0"/>
                <w:i w:val="0"/>
                <w:sz w:val="19"/>
              </w:rPr>
              <w:t>4.6.3</w:t>
            </w:r>
          </w:p>
        </w:tc>
        <w:tc>
          <w:tcPr>
            <w:tcW w:type="dxa" w:w="4680"/>
          </w:tcPr>
          <w:p>
            <w:r/>
            <w:r>
              <w:rPr>
                <w:b/>
                <w:i w:val="0"/>
                <w:sz w:val="19"/>
              </w:rPr>
              <w:t>Tài liệu hỗ trợ.</w:t>
            </w:r>
            <w:r>
              <w:rPr>
                <w:b w:val="0"/>
                <w:i w:val="0"/>
                <w:sz w:val="19"/>
              </w:rPr>
              <w:t xml:space="preserve"> Các yêu cầu phát hành séc, chuyển tiền điện tử và chuyển khoản ngân hàng phải được hỗ trợ bởi đơn đặt hàng đã được phê duyệt, giao dịch nhận hàng hoặc hóa đơn gốc. Tài liệu này sẽ được cung cấp cho người ký để họ xem xét như một phần của quy trình phê duyệt. </w:t>
            </w:r>
            <w:r>
              <w:rPr>
                <w:b/>
                <w:i w:val="0"/>
                <w:sz w:val="19"/>
              </w:rPr>
              <w:t>Tham khảo rủi ro: F-2, F-3, F-4, F-7</w:t>
            </w:r>
          </w:p>
        </w:tc>
      </w:tr>
      <w:tr>
        <w:tc>
          <w:tcPr>
            <w:tcW w:type="dxa" w:w="4680"/>
          </w:tcPr>
          <w:p>
            <w:r/>
            <w:r>
              <w:rPr>
                <w:b w:val="0"/>
                <w:i w:val="0"/>
                <w:sz w:val="19"/>
              </w:rPr>
              <w:t>4.6.4</w:t>
            </w:r>
          </w:p>
        </w:tc>
        <w:tc>
          <w:tcPr>
            <w:tcW w:type="dxa" w:w="4680"/>
          </w:tcPr>
          <w:p>
            <w:r/>
            <w:r>
              <w:rPr>
                <w:b/>
                <w:i w:val="0"/>
                <w:sz w:val="19"/>
              </w:rPr>
              <w:t>Phê duyệt thanh toán.</w:t>
            </w:r>
            <w:r>
              <w:rPr>
                <w:b w:val="0"/>
                <w:i w:val="0"/>
                <w:sz w:val="19"/>
              </w:rPr>
              <w:t xml:space="preserve"> Các khoản thanh toán đã được phê duyệt phải được theo dõi tuổi nợ và thực hiện theo chính sách của công ty hoặc trong phạm vi điều khoản đã thỏa thuận giữa công ty và nhà cung cấp. </w:t>
            </w:r>
            <w:r>
              <w:rPr>
                <w:b/>
                <w:i w:val="0"/>
                <w:sz w:val="19"/>
              </w:rPr>
              <w:t>Tham khảo rủi ro: F-8</w:t>
            </w:r>
          </w:p>
        </w:tc>
      </w:tr>
      <w:tr>
        <w:tc>
          <w:tcPr>
            <w:tcW w:type="dxa" w:w="4680"/>
          </w:tcPr>
          <w:p>
            <w:r/>
            <w:r>
              <w:rPr>
                <w:b w:val="0"/>
                <w:i w:val="0"/>
                <w:sz w:val="19"/>
              </w:rPr>
              <w:t>4.6.5</w:t>
            </w:r>
          </w:p>
        </w:tc>
        <w:tc>
          <w:tcPr>
            <w:tcW w:type="dxa" w:w="4680"/>
          </w:tcPr>
          <w:p>
            <w:r/>
            <w:r>
              <w:rPr>
                <w:b/>
                <w:i w:val="0"/>
                <w:sz w:val="19"/>
              </w:rPr>
              <w:t>Chiết khấu nhà cung cấp.</w:t>
            </w:r>
            <w:r>
              <w:rPr>
                <w:b w:val="0"/>
                <w:i w:val="0"/>
                <w:sz w:val="19"/>
              </w:rPr>
              <w:t xml:space="preserve"> Mọi khoản chiết khấu nhà cung cấp đủ điều kiện đều nên được tận dụng khi có lợi cho công ty. </w:t>
            </w:r>
            <w:r>
              <w:rPr>
                <w:b/>
                <w:i w:val="0"/>
                <w:sz w:val="19"/>
              </w:rPr>
              <w:t>Tham khảo rủi ro: F-5, F-9</w:t>
            </w:r>
          </w:p>
        </w:tc>
      </w:tr>
      <w:tr>
        <w:tc>
          <w:tcPr>
            <w:tcW w:type="dxa" w:w="4680"/>
          </w:tcPr>
          <w:p>
            <w:r/>
            <w:r>
              <w:rPr>
                <w:b w:val="0"/>
                <w:i w:val="0"/>
                <w:sz w:val="19"/>
              </w:rPr>
              <w:t>4.6.6</w:t>
            </w:r>
          </w:p>
        </w:tc>
        <w:tc>
          <w:tcPr>
            <w:tcW w:type="dxa" w:w="4680"/>
          </w:tcPr>
          <w:p>
            <w:r/>
            <w:r>
              <w:rPr>
                <w:b/>
                <w:i w:val="0"/>
                <w:sz w:val="19"/>
              </w:rPr>
              <w:t>Ghi nhận vào sổ kế toán.</w:t>
            </w:r>
            <w:r>
              <w:rPr>
                <w:b w:val="0"/>
                <w:i w:val="0"/>
                <w:sz w:val="19"/>
              </w:rPr>
              <w:t xml:space="preserve"> Mọi khoản thanh toán phải được ghi nhận vào kỳ mà khoản thanh toán được thực hiện. Chi phí phải được ghi nhận đúng và chính xác vào kỳ kế toán mà khoản nợ phải trả phát sinh. </w:t>
            </w:r>
            <w:r>
              <w:rPr>
                <w:b/>
                <w:i w:val="0"/>
                <w:sz w:val="19"/>
              </w:rPr>
              <w:t>Tham khảo rủi ro: F-3, F-5, F-6, F-9</w:t>
            </w:r>
          </w:p>
        </w:tc>
      </w:tr>
      <w:tr>
        <w:tc>
          <w:tcPr>
            <w:tcW w:type="dxa" w:w="4680"/>
          </w:tcPr>
          <w:p>
            <w:r/>
            <w:r>
              <w:rPr>
                <w:b w:val="0"/>
                <w:i w:val="0"/>
                <w:sz w:val="19"/>
              </w:rPr>
              <w:t>4.6.7</w:t>
            </w:r>
          </w:p>
        </w:tc>
        <w:tc>
          <w:tcPr>
            <w:tcW w:type="dxa" w:w="4680"/>
          </w:tcPr>
          <w:p>
            <w:r/>
            <w:r>
              <w:rPr>
                <w:b/>
                <w:i w:val="0"/>
                <w:sz w:val="19"/>
              </w:rPr>
              <w:t>Séc vô danh.</w:t>
            </w:r>
            <w:r>
              <w:rPr>
                <w:b w:val="0"/>
                <w:i w:val="0"/>
                <w:sz w:val="19"/>
              </w:rPr>
              <w:t xml:space="preserve"> Séc không được phép ghi trả cho tiền mặt hoặc người cầm séc (bearer). </w:t>
            </w:r>
            <w:r>
              <w:rPr>
                <w:b/>
                <w:i w:val="0"/>
                <w:sz w:val="19"/>
              </w:rPr>
              <w:t>Tham khảo rủi ro: F-1, F-3, F-7</w:t>
            </w:r>
          </w:p>
        </w:tc>
      </w:tr>
      <w:tr>
        <w:tc>
          <w:tcPr>
            <w:tcW w:type="dxa" w:w="4680"/>
          </w:tcPr>
          <w:p>
            <w:r/>
            <w:r>
              <w:rPr>
                <w:b w:val="0"/>
                <w:i w:val="0"/>
                <w:sz w:val="19"/>
              </w:rPr>
              <w:t>4.6.8</w:t>
            </w:r>
          </w:p>
        </w:tc>
        <w:tc>
          <w:tcPr>
            <w:tcW w:type="dxa" w:w="4680"/>
          </w:tcPr>
          <w:p>
            <w:r/>
            <w:r>
              <w:rPr>
                <w:b/>
                <w:i w:val="0"/>
                <w:sz w:val="19"/>
              </w:rPr>
              <w:t>Lưu trữ séc trắng.</w:t>
            </w:r>
            <w:r>
              <w:rPr>
                <w:b w:val="0"/>
                <w:i w:val="0"/>
                <w:sz w:val="19"/>
              </w:rPr>
              <w:t xml:space="preserve"> Séc trắng phải được bảo vệ khỏi bị hủy hoại hoặc sử dụng trái phép. Nguồn cung séc trắng phải được kiểm soát theo số sê-ri và thường xuyên đối chiếu cho các trường hợp đã phát hành, đã hủy bỏ hoặc chưa sử dụng. Nhân viên có quyền truy cập vào séc chưa phát hành phải độc lập với các chức năng ký séc và lập chứng từ. </w:t>
            </w:r>
            <w:r>
              <w:rPr>
                <w:b/>
                <w:i w:val="0"/>
                <w:sz w:val="19"/>
              </w:rPr>
              <w:t>Tham khảo rủi ro: F-l, F-3, F-4, F-7</w:t>
            </w:r>
          </w:p>
        </w:tc>
      </w:tr>
      <w:tr>
        <w:tc>
          <w:tcPr>
            <w:tcW w:type="dxa" w:w="4680"/>
          </w:tcPr>
          <w:p>
            <w:r/>
            <w:r>
              <w:rPr>
                <w:b w:val="0"/>
                <w:i w:val="0"/>
                <w:sz w:val="19"/>
              </w:rPr>
              <w:t>4.6.9</w:t>
            </w:r>
          </w:p>
        </w:tc>
        <w:tc>
          <w:tcPr>
            <w:tcW w:type="dxa" w:w="4680"/>
          </w:tcPr>
          <w:p>
            <w:r/>
            <w:r>
              <w:rPr>
                <w:b/>
                <w:i w:val="0"/>
                <w:sz w:val="19"/>
              </w:rPr>
              <w:t>Séc bị hủy và bị vô hiệu hóa.</w:t>
            </w:r>
            <w:r>
              <w:rPr>
                <w:b w:val="0"/>
                <w:i w:val="0"/>
                <w:sz w:val="19"/>
              </w:rPr>
              <w:t xml:space="preserve"> Séc bị hư hỏng, bị vô hiệu hóa và bị hủy bỏ phải được sửa đổi hoặc vô hiệu hóa ngay lập tức. Những séc này phải được hạch toán và bảo vệ. Chúng có thể bị tiêu hủy, với điều kiện việc tiêu hủy phải có người chứng kiến và được ghi nhận bởi một cá nhân khác. </w:t>
            </w:r>
            <w:r>
              <w:rPr>
                <w:b/>
                <w:i w:val="0"/>
                <w:sz w:val="19"/>
              </w:rPr>
              <w:t>Tham khảo rủi ro: F-1, F-7</w:t>
            </w:r>
          </w:p>
        </w:tc>
      </w:tr>
      <w:tr>
        <w:tc>
          <w:tcPr>
            <w:tcW w:type="dxa" w:w="4680"/>
          </w:tcPr>
          <w:p>
            <w:r/>
            <w:r>
              <w:rPr>
                <w:b w:val="0"/>
                <w:i w:val="0"/>
                <w:sz w:val="19"/>
              </w:rPr>
              <w:t>4.6.10</w:t>
            </w:r>
          </w:p>
        </w:tc>
        <w:tc>
          <w:tcPr>
            <w:tcW w:type="dxa" w:w="4680"/>
          </w:tcPr>
          <w:p>
            <w:r/>
            <w:r>
              <w:rPr>
                <w:b/>
                <w:i w:val="0"/>
                <w:sz w:val="19"/>
              </w:rPr>
              <w:t>Hạn mức tài khoản ngân hàng.</w:t>
            </w:r>
            <w:r>
              <w:rPr>
                <w:b w:val="0"/>
                <w:i w:val="0"/>
                <w:sz w:val="19"/>
              </w:rPr>
              <w:t xml:space="preserve"> Các hạn mức cụ thể về thẩm quyền ký đối với séc, kỳ phiếu và chuyển khoản ngân hàng phải được thiết lập và phê duyệt theo nghị quyết ngân hàng phù hợp của hội đồng quản trị và được thông báo cho đơn vị chi trả và (các) ngân hàng liên quan. </w:t>
            </w:r>
            <w:r>
              <w:rPr>
                <w:b/>
                <w:i w:val="0"/>
                <w:sz w:val="19"/>
              </w:rPr>
              <w:t>Tham khảo rủi ro: F-1, F-3, F-7</w:t>
            </w:r>
          </w:p>
        </w:tc>
      </w:tr>
      <w:tr>
        <w:tc>
          <w:tcPr>
            <w:tcW w:type="dxa" w:w="4680"/>
          </w:tcPr>
          <w:p>
            <w:r/>
            <w:r>
              <w:rPr>
                <w:b w:val="0"/>
                <w:i w:val="0"/>
                <w:sz w:val="19"/>
              </w:rPr>
              <w:t>4.6.11</w:t>
            </w:r>
          </w:p>
        </w:tc>
        <w:tc>
          <w:tcPr>
            <w:tcW w:type="dxa" w:w="4680"/>
          </w:tcPr>
          <w:p>
            <w:r/>
            <w:r>
              <w:rPr>
                <w:b/>
                <w:i w:val="0"/>
                <w:sz w:val="19"/>
              </w:rPr>
              <w:t>Kiểm soát Positive Pay.</w:t>
            </w:r>
            <w:r>
              <w:rPr>
                <w:b w:val="0"/>
                <w:i w:val="0"/>
                <w:sz w:val="19"/>
              </w:rPr>
              <w:t xml:space="preserve"> Các tài khoản vãng lai (checking account) phải được trang bị các kiểm soát "match pay" hoặc "positive pay" cho phép xem trước các séc được xuất trình cho ngân hàng để thanh toán, nhằm đảm bảo rằng cả số tiền thanh toán lẫn người thụ hưởng đều không bị thay đổi. Nếu các kiểm soát như vậy không khả thi, tài khoản ngân hàng phải chịu các giới hạn hoạt động và kiểm soát đồng ký (dual signatory). </w:t>
            </w:r>
            <w:r>
              <w:rPr>
                <w:b/>
                <w:i w:val="0"/>
                <w:sz w:val="19"/>
              </w:rPr>
              <w:t>Tham chiếu rủi ro: F-1, F-4, F-7</w:t>
            </w:r>
          </w:p>
        </w:tc>
      </w:tr>
      <w:tr>
        <w:tc>
          <w:tcPr>
            <w:tcW w:type="dxa" w:w="4680"/>
          </w:tcPr>
          <w:p>
            <w:r/>
            <w:r>
              <w:rPr>
                <w:b w:val="0"/>
                <w:i w:val="0"/>
                <w:sz w:val="19"/>
              </w:rPr>
              <w:t>4.6.12</w:t>
            </w:r>
          </w:p>
        </w:tc>
        <w:tc>
          <w:tcPr>
            <w:tcW w:type="dxa" w:w="4680"/>
          </w:tcPr>
          <w:p>
            <w:r/>
            <w:r>
              <w:rPr>
                <w:b/>
                <w:i w:val="0"/>
                <w:sz w:val="19"/>
              </w:rPr>
              <w:t>Chữ ký.</w:t>
            </w:r>
            <w:r>
              <w:rPr>
                <w:b w:val="0"/>
                <w:i w:val="0"/>
                <w:sz w:val="19"/>
              </w:rPr>
              <w:t xml:space="preserve"> Chữ ký của những người ký được ủy quyền phải được lưu trữ trong công ty và tại ngân hàng. </w:t>
            </w:r>
            <w:r>
              <w:rPr>
                <w:b/>
                <w:i w:val="0"/>
                <w:sz w:val="19"/>
              </w:rPr>
              <w:t>Tham chiếu rủi ro: F-1, F-2, F-6, F-9</w:t>
            </w:r>
          </w:p>
        </w:tc>
      </w:tr>
      <w:tr>
        <w:tc>
          <w:tcPr>
            <w:tcW w:type="dxa" w:w="4680"/>
          </w:tcPr>
          <w:p>
            <w:r/>
            <w:r>
              <w:rPr>
                <w:b w:val="0"/>
                <w:i w:val="0"/>
                <w:sz w:val="19"/>
              </w:rPr>
              <w:t>4.6.13</w:t>
            </w:r>
          </w:p>
        </w:tc>
        <w:tc>
          <w:tcPr>
            <w:tcW w:type="dxa" w:w="4680"/>
          </w:tcPr>
          <w:p>
            <w:r/>
            <w:r>
              <w:rPr>
                <w:b/>
                <w:i w:val="0"/>
                <w:sz w:val="19"/>
              </w:rPr>
              <w:t>Quản lý hồ sơ.</w:t>
            </w:r>
            <w:r>
              <w:rPr>
                <w:b w:val="0"/>
                <w:i w:val="0"/>
                <w:sz w:val="19"/>
              </w:rPr>
              <w:t xml:space="preserve"> Các tài liệu hoặc dữ liệu điện tử hỗ trợ cho các khoản chi tiêu phải được bảo vệ khỏi mất mát hoặc hủy hoại và phải ở định dạng có thể truy xuất được. Những hồ sơ như vậy phải được lưu giữ và duy trì theo chính sách quản lý hồ sơ của công ty. </w:t>
            </w:r>
            <w:r>
              <w:rPr>
                <w:b/>
                <w:i w:val="0"/>
                <w:sz w:val="19"/>
              </w:rPr>
              <w:t>Tham chiếu rủi ro: F-5, F-10</w:t>
            </w:r>
          </w:p>
        </w:tc>
      </w:tr>
      <w:tr>
        <w:tc>
          <w:tcPr>
            <w:tcW w:type="dxa" w:w="4680"/>
          </w:tcPr>
          <w:p>
            <w:r/>
            <w:r>
              <w:rPr>
                <w:b w:val="0"/>
                <w:i w:val="0"/>
                <w:sz w:val="19"/>
              </w:rPr>
              <w:t>4.6.14</w:t>
            </w:r>
          </w:p>
        </w:tc>
        <w:tc>
          <w:tcPr>
            <w:tcW w:type="dxa" w:w="4680"/>
          </w:tcPr>
          <w:p>
            <w:r/>
            <w:r>
              <w:rPr>
                <w:b/>
                <w:i w:val="0"/>
                <w:sz w:val="19"/>
              </w:rPr>
              <w:t>Giao séc.</w:t>
            </w:r>
            <w:r>
              <w:rPr>
                <w:b w:val="0"/>
                <w:i w:val="0"/>
                <w:sz w:val="19"/>
              </w:rPr>
              <w:t xml:space="preserve"> Tất cả séc nên được gửi qua bưu điện. Trong những trường hợp không thể làm được điều này, cần sắp xếp trước cho việc giao séc. Khi séc được nhận trực tiếp, phải xuất trình giấy tờ tùy thân hợp lệ và việc giao séc phải được ghi nhận thông qua chữ ký của người nhận. </w:t>
            </w:r>
            <w:r>
              <w:rPr>
                <w:b/>
                <w:i w:val="0"/>
                <w:sz w:val="19"/>
              </w:rPr>
              <w:t>Tham chiếu rủi ro: F-1</w:t>
            </w:r>
          </w:p>
        </w:tc>
      </w:tr>
      <w:tr>
        <w:tc>
          <w:tcPr>
            <w:tcW w:type="dxa" w:w="4680"/>
          </w:tcPr>
          <w:p>
            <w:r/>
            <w:r>
              <w:rPr>
                <w:b w:val="0"/>
                <w:i w:val="0"/>
                <w:sz w:val="19"/>
              </w:rPr>
              <w:t>4.6.15</w:t>
            </w:r>
          </w:p>
        </w:tc>
        <w:tc>
          <w:tcPr>
            <w:tcW w:type="dxa" w:w="4680"/>
          </w:tcPr>
          <w:p>
            <w:r/>
            <w:r>
              <w:rPr>
                <w:b/>
                <w:i w:val="0"/>
                <w:sz w:val="19"/>
              </w:rPr>
              <w:t>Thanh toán ACH và Chuyển khoản điện tử (Wire Transfer).</w:t>
            </w:r>
            <w:r>
              <w:rPr>
                <w:b w:val="0"/>
                <w:i w:val="0"/>
                <w:sz w:val="19"/>
              </w:rPr>
              <w:t xml:space="preserve"> Các khoản thanh toán bằng ACH và chuyển khoản điện tử chỉ được thực hiện đến các tài khoản ngân hàng đã được thiết lập trước và đã được xác thực. Khi khả thi, các khoản thanh toán chuyển khoản định kỳ nên được thiết lập dưới dạng thanh toán lặp lại (repetitive payment) trong hệ thống chuyển khoản điện tử. Các lệnh chuyển khoản không lặp lại yêu cầu phải được xem xét và phê duyệt độc lập. </w:t>
            </w:r>
            <w:r>
              <w:rPr>
                <w:b/>
                <w:i w:val="0"/>
                <w:sz w:val="19"/>
              </w:rPr>
              <w:t>Tham chiếu rủi ro: F-1, F-4, F-6, F-7, F-8</w:t>
            </w:r>
          </w:p>
        </w:tc>
      </w:tr>
      <w:tr>
        <w:tc>
          <w:tcPr>
            <w:tcW w:type="dxa" w:w="4680"/>
          </w:tcPr>
          <w:p>
            <w:r/>
            <w:r>
              <w:rPr>
                <w:b w:val="0"/>
                <w:i w:val="0"/>
                <w:sz w:val="19"/>
              </w:rPr>
              <w:t>4.6.16</w:t>
            </w:r>
          </w:p>
        </w:tc>
        <w:tc>
          <w:tcPr>
            <w:tcW w:type="dxa" w:w="4680"/>
          </w:tcPr>
          <w:p>
            <w:r/>
            <w:r>
              <w:rPr>
                <w:b/>
                <w:i w:val="0"/>
                <w:sz w:val="19"/>
              </w:rPr>
              <w:t>Tiền mặt lặt vặt (Petty Cash).</w:t>
            </w:r>
            <w:r>
              <w:rPr>
                <w:b w:val="0"/>
                <w:i w:val="0"/>
                <w:sz w:val="19"/>
              </w:rPr>
              <w:t xml:space="preserve"> Các khoản thanh toán từ tiền mặt lặt vặt phải được hỗ trợ bằng biên lai và được nhân sự có thẩm quyền phê duyệt theo hạn mức phê duyệt của họ. Nói chung, nên tránh sử dụng tiền mặt lặt vặt và nên sử dụng thẻ mua sắm (procurement card - P-Card) hoặc các thẻ tín dụng doanh nghiệp khác. </w:t>
            </w:r>
            <w:r>
              <w:rPr>
                <w:b/>
                <w:i w:val="0"/>
                <w:sz w:val="19"/>
              </w:rPr>
              <w:t>Tham chiếu rủi ro: F-4, F-6, F-7</w:t>
            </w:r>
          </w:p>
        </w:tc>
      </w:tr>
      <w:tr>
        <w:tc>
          <w:tcPr>
            <w:tcW w:type="dxa" w:w="4680"/>
          </w:tcPr>
          <w:p>
            <w:r/>
            <w:r>
              <w:rPr>
                <w:b w:val="0"/>
                <w:i w:val="0"/>
                <w:sz w:val="19"/>
              </w:rPr>
              <w:t>4.6.17</w:t>
            </w:r>
          </w:p>
        </w:tc>
        <w:tc>
          <w:tcPr>
            <w:tcW w:type="dxa" w:w="4680"/>
          </w:tcPr>
          <w:p>
            <w:r/>
            <w:r>
              <w:rPr>
                <w:b/>
                <w:i w:val="0"/>
                <w:sz w:val="19"/>
              </w:rPr>
              <w:t>Việc bảo quản và an toàn của thiết bị ký séc.</w:t>
            </w:r>
            <w:r>
              <w:rPr>
                <w:b w:val="0"/>
                <w:i w:val="0"/>
                <w:sz w:val="19"/>
              </w:rPr>
              <w:t xml:space="preserve"> Khi sử dụng thiết bị ký séc và các bản kẽm chữ ký fax (facsimile signature plate) hoặc hình ảnh chữ ký số hóa, thiết bị và bản kẽm phải được bảo vệ an toàn, và việc bảo quản thiết bị ký séc cùng các bản kẽm chữ ký hoặc tệp hình ảnh chữ ký số hóa phải được tách biệt. Ngoài ra, cần thực hiện việc đối chiếu (nội dung đã được biết rõ và trạng thái hiện tại) giữa séc đã viết và séc được ủy quyền với tổng số của máy ký séc. </w:t>
            </w:r>
            <w:r>
              <w:rPr>
                <w:b/>
                <w:i w:val="0"/>
                <w:sz w:val="19"/>
              </w:rPr>
              <w:t>Tham chiếu rủi ro: F-1, F-5</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F-1</w:t>
            </w:r>
          </w:p>
        </w:tc>
        <w:tc>
          <w:tcPr>
            <w:tcW w:type="dxa" w:w="4680"/>
          </w:tcPr>
          <w:p>
            <w:r/>
            <w:r>
              <w:rPr>
                <w:b w:val="0"/>
                <w:i w:val="0"/>
                <w:sz w:val="19"/>
              </w:rPr>
              <w:t>Các kiểm soát có thể bị vượt qua, tạo ra khả năng xảy ra trộm cắp hoặc sai sót.</w:t>
            </w:r>
          </w:p>
        </w:tc>
      </w:tr>
      <w:tr>
        <w:tc>
          <w:tcPr>
            <w:tcW w:type="dxa" w:w="4680"/>
          </w:tcPr>
          <w:p>
            <w:r/>
            <w:r>
              <w:rPr>
                <w:b w:val="0"/>
                <w:i w:val="0"/>
                <w:sz w:val="19"/>
              </w:rPr>
              <w:t>F-2</w:t>
            </w:r>
          </w:p>
        </w:tc>
        <w:tc>
          <w:tcPr>
            <w:tcW w:type="dxa" w:w="4680"/>
          </w:tcPr>
          <w:p>
            <w:r/>
            <w:r>
              <w:rPr>
                <w:b w:val="0"/>
                <w:i w:val="0"/>
                <w:sz w:val="19"/>
              </w:rPr>
              <w:t>Hàng hóa hoặc dịch vụ có thể được đặt mua và nhận bởi một cá nhân không được phép.</w:t>
            </w:r>
          </w:p>
        </w:tc>
      </w:tr>
      <w:tr>
        <w:tc>
          <w:tcPr>
            <w:tcW w:type="dxa" w:w="4680"/>
          </w:tcPr>
          <w:p>
            <w:r/>
            <w:r>
              <w:rPr>
                <w:b w:val="0"/>
                <w:i w:val="0"/>
                <w:sz w:val="19"/>
              </w:rPr>
              <w:t>F-3</w:t>
            </w:r>
          </w:p>
        </w:tc>
        <w:tc>
          <w:tcPr>
            <w:tcW w:type="dxa" w:w="4680"/>
          </w:tcPr>
          <w:p>
            <w:r/>
            <w:r>
              <w:rPr>
                <w:b w:val="0"/>
                <w:i w:val="0"/>
                <w:sz w:val="19"/>
              </w:rPr>
              <w:t>Hàng hóa hoặc dịch vụ có thể được nhận nhưng không được báo cáo, hoặc báo cáo không chính xác. Điều này có thể dẫn đến các khoản nợ phải trả không được ghi nhận, hàng tồn kho bị sai lệch, và việc thanh toán thừa/thiếu cho nhà cung cấp.</w:t>
            </w:r>
          </w:p>
        </w:tc>
      </w:tr>
      <w:tr>
        <w:tc>
          <w:tcPr>
            <w:tcW w:type="dxa" w:w="4680"/>
          </w:tcPr>
          <w:p>
            <w:r/>
            <w:r>
              <w:rPr>
                <w:b w:val="0"/>
                <w:i w:val="0"/>
                <w:sz w:val="19"/>
              </w:rPr>
              <w:t>F-4</w:t>
            </w:r>
          </w:p>
        </w:tc>
        <w:tc>
          <w:tcPr>
            <w:tcW w:type="dxa" w:w="4680"/>
          </w:tcPr>
          <w:p>
            <w:r/>
            <w:r>
              <w:rPr>
                <w:b w:val="0"/>
                <w:i w:val="0"/>
                <w:sz w:val="19"/>
              </w:rPr>
              <w:t>Có thể xảy ra thanh toán trùng lặp, hoặc thanh toán sai số tiền hoặc cho nhà cung cấp không được phép hoặc không tồn tại.</w:t>
            </w:r>
          </w:p>
        </w:tc>
      </w:tr>
      <w:tr>
        <w:tc>
          <w:tcPr>
            <w:tcW w:type="dxa" w:w="4680"/>
          </w:tcPr>
          <w:p>
            <w:r/>
            <w:r>
              <w:rPr>
                <w:b w:val="0"/>
                <w:i w:val="0"/>
                <w:sz w:val="19"/>
              </w:rPr>
              <w:t>F-5</w:t>
            </w:r>
          </w:p>
        </w:tc>
        <w:tc>
          <w:tcPr>
            <w:tcW w:type="dxa" w:w="4680"/>
          </w:tcPr>
          <w:p>
            <w:r/>
            <w:r>
              <w:rPr>
                <w:b w:val="0"/>
                <w:i w:val="0"/>
                <w:sz w:val="19"/>
              </w:rPr>
              <w:t>Báo cáo tài chính, hồ sơ và báo cáo hoạt động có thể bị sai lệch. Các quyết định quan trọng có thể dựa trên thông tin sai.</w:t>
            </w:r>
          </w:p>
        </w:tc>
      </w:tr>
      <w:tr>
        <w:tc>
          <w:tcPr>
            <w:tcW w:type="dxa" w:w="4680"/>
          </w:tcPr>
          <w:p>
            <w:r/>
            <w:r>
              <w:rPr>
                <w:b w:val="0"/>
                <w:i w:val="0"/>
                <w:sz w:val="19"/>
              </w:rPr>
              <w:t>F-6</w:t>
            </w:r>
          </w:p>
        </w:tc>
        <w:tc>
          <w:tcPr>
            <w:tcW w:type="dxa" w:w="4680"/>
          </w:tcPr>
          <w:p>
            <w:r/>
            <w:r>
              <w:rPr>
                <w:b w:val="0"/>
                <w:i w:val="0"/>
                <w:sz w:val="19"/>
              </w:rPr>
              <w:t>Hàng hóa hoặc dịch vụ có thể không được phép, được ghi nhận sai số tiền hoặc sai kỳ, và/hoặc thanh toán cho sai người.</w:t>
            </w:r>
          </w:p>
        </w:tc>
      </w:tr>
      <w:tr>
        <w:tc>
          <w:tcPr>
            <w:tcW w:type="dxa" w:w="4680"/>
          </w:tcPr>
          <w:p>
            <w:r/>
            <w:r>
              <w:rPr>
                <w:b w:val="0"/>
                <w:i w:val="0"/>
                <w:sz w:val="19"/>
              </w:rPr>
              <w:t>F-7</w:t>
            </w:r>
          </w:p>
        </w:tc>
        <w:tc>
          <w:tcPr>
            <w:tcW w:type="dxa" w:w="4680"/>
          </w:tcPr>
          <w:p>
            <w:r/>
            <w:r>
              <w:rPr>
                <w:b w:val="0"/>
                <w:i w:val="0"/>
                <w:sz w:val="19"/>
              </w:rPr>
              <w:t>Hàng hóa có thể được ghi nhận và thanh toán cho hàng hóa hoặc dịch vụ không được nhận.</w:t>
            </w:r>
          </w:p>
        </w:tc>
      </w:tr>
      <w:tr>
        <w:tc>
          <w:tcPr>
            <w:tcW w:type="dxa" w:w="4680"/>
          </w:tcPr>
          <w:p>
            <w:r/>
            <w:r>
              <w:rPr>
                <w:b w:val="0"/>
                <w:i w:val="0"/>
                <w:sz w:val="19"/>
              </w:rPr>
              <w:t>F-8</w:t>
            </w:r>
          </w:p>
        </w:tc>
        <w:tc>
          <w:tcPr>
            <w:tcW w:type="dxa" w:w="4680"/>
          </w:tcPr>
          <w:p>
            <w:r/>
            <w:r>
              <w:rPr>
                <w:b w:val="0"/>
                <w:i w:val="0"/>
                <w:sz w:val="19"/>
              </w:rPr>
              <w:t>Hoạt động có thể bị ảnh hưởng tiêu cực vì nhà cung cấp có thể từ chối hợp tác kinh doanh trong tương lai với công ty.</w:t>
            </w:r>
          </w:p>
        </w:tc>
      </w:tr>
      <w:tr>
        <w:tc>
          <w:tcPr>
            <w:tcW w:type="dxa" w:w="4680"/>
          </w:tcPr>
          <w:p>
            <w:r/>
            <w:r>
              <w:rPr>
                <w:b w:val="0"/>
                <w:i w:val="0"/>
                <w:sz w:val="19"/>
              </w:rPr>
              <w:t>F-9</w:t>
            </w:r>
          </w:p>
        </w:tc>
        <w:tc>
          <w:tcPr>
            <w:tcW w:type="dxa" w:w="4680"/>
          </w:tcPr>
          <w:p>
            <w:r/>
            <w:r>
              <w:rPr>
                <w:b w:val="0"/>
                <w:i w:val="0"/>
                <w:sz w:val="19"/>
              </w:rPr>
              <w:t>Việc sử dụng tiền mặt có thể không được tối ưu hóa hoặc có thể bị sử dụng sai mục đích.</w:t>
            </w:r>
          </w:p>
        </w:tc>
      </w:tr>
      <w:tr>
        <w:tc>
          <w:tcPr>
            <w:tcW w:type="dxa" w:w="4680"/>
          </w:tcPr>
          <w:p>
            <w:r/>
            <w:r>
              <w:rPr>
                <w:b w:val="0"/>
                <w:i w:val="0"/>
                <w:sz w:val="19"/>
              </w:rPr>
              <w:t>F-10</w:t>
            </w:r>
          </w:p>
        </w:tc>
        <w:tc>
          <w:tcPr>
            <w:tcW w:type="dxa" w:w="4680"/>
          </w:tcPr>
          <w:p>
            <w:r/>
            <w:r>
              <w:rPr>
                <w:b w:val="0"/>
                <w:i w:val="0"/>
                <w:sz w:val="19"/>
              </w:rPr>
              <w:t>Có thể bị phạt tiền hoặc chịu hình phạt nếu không có đầy đủ chứng từ hỗ trợ theo yêu cầu.</w:t>
            </w:r>
          </w:p>
        </w:tc>
      </w:tr>
    </w:tbl>
    <w:p>
      <w:pPr>
        <w:spacing w:after="0"/>
      </w:pPr>
    </w:p>
    <w:p>
      <w:pPr>
        <w:pStyle w:val="Heading2"/>
      </w:pPr>
      <w:r>
        <w:rPr>
          <w:rFonts w:ascii="Calibri" w:hAnsi="Calibri"/>
          <w:b/>
          <w:i w:val="0"/>
          <w:sz w:val="32"/>
        </w:rPr>
        <w:t>4.7 QUY TRÌNH THANH TOÁN—CÔNG TÁC VÀ TIẾP KHÁCH</w:t>
      </w:r>
    </w:p>
    <w:p>
      <w:pPr>
        <w:pStyle w:val="Heading3"/>
      </w:pPr>
      <w:r>
        <w:rPr>
          <w:rFonts w:ascii="Calibri" w:hAnsi="Calibri"/>
          <w:b/>
          <w:i w:val="0"/>
          <w:sz w:val="26"/>
        </w:rPr>
        <w:t>Giới thiệu</w:t>
      </w:r>
    </w:p>
    <w:p>
      <w:pPr>
        <w:spacing w:after="80"/>
      </w:pPr>
      <w:r>
        <w:rPr>
          <w:b w:val="0"/>
          <w:i w:val="0"/>
        </w:rPr>
        <w:t>Chi phí công tác và tiếp khách (T&amp;E) là “phát sinh khi nhân viên thực hiện công việc xa nhà hoặc xa văn phòng công ty. Ví dụ, nếu ai đó phải di chuyển đến một địa điểm khác để họp với một khách hàng quan trọng, thì mọi chi phí lưu trú, ăn uống hoặc đi lại thường được tính là chi phí công tác. Người ta có thể khấu trừ chi phí công tác khỏi thu nhập chịu thuế, miễn là chúng thực sự liên quan trực tiếp đến công việc. Vì lý do này, chi phí công tác có phần gây tranh cãi; chẳng hạn, một số công ty tổ chức một cuộc họp kinh doanh tại một khu nghỉ dưỡng lớn và khấu trừ toàn bộ chi phí. Liệu đây có phải là chi phí công tác thực sự hay không là một vấn đề còn phải bàn cãi.”</w:t>
      </w:r>
    </w:p>
    <w:p>
      <w:pPr>
        <w:spacing w:after="80"/>
        <w:ind w:left="360"/>
      </w:pPr>
      <w:r>
        <w:t xml:space="preserve">• </w:t>
      </w:r>
      <w:r>
        <w:rPr>
          <w:b w:val="0"/>
          <w:i w:val="0"/>
        </w:rPr>
        <w:t>Chia chính sách của bạn thành các mục: đi lại bằng máy bay, lưu trú khách sạn, ăn uống, chi phí tiếp khách và thuê xe.</w:t>
      </w:r>
    </w:p>
    <w:p>
      <w:pPr>
        <w:spacing w:after="80"/>
        <w:ind w:left="360"/>
      </w:pPr>
      <w:r>
        <w:t xml:space="preserve">• </w:t>
      </w:r>
      <w:r>
        <w:rPr>
          <w:b w:val="0"/>
          <w:i w:val="0"/>
        </w:rPr>
        <w:t>Cung cấp một mục nêu rõ những gì không được hoàn trả.</w:t>
      </w:r>
    </w:p>
    <w:p>
      <w:pPr>
        <w:spacing w:after="80"/>
        <w:ind w:left="360"/>
      </w:pPr>
      <w:r>
        <w:t xml:space="preserve">• </w:t>
      </w:r>
      <w:r>
        <w:rPr>
          <w:b w:val="0"/>
          <w:i w:val="0"/>
        </w:rPr>
        <w:t>Cho nhân viên biết những biện pháp thực thi nào sẽ được áp dụng để đảm bảo tuân thủ chính sách.</w:t>
      </w:r>
    </w:p>
    <w:p>
      <w:pPr>
        <w:spacing w:after="80"/>
        <w:ind w:left="360"/>
      </w:pPr>
      <w:r>
        <w:t xml:space="preserve">• </w:t>
      </w:r>
      <w:r>
        <w:rPr>
          <w:b w:val="0"/>
          <w:i w:val="0"/>
        </w:rPr>
        <w:t>Bao gồm một hướng dẫn về việc đi cùng vợ/chồng hoặc người bạn đời. Nếu nhân viên chọn ở thêm vài ngày thì sao? Hoặc ở qua cuối tuần thì sao?</w:t>
      </w:r>
    </w:p>
    <w:p>
      <w:pPr>
        <w:spacing w:after="80"/>
        <w:ind w:left="360"/>
      </w:pPr>
      <w:r>
        <w:t xml:space="preserve">• </w:t>
      </w:r>
      <w:r>
        <w:rPr>
          <w:b w:val="0"/>
          <w:i w:val="0"/>
        </w:rPr>
        <w:t>Ai chịu trách nhiệm về chi phí công tác nếu nhân viên hủy đặt chỗ hoặc “không đến” (no-show)?</w:t>
      </w:r>
    </w:p>
    <w:p>
      <w:pPr>
        <w:spacing w:after="80"/>
        <w:ind w:left="360"/>
      </w:pPr>
      <w:r>
        <w:t xml:space="preserve">• </w:t>
      </w:r>
      <w:r>
        <w:rPr>
          <w:b w:val="0"/>
          <w:i w:val="0"/>
        </w:rPr>
        <w:t>Chính sách của bạn về văn phòng tại nhà là gì? Nhân viên có được hoàn trả chi phí Internet và/hoặc điện thoại không? Còn đồ dùng văn phòng hoặc nội thất văn phòng thì sao?</w:t>
      </w:r>
    </w:p>
    <w:p>
      <w:pPr>
        <w:spacing w:after="80"/>
        <w:ind w:left="360"/>
      </w:pPr>
      <w:r>
        <w:t xml:space="preserve">• </w:t>
      </w:r>
      <w:r>
        <w:rPr>
          <w:b w:val="0"/>
          <w:i w:val="0"/>
        </w:rPr>
        <w:t>Chính sách của công ty bạn về việc uống rượu bia trong các bữa ăn với khách hàng là gì? Nếu cho phép uống rượu bia, chính sách của bạn về việc chi trả cho một phương tiện đi lại thay thế về nhà hoặc đến khách sạn nếu nhân viên không thể lái xe là gì?</w:t>
      </w:r>
    </w:p>
    <w:p>
      <w:pPr>
        <w:spacing w:after="80"/>
        <w:ind w:left="360"/>
      </w:pPr>
      <w:r>
        <w:t xml:space="preserve">• </w:t>
      </w:r>
      <w:r>
        <w:rPr>
          <w:b w:val="0"/>
          <w:i w:val="0"/>
        </w:rPr>
        <w:t>Nếu thiếu hóa đơn, hãy cho nhân viên biết rằng mọi thứ không phải đã hết. Yêu cầu giải trình về khoản chi phí, nhu cầu công việc, ngày phát sinh chi phí, nhà cung cấp, địa điểm và số tiền. Bạn cũng có thể cân nhắc gọi cho nhà cung cấp để xin một hóa đơn bản sao nếu có thể.</w:t>
      </w:r>
    </w:p>
    <w:p>
      <w:pPr>
        <w:spacing w:after="80"/>
        <w:ind w:left="360"/>
      </w:pPr>
      <w:r>
        <w:t xml:space="preserve">• </w:t>
      </w:r>
      <w:r>
        <w:rPr>
          <w:b w:val="0"/>
          <w:i w:val="0"/>
        </w:rPr>
        <w:t>Cập nhật mức hoàn trả chi phí đi lại theo số dặm của bạn. Nhân viên nên bắt đầu tính số dặm từ trụ sở công ty của bạn chứ? Hay từ nhà? (Một công ty tự động trừ 20 dặm khi nhân viên nộp mẫu chi phí đi lại theo số dặm—ngay cả khi nhân viên làm việc tại nhà.)</w:t>
      </w:r>
    </w:p>
    <w:p>
      <w:pPr>
        <w:spacing w:after="80"/>
        <w:ind w:left="360"/>
      </w:pPr>
      <w:r>
        <w:t xml:space="preserve">• </w:t>
      </w:r>
      <w:r>
        <w:rPr>
          <w:b w:val="0"/>
          <w:i w:val="0"/>
        </w:rPr>
        <w:t>Sao kê thẻ tín dụng có phải là một hình thức hóa đơn được chấp nhận không? Hay bạn yêu cầu phải có bảng kê chi tiết và hóa đơn của cửa hàng cùng với phiếu thẻ tín dụng?</w:t>
      </w:r>
    </w:p>
    <w:p>
      <w:pPr>
        <w:spacing w:after="80"/>
        <w:ind w:left="360"/>
      </w:pPr>
      <w:r>
        <w:t xml:space="preserve">• </w:t>
      </w:r>
      <w:r>
        <w:rPr>
          <w:b w:val="0"/>
          <w:i w:val="0"/>
        </w:rPr>
        <w:t>Ngoài ra, hãy đảm bảo phù hợp với chế độ tăng trưởng hiện tại của công ty bạn. Bạn đang trong chế độ tăng trưởng hay chế độ cắt giảm chi phí? Bạn là công ty nhỏ hơn hay lớn hơn? Các khoản chi phí cần được phê duyệt ở cấp nào trong cơ cấu quản lý?</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4.7.1</w:t>
            </w:r>
          </w:p>
        </w:tc>
        <w:tc>
          <w:tcPr>
            <w:tcW w:type="dxa" w:w="4680"/>
          </w:tcPr>
          <w:p>
            <w:r/>
            <w:r>
              <w:rPr>
                <w:b/>
                <w:i w:val="0"/>
                <w:sz w:val="19"/>
              </w:rPr>
              <w:t>Thẻ tín dụng doanh nghiệp.</w:t>
            </w:r>
            <w:r>
              <w:rPr>
                <w:b w:val="0"/>
                <w:i w:val="0"/>
                <w:sz w:val="19"/>
              </w:rPr>
              <w:t xml:space="preserve"> Nhân viên phải lấy và sử dụng thẻ tín dụng theo đúng chính sách doanh nghiệp phù hợp. </w:t>
            </w:r>
            <w:r>
              <w:rPr>
                <w:b/>
                <w:i w:val="0"/>
                <w:sz w:val="19"/>
              </w:rPr>
              <w:t>Tham chiếu rủi ro: G-4</w:t>
            </w:r>
          </w:p>
        </w:tc>
      </w:tr>
      <w:tr>
        <w:tc>
          <w:tcPr>
            <w:tcW w:type="dxa" w:w="4680"/>
          </w:tcPr>
          <w:p>
            <w:r/>
            <w:r>
              <w:rPr>
                <w:b w:val="0"/>
                <w:i w:val="0"/>
                <w:sz w:val="19"/>
              </w:rPr>
              <w:t>4.7.2</w:t>
            </w:r>
          </w:p>
        </w:tc>
        <w:tc>
          <w:tcPr>
            <w:tcW w:type="dxa" w:w="4680"/>
          </w:tcPr>
          <w:p>
            <w:r/>
            <w:r>
              <w:rPr>
                <w:b/>
                <w:i w:val="0"/>
                <w:sz w:val="19"/>
              </w:rPr>
              <w:t>Chi phí được hoàn trả.</w:t>
            </w:r>
            <w:r>
              <w:rPr>
                <w:b w:val="0"/>
                <w:i w:val="0"/>
                <w:sz w:val="19"/>
              </w:rPr>
              <w:t xml:space="preserve"> Các khoản chi được hoàn trả phải là thực tế, cần thiết, hợp lý và nhất quán với chính sách doanh nghiệp phù hợp. Bất kỳ khoản chi nào có vẻ quá mức đều nên được điều tra. </w:t>
            </w:r>
            <w:r>
              <w:rPr>
                <w:b/>
                <w:i w:val="0"/>
                <w:sz w:val="19"/>
              </w:rPr>
              <w:t>Tham chiếu rủi ro: G-2</w:t>
            </w:r>
          </w:p>
        </w:tc>
      </w:tr>
      <w:tr>
        <w:tc>
          <w:tcPr>
            <w:tcW w:type="dxa" w:w="4680"/>
          </w:tcPr>
          <w:p>
            <w:r/>
            <w:r>
              <w:rPr>
                <w:b w:val="0"/>
                <w:i w:val="0"/>
                <w:sz w:val="19"/>
              </w:rPr>
              <w:t>4.7.3</w:t>
            </w:r>
          </w:p>
        </w:tc>
        <w:tc>
          <w:tcPr>
            <w:tcW w:type="dxa" w:w="4680"/>
          </w:tcPr>
          <w:p>
            <w:r/>
            <w:r>
              <w:rPr>
                <w:b/>
                <w:i w:val="0"/>
                <w:sz w:val="19"/>
              </w:rPr>
              <w:t>Hoàn thành báo cáo chi phí đúng hạn.</w:t>
            </w:r>
            <w:r>
              <w:rPr>
                <w:b w:val="0"/>
                <w:i w:val="0"/>
                <w:sz w:val="19"/>
              </w:rPr>
              <w:t xml:space="preserve"> Báo cáo chi phí nên được hoàn thành, phê duyệt và chuyển đến bộ phận kế toán phù hợp một cách kịp thời theo chính sách doanh nghiệp. Mọi số dư còn nợ nhân viên nên được thanh toán vào thời điểm đó. </w:t>
            </w:r>
            <w:r>
              <w:rPr>
                <w:b/>
                <w:i w:val="0"/>
                <w:sz w:val="19"/>
              </w:rPr>
              <w:t>Tham chiếu rủi ro: G-1, G-2</w:t>
            </w:r>
          </w:p>
        </w:tc>
      </w:tr>
      <w:tr>
        <w:tc>
          <w:tcPr>
            <w:tcW w:type="dxa" w:w="4680"/>
          </w:tcPr>
          <w:p>
            <w:r/>
            <w:r>
              <w:rPr>
                <w:b w:val="0"/>
                <w:i w:val="0"/>
                <w:sz w:val="19"/>
              </w:rPr>
              <w:t>4.7.4</w:t>
            </w:r>
          </w:p>
        </w:tc>
        <w:tc>
          <w:tcPr>
            <w:tcW w:type="dxa" w:w="4680"/>
          </w:tcPr>
          <w:p>
            <w:r/>
            <w:r>
              <w:rPr>
                <w:b/>
                <w:i w:val="0"/>
                <w:sz w:val="19"/>
              </w:rPr>
              <w:t>Tài liệu hỗ trợ.</w:t>
            </w:r>
            <w:r>
              <w:rPr>
                <w:b w:val="0"/>
                <w:i w:val="0"/>
                <w:sz w:val="19"/>
              </w:rPr>
              <w:t xml:space="preserve"> Hóa đơn gốc theo yêu cầu của chính sách nên được đính kèm vào báo cáo chi phí công tác cho tất cả các khoản chi trên $25 hoặc số tiền được quy định bởi chính sách công tác của công ty. </w:t>
            </w:r>
            <w:r>
              <w:rPr>
                <w:b/>
                <w:i w:val="0"/>
                <w:sz w:val="19"/>
              </w:rPr>
              <w:t>Tham chiếu rủi ro: G-1, G-2, G-3, G-5</w:t>
            </w:r>
          </w:p>
        </w:tc>
      </w:tr>
      <w:tr>
        <w:tc>
          <w:tcPr>
            <w:tcW w:type="dxa" w:w="4680"/>
          </w:tcPr>
          <w:p>
            <w:r/>
            <w:r>
              <w:rPr>
                <w:b w:val="0"/>
                <w:i w:val="0"/>
                <w:sz w:val="19"/>
              </w:rPr>
              <w:t>4.7.5</w:t>
            </w:r>
          </w:p>
        </w:tc>
        <w:tc>
          <w:tcPr>
            <w:tcW w:type="dxa" w:w="4680"/>
          </w:tcPr>
          <w:p>
            <w:r/>
            <w:r>
              <w:rPr>
                <w:b/>
                <w:i w:val="0"/>
                <w:sz w:val="19"/>
              </w:rPr>
              <w:t>Chi phí được phê duyệt.</w:t>
            </w:r>
            <w:r>
              <w:rPr>
                <w:b w:val="0"/>
                <w:i w:val="0"/>
                <w:sz w:val="19"/>
              </w:rPr>
              <w:t xml:space="preserve"> Chi phí của nhân viên nên được người giám sát của nhân viên phê duyệt. Trong trường hợp người giám sát vắng mặt, chi phí nên được chuyển đến cấp giám sát tương đương hoặc cao hơn kế tiếp để phê duyệt. Chữ ký phê duyệt phải là chữ ký thật (ví dụ: trợ lý hành chính không thể ký thay người giám sát). </w:t>
            </w:r>
            <w:r>
              <w:rPr>
                <w:b/>
                <w:i w:val="0"/>
                <w:sz w:val="19"/>
              </w:rPr>
              <w:t>Tham chiếu rủi ro: G-1, G-2, G-3</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G-1</w:t>
            </w:r>
          </w:p>
        </w:tc>
        <w:tc>
          <w:tcPr>
            <w:tcW w:type="dxa" w:w="4680"/>
          </w:tcPr>
          <w:p>
            <w:r/>
            <w:r>
              <w:rPr>
                <w:b w:val="0"/>
                <w:i w:val="0"/>
                <w:sz w:val="19"/>
              </w:rPr>
              <w:t>Các biện pháp kiểm soát có thể bị bỏ qua, tạo khả năng xảy ra trộm cắp hoặc sai sót.</w:t>
            </w:r>
          </w:p>
        </w:tc>
      </w:tr>
      <w:tr>
        <w:tc>
          <w:tcPr>
            <w:tcW w:type="dxa" w:w="4680"/>
          </w:tcPr>
          <w:p>
            <w:r/>
            <w:r>
              <w:rPr>
                <w:b w:val="0"/>
                <w:i w:val="0"/>
                <w:sz w:val="19"/>
              </w:rPr>
              <w:t>G-2</w:t>
            </w:r>
          </w:p>
        </w:tc>
        <w:tc>
          <w:tcPr>
            <w:tcW w:type="dxa" w:w="4680"/>
          </w:tcPr>
          <w:p>
            <w:r/>
            <w:r>
              <w:rPr>
                <w:b w:val="0"/>
                <w:i w:val="0"/>
                <w:sz w:val="19"/>
              </w:rPr>
              <w:t>Chi phí hoặc dịch vụ có thể được đặt hàng và nhận bởi một cá nhân không được ủy quyền.</w:t>
            </w:r>
          </w:p>
        </w:tc>
      </w:tr>
      <w:tr>
        <w:tc>
          <w:tcPr>
            <w:tcW w:type="dxa" w:w="4680"/>
          </w:tcPr>
          <w:p>
            <w:r/>
            <w:r>
              <w:rPr>
                <w:b w:val="0"/>
                <w:i w:val="0"/>
                <w:sz w:val="19"/>
              </w:rPr>
              <w:t>G-3</w:t>
            </w:r>
          </w:p>
        </w:tc>
        <w:tc>
          <w:tcPr>
            <w:tcW w:type="dxa" w:w="4680"/>
          </w:tcPr>
          <w:p>
            <w:r/>
            <w:r>
              <w:rPr>
                <w:b w:val="0"/>
                <w:i w:val="0"/>
                <w:sz w:val="19"/>
              </w:rPr>
              <w:t>Thanh toán trùng lặp có thể xảy ra, hoặc thanh toán có thể được thực hiện với số tiền sai.</w:t>
            </w:r>
          </w:p>
        </w:tc>
      </w:tr>
      <w:tr>
        <w:tc>
          <w:tcPr>
            <w:tcW w:type="dxa" w:w="4680"/>
          </w:tcPr>
          <w:p>
            <w:r/>
            <w:r>
              <w:rPr>
                <w:b w:val="0"/>
                <w:i w:val="0"/>
                <w:sz w:val="19"/>
              </w:rPr>
              <w:t>G-4</w:t>
            </w:r>
          </w:p>
        </w:tc>
        <w:tc>
          <w:tcPr>
            <w:tcW w:type="dxa" w:w="4680"/>
          </w:tcPr>
          <w:p>
            <w:r/>
            <w:r>
              <w:rPr>
                <w:b w:val="0"/>
                <w:i w:val="0"/>
                <w:sz w:val="19"/>
              </w:rPr>
              <w:t>Việc sử dụng tiền mặt có thể không được tối ưu hóa.</w:t>
            </w:r>
          </w:p>
        </w:tc>
      </w:tr>
      <w:tr>
        <w:tc>
          <w:tcPr>
            <w:tcW w:type="dxa" w:w="4680"/>
          </w:tcPr>
          <w:p>
            <w:r/>
            <w:r>
              <w:rPr>
                <w:b w:val="0"/>
                <w:i w:val="0"/>
                <w:sz w:val="19"/>
              </w:rPr>
              <w:t>G-5</w:t>
            </w:r>
          </w:p>
        </w:tc>
        <w:tc>
          <w:tcPr>
            <w:tcW w:type="dxa" w:w="4680"/>
          </w:tcPr>
          <w:p>
            <w:r/>
            <w:r>
              <w:rPr>
                <w:b w:val="0"/>
                <w:i w:val="0"/>
                <w:sz w:val="19"/>
              </w:rPr>
              <w:t>Các khoản khấu trừ thuế có giá trị có thể bị mất.</w:t>
            </w:r>
          </w:p>
        </w:tc>
      </w:tr>
    </w:tbl>
    <w:p>
      <w:pPr>
        <w:spacing w:after="0"/>
      </w:pPr>
    </w:p>
    <w:p>
      <w:pPr>
        <w:pStyle w:val="Heading2"/>
      </w:pPr>
      <w:r>
        <w:rPr>
          <w:rFonts w:ascii="Calibri" w:hAnsi="Calibri"/>
          <w:b/>
          <w:i w:val="0"/>
          <w:sz w:val="32"/>
        </w:rPr>
        <w:t>4.8 NGHIÊN CỨU VÀ PHÁT TRIỂN SẢN PHẨM</w:t>
      </w:r>
    </w:p>
    <w:p>
      <w:pPr>
        <w:pStyle w:val="Heading3"/>
      </w:pPr>
      <w:r>
        <w:rPr>
          <w:rFonts w:ascii="Calibri" w:hAnsi="Calibri"/>
          <w:b/>
          <w:i w:val="0"/>
          <w:sz w:val="26"/>
        </w:rPr>
        <w:t>Giới thiệu</w:t>
      </w:r>
    </w:p>
    <w:p>
      <w:pPr>
        <w:spacing w:after="80"/>
      </w:pPr>
      <w:r>
        <w:rPr>
          <w:b w:val="0"/>
          <w:i w:val="0"/>
        </w:rPr>
        <w:t>Cần thực hiện đồng thời và tích hợp nghiên cứu thị trường với phát triển sản phẩm để phân tích nhu cầu và giúp xác định các yêu cầu cũng như kỳ vọng của khách hàng. Việc tổ chức và phân công các nhóm nghiên cứu và phát triển sản phẩm nên bao gồm cả làm việc theo nhóm chức năng và liên chức năng để đảm bảo quy trình của công ty được nhất quán.</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4.8.1</w:t>
            </w:r>
          </w:p>
        </w:tc>
        <w:tc>
          <w:tcPr>
            <w:tcW w:type="dxa" w:w="4680"/>
          </w:tcPr>
          <w:p>
            <w:r/>
            <w:r>
              <w:rPr>
                <w:b/>
                <w:i w:val="0"/>
                <w:sz w:val="19"/>
              </w:rPr>
              <w:t>Lập kế hoạch/Quản lý Quy trình Phát triển.</w:t>
            </w:r>
            <w:r>
              <w:rPr>
                <w:b w:val="0"/>
                <w:i w:val="0"/>
                <w:sz w:val="19"/>
              </w:rPr>
              <w:t xml:space="preserve"> Xây dựng các tiêu chuẩn, quy trình và yêu cầu nguồn lực cho việc thiết kế, thử nghiệm và sản xuất sản phẩm. Kế hoạch này phải được quản lý, đánh giá định kỳ và tái thiết kế để đáp ứng các mục tiêu của đơn vị vận hành. </w:t>
            </w:r>
            <w:r>
              <w:rPr>
                <w:b/>
                <w:i w:val="0"/>
                <w:sz w:val="19"/>
              </w:rPr>
              <w:t>Tham chiếu các rủi ro: H-1, H-2, H-3, H-5, H-8</w:t>
            </w:r>
          </w:p>
        </w:tc>
      </w:tr>
      <w:tr>
        <w:tc>
          <w:tcPr>
            <w:tcW w:type="dxa" w:w="4680"/>
          </w:tcPr>
          <w:p>
            <w:r/>
            <w:r>
              <w:rPr>
                <w:b w:val="0"/>
                <w:i w:val="0"/>
                <w:sz w:val="19"/>
              </w:rPr>
              <w:t>4.8.2</w:t>
            </w:r>
          </w:p>
        </w:tc>
        <w:tc>
          <w:tcPr>
            <w:tcW w:type="dxa" w:w="4680"/>
          </w:tcPr>
          <w:p>
            <w:r/>
            <w:r>
              <w:rPr>
                <w:b/>
                <w:i w:val="0"/>
                <w:sz w:val="19"/>
              </w:rPr>
              <w:t>Trách nhiệm.</w:t>
            </w:r>
            <w:r>
              <w:rPr>
                <w:b w:val="0"/>
                <w:i w:val="0"/>
                <w:sz w:val="19"/>
              </w:rPr>
              <w:t xml:space="preserve"> Các chủ sở hữu quy trình chất lượng và sản xuất nên được tham gia ngay từ đầu quy trình. </w:t>
            </w:r>
            <w:r>
              <w:rPr>
                <w:b/>
                <w:i w:val="0"/>
                <w:sz w:val="19"/>
              </w:rPr>
              <w:t>Tham chiếu các rủi ro: H-1, H-5, H-6, H-9</w:t>
            </w:r>
          </w:p>
        </w:tc>
      </w:tr>
      <w:tr>
        <w:tc>
          <w:tcPr>
            <w:tcW w:type="dxa" w:w="4680"/>
          </w:tcPr>
          <w:p>
            <w:r/>
            <w:r>
              <w:rPr>
                <w:b w:val="0"/>
                <w:i w:val="0"/>
                <w:sz w:val="19"/>
              </w:rPr>
              <w:t>4.8.3</w:t>
            </w:r>
          </w:p>
        </w:tc>
        <w:tc>
          <w:tcPr>
            <w:tcW w:type="dxa" w:w="4680"/>
          </w:tcPr>
          <w:p>
            <w:r/>
            <w:r>
              <w:rPr>
                <w:b/>
                <w:i w:val="0"/>
                <w:sz w:val="19"/>
              </w:rPr>
              <w:t>Đánh giá Rủi ro.</w:t>
            </w:r>
            <w:r>
              <w:rPr>
                <w:b w:val="0"/>
                <w:i w:val="0"/>
                <w:sz w:val="19"/>
              </w:rPr>
              <w:t xml:space="preserve"> Cần xây dựng các quy trình đánh giá rủi ro để đảm bảo các rủi ro về sản phẩm được phân tích và ghi nhận. Các yêu cầu pháp lý cũng cần được xác định và giải quyết một cách thích đáng. </w:t>
            </w:r>
            <w:r>
              <w:rPr>
                <w:b/>
                <w:i w:val="0"/>
                <w:sz w:val="19"/>
              </w:rPr>
              <w:t>Tham chiếu các rủi ro: H-2, H-3, H-7, H-8</w:t>
            </w:r>
          </w:p>
        </w:tc>
      </w:tr>
      <w:tr>
        <w:tc>
          <w:tcPr>
            <w:tcW w:type="dxa" w:w="4680"/>
          </w:tcPr>
          <w:p>
            <w:r/>
            <w:r>
              <w:rPr>
                <w:b w:val="0"/>
                <w:i w:val="0"/>
                <w:sz w:val="19"/>
              </w:rPr>
              <w:t>4.8.4</w:t>
            </w:r>
          </w:p>
        </w:tc>
        <w:tc>
          <w:tcPr>
            <w:tcW w:type="dxa" w:w="4680"/>
          </w:tcPr>
          <w:p>
            <w:r/>
            <w:r>
              <w:rPr>
                <w:b/>
                <w:i w:val="0"/>
                <w:sz w:val="19"/>
              </w:rPr>
              <w:t>Nghiên cứu thị trường.</w:t>
            </w:r>
            <w:r>
              <w:rPr>
                <w:b w:val="0"/>
                <w:i w:val="0"/>
                <w:sz w:val="19"/>
              </w:rPr>
              <w:t xml:space="preserve"> Cần thực hiện đồng thời và tích hợp việc nghiên cứu thị trường với phát triển sản phẩm để phân tích nhu cầu và giúp xác định các yêu cầu cũng như kỳ vọng của khách hàng. </w:t>
            </w:r>
            <w:r>
              <w:rPr>
                <w:b/>
                <w:i w:val="0"/>
                <w:sz w:val="19"/>
              </w:rPr>
              <w:t>Tham khảo rủi ro: H-3, H-7</w:t>
            </w:r>
          </w:p>
        </w:tc>
      </w:tr>
      <w:tr>
        <w:tc>
          <w:tcPr>
            <w:tcW w:type="dxa" w:w="4680"/>
          </w:tcPr>
          <w:p>
            <w:r/>
            <w:r>
              <w:rPr>
                <w:b w:val="0"/>
                <w:i w:val="0"/>
                <w:sz w:val="19"/>
              </w:rPr>
              <w:t>4.8.5</w:t>
            </w:r>
          </w:p>
        </w:tc>
        <w:tc>
          <w:tcPr>
            <w:tcW w:type="dxa" w:w="4680"/>
          </w:tcPr>
          <w:p>
            <w:r/>
            <w:r>
              <w:rPr>
                <w:b/>
                <w:i w:val="0"/>
                <w:sz w:val="19"/>
              </w:rPr>
              <w:t>Hệ thống và công cụ quản lý thông tin.</w:t>
            </w:r>
            <w:r>
              <w:rPr>
                <w:b w:val="0"/>
                <w:i w:val="0"/>
                <w:sz w:val="19"/>
              </w:rPr>
              <w:t xml:space="preserve"> Cần đánh giá và triển khai các hệ thống cập nhật hỗ trợ phát triển sản phẩm (ví dụ: công cụ CAD, công cụ mô phỏng, v.v.). </w:t>
            </w:r>
            <w:r>
              <w:rPr>
                <w:b/>
                <w:i w:val="0"/>
                <w:sz w:val="19"/>
              </w:rPr>
              <w:t>Tham khảo rủi ro: H-6</w:t>
            </w:r>
          </w:p>
        </w:tc>
      </w:tr>
      <w:tr>
        <w:tc>
          <w:tcPr>
            <w:tcW w:type="dxa" w:w="4680"/>
          </w:tcPr>
          <w:p>
            <w:r/>
            <w:r>
              <w:rPr>
                <w:b w:val="0"/>
                <w:i w:val="0"/>
                <w:sz w:val="19"/>
              </w:rPr>
              <w:t>4.8.6</w:t>
            </w:r>
          </w:p>
        </w:tc>
        <w:tc>
          <w:tcPr>
            <w:tcW w:type="dxa" w:w="4680"/>
          </w:tcPr>
          <w:p>
            <w:r/>
            <w:r>
              <w:rPr>
                <w:b/>
                <w:i w:val="0"/>
                <w:sz w:val="19"/>
              </w:rPr>
              <w:t>Bảo vệ sở hữu trí tuệ.</w:t>
            </w:r>
            <w:r>
              <w:rPr>
                <w:b w:val="0"/>
                <w:i w:val="0"/>
                <w:sz w:val="19"/>
              </w:rPr>
              <w:t xml:space="preserve"> Tính bảo mật là yếu tố then chốt đối với các chức năng nghiên cứu và phát triển sản phẩm. Cần ký kết các thỏa thuận bảo mật giữa tất cả các bên liên quan trong quá trình nghiên cứu và phát triển sản phẩm. </w:t>
            </w:r>
            <w:r>
              <w:rPr>
                <w:b/>
                <w:i w:val="0"/>
                <w:sz w:val="19"/>
              </w:rPr>
              <w:t>Tham khảo rủi ro: H-4</w:t>
            </w:r>
          </w:p>
        </w:tc>
      </w:tr>
      <w:tr>
        <w:tc>
          <w:tcPr>
            <w:tcW w:type="dxa" w:w="4680"/>
          </w:tcPr>
          <w:p>
            <w:r/>
            <w:r>
              <w:rPr>
                <w:b w:val="0"/>
                <w:i w:val="0"/>
                <w:sz w:val="19"/>
              </w:rPr>
              <w:t>4.8.7</w:t>
            </w:r>
          </w:p>
        </w:tc>
        <w:tc>
          <w:tcPr>
            <w:tcW w:type="dxa" w:w="4680"/>
          </w:tcPr>
          <w:p>
            <w:r/>
            <w:r>
              <w:rPr>
                <w:b/>
                <w:i w:val="0"/>
                <w:sz w:val="19"/>
              </w:rPr>
              <w:t>Các giải pháp phi tiêu chuẩn.</w:t>
            </w:r>
            <w:r>
              <w:rPr>
                <w:b w:val="0"/>
                <w:i w:val="0"/>
                <w:sz w:val="19"/>
              </w:rPr>
              <w:t xml:space="preserve"> Cần nỗ lực giảm thiểu các giải pháp phi tiêu chuẩn. Việc sử dụng các giải pháp phi tiêu chuẩn phải được sự phê duyệt của cấp quản lý phù hợp. </w:t>
            </w:r>
            <w:r>
              <w:rPr>
                <w:b/>
                <w:i w:val="0"/>
                <w:sz w:val="19"/>
              </w:rPr>
              <w:t>Tham khảo rủi ro: H-3, H-7, H-8</w:t>
            </w:r>
          </w:p>
        </w:tc>
      </w:tr>
      <w:tr>
        <w:tc>
          <w:tcPr>
            <w:tcW w:type="dxa" w:w="4680"/>
          </w:tcPr>
          <w:p>
            <w:r/>
            <w:r>
              <w:rPr>
                <w:b w:val="0"/>
                <w:i w:val="0"/>
                <w:sz w:val="19"/>
              </w:rPr>
              <w:t>4.8.8</w:t>
            </w:r>
          </w:p>
        </w:tc>
        <w:tc>
          <w:tcPr>
            <w:tcW w:type="dxa" w:w="4680"/>
          </w:tcPr>
          <w:p>
            <w:r/>
            <w:r>
              <w:rPr>
                <w:b/>
                <w:i w:val="0"/>
                <w:sz w:val="19"/>
              </w:rPr>
              <w:t>Quan hệ với nhà cung cấp.</w:t>
            </w:r>
            <w:r>
              <w:rPr>
                <w:b w:val="0"/>
                <w:i w:val="0"/>
                <w:sz w:val="19"/>
              </w:rPr>
              <w:t xml:space="preserve"> Cần lôi kéo nhà cung cấp tham gia càng sớm càng tốt trong quá trình. Theo dõi các thỏa thuận với nhà cung cấp về hợp tác, thưởng hoặc phạt liên quan đến chất lượng, chi phí và giao hàng đúng hạn. Cân nhắc các ưu đãi cho nhà cung cấp đề xuất giải pháp tối ưu. Về kiểm soát và rủi ro trong lựa chọn nhà cung cấp, tham khảo Mục 4.1 . </w:t>
            </w:r>
            <w:r>
              <w:rPr>
                <w:b/>
                <w:i w:val="0"/>
                <w:sz w:val="19"/>
              </w:rPr>
              <w:t>Tham khảo rủi ro: H-1, H-5, H-9</w:t>
            </w:r>
          </w:p>
        </w:tc>
      </w:tr>
      <w:tr>
        <w:tc>
          <w:tcPr>
            <w:tcW w:type="dxa" w:w="4680"/>
          </w:tcPr>
          <w:p>
            <w:r/>
            <w:r>
              <w:rPr>
                <w:b w:val="0"/>
                <w:i w:val="0"/>
                <w:sz w:val="19"/>
              </w:rPr>
              <w:t>4.8.9</w:t>
            </w:r>
          </w:p>
        </w:tc>
        <w:tc>
          <w:tcPr>
            <w:tcW w:type="dxa" w:w="4680"/>
          </w:tcPr>
          <w:p>
            <w:r/>
            <w:r>
              <w:rPr>
                <w:b/>
                <w:i w:val="0"/>
                <w:sz w:val="19"/>
              </w:rPr>
              <w:t>Kiểm thử.</w:t>
            </w:r>
            <w:r>
              <w:rPr>
                <w:b w:val="0"/>
                <w:i w:val="0"/>
                <w:sz w:val="19"/>
              </w:rPr>
              <w:t xml:space="preserve"> Cần thực hiện nhất quán các bài kiểm thử thiết kế, kiểm thử chất lượng và kiểm thử beta với khách hàng. Các quy trình tạo mẫu thử và kiểm thử cần được truyền đạt và tuân thủ. Trong phạm vi có thể, nên lôi kéo khách hàng tham gia càng sớm càng tốt trong quá trình. </w:t>
            </w:r>
            <w:r>
              <w:rPr>
                <w:b/>
                <w:i w:val="0"/>
                <w:sz w:val="19"/>
              </w:rPr>
              <w:t>Tham khảo rủi ro: H-1, H-7, H-9</w:t>
            </w:r>
          </w:p>
        </w:tc>
      </w:tr>
      <w:tr>
        <w:tc>
          <w:tcPr>
            <w:tcW w:type="dxa" w:w="4680"/>
          </w:tcPr>
          <w:p>
            <w:r/>
            <w:r>
              <w:rPr>
                <w:b w:val="0"/>
                <w:i w:val="0"/>
                <w:sz w:val="19"/>
              </w:rPr>
              <w:t>4.8.10</w:t>
            </w:r>
          </w:p>
        </w:tc>
        <w:tc>
          <w:tcPr>
            <w:tcW w:type="dxa" w:w="4680"/>
          </w:tcPr>
          <w:p>
            <w:r/>
            <w:r>
              <w:rPr>
                <w:b w:val="0"/>
                <w:i w:val="0"/>
                <w:sz w:val="19"/>
              </w:rPr>
              <w:t>Theo dõi và giám sát hiệu suất. Cần hoàn thành và đánh giá việc giám sát nhất quán hiệu suất trong tất cả các giai đoạn của dự án. Các khía cạnh cần được giám sát bao gồm, nhưng không giới hạn ở:</w:t>
            </w:r>
            <w:r>
              <w:br/>
            </w:r>
            <w:r>
              <w:rPr>
                <w:b w:val="0"/>
                <w:i w:val="0"/>
                <w:sz w:val="19"/>
              </w:rPr>
              <w:t>a. Tuân thủ nghiêm ngặt các kế hoạch thiết kế, kiểm thử và dự án, bao gồm sự tham gia của tất cả các thành viên trong nhóm</w:t>
            </w:r>
            <w:r>
              <w:br/>
            </w:r>
            <w:r>
              <w:rPr>
                <w:b w:val="0"/>
                <w:i w:val="0"/>
                <w:sz w:val="19"/>
              </w:rPr>
              <w:t>b. Thời gian chu kỳ</w:t>
            </w:r>
            <w:r>
              <w:br/>
            </w:r>
            <w:r>
              <w:rPr>
                <w:b w:val="0"/>
                <w:i w:val="0"/>
                <w:sz w:val="19"/>
              </w:rPr>
              <w:t>c. Các vấn đề do khách hàng báo cáo và so sánh với tiêu chuẩn ngành cũng như mục tiêu của công ty (cơ chế phản hồi từ khách hàng)</w:t>
            </w:r>
            <w:r>
              <w:br/>
            </w:r>
            <w:r>
              <w:rPr>
                <w:b w:val="0"/>
                <w:i w:val="0"/>
                <w:sz w:val="19"/>
              </w:rPr>
              <w:t>d. Chi phí phát triển và kiểm thử</w:t>
            </w:r>
            <w:r>
              <w:br/>
            </w:r>
            <w:r>
              <w:rPr>
                <w:b w:val="0"/>
                <w:i w:val="0"/>
                <w:sz w:val="19"/>
              </w:rPr>
              <w:t>e. Các hành động được thực hiện dựa trên phản hồi từ người tiêu dùng và đội ngũ sản xuất</w:t>
            </w:r>
            <w:r>
              <w:br/>
            </w:r>
            <w:r>
              <w:rPr>
                <w:b w:val="0"/>
                <w:i w:val="0"/>
                <w:sz w:val="19"/>
              </w:rPr>
              <w:t xml:space="preserve">f. Xu hướng lãi lỗ (P&amp;L) của dịch vụ và hỗ trợ khách hàng </w:t>
            </w:r>
            <w:r>
              <w:rPr>
                <w:b/>
                <w:i w:val="0"/>
                <w:sz w:val="19"/>
              </w:rPr>
              <w:t>Tham khảo rủi ro: H-1, H-2, H-3, H-6, H-7, H-8, H-9</w:t>
            </w:r>
          </w:p>
        </w:tc>
      </w:tr>
      <w:tr>
        <w:tc>
          <w:tcPr>
            <w:tcW w:type="dxa" w:w="4680"/>
          </w:tcPr>
          <w:p>
            <w:r/>
            <w:r>
              <w:rPr>
                <w:b w:val="0"/>
                <w:i w:val="0"/>
                <w:sz w:val="19"/>
              </w:rPr>
              <w:t>4.8.11</w:t>
            </w:r>
          </w:p>
        </w:tc>
        <w:tc>
          <w:tcPr>
            <w:tcW w:type="dxa" w:w="4680"/>
          </w:tcPr>
          <w:p>
            <w:r/>
            <w:r>
              <w:rPr>
                <w:b/>
                <w:i w:val="0"/>
                <w:sz w:val="19"/>
              </w:rPr>
              <w:t>Tài liệu hỗ trợ.</w:t>
            </w:r>
            <w:r>
              <w:rPr>
                <w:b w:val="0"/>
                <w:i w:val="0"/>
                <w:sz w:val="19"/>
              </w:rPr>
              <w:t xml:space="preserve"> Cần duy trì tài liệu về các thông số kỹ thuật, bản vẽ, bản vẽ của nhà cung cấp và các thông số kỹ thuật khác theo chính sách lưu trữ tài liệu của công ty. Các sửa đổi trong quá trình phát triển cần được ghi lại; khi các thay đổi được phê duyệt, tất cả các bản vẽ kỹ thuật cần được cập nhật. </w:t>
            </w:r>
            <w:r>
              <w:rPr>
                <w:b/>
                <w:i w:val="0"/>
                <w:sz w:val="19"/>
              </w:rPr>
              <w:t>Tham khảo rủi ro: H-6, H-9</w:t>
            </w:r>
          </w:p>
        </w:tc>
      </w:tr>
    </w:tbl>
    <w:p>
      <w:pPr>
        <w:spacing w:after="0"/>
      </w:pPr>
    </w:p>
    <w:p>
      <w:pPr>
        <w:pStyle w:val="Heading3"/>
      </w:pPr>
      <w:r>
        <w:rPr>
          <w:rFonts w:ascii="Calibri" w:hAnsi="Calibri"/>
          <w:b/>
          <w:i w:val="0"/>
          <w:sz w:val="26"/>
        </w:rPr>
        <w:t>Rủi ro nếu tiêu chuẩn không được áp dụng</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H-1</w:t>
            </w:r>
          </w:p>
        </w:tc>
        <w:tc>
          <w:tcPr>
            <w:tcW w:type="dxa" w:w="4680"/>
          </w:tcPr>
          <w:p>
            <w:r/>
            <w:r>
              <w:rPr>
                <w:b w:val="0"/>
                <w:i w:val="0"/>
                <w:sz w:val="19"/>
              </w:rPr>
              <w:t>Sản phẩm chất lượng không được thiết kế, phát triển và bán cho khách hàng.</w:t>
            </w:r>
          </w:p>
        </w:tc>
      </w:tr>
      <w:tr>
        <w:tc>
          <w:tcPr>
            <w:tcW w:type="dxa" w:w="4680"/>
          </w:tcPr>
          <w:p>
            <w:r/>
            <w:r>
              <w:rPr>
                <w:b w:val="0"/>
                <w:i w:val="0"/>
                <w:sz w:val="19"/>
              </w:rPr>
              <w:t>H-2</w:t>
            </w:r>
          </w:p>
        </w:tc>
        <w:tc>
          <w:tcPr>
            <w:tcW w:type="dxa" w:w="4680"/>
          </w:tcPr>
          <w:p>
            <w:r/>
            <w:r>
              <w:rPr>
                <w:b w:val="0"/>
                <w:i w:val="0"/>
                <w:sz w:val="19"/>
              </w:rPr>
              <w:t>Thời gian đưa ra thị trường không được rút ngắn. Thời gian xử lý quá dài. Thời gian phát triển kéo dài, dẫn đến việc sản phẩm lỗi thời được tung ra thị trường; đối thủ cạnh tranh nhanh chân hơn công ty.</w:t>
            </w:r>
          </w:p>
        </w:tc>
      </w:tr>
      <w:tr>
        <w:tc>
          <w:tcPr>
            <w:tcW w:type="dxa" w:w="4680"/>
          </w:tcPr>
          <w:p>
            <w:r/>
            <w:r>
              <w:rPr>
                <w:b w:val="0"/>
                <w:i w:val="0"/>
                <w:sz w:val="19"/>
              </w:rPr>
              <w:t>H-3</w:t>
            </w:r>
          </w:p>
        </w:tc>
        <w:tc>
          <w:tcPr>
            <w:tcW w:type="dxa" w:w="4680"/>
          </w:tcPr>
          <w:p>
            <w:r/>
            <w:r>
              <w:rPr>
                <w:b w:val="0"/>
                <w:i w:val="0"/>
                <w:sz w:val="19"/>
              </w:rPr>
              <w:t>Sản phẩm đắt hơn mức khách hàng sẵn sàng chi trả.</w:t>
            </w:r>
          </w:p>
        </w:tc>
      </w:tr>
      <w:tr>
        <w:tc>
          <w:tcPr>
            <w:tcW w:type="dxa" w:w="4680"/>
          </w:tcPr>
          <w:p>
            <w:r/>
            <w:r>
              <w:rPr>
                <w:b w:val="0"/>
                <w:i w:val="0"/>
                <w:sz w:val="19"/>
              </w:rPr>
              <w:t>H-4</w:t>
            </w:r>
          </w:p>
        </w:tc>
        <w:tc>
          <w:tcPr>
            <w:tcW w:type="dxa" w:w="4680"/>
          </w:tcPr>
          <w:p>
            <w:r/>
            <w:r>
              <w:rPr>
                <w:b w:val="0"/>
                <w:i w:val="0"/>
                <w:sz w:val="19"/>
              </w:rPr>
              <w:t>Mất tài sản trí tuệ.</w:t>
            </w:r>
          </w:p>
        </w:tc>
      </w:tr>
      <w:tr>
        <w:tc>
          <w:tcPr>
            <w:tcW w:type="dxa" w:w="4680"/>
          </w:tcPr>
          <w:p>
            <w:r/>
            <w:r>
              <w:rPr>
                <w:b w:val="0"/>
                <w:i w:val="0"/>
                <w:sz w:val="19"/>
              </w:rPr>
              <w:t>H-5</w:t>
            </w:r>
          </w:p>
        </w:tc>
        <w:tc>
          <w:tcPr>
            <w:tcW w:type="dxa" w:w="4680"/>
          </w:tcPr>
          <w:p>
            <w:r/>
            <w:r>
              <w:rPr>
                <w:b w:val="0"/>
                <w:i w:val="0"/>
                <w:sz w:val="19"/>
              </w:rPr>
              <w:t>Sản phẩm không đáp ứng các tiêu chí thiết kế.</w:t>
            </w:r>
          </w:p>
        </w:tc>
      </w:tr>
      <w:tr>
        <w:tc>
          <w:tcPr>
            <w:tcW w:type="dxa" w:w="4680"/>
          </w:tcPr>
          <w:p>
            <w:r/>
            <w:r>
              <w:rPr>
                <w:b w:val="0"/>
                <w:i w:val="0"/>
                <w:sz w:val="19"/>
              </w:rPr>
              <w:t>H-6</w:t>
            </w:r>
          </w:p>
        </w:tc>
        <w:tc>
          <w:tcPr>
            <w:tcW w:type="dxa" w:w="4680"/>
          </w:tcPr>
          <w:p>
            <w:r/>
            <w:r>
              <w:rPr>
                <w:b w:val="0"/>
                <w:i w:val="0"/>
                <w:sz w:val="19"/>
              </w:rPr>
              <w:t>Nhân sự không có đủ thông tin, công cụ, đào tạo và/hoặc kỹ năng để thực hiện các chức năng cần thiết.</w:t>
            </w:r>
          </w:p>
        </w:tc>
      </w:tr>
      <w:tr>
        <w:tc>
          <w:tcPr>
            <w:tcW w:type="dxa" w:w="4680"/>
          </w:tcPr>
          <w:p>
            <w:r/>
            <w:r>
              <w:rPr>
                <w:b w:val="0"/>
                <w:i w:val="0"/>
                <w:sz w:val="19"/>
              </w:rPr>
              <w:t>H-7</w:t>
            </w:r>
          </w:p>
        </w:tc>
        <w:tc>
          <w:tcPr>
            <w:tcW w:type="dxa" w:w="4680"/>
          </w:tcPr>
          <w:p>
            <w:r/>
            <w:r>
              <w:rPr>
                <w:b w:val="0"/>
                <w:i w:val="0"/>
                <w:sz w:val="19"/>
              </w:rPr>
              <w:t>Kỳ vọng của thị trường không được đáp ứng, dẫn đến khách hàng không hài lòng.</w:t>
            </w:r>
          </w:p>
        </w:tc>
      </w:tr>
      <w:tr>
        <w:tc>
          <w:tcPr>
            <w:tcW w:type="dxa" w:w="4680"/>
          </w:tcPr>
          <w:p>
            <w:r/>
            <w:r>
              <w:rPr>
                <w:b w:val="0"/>
                <w:i w:val="0"/>
                <w:sz w:val="19"/>
              </w:rPr>
              <w:t>H-8</w:t>
            </w:r>
          </w:p>
        </w:tc>
        <w:tc>
          <w:tcPr>
            <w:tcW w:type="dxa" w:w="4680"/>
          </w:tcPr>
          <w:p>
            <w:r/>
            <w:r>
              <w:rPr>
                <w:b w:val="0"/>
                <w:i w:val="0"/>
                <w:sz w:val="19"/>
              </w:rPr>
              <w:t>Sản phẩm không mang lại lợi nhuận cho tập đoàn.</w:t>
            </w:r>
          </w:p>
        </w:tc>
      </w:tr>
      <w:tr>
        <w:tc>
          <w:tcPr>
            <w:tcW w:type="dxa" w:w="4680"/>
          </w:tcPr>
          <w:p>
            <w:r/>
            <w:r>
              <w:rPr>
                <w:b w:val="0"/>
                <w:i w:val="0"/>
                <w:sz w:val="19"/>
              </w:rPr>
              <w:t>H-9</w:t>
            </w:r>
          </w:p>
        </w:tc>
        <w:tc>
          <w:tcPr>
            <w:tcW w:type="dxa" w:w="4680"/>
          </w:tcPr>
          <w:p>
            <w:r/>
            <w:r>
              <w:rPr>
                <w:b w:val="0"/>
                <w:i w:val="0"/>
                <w:sz w:val="19"/>
              </w:rPr>
              <w:t>Sản phẩm không thể được sản xuất theo đúng yêu cầu của đội thiết kế (tức là có thể cần phải mua các công cụ đặc biệt, đắt tiền hoặc tùy chỉnh để sản xuất sản phẩm).</w:t>
            </w:r>
          </w:p>
        </w:tc>
      </w:tr>
    </w:tbl>
    <w:p>
      <w:pPr>
        <w:spacing w:after="0"/>
      </w:pPr>
    </w:p>
    <w:p>
      <w:pPr>
        <w:pStyle w:val="Heading2"/>
      </w:pPr>
      <w:r>
        <w:rPr>
          <w:rFonts w:ascii="Calibri" w:hAnsi="Calibri"/>
          <w:b/>
          <w:i w:val="0"/>
          <w:sz w:val="32"/>
        </w:rPr>
        <w:t>4.9 THẺ MUA HÀNG (P-CARDS)</w:t>
      </w:r>
    </w:p>
    <w:p>
      <w:pPr>
        <w:pStyle w:val="Heading3"/>
      </w:pPr>
      <w:r>
        <w:rPr>
          <w:rFonts w:ascii="Calibri" w:hAnsi="Calibri"/>
          <w:b/>
          <w:i w:val="0"/>
          <w:sz w:val="26"/>
        </w:rPr>
        <w:t>Giới thiệu</w:t>
      </w:r>
    </w:p>
    <w:p>
      <w:pPr>
        <w:spacing w:after="80"/>
      </w:pPr>
      <w:r>
        <w:rPr>
          <w:b w:val="0"/>
          <w:i w:val="0"/>
        </w:rPr>
        <w:t>Theo Hiệp hội Chuyên nghiệp về Thẻ Thương mại và Ngành Thanh toán (NAPCP), P-Card cung cấp một phương tiện để tinh gọn quy trình từ mua hàng đến thanh toán (procure-to-pay), cho phép các tổ chức mua hàng hóa và dịch vụ một cách kịp thời, giảm chi phí giao dịch, theo dõi chi phí, tận dụng ưu đãi từ nhà cung cấp, giảm hoặc điều chuyển nhân sự ở bộ phận mua hàng và/hoặc bộ phận AP (Accounts Payable - Kế toán phải trả), giảm hoặc loại bỏ tiền mặt lặt vặt, v.v. Ban đầu, P-Card được nhắm đến các giao dịch giá trị thấp như vật tư và bảo trì, sửa chữa và vận hành (MRO), nơi việc sử dụng chúng giúp loại bỏ đơn đặt hàng và hóa đơn. Qua nhiều năm, việc sử dụng chúng đã mở rộng sang các giao dịch giá trị cao hơn khi ngành phát triển và nhiều biện pháp kiểm soát hơn được đưa vào.</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4.9.1</w:t>
            </w:r>
          </w:p>
        </w:tc>
        <w:tc>
          <w:tcPr>
            <w:tcW w:type="dxa" w:w="4680"/>
          </w:tcPr>
          <w:p>
            <w:r/>
            <w:r>
              <w:rPr>
                <w:b w:val="0"/>
                <w:i w:val="0"/>
                <w:sz w:val="19"/>
              </w:rPr>
              <w:t>SoD và Quyền Truy cập Hệ thống. Quyền truy cập vào khu vực phát hành thẻ và quyền truy cập hệ thống cho hoạt động P-Card được giới hạn cho nhân viên của tổ chức. Định kỳ hàng quý, bảng quyền truy cập hệ thống P-Card được xem xét. Bảng quyền truy cập được xem xét để đảm bảo rằng các thay đổi quyền truy cập hệ thống gần đây phát sinh từ việc thay đổi trách nhiệm công việc của nhân viên được phản ánh đúng đắn. Quản trị viên xem xét mức độ truy cập phù hợp dựa trên chức năng công việc và sự phân tách nhiệm vụ (segregation of duties) thích hợp trong tổ chức. Quản trị viên P-Card chỉ có quyền truy cập vào các báo cáo từ tổ chức tài chính. Chức năng xử lý và giải ngân các yêu cầu chi phí đi lại và tiếp khách phải được tách biệt khỏi các chức năng sau:</w:t>
            </w:r>
            <w:r>
              <w:br/>
            </w:r>
            <w:r>
              <w:rPr>
                <w:b w:val="0"/>
                <w:i w:val="0"/>
                <w:sz w:val="19"/>
              </w:rPr>
              <w:t>• Nhận hàng</w:t>
            </w:r>
            <w:r>
              <w:br/>
            </w:r>
            <w:r>
              <w:rPr>
                <w:b w:val="0"/>
                <w:i w:val="0"/>
                <w:sz w:val="19"/>
              </w:rPr>
              <w:t>• Mua hàng</w:t>
            </w:r>
            <w:r>
              <w:br/>
            </w:r>
            <w:r>
              <w:rPr>
                <w:b w:val="0"/>
                <w:i w:val="0"/>
                <w:sz w:val="19"/>
              </w:rPr>
              <w:t>• Xử lý hóa đơn AP</w:t>
            </w:r>
            <w:r>
              <w:br/>
            </w:r>
            <w:r>
              <w:rPr>
                <w:b w:val="0"/>
                <w:i w:val="0"/>
                <w:sz w:val="19"/>
              </w:rPr>
              <w:t>• Bảo trì hồ sơ nhà cung cấp</w:t>
            </w:r>
            <w:r>
              <w:br/>
            </w:r>
            <w:r>
              <w:rPr>
                <w:b w:val="0"/>
                <w:i w:val="0"/>
                <w:sz w:val="19"/>
              </w:rPr>
              <w:t>• Đối chiếu sổ cái chung</w:t>
            </w:r>
            <w:r>
              <w:br/>
            </w:r>
            <w:r>
              <w:rPr>
                <w:b w:val="0"/>
                <w:i w:val="0"/>
                <w:sz w:val="19"/>
              </w:rPr>
              <w:t xml:space="preserve">• Phê duyệt hóa đơn AP </w:t>
            </w:r>
            <w:r>
              <w:rPr>
                <w:b/>
                <w:i w:val="0"/>
                <w:sz w:val="19"/>
              </w:rPr>
              <w:t>Tham khảo rủi ro: I-1, I-2, I-3, I-4, I-5, 1-6</w:t>
            </w:r>
          </w:p>
        </w:tc>
      </w:tr>
      <w:tr>
        <w:tc>
          <w:tcPr>
            <w:tcW w:type="dxa" w:w="4680"/>
          </w:tcPr>
          <w:p>
            <w:r/>
            <w:r>
              <w:rPr>
                <w:b w:val="0"/>
                <w:i w:val="0"/>
                <w:sz w:val="19"/>
              </w:rPr>
              <w:t>4.9.2</w:t>
            </w:r>
          </w:p>
        </w:tc>
        <w:tc>
          <w:tcPr>
            <w:tcW w:type="dxa" w:w="4680"/>
          </w:tcPr>
          <w:p>
            <w:r/>
            <w:r>
              <w:rPr>
                <w:b/>
                <w:i w:val="0"/>
                <w:sz w:val="19"/>
              </w:rPr>
              <w:t>Sao kê của Chủ thẻ.</w:t>
            </w:r>
            <w:r>
              <w:rPr>
                <w:b w:val="0"/>
                <w:i w:val="0"/>
                <w:sz w:val="19"/>
              </w:rPr>
              <w:t xml:space="preserve"> Chủ thẻ nộp sao kê định kỳ kèm tài liệu hỗ trợ cho từng giao dịch theo chính sách và quy trình P-Card cho Quản trị viên P-Card. </w:t>
            </w:r>
            <w:r>
              <w:rPr>
                <w:b/>
                <w:i w:val="0"/>
                <w:sz w:val="19"/>
              </w:rPr>
              <w:t>Tham khảo rủi ro: I-1, I-2, I-3, I-4, I-5, 1-6</w:t>
            </w:r>
          </w:p>
        </w:tc>
      </w:tr>
      <w:tr>
        <w:tc>
          <w:tcPr>
            <w:tcW w:type="dxa" w:w="4680"/>
          </w:tcPr>
          <w:p>
            <w:r/>
            <w:r>
              <w:rPr>
                <w:b w:val="0"/>
                <w:i w:val="0"/>
                <w:sz w:val="19"/>
              </w:rPr>
              <w:t>4.9.3</w:t>
            </w:r>
          </w:p>
        </w:tc>
        <w:tc>
          <w:tcPr>
            <w:tcW w:type="dxa" w:w="4680"/>
          </w:tcPr>
          <w:p>
            <w:r/>
            <w:r>
              <w:rPr>
                <w:b/>
                <w:i w:val="0"/>
                <w:sz w:val="19"/>
              </w:rPr>
              <w:t>Trách nhiệm của Ban Quản lý.</w:t>
            </w:r>
            <w:r>
              <w:rPr>
                <w:b w:val="0"/>
                <w:i w:val="0"/>
                <w:sz w:val="19"/>
              </w:rPr>
              <w:t xml:space="preserve"> Ban quản lý có Thẩm quyền Ủy nhiệm (Delegation of Authority - DoA) chịu trách nhiệm kiểm tra 100% sao kê của chủ thẻ và tài liệu/biên lai hỗ trợ. Cần có chữ ký phê duyệt của Ban quản lý DoA trên sao kê của chủ thẻ (DoA áp dụng cho từng giao dịch trên sao kê, không phải tổng số tiền trên sao kê). </w:t>
            </w:r>
            <w:r>
              <w:rPr>
                <w:b/>
                <w:i w:val="0"/>
                <w:sz w:val="19"/>
              </w:rPr>
              <w:t>Tham khảo rủi ro: I-1, I-2, I-3, I-4, I-5, 1-6</w:t>
            </w:r>
          </w:p>
        </w:tc>
      </w:tr>
      <w:tr>
        <w:tc>
          <w:tcPr>
            <w:tcW w:type="dxa" w:w="4680"/>
          </w:tcPr>
          <w:p>
            <w:r/>
            <w:r>
              <w:rPr>
                <w:b w:val="0"/>
                <w:i w:val="0"/>
                <w:sz w:val="19"/>
              </w:rPr>
              <w:t>4.9.4</w:t>
            </w:r>
          </w:p>
        </w:tc>
        <w:tc>
          <w:tcPr>
            <w:tcW w:type="dxa" w:w="4680"/>
          </w:tcPr>
          <w:p>
            <w:r/>
            <w:r>
              <w:rPr>
                <w:b/>
                <w:i w:val="0"/>
                <w:sz w:val="19"/>
              </w:rPr>
              <w:t>Xem xét Hoạt động Chi tiêu.</w:t>
            </w:r>
            <w:r>
              <w:rPr>
                <w:b w:val="0"/>
                <w:i w:val="0"/>
                <w:sz w:val="19"/>
              </w:rPr>
              <w:t xml:space="preserve"> Việc xem xét hoạt động chi tiêu trên thẻ tín dụng được thực hiện thông qua một hệ thống ghi nhận và báo cáo trực tuyến. </w:t>
            </w:r>
            <w:r>
              <w:rPr>
                <w:b/>
                <w:i w:val="0"/>
                <w:sz w:val="19"/>
              </w:rPr>
              <w:t>Tham khảo rủi ro: I-1, I-2, I-3, I-4, I-5, 1-6</w:t>
            </w:r>
          </w:p>
        </w:tc>
      </w:tr>
      <w:tr>
        <w:tc>
          <w:tcPr>
            <w:tcW w:type="dxa" w:w="4680"/>
          </w:tcPr>
          <w:p>
            <w:r/>
            <w:r>
              <w:rPr>
                <w:b w:val="0"/>
                <w:i w:val="0"/>
                <w:sz w:val="19"/>
              </w:rPr>
              <w:t>4.9.5</w:t>
            </w:r>
          </w:p>
        </w:tc>
        <w:tc>
          <w:tcPr>
            <w:tcW w:type="dxa" w:w="4680"/>
          </w:tcPr>
          <w:p>
            <w:r/>
            <w:r>
              <w:rPr>
                <w:b w:val="0"/>
                <w:i w:val="0"/>
                <w:sz w:val="19"/>
              </w:rPr>
              <w:t>Quy trình xem xét bảng sao kê. Mỗi bảng sao kê đều được xem xét ngay khi nhận được:</w:t>
            </w:r>
            <w:r>
              <w:br/>
            </w:r>
            <w:r>
              <w:rPr>
                <w:b w:val="0"/>
                <w:i w:val="0"/>
                <w:sz w:val="19"/>
              </w:rPr>
              <w:t>• Đóng dấu ngày với ngày nhận tại A/P</w:t>
            </w:r>
            <w:r>
              <w:br/>
            </w:r>
            <w:r>
              <w:rPr>
                <w:b w:val="0"/>
                <w:i w:val="0"/>
                <w:sz w:val="19"/>
              </w:rPr>
              <w:t xml:space="preserve">• Xác minh thẩm quyền ủy quyền (Delegation of Authority - DoA) phù hợp của ban quản lý </w:t>
            </w:r>
            <w:r>
              <w:rPr>
                <w:b/>
                <w:i w:val="0"/>
                <w:sz w:val="19"/>
              </w:rPr>
              <w:t>Tham chiếu rủi ro: I-1, I-2, I-3, I-4, I-5, 1-6</w:t>
            </w:r>
          </w:p>
        </w:tc>
      </w:tr>
      <w:tr>
        <w:tc>
          <w:tcPr>
            <w:tcW w:type="dxa" w:w="4680"/>
          </w:tcPr>
          <w:p>
            <w:r/>
            <w:r>
              <w:rPr>
                <w:b w:val="0"/>
                <w:i w:val="0"/>
                <w:sz w:val="19"/>
              </w:rPr>
              <w:t>4.9.6</w:t>
            </w:r>
          </w:p>
        </w:tc>
        <w:tc>
          <w:tcPr>
            <w:tcW w:type="dxa" w:w="4680"/>
          </w:tcPr>
          <w:p>
            <w:r/>
            <w:r>
              <w:rPr>
                <w:b w:val="0"/>
                <w:i w:val="0"/>
                <w:sz w:val="19"/>
              </w:rPr>
              <w:t>Theo dõi bảng sao kê. Quản trị viên P-Card theo dõi bảng sao kê trên nhật ký kiểm toán P-Card:</w:t>
            </w:r>
            <w:r>
              <w:br/>
            </w:r>
            <w:r>
              <w:rPr>
                <w:b w:val="0"/>
                <w:i w:val="0"/>
                <w:sz w:val="19"/>
              </w:rPr>
              <w:t>• Dùng để giám sát việc nộp bảng sao kê.</w:t>
            </w:r>
            <w:r>
              <w:br/>
            </w:r>
            <w:r>
              <w:rPr>
                <w:b w:val="0"/>
                <w:i w:val="0"/>
                <w:sz w:val="19"/>
              </w:rPr>
              <w:t>• Theo dõi các bảng sao kê còn tồn đọng.</w:t>
            </w:r>
            <w:r>
              <w:br/>
            </w:r>
            <w:r>
              <w:rPr>
                <w:b w:val="0"/>
                <w:i w:val="0"/>
                <w:sz w:val="19"/>
              </w:rPr>
              <w:t xml:space="preserve">• Ghi lại hoạt động kiểm toán. </w:t>
            </w:r>
            <w:r>
              <w:rPr>
                <w:b/>
                <w:i w:val="0"/>
                <w:sz w:val="19"/>
              </w:rPr>
              <w:t>Tham chiếu rủi ro: I-1, I-2, I-3, I-4, I-5, 1-6</w:t>
            </w:r>
          </w:p>
        </w:tc>
      </w:tr>
      <w:tr>
        <w:tc>
          <w:tcPr>
            <w:tcW w:type="dxa" w:w="4680"/>
          </w:tcPr>
          <w:p>
            <w:r/>
            <w:r>
              <w:rPr>
                <w:b w:val="0"/>
                <w:i w:val="0"/>
                <w:sz w:val="19"/>
              </w:rPr>
              <w:t>4.9.7</w:t>
            </w:r>
          </w:p>
        </w:tc>
        <w:tc>
          <w:tcPr>
            <w:tcW w:type="dxa" w:w="4680"/>
          </w:tcPr>
          <w:p>
            <w:r/>
            <w:r>
              <w:rPr>
                <w:b w:val="0"/>
                <w:i w:val="0"/>
                <w:sz w:val="19"/>
              </w:rPr>
              <w:t>Quy trình kiểm toán ngẫu nhiên P-Card. Tối thiểu 10% bảng sao kê, với trung bình 20% đến 30% bảng sao kê ngẫu nhiên, phải được kiểm toán không theo định kỳ để xem xét những điều sau:</w:t>
            </w:r>
            <w:r>
              <w:br/>
            </w:r>
            <w:r>
              <w:rPr>
                <w:b w:val="0"/>
                <w:i w:val="0"/>
                <w:sz w:val="19"/>
              </w:rPr>
              <w:t>• Xem xét nhà cung cấp—tính phù hợp của giao dịch mua</w:t>
            </w:r>
            <w:r>
              <w:br/>
            </w:r>
            <w:r>
              <w:rPr>
                <w:b w:val="0"/>
                <w:i w:val="0"/>
                <w:sz w:val="19"/>
              </w:rPr>
              <w:t>• Lạm dụng thẻ—mua sắm cá nhân</w:t>
            </w:r>
            <w:r>
              <w:br/>
            </w:r>
            <w:r>
              <w:rPr>
                <w:b w:val="0"/>
                <w:i w:val="0"/>
                <w:sz w:val="19"/>
              </w:rPr>
              <w:t xml:space="preserve">• Biện minh cho các giao dịch mua bất thường và phê duyệt trước nếu có </w:t>
            </w:r>
            <w:r>
              <w:rPr>
                <w:b/>
                <w:i w:val="0"/>
                <w:sz w:val="19"/>
              </w:rPr>
              <w:t>Tham chiếu rủi ro: I-1, I-2, I-3, I-4, I-5, 1-6</w:t>
            </w:r>
          </w:p>
        </w:tc>
      </w:tr>
      <w:tr>
        <w:tc>
          <w:tcPr>
            <w:tcW w:type="dxa" w:w="4680"/>
          </w:tcPr>
          <w:p>
            <w:r/>
            <w:r>
              <w:rPr>
                <w:b w:val="0"/>
                <w:i w:val="0"/>
                <w:sz w:val="19"/>
              </w:rPr>
              <w:t>4.9.8</w:t>
            </w:r>
          </w:p>
        </w:tc>
        <w:tc>
          <w:tcPr>
            <w:tcW w:type="dxa" w:w="4680"/>
          </w:tcPr>
          <w:p>
            <w:r/>
            <w:r>
              <w:rPr>
                <w:b w:val="0"/>
                <w:i w:val="0"/>
                <w:sz w:val="19"/>
              </w:rPr>
              <w:t>Kiểm toán có mục tiêu P-Card (ngoài kiểm toán ngẫu nhiên). Cụ thể theo chủ thẻ và/hoặc chi tiêu theo tài khoản đối tượng, kiểm toán nên bao gồm những điều sau:</w:t>
            </w:r>
            <w:r>
              <w:br/>
            </w:r>
            <w:r>
              <w:rPr>
                <w:b w:val="0"/>
                <w:i w:val="0"/>
                <w:sz w:val="19"/>
              </w:rPr>
              <w:t>• Dữ liệu chi tiêu của nhà cung cấp ưu tiên đối với văn phòng phẩm</w:t>
            </w:r>
            <w:r>
              <w:br/>
            </w:r>
            <w:r>
              <w:rPr>
                <w:b w:val="0"/>
                <w:i w:val="0"/>
                <w:sz w:val="19"/>
              </w:rPr>
              <w:t>• Đóng góp từ thiện</w:t>
            </w:r>
            <w:r>
              <w:br/>
            </w:r>
            <w:r>
              <w:rPr>
                <w:b w:val="0"/>
                <w:i w:val="0"/>
                <w:sz w:val="19"/>
              </w:rPr>
              <w:t>• Xem xét 100% bảng sao kê đối với chi tiêu bán lẻ hoặc nhà hàng để xác định lạm dụng hoặc giao dịch mua bất thường</w:t>
            </w:r>
            <w:r>
              <w:br/>
            </w:r>
            <w:r>
              <w:rPr>
                <w:b w:val="0"/>
                <w:i w:val="0"/>
                <w:sz w:val="19"/>
              </w:rPr>
              <w:t xml:space="preserve">• Báo cáo từ công cụ báo cáo trực tuyến của thẻ tín dụng để hỗ trợ kiểm toán và xem xét hoạt động chi tiêu </w:t>
            </w:r>
            <w:r>
              <w:rPr>
                <w:b/>
                <w:i w:val="0"/>
                <w:sz w:val="19"/>
              </w:rPr>
              <w:t>Tham chiếu rủi ro: I-1, I-2, I-3, I-4, I-5, 1-6</w:t>
            </w:r>
          </w:p>
        </w:tc>
      </w:tr>
      <w:tr>
        <w:tc>
          <w:tcPr>
            <w:tcW w:type="dxa" w:w="4680"/>
          </w:tcPr>
          <w:p>
            <w:r/>
            <w:r>
              <w:rPr>
                <w:b w:val="0"/>
                <w:i w:val="0"/>
                <w:sz w:val="19"/>
              </w:rPr>
              <w:t>4.9.9</w:t>
            </w:r>
          </w:p>
        </w:tc>
        <w:tc>
          <w:tcPr>
            <w:tcW w:type="dxa" w:w="4680"/>
          </w:tcPr>
          <w:p>
            <w:r/>
            <w:r>
              <w:rPr>
                <w:b/>
                <w:i w:val="0"/>
                <w:sz w:val="19"/>
              </w:rPr>
              <w:t>Giám sát kiểm soát P-Card.</w:t>
            </w:r>
            <w:r>
              <w:rPr>
                <w:b w:val="0"/>
                <w:i w:val="0"/>
                <w:sz w:val="19"/>
              </w:rPr>
              <w:t xml:space="preserve"> Giám sát nhật ký theo dõi kiểm toán P-Card giám sát việc theo dõi và kiểm toán do quản trị viên chương trình thực hiện. </w:t>
            </w:r>
            <w:r>
              <w:rPr>
                <w:b/>
                <w:i w:val="0"/>
                <w:sz w:val="19"/>
              </w:rPr>
              <w:t>Tham chiếu rủi ro: I-1, I-2, I-3, I-4, I-5, 1-6</w:t>
            </w:r>
          </w:p>
        </w:tc>
      </w:tr>
      <w:tr>
        <w:tc>
          <w:tcPr>
            <w:tcW w:type="dxa" w:w="4680"/>
          </w:tcPr>
          <w:p>
            <w:r/>
            <w:r>
              <w:rPr>
                <w:b w:val="0"/>
                <w:i w:val="0"/>
                <w:sz w:val="19"/>
              </w:rPr>
              <w:t>4.9.10</w:t>
            </w:r>
          </w:p>
        </w:tc>
        <w:tc>
          <w:tcPr>
            <w:tcW w:type="dxa" w:w="4680"/>
          </w:tcPr>
          <w:p>
            <w:r/>
            <w:r>
              <w:rPr>
                <w:b/>
                <w:i w:val="0"/>
                <w:sz w:val="19"/>
              </w:rPr>
              <w:t>Báo cáo mức chi tiêu.</w:t>
            </w:r>
            <w:r>
              <w:rPr>
                <w:b w:val="0"/>
                <w:i w:val="0"/>
                <w:sz w:val="19"/>
              </w:rPr>
              <w:t xml:space="preserve"> Ví dụ, một công ty có thể nhận được báo cáo trên 15K phản ánh bất kỳ giao dịch riêng lẻ nào trên 15K, báo cáo này nên được xem xét để đảm bảo rằng các mức phê duyệt là chính xác. Xem xét chi tiêu P-Card thông qua các quy trình báo cáo và số liệu. </w:t>
            </w:r>
            <w:r>
              <w:rPr>
                <w:b/>
                <w:i w:val="0"/>
                <w:sz w:val="19"/>
              </w:rPr>
              <w:t>Tham chiếu rủi ro: I-1, I-2, I-3, I-4, I-5, 1-6</w:t>
            </w:r>
          </w:p>
        </w:tc>
      </w:tr>
      <w:tr>
        <w:tc>
          <w:tcPr>
            <w:tcW w:type="dxa" w:w="4680"/>
          </w:tcPr>
          <w:p>
            <w:r/>
            <w:r>
              <w:rPr>
                <w:b w:val="0"/>
                <w:i w:val="0"/>
                <w:sz w:val="19"/>
              </w:rPr>
              <w:t>4.9.11</w:t>
            </w:r>
          </w:p>
        </w:tc>
        <w:tc>
          <w:tcPr>
            <w:tcW w:type="dxa" w:w="4680"/>
          </w:tcPr>
          <w:p>
            <w:r/>
            <w:r>
              <w:rPr>
                <w:b/>
                <w:i w:val="0"/>
                <w:sz w:val="19"/>
              </w:rPr>
              <w:t>Thay đổi hạn mức chi tiêu.</w:t>
            </w:r>
            <w:r>
              <w:rPr>
                <w:b w:val="0"/>
                <w:i w:val="0"/>
                <w:sz w:val="19"/>
              </w:rPr>
              <w:t xml:space="preserve"> Bất kỳ bảng tính hoặc tài liệu hỗ trợ thay đổi tạm thời hay vĩnh viễn nào đều phải được ban quản lý có DoA phê duyệt kèm theo lý do tăng hạn mức. </w:t>
            </w:r>
            <w:r>
              <w:rPr>
                <w:b/>
                <w:i w:val="0"/>
                <w:sz w:val="19"/>
              </w:rPr>
              <w:t>Tham chiếu rủi ro: I-1, I-2, I-3, I-4, I-5, 1-6</w:t>
            </w:r>
          </w:p>
        </w:tc>
      </w:tr>
      <w:tr>
        <w:tc>
          <w:tcPr>
            <w:tcW w:type="dxa" w:w="4680"/>
          </w:tcPr>
          <w:p>
            <w:r/>
            <w:r>
              <w:rPr>
                <w:b w:val="0"/>
                <w:i w:val="0"/>
                <w:sz w:val="19"/>
              </w:rPr>
              <w:t>4.9.12</w:t>
            </w:r>
          </w:p>
        </w:tc>
        <w:tc>
          <w:tcPr>
            <w:tcW w:type="dxa" w:w="4680"/>
          </w:tcPr>
          <w:p>
            <w:r/>
            <w:r>
              <w:rPr>
                <w:b/>
                <w:i w:val="0"/>
                <w:sz w:val="19"/>
              </w:rPr>
              <w:t>Báo cáo chi tiết giao dịch.</w:t>
            </w:r>
            <w:r>
              <w:rPr>
                <w:b w:val="0"/>
                <w:i w:val="0"/>
                <w:sz w:val="19"/>
              </w:rPr>
              <w:t xml:space="preserve"> Xem xét khối lượng giao dịch theo địa điểm để tìm bất kỳ mô hình chi tiêu bất thường nào. </w:t>
            </w:r>
            <w:r>
              <w:rPr>
                <w:b/>
                <w:i w:val="0"/>
                <w:sz w:val="19"/>
              </w:rPr>
              <w:t>Tham chiếu rủi ro: I-1, I-2, I-3, I-4, I-5, 1-6</w:t>
            </w:r>
          </w:p>
        </w:tc>
      </w:tr>
      <w:tr>
        <w:tc>
          <w:tcPr>
            <w:tcW w:type="dxa" w:w="4680"/>
          </w:tcPr>
          <w:p>
            <w:r/>
            <w:r>
              <w:rPr>
                <w:b w:val="0"/>
                <w:i w:val="0"/>
                <w:sz w:val="19"/>
              </w:rPr>
              <w:t>4.9.13</w:t>
            </w:r>
          </w:p>
        </w:tc>
        <w:tc>
          <w:tcPr>
            <w:tcW w:type="dxa" w:w="4680"/>
          </w:tcPr>
          <w:p>
            <w:r/>
            <w:r>
              <w:rPr>
                <w:b/>
                <w:i w:val="0"/>
                <w:sz w:val="19"/>
              </w:rPr>
              <w:t>Kiểm soát nhà cung cấp.</w:t>
            </w:r>
            <w:r>
              <w:rPr>
                <w:b w:val="0"/>
                <w:i w:val="0"/>
                <w:sz w:val="19"/>
              </w:rPr>
              <w:t xml:space="preserve"> Chặn nhà cung cấp lập chứng từ thanh toán cho nhà cung cấp P-Card. Nhà cung cấp P-Card cũng không thể được thanh toán bằng séc hoặc thanh toán ACH. </w:t>
            </w:r>
            <w:r>
              <w:rPr>
                <w:b/>
                <w:i w:val="0"/>
                <w:sz w:val="19"/>
              </w:rPr>
              <w:t>Tham chiếu rủi ro: I-1, I-2, I-3, I-4, I-5, 1-6</w:t>
            </w:r>
          </w:p>
        </w:tc>
      </w:tr>
      <w:tr>
        <w:tc>
          <w:tcPr>
            <w:tcW w:type="dxa" w:w="4680"/>
          </w:tcPr>
          <w:p>
            <w:r/>
            <w:r>
              <w:rPr>
                <w:b w:val="0"/>
                <w:i w:val="0"/>
                <w:sz w:val="19"/>
              </w:rPr>
              <w:t>4.9.14</w:t>
            </w:r>
          </w:p>
        </w:tc>
        <w:tc>
          <w:tcPr>
            <w:tcW w:type="dxa" w:w="4680"/>
          </w:tcPr>
          <w:p>
            <w:r/>
            <w:r>
              <w:rPr>
                <w:b/>
                <w:i w:val="0"/>
                <w:sz w:val="19"/>
              </w:rPr>
              <w:t>Xem xét quản lý P-Card.</w:t>
            </w:r>
            <w:r>
              <w:rPr>
                <w:b w:val="0"/>
                <w:i w:val="0"/>
                <w:sz w:val="19"/>
              </w:rPr>
              <w:t xml:space="preserve"> Xác minh 100% bảng sao kê P-Card của A/P có tài liệu hỗ trợ và phê duyệt DoA trên tài liệu hỗ trợ. </w:t>
            </w:r>
            <w:r>
              <w:rPr>
                <w:b/>
                <w:i w:val="0"/>
                <w:sz w:val="19"/>
              </w:rPr>
              <w:t>Tham chiếu rủi ro: I-1, I-2, I-3, I-4, I-5, 1-6</w:t>
            </w:r>
          </w:p>
        </w:tc>
      </w:tr>
      <w:tr>
        <w:tc>
          <w:tcPr>
            <w:tcW w:type="dxa" w:w="4680"/>
          </w:tcPr>
          <w:p>
            <w:r/>
            <w:r>
              <w:rPr>
                <w:b w:val="0"/>
                <w:i w:val="0"/>
                <w:sz w:val="19"/>
              </w:rPr>
              <w:t>4.9.15</w:t>
            </w:r>
          </w:p>
        </w:tc>
        <w:tc>
          <w:tcPr>
            <w:tcW w:type="dxa" w:w="4680"/>
          </w:tcPr>
          <w:p>
            <w:r/>
            <w:r>
              <w:rPr>
                <w:b/>
                <w:i w:val="0"/>
                <w:sz w:val="19"/>
              </w:rPr>
              <w:t>Xác minh thanh toán ngân hàng.</w:t>
            </w:r>
            <w:r>
              <w:rPr>
                <w:b w:val="0"/>
                <w:i w:val="0"/>
                <w:sz w:val="19"/>
              </w:rPr>
              <w:t xml:space="preserve"> Luồng dữ liệu tệp được Quản trị viên P-Card đối chiếu với bảng sao kê từ ngân hàng phát hành. </w:t>
            </w:r>
            <w:r>
              <w:rPr>
                <w:b/>
                <w:i w:val="0"/>
                <w:sz w:val="19"/>
              </w:rPr>
              <w:t>Tham chiếu rủi ro: I-1, I-2, I-3, I-4, I-5, 1-6</w:t>
            </w:r>
          </w:p>
        </w:tc>
      </w:tr>
      <w:tr>
        <w:tc>
          <w:tcPr>
            <w:tcW w:type="dxa" w:w="4680"/>
          </w:tcPr>
          <w:p>
            <w:r/>
            <w:r>
              <w:rPr>
                <w:b w:val="0"/>
                <w:i w:val="0"/>
                <w:sz w:val="19"/>
              </w:rPr>
              <w:t>4.9.16</w:t>
            </w:r>
          </w:p>
        </w:tc>
        <w:tc>
          <w:tcPr>
            <w:tcW w:type="dxa" w:w="4680"/>
          </w:tcPr>
          <w:p>
            <w:r/>
            <w:r>
              <w:rPr>
                <w:b/>
                <w:i w:val="0"/>
                <w:sz w:val="19"/>
              </w:rPr>
              <w:t>Trích trước P-Card.</w:t>
            </w:r>
            <w:r>
              <w:rPr>
                <w:b w:val="0"/>
                <w:i w:val="0"/>
                <w:sz w:val="19"/>
              </w:rPr>
              <w:t xml:space="preserve"> Xem xét và phân tích mọi hoạt động trích trước đã phát sinh nhưng chưa được đưa vào kỳ cắt chu kỳ của tệp tháng hiện tại. </w:t>
            </w:r>
            <w:r>
              <w:rPr>
                <w:b/>
                <w:i w:val="0"/>
                <w:sz w:val="19"/>
              </w:rPr>
              <w:t>Tham chiếu rủi ro: I-1, I-2, I-3, I-4, I-5, 1-6</w:t>
            </w:r>
          </w:p>
        </w:tc>
      </w:tr>
      <w:tr>
        <w:tc>
          <w:tcPr>
            <w:tcW w:type="dxa" w:w="4680"/>
          </w:tcPr>
          <w:p>
            <w:r/>
            <w:r>
              <w:rPr>
                <w:b w:val="0"/>
                <w:i w:val="0"/>
                <w:sz w:val="19"/>
              </w:rPr>
              <w:t>4.9.17</w:t>
            </w:r>
          </w:p>
        </w:tc>
        <w:tc>
          <w:tcPr>
            <w:tcW w:type="dxa" w:w="4680"/>
          </w:tcPr>
          <w:p>
            <w:r/>
            <w:r>
              <w:rPr>
                <w:b/>
                <w:i w:val="0"/>
                <w:sz w:val="19"/>
              </w:rPr>
              <w:t>Xem xét danh sách chủ thẻ.</w:t>
            </w:r>
            <w:r>
              <w:rPr>
                <w:b w:val="0"/>
                <w:i w:val="0"/>
                <w:sz w:val="19"/>
              </w:rPr>
              <w:t xml:space="preserve"> Thực hiện xem xét danh sách chủ thẻ và hạn mức chi tiêu để đánh giá lại hạn mức và/hoặc nhu cầu kinh doanh đối với thẻ. </w:t>
            </w:r>
            <w:r>
              <w:rPr>
                <w:b/>
                <w:i w:val="0"/>
                <w:sz w:val="19"/>
              </w:rPr>
              <w:t>Tham chiếu rủi ro: I-1, I-2, I-3, I-4, I-5, 1-6</w:t>
            </w:r>
          </w:p>
        </w:tc>
      </w:tr>
      <w:tr>
        <w:tc>
          <w:tcPr>
            <w:tcW w:type="dxa" w:w="4680"/>
          </w:tcPr>
          <w:p>
            <w:r/>
            <w:r>
              <w:rPr>
                <w:b w:val="0"/>
                <w:i w:val="0"/>
                <w:sz w:val="19"/>
              </w:rPr>
              <w:t>4.9.18</w:t>
            </w:r>
          </w:p>
        </w:tc>
        <w:tc>
          <w:tcPr>
            <w:tcW w:type="dxa" w:w="4680"/>
          </w:tcPr>
          <w:p>
            <w:r/>
            <w:r>
              <w:rPr>
                <w:b/>
                <w:i w:val="0"/>
                <w:sz w:val="19"/>
              </w:rPr>
              <w:t>Thỏa thuận chủ thẻ P-Card.</w:t>
            </w:r>
            <w:r>
              <w:rPr>
                <w:b w:val="0"/>
                <w:i w:val="0"/>
                <w:sz w:val="19"/>
              </w:rPr>
              <w:t xml:space="preserve"> Đảm bảo rằng tất cả chủ thẻ P-Card và quản lý của họ đã ký thỏa thuận chủ thẻ quy định các yêu cầu sử dụng thẻ và xác định rõ trách nhiệm của nhân viên và quản lý. Thỏa thuận chủ thẻ cũng nên xác định và quy định rõ hậu quả của cả việc lạm dụng và sử dụng sai thẻ. </w:t>
            </w:r>
            <w:r>
              <w:rPr>
                <w:b/>
                <w:i w:val="0"/>
                <w:sz w:val="19"/>
              </w:rPr>
              <w:t>Tham chiếu rủi ro: I-1, I-2, I-3, I-4, I-5, 1-6</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I-1</w:t>
            </w:r>
          </w:p>
        </w:tc>
        <w:tc>
          <w:tcPr>
            <w:tcW w:type="dxa" w:w="4680"/>
          </w:tcPr>
          <w:p>
            <w:r/>
            <w:r>
              <w:rPr>
                <w:b w:val="0"/>
                <w:i w:val="0"/>
                <w:sz w:val="19"/>
              </w:rPr>
              <w:t>Phân tách nhiệm vụ (SoD) và quyền truy cập hệ thống không phù hợp. Việc thiếu phân tách nhiệm vụ tốt và kiểm soát quyền truy cập hệ thống có thể dẫn đến thanh toán và dữ liệu kế toán không chính xác. Các khoản thanh toán không chính xác có thể không bị phát hiện trong thời gian dài, và các khoản thanh toán quá cao có thể không thể thu hồi được.</w:t>
            </w:r>
          </w:p>
        </w:tc>
      </w:tr>
      <w:tr>
        <w:tc>
          <w:tcPr>
            <w:tcW w:type="dxa" w:w="4680"/>
          </w:tcPr>
          <w:p>
            <w:r/>
            <w:r>
              <w:rPr>
                <w:b w:val="0"/>
                <w:i w:val="0"/>
                <w:sz w:val="19"/>
              </w:rPr>
              <w:t>I-2</w:t>
            </w:r>
          </w:p>
        </w:tc>
        <w:tc>
          <w:tcPr>
            <w:tcW w:type="dxa" w:w="4680"/>
          </w:tcPr>
          <w:p>
            <w:r/>
            <w:r>
              <w:rPr>
                <w:b w:val="0"/>
                <w:i w:val="0"/>
                <w:sz w:val="19"/>
              </w:rPr>
              <w:t>Vi phạm chính sách P-Card. Các chính sách có thể bị vi phạm, dẫn đến thanh toán trùng lặp, sai sót hoặc gian lận cho nhà cung cấp.</w:t>
            </w:r>
          </w:p>
        </w:tc>
      </w:tr>
      <w:tr>
        <w:tc>
          <w:tcPr>
            <w:tcW w:type="dxa" w:w="4680"/>
          </w:tcPr>
          <w:p>
            <w:r/>
            <w:r>
              <w:rPr>
                <w:b w:val="0"/>
                <w:i w:val="0"/>
                <w:sz w:val="19"/>
              </w:rPr>
              <w:t>I-3</w:t>
            </w:r>
          </w:p>
        </w:tc>
        <w:tc>
          <w:tcPr>
            <w:tcW w:type="dxa" w:w="4680"/>
          </w:tcPr>
          <w:p>
            <w:r/>
            <w:r>
              <w:rPr>
                <w:b w:val="0"/>
                <w:i w:val="0"/>
                <w:sz w:val="19"/>
              </w:rPr>
              <w:t>Khả năng hiển thị kém hoặc lỗi trong quá trình xem xét. Việc thiếu quy trình xem xét kịp thời có thể khiến các lỗi không bị phát hiện và dẫn đến các khoản thanh toán không chính xác.</w:t>
            </w:r>
          </w:p>
        </w:tc>
      </w:tr>
      <w:tr>
        <w:tc>
          <w:tcPr>
            <w:tcW w:type="dxa" w:w="4680"/>
          </w:tcPr>
          <w:p>
            <w:r/>
            <w:r>
              <w:rPr>
                <w:b w:val="0"/>
                <w:i w:val="0"/>
                <w:sz w:val="19"/>
              </w:rPr>
              <w:t>I-4</w:t>
            </w:r>
          </w:p>
        </w:tc>
        <w:tc>
          <w:tcPr>
            <w:tcW w:type="dxa" w:w="4680"/>
          </w:tcPr>
          <w:p>
            <w:r/>
            <w:r>
              <w:rPr>
                <w:b w:val="0"/>
                <w:i w:val="0"/>
                <w:sz w:val="19"/>
              </w:rPr>
              <w:t>Vai trò và trách nhiệm không rõ ràng và chưa được xác định. Trách nhiệm không rõ ràng đối với chủ thẻ và ban quản lý có thể dẫn đến việc lạm dụng thẻ P-Card và các khoản thanh toán không phù hợp.</w:t>
            </w:r>
          </w:p>
        </w:tc>
      </w:tr>
      <w:tr>
        <w:tc>
          <w:tcPr>
            <w:tcW w:type="dxa" w:w="4680"/>
          </w:tcPr>
          <w:p>
            <w:r/>
            <w:r>
              <w:rPr>
                <w:b w:val="0"/>
                <w:i w:val="0"/>
                <w:sz w:val="19"/>
              </w:rPr>
              <w:t>I-5</w:t>
            </w:r>
          </w:p>
        </w:tc>
        <w:tc>
          <w:tcPr>
            <w:tcW w:type="dxa" w:w="4680"/>
          </w:tcPr>
          <w:p>
            <w:r/>
            <w:r>
              <w:rPr>
                <w:b w:val="0"/>
                <w:i w:val="0"/>
                <w:sz w:val="19"/>
              </w:rPr>
              <w:t>Lỗi thanh toán trong hoạt động thanh toán. Việc thiếu chú ý đến quy trình P-Card có thể dẫn đến các khoản thanh toán không chính xác cho tổ chức tài chính phát hành và thanh toán trùng lặp cho nhà cung cấp.</w:t>
            </w:r>
          </w:p>
        </w:tc>
      </w:tr>
      <w:tr>
        <w:tc>
          <w:tcPr>
            <w:tcW w:type="dxa" w:w="4680"/>
          </w:tcPr>
          <w:p>
            <w:r/>
            <w:r>
              <w:rPr>
                <w:b w:val="0"/>
                <w:i w:val="0"/>
                <w:sz w:val="19"/>
              </w:rPr>
              <w:t>I-6</w:t>
            </w:r>
          </w:p>
        </w:tc>
        <w:tc>
          <w:tcPr>
            <w:tcW w:type="dxa" w:w="4680"/>
          </w:tcPr>
          <w:p>
            <w:r/>
            <w:r>
              <w:rPr>
                <w:b w:val="0"/>
                <w:i w:val="0"/>
                <w:sz w:val="19"/>
              </w:rPr>
              <w:t>Trình bày sai lệch kết quả tài chính. Báo cáo tài chính, hồ sơ và báo cáo hoạt động có thể bị trình bày sai. Các quyết định quan trọng có thể dựa trên thông tin sai lệch, dẫn đến việc trình bày sai lệch kết quả tài chính.</w:t>
            </w:r>
          </w:p>
        </w:tc>
      </w:tr>
    </w:tbl>
    <w:p>
      <w:pPr>
        <w:spacing w:after="0"/>
      </w:pPr>
    </w:p>
    <w:p>
      <w:pPr>
        <w:pStyle w:val="Heading2"/>
      </w:pPr>
      <w:r>
        <w:rPr>
          <w:rFonts w:ascii="Calibri" w:hAnsi="Calibri"/>
          <w:b/>
          <w:i w:val="0"/>
          <w:sz w:val="32"/>
        </w:rPr>
        <w:t>GHI CHÚ</w:t>
      </w:r>
    </w:p>
    <w:p>
      <w:pPr>
        <w:pStyle w:val="Heading1"/>
      </w:pPr>
      <w:r>
        <w:rPr>
          <w:rFonts w:ascii="Calibri" w:hAnsi="Calibri"/>
          <w:b/>
          <w:i w:val="0"/>
          <w:sz w:val="40"/>
        </w:rPr>
        <w:t xml:space="preserve">CHƯƠNG 5 </w:t>
      </w:r>
      <w:r>
        <w:br/>
      </w:r>
      <w:r>
        <w:rPr>
          <w:rFonts w:ascii="Calibri" w:hAnsi="Calibri"/>
          <w:b/>
          <w:i w:val="0"/>
          <w:sz w:val="40"/>
        </w:rPr>
        <w:t xml:space="preserve"> Quy trình Tuyển dụng đến Nghỉ hưu (H2R)</w:t>
      </w:r>
    </w:p>
    <w:p>
      <w:pPr>
        <w:pStyle w:val="Heading2"/>
      </w:pPr>
      <w:r>
        <w:rPr>
          <w:rFonts w:ascii="Calibri" w:hAnsi="Calibri"/>
          <w:b/>
          <w:i w:val="0"/>
          <w:sz w:val="32"/>
        </w:rPr>
        <w:t>GIỚI THIỆU</w:t>
      </w:r>
    </w:p>
    <w:p>
      <w:pPr>
        <w:spacing w:after="80"/>
      </w:pPr>
      <w:r>
        <w:rPr>
          <w:b w:val="0"/>
          <w:i w:val="0"/>
        </w:rPr>
        <w:t>Tuyển dụng đến Nghỉ hưu (H2R) là một quy trình nhân sự bao gồm mọi việc cần làm trong suốt quá trình sự nghiệp của một nhân viên tại công ty. Dưới đây là các bước quy trình ở mức tổng quan.</w:t>
      </w:r>
    </w:p>
    <w:p>
      <w:pPr>
        <w:spacing w:after="80"/>
        <w:ind w:left="360"/>
      </w:pPr>
      <w:r>
        <w:t xml:space="preserve">• </w:t>
      </w:r>
      <w:r>
        <w:rPr>
          <w:b/>
          <w:i w:val="0"/>
        </w:rPr>
        <w:t>Hoạch định nguồn nhân lực:</w:t>
      </w:r>
      <w:r>
        <w:rPr>
          <w:b w:val="0"/>
          <w:i w:val="0"/>
        </w:rPr>
        <w:t xml:space="preserve"> Hoạch định quản lý nguồn nhân lực như thiết kế công việc</w:t>
      </w:r>
    </w:p>
    <w:p>
      <w:pPr>
        <w:spacing w:after="80"/>
        <w:ind w:left="360"/>
      </w:pPr>
      <w:r>
        <w:t xml:space="preserve">• </w:t>
      </w:r>
      <w:r>
        <w:rPr>
          <w:b/>
          <w:i w:val="0"/>
        </w:rPr>
        <w:t>Tuyển dụng:</w:t>
      </w:r>
      <w:r>
        <w:rPr>
          <w:b w:val="0"/>
          <w:i w:val="0"/>
        </w:rPr>
        <w:t xml:space="preserve"> Các quy trình tuyển dụng như xây dựng mối quan hệ, xây dựng thương hiệu nhà tuyển dụng, đăng tin tuyển dụng, hội chợ việc làm và phỏng vấn</w:t>
      </w:r>
    </w:p>
    <w:p>
      <w:pPr>
        <w:spacing w:after="80"/>
        <w:ind w:left="360"/>
      </w:pPr>
      <w:r>
        <w:t xml:space="preserve">• </w:t>
      </w:r>
      <w:r>
        <w:rPr>
          <w:b/>
          <w:i w:val="0"/>
        </w:rPr>
        <w:t>Quản lý nhân viên:</w:t>
      </w:r>
      <w:r>
        <w:rPr>
          <w:b w:val="0"/>
          <w:i w:val="0"/>
        </w:rPr>
        <w:t xml:space="preserve"> Mọi thứ cần thiết để quản lý một nhân viên, như hội nhập, quản lý hiệu suất, đào tạo và phát triển, cùng các quy trình phúc lợi và lương thưởng</w:t>
      </w:r>
    </w:p>
    <w:p>
      <w:pPr>
        <w:spacing w:after="80"/>
        <w:ind w:left="360"/>
      </w:pPr>
      <w:r>
        <w:t xml:space="preserve">• </w:t>
      </w:r>
      <w:r>
        <w:rPr>
          <w:b/>
          <w:i w:val="0"/>
        </w:rPr>
        <w:t>Điều chuyển:</w:t>
      </w:r>
      <w:r>
        <w:rPr>
          <w:b w:val="0"/>
          <w:i w:val="0"/>
        </w:rPr>
        <w:t xml:space="preserve"> Các quy trình liên quan đến việc một nhân viên được điều chuyển, như các nhiệm vụ công tác nước ngoài</w:t>
      </w:r>
    </w:p>
    <w:p>
      <w:pPr>
        <w:spacing w:after="80"/>
        <w:ind w:left="360"/>
      </w:pPr>
      <w:r>
        <w:t xml:space="preserve">• </w:t>
      </w:r>
      <w:r>
        <w:rPr>
          <w:b/>
          <w:i w:val="0"/>
        </w:rPr>
        <w:t>Tính lương:</w:t>
      </w:r>
      <w:r>
        <w:rPr>
          <w:b w:val="0"/>
          <w:i w:val="0"/>
        </w:rPr>
        <w:t xml:space="preserve"> Việc kiểm soát và chi trả lương</w:t>
      </w:r>
    </w:p>
    <w:p>
      <w:pPr>
        <w:spacing w:after="80"/>
        <w:ind w:left="360"/>
      </w:pPr>
      <w:r>
        <w:t xml:space="preserve">• </w:t>
      </w:r>
      <w:r>
        <w:rPr>
          <w:b/>
          <w:i w:val="0"/>
        </w:rPr>
        <w:t>Nghỉ hưu:</w:t>
      </w:r>
      <w:r>
        <w:rPr>
          <w:b w:val="0"/>
          <w:i w:val="0"/>
        </w:rPr>
        <w:t xml:space="preserve"> Các quy trình liên quan đến việc nhân viên rời đi như phỏng vấn thôi việc và phúc lợi hưu trí</w:t>
      </w:r>
    </w:p>
    <w:p>
      <w:pPr>
        <w:jc w:val="center"/>
      </w:pPr>
      <w:r>
        <w:drawing>
          <wp:inline xmlns:a="http://schemas.openxmlformats.org/drawingml/2006/main" xmlns:pic="http://schemas.openxmlformats.org/drawingml/2006/picture">
            <wp:extent cx="5486400" cy="2364101"/>
            <wp:docPr id="7" name="Picture 7"/>
            <wp:cNvGraphicFramePr>
              <a:graphicFrameLocks noChangeAspect="1"/>
            </wp:cNvGraphicFramePr>
            <a:graphic>
              <a:graphicData uri="http://schemas.openxmlformats.org/drawingml/2006/picture">
                <pic:pic>
                  <pic:nvPicPr>
                    <pic:cNvPr id="0" name="Image00008.jpg"/>
                    <pic:cNvPicPr/>
                  </pic:nvPicPr>
                  <pic:blipFill>
                    <a:blip r:embed="rId15"/>
                    <a:stretch>
                      <a:fillRect/>
                    </a:stretch>
                  </pic:blipFill>
                  <pic:spPr>
                    <a:xfrm>
                      <a:off x="0" y="0"/>
                      <a:ext cx="5486400" cy="2364101"/>
                    </a:xfrm>
                    <a:prstGeom prst="rect"/>
                  </pic:spPr>
                </pic:pic>
              </a:graphicData>
            </a:graphic>
          </wp:inline>
        </w:drawing>
      </w:r>
    </w:p>
    <w:p>
      <w:pPr>
        <w:pStyle w:val="Heading2"/>
      </w:pPr>
      <w:r>
        <w:rPr>
          <w:rFonts w:ascii="Calibri" w:hAnsi="Calibri"/>
          <w:b/>
          <w:i w:val="0"/>
          <w:sz w:val="32"/>
        </w:rPr>
        <w:t>TỔNG QUAN QUY TRÌNH</w:t>
      </w:r>
    </w:p>
    <w:p>
      <w:pPr>
        <w:spacing w:after="80"/>
      </w:pPr>
      <w:r>
        <w:rPr>
          <w:b w:val="0"/>
          <w:i w:val="0"/>
        </w:rPr>
        <w:t>Sơ đồ dưới đây cho thấy các yếu tố nền tảng cho quy trình H2R là Kiểm soát nội bộ và Tuân thủ, Hệ thống ERP, và các Giải pháp Tự động hóa Nhân sự và Tính lương.</w:t>
      </w:r>
    </w:p>
    <w:p>
      <w:pPr>
        <w:pStyle w:val="Heading2"/>
      </w:pPr>
      <w:r>
        <w:rPr>
          <w:rFonts w:ascii="Calibri" w:hAnsi="Calibri"/>
          <w:b/>
          <w:i w:val="0"/>
          <w:sz w:val="32"/>
        </w:rPr>
        <w:t>CÁC CHỈ SỐ ĐO LƯỜNG</w:t>
      </w:r>
    </w:p>
    <w:tbl>
      <w:tblPr>
        <w:tblStyle w:val="TableGrid"/>
        <w:tblW w:type="auto" w:w="0"/>
        <w:tblLook w:firstColumn="1" w:firstRow="1" w:lastColumn="0" w:lastRow="0" w:noHBand="0" w:noVBand="1" w:val="04A0"/>
      </w:tblPr>
      <w:tblGrid>
        <w:gridCol w:w="9360"/>
      </w:tblGrid>
      <w:tr>
        <w:tc>
          <w:tcPr>
            <w:tcW w:type="dxa" w:w="9360"/>
          </w:tcPr>
          <w:p>
            <w:r/>
            <w:r>
              <w:rPr>
                <w:b/>
                <w:i w:val="0"/>
                <w:sz w:val="19"/>
              </w:rPr>
              <w:t>Bảng các chỉ số đo lường</w:t>
            </w:r>
          </w:p>
        </w:tc>
      </w:tr>
      <w:tr>
        <w:tc>
          <w:tcPr>
            <w:tcW w:type="dxa" w:w="9360"/>
          </w:tcPr>
          <w:p>
            <w:r/>
            <w:r>
              <w:rPr>
                <w:b w:val="0"/>
                <w:i w:val="0"/>
                <w:sz w:val="19"/>
              </w:rPr>
              <w:t xml:space="preserve">•  </w:t>
            </w:r>
            <w:r>
              <w:rPr>
                <w:b/>
                <w:i w:val="0"/>
                <w:sz w:val="19"/>
              </w:rPr>
              <w:t>Số lượng và giá trị các vấn đề và lỗi thanh toán lương được phát hiện và xử lý</w:t>
            </w:r>
          </w:p>
        </w:tc>
      </w:tr>
      <w:tr>
        <w:tc>
          <w:tcPr>
            <w:tcW w:type="dxa" w:w="9360"/>
          </w:tcPr>
          <w:p>
            <w:r/>
            <w:r>
              <w:rPr>
                <w:b w:val="0"/>
                <w:i w:val="0"/>
                <w:sz w:val="19"/>
              </w:rPr>
              <w:t xml:space="preserve">•  </w:t>
            </w:r>
            <w:r>
              <w:rPr>
                <w:b/>
                <w:i w:val="0"/>
                <w:sz w:val="19"/>
              </w:rPr>
              <w:t>Số lượng nhân viên mới</w:t>
            </w:r>
          </w:p>
        </w:tc>
      </w:tr>
      <w:tr>
        <w:tc>
          <w:tcPr>
            <w:tcW w:type="dxa" w:w="9360"/>
          </w:tcPr>
          <w:p>
            <w:r/>
            <w:r>
              <w:rPr>
                <w:b w:val="0"/>
                <w:i w:val="0"/>
                <w:sz w:val="19"/>
              </w:rPr>
              <w:t xml:space="preserve">•  </w:t>
            </w:r>
            <w:r>
              <w:rPr>
                <w:b/>
                <w:i w:val="0"/>
                <w:sz w:val="19"/>
              </w:rPr>
              <w:t>Số lượng vi phạm trong tuyển dụng được phát hiện</w:t>
            </w:r>
          </w:p>
        </w:tc>
      </w:tr>
      <w:tr>
        <w:tc>
          <w:tcPr>
            <w:tcW w:type="dxa" w:w="9360"/>
          </w:tcPr>
          <w:p>
            <w:r/>
            <w:r>
              <w:rPr>
                <w:b w:val="0"/>
                <w:i w:val="0"/>
                <w:sz w:val="19"/>
              </w:rPr>
              <w:t xml:space="preserve">•  </w:t>
            </w:r>
            <w:r>
              <w:rPr>
                <w:b/>
                <w:i w:val="0"/>
                <w:sz w:val="19"/>
              </w:rPr>
              <w:t>Số lượng chuyển vị trí</w:t>
            </w:r>
            <w:r>
              <w:rPr>
                <w:b w:val="0"/>
                <w:i w:val="0"/>
                <w:sz w:val="19"/>
              </w:rPr>
              <w:t xml:space="preserve"> —Số lần nhân viên chuyển vị trí trong công ty.</w:t>
            </w:r>
          </w:p>
        </w:tc>
      </w:tr>
      <w:tr>
        <w:tc>
          <w:tcPr>
            <w:tcW w:type="dxa" w:w="9360"/>
          </w:tcPr>
          <w:p>
            <w:r/>
            <w:r>
              <w:rPr>
                <w:b w:val="0"/>
                <w:i w:val="0"/>
                <w:sz w:val="19"/>
              </w:rPr>
              <w:t xml:space="preserve">•  </w:t>
            </w:r>
            <w:r>
              <w:rPr>
                <w:b/>
                <w:i w:val="0"/>
                <w:sz w:val="19"/>
              </w:rPr>
              <w:t>Số lượng chấm dứt hợp đồng</w:t>
            </w:r>
            <w:r>
              <w:rPr>
                <w:b w:val="0"/>
                <w:i w:val="0"/>
                <w:sz w:val="19"/>
              </w:rPr>
              <w:t xml:space="preserve"> —Số lượng nhân viên bị chấm dứt hợp đồng.</w:t>
            </w:r>
          </w:p>
        </w:tc>
      </w:tr>
      <w:tr>
        <w:tc>
          <w:tcPr>
            <w:tcW w:type="dxa" w:w="9360"/>
          </w:tcPr>
          <w:p>
            <w:r/>
            <w:r>
              <w:rPr>
                <w:b w:val="0"/>
                <w:i w:val="0"/>
                <w:sz w:val="19"/>
              </w:rPr>
              <w:t xml:space="preserve">•  </w:t>
            </w:r>
            <w:r>
              <w:rPr>
                <w:b/>
                <w:i w:val="0"/>
                <w:sz w:val="19"/>
              </w:rPr>
              <w:t>Tỷ lệ hao hụt nhân sự</w:t>
            </w:r>
            <w:r>
              <w:rPr>
                <w:b w:val="0"/>
                <w:i w:val="0"/>
                <w:sz w:val="19"/>
              </w:rPr>
              <w:t xml:space="preserve"> —Phản ánh số lượng nhân viên rời khỏi công ty.</w:t>
            </w:r>
          </w:p>
        </w:tc>
      </w:tr>
      <w:tr>
        <w:tc>
          <w:tcPr>
            <w:tcW w:type="dxa" w:w="9360"/>
          </w:tcPr>
          <w:p>
            <w:r/>
            <w:r>
              <w:rPr>
                <w:b w:val="0"/>
                <w:i w:val="0"/>
                <w:sz w:val="19"/>
              </w:rPr>
              <w:t xml:space="preserve">•  </w:t>
            </w:r>
            <w:r>
              <w:rPr>
                <w:b/>
                <w:i w:val="0"/>
                <w:sz w:val="19"/>
              </w:rPr>
              <w:t>Điểm đánh giá mức độ hài lòng của nhân viên</w:t>
            </w:r>
            <w:r>
              <w:rPr>
                <w:b w:val="0"/>
                <w:i w:val="0"/>
                <w:sz w:val="19"/>
              </w:rPr>
              <w:t xml:space="preserve"> —Xác định mức độ hài lòng của nhân viên.</w:t>
            </w:r>
          </w:p>
        </w:tc>
      </w:tr>
      <w:tr>
        <w:tc>
          <w:tcPr>
            <w:tcW w:type="dxa" w:w="9360"/>
          </w:tcPr>
          <w:p>
            <w:r/>
            <w:r>
              <w:rPr>
                <w:b w:val="0"/>
                <w:i w:val="0"/>
                <w:sz w:val="19"/>
              </w:rPr>
              <w:t xml:space="preserve">•  </w:t>
            </w:r>
            <w:r>
              <w:rPr>
                <w:b/>
                <w:i w:val="0"/>
                <w:sz w:val="19"/>
              </w:rPr>
              <w:t>Tỷ lệ phần trăm đánh giá hiệu suất đã hoàn thành</w:t>
            </w:r>
            <w:r>
              <w:rPr>
                <w:b w:val="0"/>
                <w:i w:val="0"/>
                <w:sz w:val="19"/>
              </w:rPr>
              <w:t xml:space="preserve"> —Báo cáo tỷ lệ phần trăm các đánh giá hiệu suất của nhân viên đã hoàn thành.</w:t>
            </w:r>
          </w:p>
        </w:tc>
      </w:tr>
      <w:tr>
        <w:tc>
          <w:tcPr>
            <w:tcW w:type="dxa" w:w="9360"/>
          </w:tcPr>
          <w:p>
            <w:r/>
            <w:r>
              <w:rPr>
                <w:b w:val="0"/>
                <w:i w:val="0"/>
                <w:sz w:val="19"/>
              </w:rPr>
              <w:t xml:space="preserve">•  </w:t>
            </w:r>
            <w:r>
              <w:rPr>
                <w:b/>
                <w:i w:val="0"/>
                <w:sz w:val="19"/>
              </w:rPr>
              <w:t>Số lượng vấn đề về tuyển dụng và phân biệt đối xử được báo cáo</w:t>
            </w:r>
            <w:r>
              <w:rPr>
                <w:b w:val="0"/>
                <w:i w:val="0"/>
                <w:sz w:val="19"/>
              </w:rPr>
              <w:t xml:space="preserve"> —Các vấn đề phân biệt đối xử được nhân viên mới báo cáo.</w:t>
            </w:r>
          </w:p>
        </w:tc>
      </w:tr>
      <w:tr>
        <w:tc>
          <w:tcPr>
            <w:tcW w:type="dxa" w:w="9360"/>
          </w:tcPr>
          <w:p>
            <w:r/>
            <w:r>
              <w:rPr>
                <w:b w:val="0"/>
                <w:i w:val="0"/>
                <w:sz w:val="19"/>
              </w:rPr>
              <w:t xml:space="preserve">•  </w:t>
            </w:r>
            <w:r>
              <w:rPr>
                <w:b/>
                <w:i w:val="0"/>
                <w:sz w:val="19"/>
              </w:rPr>
              <w:t>Số lượng và giá trị các vấn đề về phúc lợi nhân viên được phát hiện và xử lý</w:t>
            </w:r>
            <w:r>
              <w:rPr>
                <w:b w:val="0"/>
                <w:i w:val="0"/>
                <w:sz w:val="19"/>
              </w:rPr>
              <w:t xml:space="preserve"> —Các vấn đề về phúc lợi được báo cáo và giải quyết.</w:t>
            </w:r>
          </w:p>
        </w:tc>
      </w:tr>
      <w:tr>
        <w:tc>
          <w:tcPr>
            <w:tcW w:type="dxa" w:w="9360"/>
          </w:tcPr>
          <w:p>
            <w:r/>
            <w:r>
              <w:rPr>
                <w:b w:val="0"/>
                <w:i w:val="0"/>
                <w:sz w:val="19"/>
              </w:rPr>
              <w:t xml:space="preserve">•  </w:t>
            </w:r>
            <w:r>
              <w:rPr>
                <w:b/>
                <w:i w:val="0"/>
                <w:sz w:val="19"/>
              </w:rPr>
              <w:t>Số lượng tự đánh giá kiểm soát đã thực hiện</w:t>
            </w:r>
            <w:r>
              <w:rPr>
                <w:b w:val="0"/>
                <w:i w:val="0"/>
                <w:sz w:val="19"/>
              </w:rPr>
              <w:t xml:space="preserve"> — Số lượng tự đánh giá được thực hiện mỗi kỳ.</w:t>
            </w:r>
          </w:p>
        </w:tc>
      </w:tr>
      <w:tr>
        <w:tc>
          <w:tcPr>
            <w:tcW w:type="dxa" w:w="9360"/>
          </w:tcPr>
          <w:p>
            <w:r/>
            <w:r>
              <w:rPr>
                <w:b w:val="0"/>
                <w:i w:val="0"/>
                <w:sz w:val="19"/>
              </w:rPr>
              <w:t xml:space="preserve">•  </w:t>
            </w:r>
            <w:r>
              <w:rPr>
                <w:b/>
                <w:i w:val="0"/>
                <w:sz w:val="19"/>
              </w:rPr>
              <w:t>Số lượng và giá trị các khoản tiền phạt tuân thủ phát sinh</w:t>
            </w:r>
            <w:r>
              <w:rPr>
                <w:b w:val="0"/>
                <w:i w:val="0"/>
                <w:sz w:val="19"/>
              </w:rPr>
              <w:t xml:space="preserve"> — Số lượng và giá trị tiền phạt được báo cáo.</w:t>
            </w:r>
          </w:p>
        </w:tc>
      </w:tr>
      <w:tr>
        <w:tc>
          <w:tcPr>
            <w:tcW w:type="dxa" w:w="9360"/>
          </w:tcPr>
          <w:p>
            <w:r/>
            <w:r>
              <w:rPr>
                <w:b w:val="0"/>
                <w:i w:val="0"/>
                <w:sz w:val="19"/>
              </w:rPr>
              <w:t xml:space="preserve">•  </w:t>
            </w:r>
            <w:r>
              <w:rPr>
                <w:b/>
                <w:i w:val="0"/>
                <w:sz w:val="19"/>
              </w:rPr>
              <w:t>Số lượng và giá trị các ngoại lệ bảng lương được xác định</w:t>
            </w:r>
            <w:r>
              <w:rPr>
                <w:b w:val="0"/>
                <w:i w:val="0"/>
                <w:sz w:val="19"/>
              </w:rPr>
              <w:t xml:space="preserve"> — Số lượng và giá trị các ngoại lệ bảng lương.</w:t>
            </w:r>
          </w:p>
        </w:tc>
      </w:tr>
      <w:tr>
        <w:tc>
          <w:tcPr>
            <w:tcW w:type="dxa" w:w="9360"/>
          </w:tcPr>
          <w:p>
            <w:r/>
            <w:r>
              <w:rPr>
                <w:b w:val="0"/>
                <w:i w:val="0"/>
                <w:sz w:val="19"/>
              </w:rPr>
              <w:t xml:space="preserve">•  </w:t>
            </w:r>
            <w:r>
              <w:rPr>
                <w:b/>
                <w:i w:val="0"/>
                <w:sz w:val="19"/>
              </w:rPr>
              <w:t>Số lượng các khoản thanh toán đặc biệt đã trả mỗi kỳ</w:t>
            </w:r>
            <w:r>
              <w:rPr>
                <w:b w:val="0"/>
                <w:i w:val="0"/>
                <w:sz w:val="19"/>
              </w:rPr>
              <w:t xml:space="preserve"> — Số lượng các khoản thanh toán bảng lương đặc biệt.</w:t>
            </w:r>
          </w:p>
        </w:tc>
      </w:tr>
      <w:tr>
        <w:tc>
          <w:tcPr>
            <w:tcW w:type="dxa" w:w="9360"/>
          </w:tcPr>
          <w:p>
            <w:r/>
            <w:r>
              <w:rPr>
                <w:b w:val="0"/>
                <w:i w:val="0"/>
                <w:sz w:val="19"/>
              </w:rPr>
              <w:t xml:space="preserve">•  </w:t>
            </w:r>
            <w:r>
              <w:rPr>
                <w:b/>
                <w:i w:val="0"/>
                <w:sz w:val="19"/>
              </w:rPr>
              <w:t>Chi phí xử lý kết quả bảng lương</w:t>
            </w:r>
            <w:r>
              <w:rPr>
                <w:b w:val="0"/>
                <w:i w:val="0"/>
                <w:sz w:val="19"/>
              </w:rPr>
              <w:t xml:space="preserve"> — Chi phí để xử lý bảng lương.</w:t>
            </w:r>
          </w:p>
        </w:tc>
      </w:tr>
      <w:tr>
        <w:tc>
          <w:tcPr>
            <w:tcW w:type="dxa" w:w="9360"/>
          </w:tcPr>
          <w:p>
            <w:r/>
            <w:r>
              <w:rPr>
                <w:b w:val="0"/>
                <w:i w:val="0"/>
                <w:sz w:val="19"/>
              </w:rPr>
              <w:t xml:space="preserve">•  </w:t>
            </w:r>
            <w:r>
              <w:rPr>
                <w:b/>
                <w:i w:val="0"/>
                <w:sz w:val="19"/>
              </w:rPr>
              <w:t>Thời gian chu kỳ cho mỗi quy trình bảng lương</w:t>
            </w:r>
            <w:r>
              <w:rPr>
                <w:b w:val="0"/>
                <w:i w:val="0"/>
                <w:sz w:val="19"/>
              </w:rPr>
              <w:t xml:space="preserve"> — Thời gian chu kỳ để hoàn thành quy trình bảng lương.</w:t>
            </w:r>
          </w:p>
        </w:tc>
      </w:tr>
      <w:tr>
        <w:tc>
          <w:tcPr>
            <w:tcW w:type="dxa" w:w="9360"/>
          </w:tcPr>
          <w:p>
            <w:r/>
            <w:r>
              <w:rPr>
                <w:b w:val="0"/>
                <w:i w:val="0"/>
                <w:sz w:val="19"/>
              </w:rPr>
              <w:t xml:space="preserve">•  </w:t>
            </w:r>
            <w:r>
              <w:rPr>
                <w:b/>
                <w:i w:val="0"/>
                <w:sz w:val="19"/>
              </w:rPr>
              <w:t>Số lượng và giá trị các điều chỉnh trước và sau khi chốt sổ cho quy trình bảng lương</w:t>
            </w:r>
            <w:r>
              <w:rPr>
                <w:b w:val="0"/>
                <w:i w:val="0"/>
                <w:sz w:val="19"/>
              </w:rPr>
              <w:t xml:space="preserve"> — Số lượng và giá trị các điều chỉnh chốt sổ.</w:t>
            </w:r>
          </w:p>
        </w:tc>
      </w:tr>
      <w:tr>
        <w:tc>
          <w:tcPr>
            <w:tcW w:type="dxa" w:w="9360"/>
          </w:tcPr>
          <w:p>
            <w:r/>
            <w:r>
              <w:rPr>
                <w:b w:val="0"/>
                <w:i w:val="0"/>
                <w:sz w:val="19"/>
              </w:rPr>
              <w:t xml:space="preserve">•  </w:t>
            </w:r>
            <w:r>
              <w:rPr>
                <w:b/>
                <w:i w:val="0"/>
                <w:sz w:val="19"/>
              </w:rPr>
              <w:t>Giá trị các chênh lệch được báo cáo trong tài khoản ngân hàng bảng lương</w:t>
            </w:r>
            <w:r>
              <w:rPr>
                <w:b w:val="0"/>
                <w:i w:val="0"/>
                <w:sz w:val="19"/>
              </w:rPr>
              <w:t xml:space="preserve"> — Giá trị các chênh lệch trong tài khoản thanh toán bảng lương.</w:t>
            </w:r>
          </w:p>
        </w:tc>
      </w:tr>
      <w:tr>
        <w:tc>
          <w:tcPr>
            <w:tcW w:type="dxa" w:w="9360"/>
          </w:tcPr>
          <w:p>
            <w:r/>
            <w:r>
              <w:rPr>
                <w:b w:val="0"/>
                <w:i w:val="0"/>
                <w:sz w:val="19"/>
              </w:rPr>
              <w:t xml:space="preserve">•  </w:t>
            </w:r>
            <w:r>
              <w:rPr>
                <w:b/>
                <w:i w:val="0"/>
                <w:sz w:val="19"/>
              </w:rPr>
              <w:t>Thời gian tồn đọng của các chênh lệch được báo cáo trong tài khoản ngân hàng bảng lương</w:t>
            </w:r>
            <w:r>
              <w:rPr>
                <w:b w:val="0"/>
                <w:i w:val="0"/>
                <w:sz w:val="19"/>
              </w:rPr>
              <w:t xml:space="preserve"> — Thời gian tồn đọng của các chênh lệch trong tài khoản thanh toán bảng lương.</w:t>
            </w:r>
          </w:p>
        </w:tc>
      </w:tr>
      <w:tr>
        <w:tc>
          <w:tcPr>
            <w:tcW w:type="dxa" w:w="9360"/>
          </w:tcPr>
          <w:p>
            <w:r/>
            <w:r>
              <w:rPr>
                <w:b w:val="0"/>
                <w:i w:val="0"/>
                <w:sz w:val="19"/>
              </w:rPr>
              <w:t xml:space="preserve">•  </w:t>
            </w:r>
            <w:r>
              <w:rPr>
                <w:b/>
                <w:i w:val="0"/>
                <w:sz w:val="19"/>
              </w:rPr>
              <w:t>Số lượng và giá trị tiền lương chưa nhận (theo tiểu bang)</w:t>
            </w:r>
            <w:r>
              <w:rPr>
                <w:b w:val="0"/>
                <w:i w:val="0"/>
                <w:sz w:val="19"/>
              </w:rPr>
              <w:t xml:space="preserve"> — Dùng để báo cáo tiền lương chưa nhận theo tiểu bang.</w:t>
            </w:r>
          </w:p>
        </w:tc>
      </w:tr>
    </w:tbl>
    <w:p>
      <w:pPr>
        <w:spacing w:after="0"/>
      </w:pPr>
    </w:p>
    <w:p>
      <w:pPr>
        <w:pStyle w:val="Heading2"/>
      </w:pPr>
      <w:r>
        <w:rPr>
          <w:rFonts w:ascii="Calibri" w:hAnsi="Calibri"/>
          <w:b/>
          <w:i w:val="0"/>
          <w:sz w:val="32"/>
        </w:rPr>
        <w:t>ÁP DỤNG KIỂM SOÁT NỘI BỘ</w:t>
      </w:r>
    </w:p>
    <w:p>
      <w:pPr>
        <w:spacing w:after="80"/>
      </w:pPr>
      <w:r>
        <w:rPr>
          <w:b w:val="0"/>
          <w:i w:val="0"/>
        </w:rPr>
        <w:t xml:space="preserve">Trong việc lựa chọn các thủ tục và kỹ thuật kiểm soát của ban quản lý, mức độ kiểm soát được triển khai là vấn đề thuộc phán đoán kinh doanh hợp lý. Nguyên tắc chung cần được sử dụng để xác định mức độ triển khai kiểm soát nội bộ là chi phí của một biện pháp kiểm soát không được vượt quá lợi ích thu được. Tuy nhiên, một bộ kiểm soát tối thiểu nên tồn tại trong môi trường kinh doanh bình thường. Các tiêu chuẩn kiểm soát nội bộ được liệt kê ở đây đại diện cho các biện pháp kiểm soát tối thiểu cần được triển khai trong quy trình bảng lương. Thuật ngữ </w:t>
      </w:r>
      <w:r>
        <w:rPr>
          <w:b w:val="0"/>
          <w:i/>
        </w:rPr>
        <w:t>checks</w:t>
      </w:r>
      <w:r>
        <w:rPr>
          <w:b w:val="0"/>
          <w:i w:val="0"/>
        </w:rPr>
        <w:t xml:space="preserve"> trong chương này được dùng một cách chung chung để mô tả tất cả các hình thức (điện tử, chuyển khoản ngân hàng, v.v.) thanh toán bảng lương cho nhân viên.</w:t>
      </w:r>
    </w:p>
    <w:p>
      <w:pPr>
        <w:spacing w:after="80"/>
      </w:pPr>
      <w:r>
        <w:rPr>
          <w:b w:val="0"/>
          <w:i w:val="0"/>
        </w:rPr>
        <w:t>Trong quy trình từ tuyển dụng đến nghỉ hưu, nguồn nhân lực bao gồm các chức năng liên quan đến việc tuyển dụng nhân viên và xác định phân loại cũng như thù lao phù hợp cho họ; xác định yêu cầu kỹ năng; đào tạo, phát triển và duy trì nhân viên; đảm bảo truyền thông với nhân viên; cung cấp dịch vụ cho nhân viên; báo cáo số giờ làm việc, chấm công và quyền nghỉ bù; và đảm bảo tính bảo mật cũng như an ninh vật lý của thông tin nhân sự.</w:t>
      </w:r>
    </w:p>
    <w:p>
      <w:pPr>
        <w:spacing w:after="80"/>
      </w:pPr>
      <w:r>
        <w:rPr>
          <w:b w:val="0"/>
          <w:i w:val="0"/>
        </w:rPr>
        <w:t xml:space="preserve">Nguồn nhân lực là những người làm việc trong một tổ chức. Đây cũng là tên của bộ phận tồn tại để phục vụ nhu cầu của những người đó. William R. Tracey, trong </w:t>
      </w:r>
      <w:r>
        <w:rPr>
          <w:b w:val="0"/>
          <w:i/>
        </w:rPr>
        <w:t>The Human Resources Glossary</w:t>
      </w:r>
      <w:r>
        <w:rPr>
          <w:b w:val="0"/>
          <w:i w:val="0"/>
        </w:rPr>
        <w:t xml:space="preserve"> , định nghĩa nguồn nhân lực là "những người tạo nên và vận hành một tổ chức … tương phản với các nguồn lực tài chính và vật chất của một tổ chức."</w:t>
      </w:r>
    </w:p>
    <w:p>
      <w:pPr>
        <w:spacing w:after="80"/>
      </w:pPr>
      <w:r>
        <w:rPr>
          <w:b w:val="0"/>
          <w:i w:val="0"/>
        </w:rPr>
        <w:t>Nguồn nhân lực là những người làm việc cho một tổ chức trong các công việc tạo ra sản phẩm hoặc dịch vụ của doanh nghiệp hay tổ chức đó.</w:t>
      </w:r>
    </w:p>
    <w:p>
      <w:pPr>
        <w:spacing w:after="80"/>
      </w:pPr>
      <w:r>
        <w:rPr>
          <w:b w:val="0"/>
          <w:i w:val="0"/>
        </w:rPr>
        <w:t xml:space="preserve">Trước đây, những người này, còn được gọi là nhân viên, thành viên nhân sự, đồng nghiệp, cộng sự, thành viên nhóm hoặc công nhân trong các tổ chức và nơi làm việc, được gọi là </w:t>
      </w:r>
      <w:r>
        <w:rPr>
          <w:b w:val="0"/>
          <w:i/>
        </w:rPr>
        <w:t>personnel</w:t>
      </w:r>
      <w:r>
        <w:rPr>
          <w:b w:val="0"/>
          <w:i w:val="0"/>
        </w:rPr>
        <w:t xml:space="preserve"> . Trong một số tổ chức, họ vẫn được gọi là personnel, manpower, operators hoặc workmen—những tên gọi thường không còn được sử dụng ở những nơi làm việc hiện đại và tiên tiến hơn. </w:t>
      </w:r>
      <w:r>
        <w:rPr>
          <w:b w:val="0"/>
          <w:i/>
        </w:rPr>
        <w:t>Human resources</w:t>
      </w:r>
      <w:r>
        <w:rPr>
          <w:b w:val="0"/>
          <w:i w:val="0"/>
        </w:rPr>
        <w:t xml:space="preserve"> phát triển từ những thuật ngữ cũ này khi các chức năng của lĩnh vực này vượt ra ngoài việc trả lương cho nhân viên và quản lý phúc lợi nhân viên. Sự phát triển của chức năng HR đã củng cố thực tế rằng con người là nguồn lực quan trọng nhất của một tổ chức.</w:t>
      </w:r>
    </w:p>
    <w:p>
      <w:pPr>
        <w:pStyle w:val="Heading2"/>
      </w:pPr>
      <w:r>
        <w:rPr>
          <w:rFonts w:ascii="Calibri" w:hAnsi="Calibri"/>
          <w:b/>
          <w:i w:val="0"/>
          <w:sz w:val="32"/>
        </w:rPr>
        <w:t>ĐẠO LUẬT TRÁCH NHIỆM GIẢI TRÌNH VÀ KHẢ NĂNG DI CHUYỂN BẢO HIỂM Y TẾ (HIPAA) - QUY TẮC BẢO MẬT</w:t>
      </w:r>
    </w:p>
    <w:p>
      <w:pPr>
        <w:spacing w:after="80"/>
      </w:pPr>
      <w:r>
        <w:rPr>
          <w:b w:val="0"/>
          <w:i w:val="0"/>
        </w:rPr>
        <w:t>Quy tắc Bảo mật HIPAA (HIPAA Security Rule - HSR) thiết lập các tiêu chuẩn quốc gia nhằm bảo vệ thông tin sức khỏe cá nhân dạng điện tử của các cá nhân được tạo ra, tiếp nhận, sử dụng hoặc lưu trữ bởi một đơn vị được điều chỉnh (covered entity). Quy tắc Bảo mật yêu cầu các biện pháp bảo vệ hành chính, vật lý và kỹ thuật phù hợp để đảm bảo tính bảo mật, tính toàn vẹn và tính an toàn của thông tin sức khỏe được bảo vệ dạng điện tử. Tất cả hồ sơ nhân viên đều cần được bảo vệ theo yêu cầu này.</w:t>
      </w:r>
    </w:p>
    <w:p>
      <w:pPr>
        <w:spacing w:after="80"/>
      </w:pPr>
      <w:r>
        <w:rPr>
          <w:b w:val="0"/>
          <w:i w:val="0"/>
        </w:rPr>
        <w:t>Ứng dụng Bộ công cụ Bảo mật HIPAA của Viện Tiêu chuẩn và Công nghệ Quốc gia (NIST) là một bảng khảo sát tự đánh giá nhằm giúp các tổ chức hiểu rõ hơn các yêu cầu của Quy tắc Bảo mật HIPAA (HSR), triển khai các yêu cầu đó và đánh giá việc triển khai trong môi trường vận hành của họ.</w:t>
      </w:r>
    </w:p>
    <w:p>
      <w:pPr>
        <w:pStyle w:val="Heading2"/>
      </w:pPr>
      <w:r>
        <w:rPr>
          <w:rFonts w:ascii="Calibri" w:hAnsi="Calibri"/>
          <w:b/>
          <w:i w:val="0"/>
          <w:sz w:val="32"/>
        </w:rPr>
        <w:t>CÁC QUY TRÌNH CON</w:t>
      </w:r>
    </w:p>
    <w:p>
      <w:pPr>
        <w:spacing w:after="80"/>
      </w:pPr>
      <w:r>
        <w:rPr>
          <w:b w:val="0"/>
          <w:i w:val="0"/>
        </w:rPr>
        <w:t>Các quy trình con cụ thể được bao gồm trong quy trình H2R là:</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5.1</w:t>
            </w:r>
          </w:p>
        </w:tc>
        <w:tc>
          <w:tcPr>
            <w:tcW w:type="dxa" w:w="4680"/>
          </w:tcPr>
          <w:p>
            <w:r/>
            <w:r>
              <w:rPr>
                <w:b w:val="0"/>
                <w:i w:val="0"/>
                <w:sz w:val="19"/>
              </w:rPr>
              <w:t>Chuẩn bị Bảng lương và Bảo mật</w:t>
            </w:r>
          </w:p>
        </w:tc>
      </w:tr>
      <w:tr>
        <w:tc>
          <w:tcPr>
            <w:tcW w:type="dxa" w:w="4680"/>
          </w:tcPr>
          <w:p>
            <w:r/>
            <w:r>
              <w:rPr>
                <w:b w:val="0"/>
                <w:i w:val="0"/>
                <w:sz w:val="19"/>
              </w:rPr>
              <w:t>5.2</w:t>
            </w:r>
          </w:p>
        </w:tc>
        <w:tc>
          <w:tcPr>
            <w:tcW w:type="dxa" w:w="4680"/>
          </w:tcPr>
          <w:p>
            <w:r/>
            <w:r>
              <w:rPr>
                <w:b w:val="0"/>
                <w:i w:val="0"/>
                <w:sz w:val="19"/>
              </w:rPr>
              <w:t>Kiểm soát Thanh toán Bảng lương</w:t>
            </w:r>
          </w:p>
        </w:tc>
      </w:tr>
      <w:tr>
        <w:tc>
          <w:tcPr>
            <w:tcW w:type="dxa" w:w="4680"/>
          </w:tcPr>
          <w:p>
            <w:r/>
            <w:r>
              <w:rPr>
                <w:b w:val="0"/>
                <w:i w:val="0"/>
                <w:sz w:val="19"/>
              </w:rPr>
              <w:t>5.3</w:t>
            </w:r>
          </w:p>
        </w:tc>
        <w:tc>
          <w:tcPr>
            <w:tcW w:type="dxa" w:w="4680"/>
          </w:tcPr>
          <w:p>
            <w:r/>
            <w:r>
              <w:rPr>
                <w:b w:val="0"/>
                <w:i w:val="0"/>
                <w:sz w:val="19"/>
              </w:rPr>
              <w:t>Phân phối Bảng lương</w:t>
            </w:r>
          </w:p>
        </w:tc>
      </w:tr>
      <w:tr>
        <w:tc>
          <w:tcPr>
            <w:tcW w:type="dxa" w:w="4680"/>
          </w:tcPr>
          <w:p>
            <w:r/>
            <w:r>
              <w:rPr>
                <w:b w:val="0"/>
                <w:i w:val="0"/>
                <w:sz w:val="19"/>
              </w:rPr>
              <w:t>5.4</w:t>
            </w:r>
          </w:p>
        </w:tc>
        <w:tc>
          <w:tcPr>
            <w:tcW w:type="dxa" w:w="4680"/>
          </w:tcPr>
          <w:p>
            <w:r/>
            <w:r>
              <w:rPr>
                <w:b w:val="0"/>
                <w:i w:val="0"/>
                <w:sz w:val="19"/>
              </w:rPr>
              <w:t>Thù lao và Phúc lợi</w:t>
            </w:r>
          </w:p>
        </w:tc>
      </w:tr>
      <w:tr>
        <w:tc>
          <w:tcPr>
            <w:tcW w:type="dxa" w:w="4680"/>
          </w:tcPr>
          <w:p>
            <w:r/>
            <w:r>
              <w:rPr>
                <w:b w:val="0"/>
                <w:i w:val="0"/>
                <w:sz w:val="19"/>
              </w:rPr>
              <w:t>5.5</w:t>
            </w:r>
          </w:p>
        </w:tc>
        <w:tc>
          <w:tcPr>
            <w:tcW w:type="dxa" w:w="4680"/>
          </w:tcPr>
          <w:p>
            <w:r/>
            <w:r>
              <w:rPr>
                <w:b w:val="0"/>
                <w:i w:val="0"/>
                <w:sz w:val="19"/>
              </w:rPr>
              <w:t>Tuyển dụng và Chấm dứt Hợp đồng</w:t>
            </w:r>
          </w:p>
        </w:tc>
      </w:tr>
      <w:tr>
        <w:tc>
          <w:tcPr>
            <w:tcW w:type="dxa" w:w="4680"/>
          </w:tcPr>
          <w:p>
            <w:r/>
            <w:r>
              <w:rPr>
                <w:b w:val="0"/>
                <w:i w:val="0"/>
                <w:sz w:val="19"/>
              </w:rPr>
              <w:t>5.6</w:t>
            </w:r>
          </w:p>
        </w:tc>
        <w:tc>
          <w:tcPr>
            <w:tcW w:type="dxa" w:w="4680"/>
          </w:tcPr>
          <w:p>
            <w:r/>
            <w:r>
              <w:rPr>
                <w:b w:val="0"/>
                <w:i w:val="0"/>
                <w:sz w:val="19"/>
              </w:rPr>
              <w:t>Giáo dục, Đào tạo và Phát triển</w:t>
            </w:r>
          </w:p>
        </w:tc>
      </w:tr>
      <w:tr>
        <w:tc>
          <w:tcPr>
            <w:tcW w:type="dxa" w:w="4680"/>
          </w:tcPr>
          <w:p>
            <w:r/>
            <w:r>
              <w:rPr>
                <w:b w:val="0"/>
                <w:i w:val="0"/>
                <w:sz w:val="19"/>
              </w:rPr>
              <w:t>5.7</w:t>
            </w:r>
          </w:p>
        </w:tc>
        <w:tc>
          <w:tcPr>
            <w:tcW w:type="dxa" w:w="4680"/>
          </w:tcPr>
          <w:p>
            <w:r/>
            <w:r>
              <w:rPr>
                <w:b w:val="0"/>
                <w:i w:val="0"/>
                <w:sz w:val="19"/>
              </w:rPr>
              <w:t>Lực lượng lao động tạm thời</w:t>
            </w:r>
          </w:p>
        </w:tc>
      </w:tr>
    </w:tbl>
    <w:p>
      <w:pPr>
        <w:spacing w:after="0"/>
      </w:pPr>
    </w:p>
    <w:p>
      <w:pPr>
        <w:pStyle w:val="Heading2"/>
      </w:pPr>
      <w:r>
        <w:rPr>
          <w:rFonts w:ascii="Calibri" w:hAnsi="Calibri"/>
          <w:b/>
          <w:i w:val="0"/>
          <w:sz w:val="32"/>
        </w:rPr>
        <w:t>5.1 CHUẨN BỊ BẢNG LƯƠNG VÀ BẢO MẬT</w:t>
      </w:r>
    </w:p>
    <w:p>
      <w:pPr>
        <w:pStyle w:val="Heading3"/>
      </w:pPr>
      <w:r>
        <w:rPr>
          <w:rFonts w:ascii="Calibri" w:hAnsi="Calibri"/>
          <w:b/>
          <w:i w:val="0"/>
          <w:sz w:val="26"/>
        </w:rPr>
        <w:t>Giới thiệu</w:t>
      </w:r>
    </w:p>
    <w:p>
      <w:pPr>
        <w:spacing w:after="80"/>
      </w:pPr>
      <w:r>
        <w:rPr>
          <w:b w:val="0"/>
          <w:i w:val="0"/>
        </w:rPr>
        <w:t>Quy trình trả lương bao gồm các bước liên quan đến việc chuẩn bị séc lương một cách có kiểm soát và chính xác, đảm bảo hạch toán chính xác các chi phí lương, các khoản khấu trừ, phúc lợi nhân viên và các điều chỉnh khác; phát séc cho nhân viên; và đảm bảo tính bảo mật cũng như an toàn vật lý của thông tin lương và nhân sự.</w:t>
      </w:r>
    </w:p>
    <w:p>
      <w:pPr>
        <w:spacing w:after="80"/>
      </w:pPr>
      <w:r>
        <w:rPr>
          <w:b w:val="0"/>
          <w:i w:val="0"/>
        </w:rPr>
        <w:t>Phải duy trì một tệp chính về bảng lương (cơ sở dữ liệu) bao gồm tất cả nhân viên của công ty. Phải thiết lập các quy trình để bảo vệ an toàn vật lý và bảo vệ thông tin trong tệp chính, đồng thời đảm bảo không vi phạm quy tắc bảo mật HIPAA. Nhân viên, khi luật địa phương yêu cầu, phải nộp kịp thời các báo cáo thời gian làm việc và chấm công đã được phê duyệt trước khi tiến hành xử lý bảng lương. Kết quả bảng lương phải được lập từ tệp chính về bảng lương và các báo cáo thời gian làm việc đã được phê duyệt.</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5.1.1</w:t>
            </w:r>
          </w:p>
        </w:tc>
        <w:tc>
          <w:tcPr>
            <w:tcW w:type="dxa" w:w="4680"/>
          </w:tcPr>
          <w:p>
            <w:r/>
            <w:r>
              <w:rPr>
                <w:b/>
                <w:i w:val="0"/>
                <w:sz w:val="19"/>
              </w:rPr>
              <w:t>Tệp chính về Bảng lương.</w:t>
            </w:r>
            <w:r>
              <w:rPr>
                <w:b w:val="0"/>
                <w:i w:val="0"/>
                <w:sz w:val="19"/>
              </w:rPr>
              <w:t xml:space="preserve"> Tệp phải chứa tất cả thông tin liên quan đến mức lương hiện tại, các khoản khấu trừ, mã số thuế, v.v. </w:t>
            </w:r>
            <w:r>
              <w:rPr>
                <w:b/>
                <w:i w:val="0"/>
                <w:sz w:val="19"/>
              </w:rPr>
              <w:t>Tham chiếu rủi ro: A-1</w:t>
            </w:r>
          </w:p>
        </w:tc>
      </w:tr>
      <w:tr>
        <w:tc>
          <w:tcPr>
            <w:tcW w:type="dxa" w:w="4680"/>
          </w:tcPr>
          <w:p>
            <w:r/>
            <w:r>
              <w:rPr>
                <w:b w:val="0"/>
                <w:i w:val="0"/>
                <w:sz w:val="19"/>
              </w:rPr>
              <w:t>5.1.2</w:t>
            </w:r>
          </w:p>
        </w:tc>
        <w:tc>
          <w:tcPr>
            <w:tcW w:type="dxa" w:w="4680"/>
          </w:tcPr>
          <w:p>
            <w:r/>
            <w:r>
              <w:rPr>
                <w:b/>
                <w:i w:val="0"/>
                <w:sz w:val="19"/>
              </w:rPr>
              <w:t>Bảo mật Tệp chính về Bảng lương.</w:t>
            </w:r>
            <w:r>
              <w:rPr>
                <w:b w:val="0"/>
                <w:i w:val="0"/>
                <w:sz w:val="19"/>
              </w:rPr>
              <w:t xml:space="preserve"> Các thay đổi chỉ nên được giới hạn ở việc thêm, xóa và sửa đổi đã được lập tài liệu đầy đủ và được ủy quyền. </w:t>
            </w:r>
            <w:r>
              <w:rPr>
                <w:b/>
                <w:i w:val="0"/>
                <w:sz w:val="19"/>
              </w:rPr>
              <w:t>Tham chiếu rủi ro: A-2</w:t>
            </w:r>
          </w:p>
        </w:tc>
      </w:tr>
      <w:tr>
        <w:tc>
          <w:tcPr>
            <w:tcW w:type="dxa" w:w="4680"/>
          </w:tcPr>
          <w:p>
            <w:r/>
            <w:r>
              <w:rPr>
                <w:b w:val="0"/>
                <w:i w:val="0"/>
                <w:sz w:val="19"/>
              </w:rPr>
              <w:t>5.1.3</w:t>
            </w:r>
          </w:p>
        </w:tc>
        <w:tc>
          <w:tcPr>
            <w:tcW w:type="dxa" w:w="4680"/>
          </w:tcPr>
          <w:p>
            <w:r/>
            <w:r>
              <w:rPr>
                <w:b/>
                <w:i w:val="0"/>
                <w:sz w:val="19"/>
              </w:rPr>
              <w:t>Bảo mật Hồ sơ Bảng lương.</w:t>
            </w:r>
            <w:r>
              <w:rPr>
                <w:b w:val="0"/>
                <w:i w:val="0"/>
                <w:sz w:val="19"/>
              </w:rPr>
              <w:t xml:space="preserve"> Quyền truy cập vào hồ sơ bảng lương phải được giới hạn cho nhân sự được ủy quyền để đảm bảo không vi phạm quy tắc bảo mật HIPAA. </w:t>
            </w:r>
            <w:r>
              <w:rPr>
                <w:b/>
                <w:i w:val="0"/>
                <w:sz w:val="19"/>
              </w:rPr>
              <w:t>Tham chiếu rủi ro: A-2</w:t>
            </w:r>
          </w:p>
        </w:tc>
      </w:tr>
      <w:tr>
        <w:tc>
          <w:tcPr>
            <w:tcW w:type="dxa" w:w="4680"/>
          </w:tcPr>
          <w:p>
            <w:r/>
            <w:r>
              <w:rPr>
                <w:b w:val="0"/>
                <w:i w:val="0"/>
                <w:sz w:val="19"/>
              </w:rPr>
              <w:t>5.1.4</w:t>
            </w:r>
          </w:p>
        </w:tc>
        <w:tc>
          <w:tcPr>
            <w:tcW w:type="dxa" w:w="4680"/>
          </w:tcPr>
          <w:p>
            <w:r/>
            <w:r>
              <w:rPr>
                <w:b/>
                <w:i w:val="0"/>
                <w:sz w:val="19"/>
              </w:rPr>
              <w:t>Chấm dứt hoặc Điều chuyển Nhân viên.</w:t>
            </w:r>
            <w:r>
              <w:rPr>
                <w:b w:val="0"/>
                <w:i w:val="0"/>
                <w:sz w:val="19"/>
              </w:rPr>
              <w:t xml:space="preserve"> Bộ phận bảng lương phải được thông báo ngay lập tức và chính thức về việc chấm dứt hoặc điều chuyển của bất kỳ nhân viên nào hoặc về các thay đổi bảng lương để hồ sơ bảng lương có thể được điều chỉnh kịp thời. Bộ phận bảng lương sẽ thiết lập các quy trình cần thiết để tạo điều kiện thuận lợi cho việc thông báo này. </w:t>
            </w:r>
            <w:r>
              <w:rPr>
                <w:b/>
                <w:i w:val="0"/>
                <w:sz w:val="19"/>
              </w:rPr>
              <w:t>Tham chiếu rủi ro: A-3, A-5, A-6</w:t>
            </w:r>
          </w:p>
        </w:tc>
      </w:tr>
      <w:tr>
        <w:tc>
          <w:tcPr>
            <w:tcW w:type="dxa" w:w="4680"/>
          </w:tcPr>
          <w:p>
            <w:r/>
            <w:r>
              <w:rPr>
                <w:b w:val="0"/>
                <w:i w:val="0"/>
                <w:sz w:val="19"/>
              </w:rPr>
              <w:t>5.1.5</w:t>
            </w:r>
          </w:p>
        </w:tc>
        <w:tc>
          <w:tcPr>
            <w:tcW w:type="dxa" w:w="4680"/>
          </w:tcPr>
          <w:p>
            <w:r/>
            <w:r>
              <w:rPr>
                <w:b/>
                <w:i w:val="0"/>
                <w:sz w:val="19"/>
              </w:rPr>
              <w:t>Hồ sơ báo cáo thời gian được phê duyệt.</w:t>
            </w:r>
            <w:r>
              <w:rPr>
                <w:b w:val="0"/>
                <w:i w:val="0"/>
                <w:sz w:val="19"/>
              </w:rPr>
              <w:t xml:space="preserve"> Bộ phận tính lương sẽ thiết lập các quy trình cần thiết để hỗ trợ việc thông báo này. </w:t>
            </w:r>
            <w:r>
              <w:rPr>
                <w:b/>
                <w:i w:val="0"/>
                <w:sz w:val="19"/>
              </w:rPr>
              <w:t>Tham chiếu rủi ro: A-4, A-6, A-7</w:t>
            </w:r>
          </w:p>
        </w:tc>
      </w:tr>
      <w:tr>
        <w:tc>
          <w:tcPr>
            <w:tcW w:type="dxa" w:w="4680"/>
          </w:tcPr>
          <w:p>
            <w:r/>
            <w:r>
              <w:rPr>
                <w:b w:val="0"/>
                <w:i w:val="0"/>
                <w:sz w:val="19"/>
              </w:rPr>
              <w:t>5.1.6</w:t>
            </w:r>
          </w:p>
        </w:tc>
        <w:tc>
          <w:tcPr>
            <w:tcW w:type="dxa" w:w="4680"/>
          </w:tcPr>
          <w:p>
            <w:r/>
            <w:r>
              <w:rPr>
                <w:b/>
                <w:i w:val="0"/>
                <w:sz w:val="19"/>
              </w:rPr>
              <w:t>Đối chiếu hồ sơ thu nhập tiền lương.</w:t>
            </w:r>
            <w:r>
              <w:rPr>
                <w:b w:val="0"/>
                <w:i w:val="0"/>
                <w:sz w:val="19"/>
              </w:rPr>
              <w:t xml:space="preserve"> Séc lương, sổ đăng ký tiền lương và hồ sơ thu nhập của nhân viên nên được lập từ cùng một cơ sở dữ liệu thông tin. Khi các hạn chế của hệ thống ngăn cản việc sử dụng cùng một cơ sở dữ liệu, phải hoàn thành việc đối chiếu (nội dung đã được biết và trạng thái hiện hành) giữa hồ sơ thu nhập tiền lương và sổ đăng ký (séc) tiền lương. </w:t>
            </w:r>
            <w:r>
              <w:rPr>
                <w:b/>
                <w:i w:val="0"/>
                <w:sz w:val="19"/>
              </w:rPr>
              <w:t>Tham chiếu rủi ro: A-4, A-5, A-6, A-7</w:t>
            </w:r>
          </w:p>
        </w:tc>
      </w:tr>
      <w:tr>
        <w:tc>
          <w:tcPr>
            <w:tcW w:type="dxa" w:w="4680"/>
          </w:tcPr>
          <w:p>
            <w:r/>
            <w:r>
              <w:rPr>
                <w:b w:val="0"/>
                <w:i w:val="0"/>
                <w:sz w:val="19"/>
              </w:rPr>
              <w:t>5.1.7</w:t>
            </w:r>
          </w:p>
        </w:tc>
        <w:tc>
          <w:tcPr>
            <w:tcW w:type="dxa" w:w="4680"/>
          </w:tcPr>
          <w:p>
            <w:r/>
            <w:r>
              <w:rPr>
                <w:b/>
                <w:i w:val="0"/>
                <w:sz w:val="19"/>
              </w:rPr>
              <w:t>Kiểm soát dữ liệu nguồn tiền lương.</w:t>
            </w:r>
            <w:r>
              <w:rPr>
                <w:b w:val="0"/>
                <w:i w:val="0"/>
                <w:sz w:val="19"/>
              </w:rPr>
              <w:t xml:space="preserve"> Phải duy trì các biện pháp kiểm soát, với đủ các chỉnh sửa, để đảm bảo mọi dữ liệu nguồn tiền lương trong hồ sơ nhân viên gốc đều hợp lệ và được nhập đúng cách. Cũng phải thiết lập các biện pháp kiểm soát để đảm bảo chỉ sử dụng dữ liệu nguồn tiền lương hiện hành đã được ủy quyền. </w:t>
            </w:r>
            <w:r>
              <w:rPr>
                <w:b/>
                <w:i w:val="0"/>
                <w:sz w:val="19"/>
              </w:rPr>
              <w:t>Tham chiếu rủi ro: A-5, A-6, A-7, A-8</w:t>
            </w:r>
          </w:p>
        </w:tc>
      </w:tr>
      <w:tr>
        <w:tc>
          <w:tcPr>
            <w:tcW w:type="dxa" w:w="4680"/>
          </w:tcPr>
          <w:p>
            <w:r/>
            <w:r>
              <w:rPr>
                <w:b w:val="0"/>
                <w:i w:val="0"/>
                <w:sz w:val="19"/>
              </w:rPr>
              <w:t>5.1.8</w:t>
            </w:r>
          </w:p>
        </w:tc>
        <w:tc>
          <w:tcPr>
            <w:tcW w:type="dxa" w:w="4680"/>
          </w:tcPr>
          <w:p>
            <w:r/>
            <w:r>
              <w:rPr>
                <w:b/>
                <w:i w:val="0"/>
                <w:sz w:val="19"/>
              </w:rPr>
              <w:t>Hồ sơ báo cáo thời gian.</w:t>
            </w:r>
            <w:r>
              <w:rPr>
                <w:b w:val="0"/>
                <w:i w:val="0"/>
                <w:sz w:val="19"/>
              </w:rPr>
              <w:t xml:space="preserve"> Nhân viên quản lý bộ phận có trách nhiệm đảm bảo hồ sơ báo cáo thời gian được ủy quyền. Cần thực hiện việc so sánh giữa tiền lương thực tế, phúc lợi và các khoản thanh toán khác với chi phí đã lập ngân sách để xác định tính hợp lý. </w:t>
            </w:r>
            <w:r>
              <w:rPr>
                <w:b/>
                <w:i w:val="0"/>
                <w:sz w:val="19"/>
              </w:rPr>
              <w:t>Tham chiếu rủi ro: A-9</w:t>
            </w:r>
          </w:p>
        </w:tc>
      </w:tr>
      <w:tr>
        <w:tc>
          <w:tcPr>
            <w:tcW w:type="dxa" w:w="4680"/>
          </w:tcPr>
          <w:p>
            <w:r/>
            <w:r>
              <w:rPr>
                <w:b w:val="0"/>
                <w:i w:val="0"/>
                <w:sz w:val="19"/>
              </w:rPr>
              <w:t>5.1.9</w:t>
            </w:r>
          </w:p>
        </w:tc>
        <w:tc>
          <w:tcPr>
            <w:tcW w:type="dxa" w:w="4680"/>
          </w:tcPr>
          <w:p>
            <w:r/>
            <w:r>
              <w:rPr>
                <w:b/>
                <w:i w:val="0"/>
                <w:sz w:val="19"/>
              </w:rPr>
              <w:t>Các khoản khấu trừ tiền lương.</w:t>
            </w:r>
            <w:r>
              <w:rPr>
                <w:b w:val="0"/>
                <w:i w:val="0"/>
                <w:sz w:val="19"/>
              </w:rPr>
              <w:t xml:space="preserve"> Phải kiểm soát các khoản khấu trừ tiền lương để đảm bảo tính đúng đắn của số tiền, tuân thủ các yêu cầu của chính phủ hiện hành, nộp kịp thời cho đơn vị thích hợp và đối chiếu kịp thời (nội dung đã được biết và trạng thái hiện hành) với các tài khoản sổ cái chung. </w:t>
            </w:r>
            <w:r>
              <w:rPr>
                <w:b/>
                <w:i w:val="0"/>
                <w:sz w:val="19"/>
              </w:rPr>
              <w:t>Tham chiếu rủi ro: A-7, A-10, A-12</w:t>
            </w:r>
          </w:p>
        </w:tc>
      </w:tr>
      <w:tr>
        <w:tc>
          <w:tcPr>
            <w:tcW w:type="dxa" w:w="4680"/>
          </w:tcPr>
          <w:p>
            <w:r/>
            <w:r>
              <w:rPr>
                <w:b w:val="0"/>
                <w:i w:val="0"/>
                <w:sz w:val="19"/>
              </w:rPr>
              <w:t>5.1.10</w:t>
            </w:r>
          </w:p>
        </w:tc>
        <w:tc>
          <w:tcPr>
            <w:tcW w:type="dxa" w:w="4680"/>
          </w:tcPr>
          <w:p>
            <w:r/>
            <w:r>
              <w:rPr>
                <w:b/>
                <w:i w:val="0"/>
                <w:sz w:val="19"/>
              </w:rPr>
              <w:t>Tài liệu hóa các quy trình tiền lương.</w:t>
            </w:r>
            <w:r>
              <w:rPr>
                <w:b w:val="0"/>
                <w:i w:val="0"/>
                <w:sz w:val="19"/>
              </w:rPr>
              <w:t xml:space="preserve"> Các quy trình của bộ phận nên được ghi chép rõ ràng cho tất cả các chức năng tiền lương chính và các quy trình chốt kỳ. </w:t>
            </w:r>
            <w:r>
              <w:rPr>
                <w:b/>
                <w:i w:val="0"/>
                <w:sz w:val="19"/>
              </w:rPr>
              <w:t>Tham chiếu rủi ro: A-5, A-7, A-11, A-12</w:t>
            </w:r>
          </w:p>
        </w:tc>
      </w:tr>
      <w:tr>
        <w:tc>
          <w:tcPr>
            <w:tcW w:type="dxa" w:w="4680"/>
          </w:tcPr>
          <w:p>
            <w:r/>
            <w:r>
              <w:rPr>
                <w:b w:val="0"/>
                <w:i w:val="0"/>
                <w:sz w:val="19"/>
              </w:rPr>
              <w:t>5.1.11</w:t>
            </w:r>
          </w:p>
        </w:tc>
        <w:tc>
          <w:tcPr>
            <w:tcW w:type="dxa" w:w="4680"/>
          </w:tcPr>
          <w:p>
            <w:r/>
            <w:r>
              <w:rPr>
                <w:b/>
                <w:i w:val="0"/>
                <w:sz w:val="19"/>
              </w:rPr>
              <w:t>Yêu cầu của chính phủ/cơ quan quản lý.</w:t>
            </w:r>
            <w:r>
              <w:rPr>
                <w:b w:val="0"/>
                <w:i w:val="0"/>
                <w:sz w:val="19"/>
              </w:rPr>
              <w:t xml:space="preserve"> Phải lập bản tóm tắt hàng năm về tiền công và các khoản khấu trừ của nhân viên và gửi trực tiếp đến tất cả nhân viên theo các yêu cầu của chính phủ hiện hành. Ngoài ra, bản tóm tắt tiền công của nhân viên phải được đối chiếu (nội dung đã được biết và trạng thái hiện hành) với các khoản thanh toán cho các cơ quan chính phủ theo luật định. </w:t>
            </w:r>
            <w:r>
              <w:rPr>
                <w:b/>
                <w:i w:val="0"/>
                <w:sz w:val="19"/>
              </w:rPr>
              <w:t>Tham chiếu rủi ro: A-12</w:t>
            </w:r>
          </w:p>
        </w:tc>
      </w:tr>
      <w:tr>
        <w:tc>
          <w:tcPr>
            <w:tcW w:type="dxa" w:w="4680"/>
          </w:tcPr>
          <w:p>
            <w:r/>
            <w:r>
              <w:rPr>
                <w:b w:val="0"/>
                <w:i w:val="0"/>
                <w:sz w:val="19"/>
              </w:rPr>
              <w:t>5.1.12</w:t>
            </w:r>
          </w:p>
        </w:tc>
        <w:tc>
          <w:tcPr>
            <w:tcW w:type="dxa" w:w="4680"/>
          </w:tcPr>
          <w:p>
            <w:r/>
            <w:r>
              <w:rPr>
                <w:b/>
                <w:i w:val="0"/>
                <w:sz w:val="19"/>
              </w:rPr>
              <w:t>Các khoản thanh toán đặc biệt.</w:t>
            </w:r>
            <w:r>
              <w:rPr>
                <w:b w:val="0"/>
                <w:i w:val="0"/>
                <w:sz w:val="19"/>
              </w:rPr>
              <w:t xml:space="preserve"> Tất cả các khoản thanh toán khác/đặc biệt được bộ phận tính lương xử lý (ví dụ: chuyển chỗ ở, giáo dục, tiền thưởng, giải thưởng sáng chế, tạm ứng, điều chỉnh, v.v.) phải được ủy quyền đúng cách một cách độc lập với bộ phận tính lương và nhân sự, được phê duyệt và ghi chép trước khi thanh toán, đồng thời phải tuân thủ các yêu cầu về thuế hiện hành. </w:t>
            </w:r>
            <w:r>
              <w:rPr>
                <w:b/>
                <w:i w:val="0"/>
                <w:sz w:val="19"/>
              </w:rPr>
              <w:t>Tham chiếu rủi ro: A-6</w:t>
            </w:r>
          </w:p>
        </w:tc>
      </w:tr>
      <w:tr>
        <w:tc>
          <w:tcPr>
            <w:tcW w:type="dxa" w:w="4680"/>
          </w:tcPr>
          <w:p>
            <w:r/>
            <w:r>
              <w:rPr>
                <w:b w:val="0"/>
                <w:i w:val="0"/>
                <w:sz w:val="19"/>
              </w:rPr>
              <w:t>5.1.13</w:t>
            </w:r>
          </w:p>
        </w:tc>
        <w:tc>
          <w:tcPr>
            <w:tcW w:type="dxa" w:w="4680"/>
          </w:tcPr>
          <w:p>
            <w:r/>
            <w:r>
              <w:rPr>
                <w:b/>
                <w:i w:val="0"/>
                <w:sz w:val="19"/>
              </w:rPr>
              <w:t>Phân tách nhiệm vụ.</w:t>
            </w:r>
            <w:r>
              <w:rPr>
                <w:b w:val="0"/>
                <w:i w:val="0"/>
                <w:sz w:val="19"/>
              </w:rPr>
              <w:t xml:space="preserve"> Trách nhiệm chuẩn bị bảng lương phải được tách biệt khỏi trách nhiệm phê duyệt bảng lương, bộ phận nhân sự, ký séc và phân phối séc. </w:t>
            </w:r>
            <w:r>
              <w:rPr>
                <w:b/>
                <w:i w:val="0"/>
                <w:sz w:val="19"/>
              </w:rPr>
              <w:t>Tham chiếu rủi ro: A-13</w:t>
            </w:r>
          </w:p>
        </w:tc>
      </w:tr>
      <w:tr>
        <w:tc>
          <w:tcPr>
            <w:tcW w:type="dxa" w:w="4680"/>
          </w:tcPr>
          <w:p>
            <w:r/>
            <w:r>
              <w:rPr>
                <w:b w:val="0"/>
                <w:i w:val="0"/>
                <w:sz w:val="19"/>
              </w:rPr>
              <w:t>5.1.14</w:t>
            </w:r>
          </w:p>
        </w:tc>
        <w:tc>
          <w:tcPr>
            <w:tcW w:type="dxa" w:w="4680"/>
          </w:tcPr>
          <w:p>
            <w:r/>
            <w:r>
              <w:rPr>
                <w:b/>
                <w:i w:val="0"/>
                <w:sz w:val="19"/>
              </w:rPr>
              <w:t>Phân bổ chi phí tiền lương.</w:t>
            </w:r>
            <w:r>
              <w:rPr>
                <w:b w:val="0"/>
                <w:i w:val="0"/>
                <w:sz w:val="19"/>
              </w:rPr>
              <w:t xml:space="preserve"> Chi phí tiền lương phải được phân bổ đầy đủ và chính xác đến đúng bộ phận hoặc trung tâm chi phí. </w:t>
            </w:r>
            <w:r>
              <w:rPr>
                <w:b/>
                <w:i w:val="0"/>
                <w:sz w:val="19"/>
              </w:rPr>
              <w:t>Tham chiếu rủi ro: A-5, A-7, A-8</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A-1</w:t>
            </w:r>
          </w:p>
        </w:tc>
        <w:tc>
          <w:tcPr>
            <w:tcW w:type="dxa" w:w="4680"/>
          </w:tcPr>
          <w:p>
            <w:r/>
            <w:r>
              <w:rPr>
                <w:b w:val="0"/>
                <w:i w:val="0"/>
                <w:sz w:val="19"/>
              </w:rPr>
              <w:t>Thông tin sai lệch trong hồ sơ gốc về tiền lương có thể dẫn đến các khoản thanh toán sai. Việc khấu trừ tiền lương kiếm được có thể không chính xác và có thể dẫn đến báo cáo sai và vi phạm quy tắc bảo mật HIPAA.</w:t>
            </w:r>
          </w:p>
        </w:tc>
      </w:tr>
      <w:tr>
        <w:tc>
          <w:tcPr>
            <w:tcW w:type="dxa" w:w="4680"/>
          </w:tcPr>
          <w:p>
            <w:r/>
            <w:r>
              <w:rPr>
                <w:b w:val="0"/>
                <w:i w:val="0"/>
                <w:sz w:val="19"/>
              </w:rPr>
              <w:t>A-2</w:t>
            </w:r>
          </w:p>
        </w:tc>
        <w:tc>
          <w:tcPr>
            <w:tcW w:type="dxa" w:w="4680"/>
          </w:tcPr>
          <w:p>
            <w:r/>
            <w:r>
              <w:rPr>
                <w:b w:val="0"/>
                <w:i w:val="0"/>
                <w:sz w:val="19"/>
              </w:rPr>
              <w:t>Bảo mật không đầy đủ đối với bộ phận tiền lương và hồ sơ của bộ phận này có thể dẫn đến:</w:t>
            </w:r>
            <w:r>
              <w:br/>
            </w:r>
            <w:r>
              <w:rPr>
                <w:b w:val="0"/>
                <w:i w:val="0"/>
                <w:sz w:val="19"/>
              </w:rPr>
              <w:t>a. Phá hủy hoặc mất hồ sơ tiền lương, bao gồm cả hồ sơ gốc về tiền lương;</w:t>
            </w:r>
            <w:r>
              <w:br/>
            </w:r>
            <w:r>
              <w:rPr>
                <w:b w:val="0"/>
                <w:i w:val="0"/>
                <w:sz w:val="19"/>
              </w:rPr>
              <w:t>b. Xem xét và/hoặc tiết lộ trái phép thông tin tiền lương mật; và/hoặc</w:t>
            </w:r>
            <w:r>
              <w:br/>
            </w:r>
            <w:r>
              <w:rPr>
                <w:b w:val="0"/>
                <w:i w:val="0"/>
                <w:sz w:val="19"/>
              </w:rPr>
              <w:t xml:space="preserve">c. Xử lý các thay đổi trái phép đối với hồ sơ gốc về tiền lương. Điều này đến lượt nó có thể dẫn đến những điều sau: </w:t>
            </w:r>
            <w:r>
              <w:br/>
            </w:r>
            <w:r>
              <w:rPr>
                <w:b w:val="0"/>
                <w:i w:val="0"/>
                <w:sz w:val="19"/>
              </w:rPr>
              <w:t>• Biển thủ tài sản công ty</w:t>
            </w:r>
            <w:r>
              <w:br/>
            </w:r>
            <w:r>
              <w:rPr>
                <w:b w:val="0"/>
                <w:i w:val="0"/>
                <w:sz w:val="19"/>
              </w:rPr>
              <w:t>• Sai lệch các khoản tích lũy như lương hưu</w:t>
            </w:r>
          </w:p>
        </w:tc>
      </w:tr>
      <w:tr>
        <w:tc>
          <w:tcPr>
            <w:tcW w:type="dxa" w:w="4680"/>
          </w:tcPr>
          <w:p>
            <w:r/>
            <w:r>
              <w:rPr>
                <w:b w:val="0"/>
                <w:i w:val="0"/>
                <w:sz w:val="19"/>
              </w:rPr>
              <w:t>A-3</w:t>
            </w:r>
          </w:p>
        </w:tc>
        <w:tc>
          <w:tcPr>
            <w:tcW w:type="dxa" w:w="4680"/>
          </w:tcPr>
          <w:p>
            <w:r/>
            <w:r>
              <w:rPr>
                <w:b w:val="0"/>
                <w:i w:val="0"/>
                <w:sz w:val="19"/>
              </w:rPr>
              <w:t>Nhân viên có thể được trả lương không chính xác hoặc được trả cho các dịch vụ không nhận được, và việc thu hồi các khoản trả thừa cho nhân viên đã nghỉ việc có thể cần đến hành động pháp lý. Việc khấu trừ của nhân viên cũng có thể không chính xác.</w:t>
            </w:r>
          </w:p>
        </w:tc>
      </w:tr>
      <w:tr>
        <w:tc>
          <w:tcPr>
            <w:tcW w:type="dxa" w:w="4680"/>
          </w:tcPr>
          <w:p>
            <w:r/>
            <w:r>
              <w:rPr>
                <w:b w:val="0"/>
                <w:i w:val="0"/>
                <w:sz w:val="19"/>
              </w:rPr>
              <w:t>A-4</w:t>
            </w:r>
          </w:p>
        </w:tc>
        <w:tc>
          <w:tcPr>
            <w:tcW w:type="dxa" w:w="4680"/>
          </w:tcPr>
          <w:p>
            <w:r/>
            <w:r>
              <w:rPr>
                <w:b w:val="0"/>
                <w:i w:val="0"/>
                <w:sz w:val="19"/>
              </w:rPr>
              <w:t>Nhân viên có thể được trả lương nhầm cho số giờ không làm việc hoặc có thể không được trả lương cho số giờ thực sự làm việc. Các khoản tính phí sai bộ phận có thể không được phát hiện.</w:t>
            </w:r>
          </w:p>
        </w:tc>
      </w:tr>
      <w:tr>
        <w:tc>
          <w:tcPr>
            <w:tcW w:type="dxa" w:w="4680"/>
          </w:tcPr>
          <w:p>
            <w:r/>
            <w:r>
              <w:rPr>
                <w:b w:val="0"/>
                <w:i w:val="0"/>
                <w:sz w:val="19"/>
              </w:rPr>
              <w:t>A-5</w:t>
            </w:r>
          </w:p>
        </w:tc>
        <w:tc>
          <w:tcPr>
            <w:tcW w:type="dxa" w:w="4680"/>
          </w:tcPr>
          <w:p>
            <w:r/>
            <w:r>
              <w:rPr>
                <w:b w:val="0"/>
                <w:i w:val="0"/>
                <w:sz w:val="19"/>
              </w:rPr>
              <w:t>Báo cáo quản lý và hồ sơ thu nhập của nhân viên có thể không chính xác.</w:t>
            </w:r>
          </w:p>
        </w:tc>
      </w:tr>
      <w:tr>
        <w:tc>
          <w:tcPr>
            <w:tcW w:type="dxa" w:w="4680"/>
          </w:tcPr>
          <w:p>
            <w:r/>
            <w:r>
              <w:rPr>
                <w:b w:val="0"/>
                <w:i w:val="0"/>
                <w:sz w:val="19"/>
              </w:rPr>
              <w:t>A-6</w:t>
            </w:r>
          </w:p>
        </w:tc>
        <w:tc>
          <w:tcPr>
            <w:tcW w:type="dxa" w:w="4680"/>
          </w:tcPr>
          <w:p>
            <w:r/>
            <w:r>
              <w:rPr>
                <w:b w:val="0"/>
                <w:i w:val="0"/>
                <w:sz w:val="19"/>
              </w:rPr>
              <w:t>Các khoản thanh toán không được phép có thể được thực hiện, và tiền có thể bị biển thủ.</w:t>
            </w:r>
          </w:p>
        </w:tc>
      </w:tr>
      <w:tr>
        <w:tc>
          <w:tcPr>
            <w:tcW w:type="dxa" w:w="4680"/>
          </w:tcPr>
          <w:p>
            <w:r/>
            <w:r>
              <w:rPr>
                <w:b w:val="0"/>
                <w:i w:val="0"/>
                <w:sz w:val="19"/>
              </w:rPr>
              <w:t>A-7</w:t>
            </w:r>
          </w:p>
        </w:tc>
        <w:tc>
          <w:tcPr>
            <w:tcW w:type="dxa" w:w="4680"/>
          </w:tcPr>
          <w:p>
            <w:r/>
            <w:r>
              <w:rPr>
                <w:b w:val="0"/>
                <w:i w:val="0"/>
                <w:sz w:val="19"/>
              </w:rPr>
              <w:t>Thông tin không chính xác có thể được nhập vào sổ cái chung. Báo cáo tài chính có thể bị sai lệch.</w:t>
            </w:r>
          </w:p>
        </w:tc>
      </w:tr>
      <w:tr>
        <w:tc>
          <w:tcPr>
            <w:tcW w:type="dxa" w:w="4680"/>
          </w:tcPr>
          <w:p>
            <w:r/>
            <w:r>
              <w:rPr>
                <w:b w:val="0"/>
                <w:i w:val="0"/>
                <w:sz w:val="19"/>
              </w:rPr>
              <w:t>A-8</w:t>
            </w:r>
          </w:p>
        </w:tc>
        <w:tc>
          <w:tcPr>
            <w:tcW w:type="dxa" w:w="4680"/>
          </w:tcPr>
          <w:p>
            <w:r/>
            <w:r>
              <w:rPr>
                <w:b w:val="0"/>
                <w:i w:val="0"/>
                <w:sz w:val="19"/>
              </w:rPr>
              <w:t>Quá trình xử lý bảng lương có thể không đầy đủ và/hoặc không chính xác. Có nhiều cơ hội hơn cho các lỗi xử lý cố ý hoặc vô ý không bị phát hiện.</w:t>
            </w:r>
          </w:p>
        </w:tc>
      </w:tr>
      <w:tr>
        <w:tc>
          <w:tcPr>
            <w:tcW w:type="dxa" w:w="4680"/>
          </w:tcPr>
          <w:p>
            <w:r/>
            <w:r>
              <w:rPr>
                <w:b w:val="0"/>
                <w:i w:val="0"/>
                <w:sz w:val="19"/>
              </w:rPr>
              <w:t>A-9</w:t>
            </w:r>
          </w:p>
        </w:tc>
        <w:tc>
          <w:tcPr>
            <w:tcW w:type="dxa" w:w="4680"/>
          </w:tcPr>
          <w:p>
            <w:r/>
            <w:r>
              <w:rPr>
                <w:b w:val="0"/>
                <w:i w:val="0"/>
                <w:sz w:val="19"/>
              </w:rPr>
              <w:t>Các lỗi không bị phát hiện trong quá trình chỉnh sửa thông thường (ví dụ: nhân viên không đủ điều kiện hoặc không được phép) có thể không bị phát hiện và sửa chữa.</w:t>
            </w:r>
          </w:p>
        </w:tc>
      </w:tr>
      <w:tr>
        <w:tc>
          <w:tcPr>
            <w:tcW w:type="dxa" w:w="4680"/>
          </w:tcPr>
          <w:p>
            <w:r/>
            <w:r>
              <w:rPr>
                <w:b w:val="0"/>
                <w:i w:val="0"/>
                <w:sz w:val="19"/>
              </w:rPr>
              <w:t>A-10</w:t>
            </w:r>
          </w:p>
        </w:tc>
        <w:tc>
          <w:tcPr>
            <w:tcW w:type="dxa" w:w="4680"/>
          </w:tcPr>
          <w:p>
            <w:r/>
            <w:r>
              <w:rPr>
                <w:b w:val="0"/>
                <w:i w:val="0"/>
                <w:sz w:val="19"/>
              </w:rPr>
              <w:t>Các khoản khấu trừ và thanh toán chi tiết có thể không khớp với các khoản khấu trừ và thanh toán đã ghi nhận.</w:t>
            </w:r>
          </w:p>
        </w:tc>
      </w:tr>
      <w:tr>
        <w:tc>
          <w:tcPr>
            <w:tcW w:type="dxa" w:w="4680"/>
          </w:tcPr>
          <w:p>
            <w:r/>
            <w:r>
              <w:rPr>
                <w:b w:val="0"/>
                <w:i w:val="0"/>
                <w:sz w:val="19"/>
              </w:rPr>
              <w:t>A-11</w:t>
            </w:r>
          </w:p>
        </w:tc>
        <w:tc>
          <w:tcPr>
            <w:tcW w:type="dxa" w:w="4680"/>
          </w:tcPr>
          <w:p>
            <w:r/>
            <w:r>
              <w:rPr>
                <w:b w:val="0"/>
                <w:i w:val="0"/>
                <w:sz w:val="19"/>
              </w:rPr>
              <w:t>Các quy trình nhất quán có thể không được tuân thủ, dẫn đến việc xử lý thông tin bảng lương không chính xác, không đầy đủ hoặc không kịp thời và các lỗi tiềm ẩn trong tiền lương kiếm được trả cho nhân viên.</w:t>
            </w:r>
          </w:p>
        </w:tc>
      </w:tr>
      <w:tr>
        <w:tc>
          <w:tcPr>
            <w:tcW w:type="dxa" w:w="4680"/>
          </w:tcPr>
          <w:p>
            <w:r/>
            <w:r>
              <w:rPr>
                <w:b w:val="0"/>
                <w:i w:val="0"/>
                <w:sz w:val="19"/>
              </w:rPr>
              <w:t>A-12</w:t>
            </w:r>
          </w:p>
        </w:tc>
        <w:tc>
          <w:tcPr>
            <w:tcW w:type="dxa" w:w="4680"/>
          </w:tcPr>
          <w:p>
            <w:r/>
            <w:r>
              <w:rPr>
                <w:b w:val="0"/>
                <w:i w:val="0"/>
                <w:sz w:val="19"/>
              </w:rPr>
              <w:t>Việc không tuân thủ và/hoặc lỗi tính toán có thể dẫn đến việc chính phủ áp đặt tiền phạt và hình phạt.</w:t>
            </w:r>
          </w:p>
        </w:tc>
      </w:tr>
      <w:tr>
        <w:tc>
          <w:tcPr>
            <w:tcW w:type="dxa" w:w="4680"/>
          </w:tcPr>
          <w:p>
            <w:r/>
            <w:r>
              <w:rPr>
                <w:b w:val="0"/>
                <w:i w:val="0"/>
                <w:sz w:val="19"/>
              </w:rPr>
              <w:t>A-13</w:t>
            </w:r>
          </w:p>
        </w:tc>
        <w:tc>
          <w:tcPr>
            <w:tcW w:type="dxa" w:w="4680"/>
          </w:tcPr>
          <w:p>
            <w:r/>
            <w:r>
              <w:rPr>
                <w:b w:val="0"/>
                <w:i w:val="0"/>
                <w:sz w:val="19"/>
              </w:rPr>
              <w:t>Các giao dịch không được phép có thể được xử lý và không bị phát hiện, dẫn đến việc biển thủ hoặc chuyển hướng tạm thời tài sản.</w:t>
            </w:r>
          </w:p>
        </w:tc>
      </w:tr>
    </w:tbl>
    <w:p>
      <w:pPr>
        <w:spacing w:after="0"/>
      </w:pPr>
    </w:p>
    <w:p>
      <w:pPr>
        <w:pStyle w:val="Heading2"/>
      </w:pPr>
      <w:r>
        <w:rPr>
          <w:rFonts w:ascii="Calibri" w:hAnsi="Calibri"/>
          <w:b/>
          <w:i w:val="0"/>
          <w:sz w:val="32"/>
        </w:rPr>
        <w:t>5.2 KIỂM SOÁT THANH TOÁN BẢNG LƯƠNG</w:t>
      </w:r>
    </w:p>
    <w:p>
      <w:pPr>
        <w:pStyle w:val="Heading3"/>
      </w:pPr>
      <w:r>
        <w:rPr>
          <w:rFonts w:ascii="Calibri" w:hAnsi="Calibri"/>
          <w:b/>
          <w:i w:val="0"/>
          <w:sz w:val="26"/>
        </w:rPr>
        <w:t>Giới thiệu</w:t>
      </w:r>
    </w:p>
    <w:p>
      <w:pPr>
        <w:spacing w:after="80"/>
      </w:pPr>
      <w:r>
        <w:rPr>
          <w:b w:val="0"/>
          <w:i w:val="0"/>
        </w:rPr>
        <w:t>Có một số thành phần quan trọng trong quy trình trả lương (payroll). Việc xử lý khoản lương mà nhân viên kiếm được từ tổng sang thực lĩnh phải được thực hiện trong một môi trường pháp lý nghiêm ngặt nhưng lại đa dạng. Môi trường này đa dạng vì quy trình được kiểm soát bởi nhiều cơ quan ở cả cấp liên bang lẫn cấp tiểu bang. Người kiểm soát (controller) và chủ sở hữu quy trình nghiệp vụ (business process owner) phải nắm rõ các quy định cần tuân thủ để đảm bảo tính tuân thủ, từ đó ngăn ngừa các ngoại lệ kiểm toán có thể dẫn đến hình phạt, tiền phạt và lãi phạt.</w:t>
      </w:r>
    </w:p>
    <w:p>
      <w:pPr>
        <w:spacing w:after="80"/>
      </w:pPr>
      <w:r>
        <w:rPr>
          <w:b w:val="0"/>
          <w:i w:val="0"/>
        </w:rPr>
        <w:t>Một số quy trình, chẳng hạn như xác định tổng lương, được điều chỉnh bởi Bộ Lao động Liên bang (Federal Department of Labor - DoL) hoặc cơ quan tương đương ở cấp tiểu bang, tùy theo bên nào có lợi hơn cho nhân viên; trong khi những quy trình khác như thời điểm phải trả lương cho nhân viên lại được điều chỉnh nghiêm ngặt ở cấp tiểu bang. Một số quy trình khác nữa, chẳng hạn như xác định tổng tiền lương chịu thuế, lại do Sở Thuế vụ (Internal Revenue Service - IRS) kiểm soát. Người sử dụng lao động chịu trách nhiệm xác định đúng quy định cần tuân theo cho từng quy trình, và người kiểm soát chịu trách nhiệm đảm bảo các biện pháp kiểm soát trả lương phù hợp được thiết lập.</w:t>
      </w:r>
    </w:p>
    <w:p>
      <w:pPr>
        <w:spacing w:after="80"/>
      </w:pPr>
      <w:r>
        <w:rPr>
          <w:b w:val="0"/>
          <w:i w:val="0"/>
        </w:rPr>
        <w:t>Trả lương bao gồm các quy trình liên quan đến việc chuẩn bị các khoản thanh toán lương một cách có kiểm soát và chính xác, đảm bảo hạch toán chính xác các chi phí trả lương, các khoản khấu trừ, phúc lợi nhân viên và các điều chỉnh khác; phát séc, khởi tạo chuyển khoản trực tiếp (direct deposit) hoặc phát thẻ trả trước (prepaid card) cho nhân viên; và đảm bảo tính bảo mật cùng an ninh vật lý cho thông tin về lương và nhân sự.</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5.2.1</w:t>
            </w:r>
          </w:p>
        </w:tc>
        <w:tc>
          <w:tcPr>
            <w:tcW w:type="dxa" w:w="4680"/>
          </w:tcPr>
          <w:p>
            <w:r/>
            <w:r>
              <w:rPr>
                <w:b/>
                <w:i w:val="0"/>
                <w:sz w:val="19"/>
              </w:rPr>
              <w:t>Tài khoản Ngân hàng Thanh toán.</w:t>
            </w:r>
            <w:r>
              <w:rPr>
                <w:b w:val="0"/>
                <w:i w:val="0"/>
                <w:sz w:val="19"/>
              </w:rPr>
              <w:t xml:space="preserve"> Đối với các khoản thanh toán lương, ban quản lý nên cân nhắc sử dụng tài khoản ngân hàng tạm ứng (imprest) hoặc tài khoản số dư bằng không (zero balance) nếu có. </w:t>
            </w:r>
            <w:r>
              <w:rPr>
                <w:b/>
                <w:i w:val="0"/>
                <w:sz w:val="19"/>
              </w:rPr>
              <w:t>Tham chiếu rủi ro: B-1</w:t>
            </w:r>
          </w:p>
        </w:tc>
      </w:tr>
      <w:tr>
        <w:tc>
          <w:tcPr>
            <w:tcW w:type="dxa" w:w="4680"/>
          </w:tcPr>
          <w:p>
            <w:r/>
            <w:r>
              <w:rPr>
                <w:b w:val="0"/>
                <w:i w:val="0"/>
                <w:sz w:val="19"/>
              </w:rPr>
              <w:t>5.2.2</w:t>
            </w:r>
          </w:p>
        </w:tc>
        <w:tc>
          <w:tcPr>
            <w:tcW w:type="dxa" w:w="4680"/>
          </w:tcPr>
          <w:p>
            <w:r/>
            <w:r>
              <w:rPr>
                <w:b/>
                <w:i w:val="0"/>
                <w:sz w:val="19"/>
              </w:rPr>
              <w:t>Đối chiếu Tài khoản.</w:t>
            </w:r>
            <w:r>
              <w:rPr>
                <w:b w:val="0"/>
                <w:i w:val="0"/>
                <w:sz w:val="19"/>
              </w:rPr>
              <w:t xml:space="preserve"> Tất cả tài khoản ngân hàng trả lương và tài khoản thanh toán trên sổ cái chung (general ledger) phải được đối chiếu (nội dung đã được nắm rõ và trạng thái đang cập nhật) hàng tháng. </w:t>
            </w:r>
            <w:r>
              <w:rPr>
                <w:b/>
                <w:i w:val="0"/>
                <w:sz w:val="19"/>
              </w:rPr>
              <w:t>Tham chiếu rủi ro: B-1</w:t>
            </w:r>
          </w:p>
        </w:tc>
      </w:tr>
      <w:tr>
        <w:tc>
          <w:tcPr>
            <w:tcW w:type="dxa" w:w="4680"/>
          </w:tcPr>
          <w:p>
            <w:r/>
            <w:r>
              <w:rPr>
                <w:b w:val="0"/>
                <w:i w:val="0"/>
                <w:sz w:val="19"/>
              </w:rPr>
              <w:t>5.2.3</w:t>
            </w:r>
          </w:p>
        </w:tc>
        <w:tc>
          <w:tcPr>
            <w:tcW w:type="dxa" w:w="4680"/>
          </w:tcPr>
          <w:p>
            <w:r/>
            <w:r>
              <w:rPr>
                <w:b/>
                <w:i w:val="0"/>
                <w:sz w:val="19"/>
              </w:rPr>
              <w:t>Thanh toán Lương.</w:t>
            </w:r>
            <w:r>
              <w:rPr>
                <w:b w:val="0"/>
                <w:i w:val="0"/>
                <w:sz w:val="19"/>
              </w:rPr>
              <w:t xml:space="preserve"> Tất cả các khoản thanh toán lương phải có thể truy vết và nhận diện duy nhất. </w:t>
            </w:r>
            <w:r>
              <w:rPr>
                <w:b/>
                <w:i w:val="0"/>
                <w:sz w:val="19"/>
              </w:rPr>
              <w:t>Tham chiếu rủi ro: B-2, B-3, B-7</w:t>
            </w:r>
          </w:p>
        </w:tc>
      </w:tr>
      <w:tr>
        <w:tc>
          <w:tcPr>
            <w:tcW w:type="dxa" w:w="4680"/>
          </w:tcPr>
          <w:p>
            <w:r/>
            <w:r>
              <w:rPr>
                <w:b w:val="0"/>
                <w:i w:val="0"/>
                <w:sz w:val="19"/>
              </w:rPr>
              <w:t>5.2.4</w:t>
            </w:r>
          </w:p>
        </w:tc>
        <w:tc>
          <w:tcPr>
            <w:tcW w:type="dxa" w:w="4680"/>
          </w:tcPr>
          <w:p>
            <w:r/>
            <w:r>
              <w:rPr>
                <w:b/>
                <w:i w:val="0"/>
                <w:sz w:val="19"/>
              </w:rPr>
              <w:t>An ninh Séc Lương Trắng.</w:t>
            </w:r>
            <w:r>
              <w:rPr>
                <w:b w:val="0"/>
                <w:i w:val="0"/>
                <w:sz w:val="19"/>
              </w:rPr>
              <w:t xml:space="preserve"> Séc trắng (blank check stock) được sử dụng, có ghi tên công ty hoặc tổ chức tài chính của công ty, phải được bảo vệ an toàn. Tất cả séc lương phải được định kỳ kiểm kê, xác nhận là đã phát hành, đã hủy bỏ hoặc chưa sử dụng. </w:t>
            </w:r>
            <w:r>
              <w:rPr>
                <w:b/>
                <w:i w:val="0"/>
                <w:sz w:val="19"/>
              </w:rPr>
              <w:t>Tham chiếu rủi ro: B-3</w:t>
            </w:r>
          </w:p>
        </w:tc>
      </w:tr>
      <w:tr>
        <w:tc>
          <w:tcPr>
            <w:tcW w:type="dxa" w:w="4680"/>
          </w:tcPr>
          <w:p>
            <w:r/>
            <w:r>
              <w:rPr>
                <w:b w:val="0"/>
                <w:i w:val="0"/>
                <w:sz w:val="19"/>
              </w:rPr>
              <w:t>5.2.5</w:t>
            </w:r>
          </w:p>
        </w:tc>
        <w:tc>
          <w:tcPr>
            <w:tcW w:type="dxa" w:w="4680"/>
          </w:tcPr>
          <w:p>
            <w:r/>
            <w:r>
              <w:rPr>
                <w:b/>
                <w:i w:val="0"/>
                <w:sz w:val="19"/>
              </w:rPr>
              <w:t>Quy trình Xử lý Séc Hủy.</w:t>
            </w:r>
            <w:r>
              <w:rPr>
                <w:b w:val="0"/>
                <w:i w:val="0"/>
                <w:sz w:val="19"/>
              </w:rPr>
              <w:t xml:space="preserve"> Séc bị hỏng, bị hủy bỏ và/hoặc bị vô hiệu hóa phải được kiểm kê và tiêu hủy hoặc đóng dấu rõ ràng là đã hủy. </w:t>
            </w:r>
            <w:r>
              <w:rPr>
                <w:b/>
                <w:i w:val="0"/>
                <w:sz w:val="19"/>
              </w:rPr>
              <w:t>Tham chiếu rủi ro: B-3</w:t>
            </w:r>
          </w:p>
        </w:tc>
      </w:tr>
      <w:tr>
        <w:tc>
          <w:tcPr>
            <w:tcW w:type="dxa" w:w="4680"/>
          </w:tcPr>
          <w:p>
            <w:r/>
            <w:r>
              <w:rPr>
                <w:b w:val="0"/>
                <w:i w:val="0"/>
                <w:sz w:val="19"/>
              </w:rPr>
              <w:t>5.2.6</w:t>
            </w:r>
          </w:p>
        </w:tc>
        <w:tc>
          <w:tcPr>
            <w:tcW w:type="dxa" w:w="4680"/>
          </w:tcPr>
          <w:p>
            <w:r/>
            <w:r>
              <w:rPr>
                <w:b/>
                <w:i w:val="0"/>
                <w:sz w:val="19"/>
              </w:rPr>
              <w:t>Bảo mật séc lương.</w:t>
            </w:r>
            <w:r>
              <w:rPr>
                <w:b w:val="0"/>
                <w:i w:val="0"/>
                <w:sz w:val="19"/>
              </w:rPr>
              <w:t xml:space="preserve"> Séc lương và giấy báo chuyển khoản trực tiếp đã được công ty phê duyệt (ký) phải được bảo quản an toàn cho đến khi phát cho nhân viên. </w:t>
            </w:r>
            <w:r>
              <w:rPr>
                <w:b/>
                <w:i w:val="0"/>
                <w:sz w:val="19"/>
              </w:rPr>
              <w:t>Tham khảo rủi ro: B-4, B-5</w:t>
            </w:r>
          </w:p>
        </w:tc>
      </w:tr>
      <w:tr>
        <w:tc>
          <w:tcPr>
            <w:tcW w:type="dxa" w:w="4680"/>
          </w:tcPr>
          <w:p>
            <w:r/>
            <w:r>
              <w:rPr>
                <w:b w:val="0"/>
                <w:i w:val="0"/>
                <w:sz w:val="19"/>
              </w:rPr>
              <w:t>5.2.7</w:t>
            </w:r>
          </w:p>
        </w:tc>
        <w:tc>
          <w:tcPr>
            <w:tcW w:type="dxa" w:w="4680"/>
          </w:tcPr>
          <w:p>
            <w:r/>
            <w:r>
              <w:rPr>
                <w:b/>
                <w:i w:val="0"/>
                <w:sz w:val="19"/>
              </w:rPr>
              <w:t>Phân tách nhiệm vụ.</w:t>
            </w:r>
            <w:r>
              <w:rPr>
                <w:b w:val="0"/>
                <w:i w:val="0"/>
                <w:sz w:val="19"/>
              </w:rPr>
              <w:t xml:space="preserve"> Người ký séc lương phải là những cá nhân không có trách nhiệm phê duyệt hoặc lập bảng lương, không được tiếp cận séc chưa sử dụng, và không có trách nhiệm phát séc. </w:t>
            </w:r>
            <w:r>
              <w:rPr>
                <w:b/>
                <w:i w:val="0"/>
                <w:sz w:val="19"/>
              </w:rPr>
              <w:t>Tham khảo rủi ro: B-3, B-4</w:t>
            </w:r>
          </w:p>
        </w:tc>
      </w:tr>
      <w:tr>
        <w:tc>
          <w:tcPr>
            <w:tcW w:type="dxa" w:w="4680"/>
          </w:tcPr>
          <w:p>
            <w:r/>
            <w:r>
              <w:rPr>
                <w:b w:val="0"/>
                <w:i w:val="0"/>
                <w:sz w:val="19"/>
              </w:rPr>
              <w:t>5.2.8</w:t>
            </w:r>
          </w:p>
        </w:tc>
        <w:tc>
          <w:tcPr>
            <w:tcW w:type="dxa" w:w="4680"/>
          </w:tcPr>
          <w:p>
            <w:r/>
            <w:r>
              <w:rPr>
                <w:b/>
                <w:i w:val="0"/>
                <w:sz w:val="19"/>
              </w:rPr>
              <w:t>Phê duyệt hồ sơ bảng lương.</w:t>
            </w:r>
            <w:r>
              <w:rPr>
                <w:b w:val="0"/>
                <w:i w:val="0"/>
                <w:sz w:val="19"/>
              </w:rPr>
              <w:t xml:space="preserve"> Sổ đăng ký bảng lương đã hoàn tất, báo cáo nhật ký, và các yêu cầu hoàn trả tài khoản bảng lương (hoặc các tài liệu tương tự để chứng minh số tiền được chi trả) phải được ban quản lý phù hợp xem xét và phê duyệt kịp thời. </w:t>
            </w:r>
            <w:r>
              <w:rPr>
                <w:b/>
                <w:i w:val="0"/>
                <w:sz w:val="19"/>
              </w:rPr>
              <w:t>Tham khảo rủi ro: B-6</w:t>
            </w:r>
          </w:p>
        </w:tc>
      </w:tr>
      <w:tr>
        <w:tc>
          <w:tcPr>
            <w:tcW w:type="dxa" w:w="4680"/>
          </w:tcPr>
          <w:p>
            <w:r/>
            <w:r>
              <w:rPr>
                <w:b w:val="0"/>
                <w:i w:val="0"/>
                <w:sz w:val="19"/>
              </w:rPr>
              <w:t>5.2.9</w:t>
            </w:r>
          </w:p>
        </w:tc>
        <w:tc>
          <w:tcPr>
            <w:tcW w:type="dxa" w:w="4680"/>
          </w:tcPr>
          <w:p>
            <w:r/>
            <w:r>
              <w:rPr>
                <w:b/>
                <w:i w:val="0"/>
                <w:sz w:val="19"/>
              </w:rPr>
              <w:t>Phát hành séc lương.</w:t>
            </w:r>
            <w:r>
              <w:rPr>
                <w:b w:val="0"/>
                <w:i w:val="0"/>
                <w:sz w:val="19"/>
              </w:rPr>
              <w:t xml:space="preserve"> Các thủ tục ủy quyền chính thức phải được thiết lập và tuân thủ khi ký séc lương. </w:t>
            </w:r>
            <w:r>
              <w:rPr>
                <w:b/>
                <w:i w:val="0"/>
                <w:sz w:val="19"/>
              </w:rPr>
              <w:t>Tham khảo rủi ro: B-3</w:t>
            </w:r>
          </w:p>
        </w:tc>
      </w:tr>
      <w:tr>
        <w:tc>
          <w:tcPr>
            <w:tcW w:type="dxa" w:w="4680"/>
          </w:tcPr>
          <w:p>
            <w:r/>
            <w:r>
              <w:rPr>
                <w:b w:val="0"/>
                <w:i w:val="0"/>
                <w:sz w:val="19"/>
              </w:rPr>
              <w:t>5.2.10</w:t>
            </w:r>
          </w:p>
        </w:tc>
        <w:tc>
          <w:tcPr>
            <w:tcW w:type="dxa" w:w="4680"/>
          </w:tcPr>
          <w:p>
            <w:r/>
            <w:r>
              <w:rPr>
                <w:b/>
                <w:i w:val="0"/>
                <w:sz w:val="19"/>
              </w:rPr>
              <w:t>Bảo quản và an toàn thiết bị ký séc.</w:t>
            </w:r>
            <w:r>
              <w:rPr>
                <w:b w:val="0"/>
                <w:i w:val="0"/>
                <w:sz w:val="19"/>
              </w:rPr>
              <w:t xml:space="preserve"> Khi sử dụng thiết bị ký séc và bản ký fax hoặc hình ảnh chữ ký số hóa, thiết bị và bản ký phải được bảo quản an toàn, và việc trông coi thiết bị ký séc cùng bản ký hoặc tệp hình ảnh chữ ký số hóa phải được phân tách. Ngoài ra, cần thực hiện việc đối chiếu (nội dung được biết rõ và trạng thái được cập nhật) giữa séc đã viết và séc được ủy quyền với tổng số trên máy ký séc. </w:t>
            </w:r>
            <w:r>
              <w:rPr>
                <w:b/>
                <w:i w:val="0"/>
                <w:sz w:val="19"/>
              </w:rPr>
              <w:t>Tham khảo rủi ro: B-2, B-3</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B-1</w:t>
            </w:r>
          </w:p>
        </w:tc>
        <w:tc>
          <w:tcPr>
            <w:tcW w:type="dxa" w:w="4680"/>
          </w:tcPr>
          <w:p>
            <w:r/>
            <w:r>
              <w:rPr>
                <w:b w:val="0"/>
                <w:i w:val="0"/>
                <w:sz w:val="19"/>
              </w:rPr>
              <w:t>Các sai sót và thiếu sót trong việc bảo vệ, ủy quyền và xử lý séc có thể không được phát hiện và sửa chữa. Báo cáo tài chính có thể bị sai lệch.</w:t>
            </w:r>
          </w:p>
        </w:tc>
      </w:tr>
      <w:tr>
        <w:tc>
          <w:tcPr>
            <w:tcW w:type="dxa" w:w="4680"/>
          </w:tcPr>
          <w:p>
            <w:r/>
            <w:r>
              <w:rPr>
                <w:b w:val="0"/>
                <w:i w:val="0"/>
                <w:sz w:val="19"/>
              </w:rPr>
              <w:t>B-2</w:t>
            </w:r>
          </w:p>
        </w:tc>
        <w:tc>
          <w:tcPr>
            <w:tcW w:type="dxa" w:w="4680"/>
          </w:tcPr>
          <w:p>
            <w:r/>
            <w:r>
              <w:rPr>
                <w:b w:val="0"/>
                <w:i w:val="0"/>
                <w:sz w:val="19"/>
              </w:rPr>
              <w:t>Séc có thể được phát hành mà không được ghi nhận, dẫn đến báo cáo tài chính không chính xác.</w:t>
            </w:r>
          </w:p>
        </w:tc>
      </w:tr>
      <w:tr>
        <w:tc>
          <w:tcPr>
            <w:tcW w:type="dxa" w:w="4680"/>
          </w:tcPr>
          <w:p>
            <w:r/>
            <w:r>
              <w:rPr>
                <w:b w:val="0"/>
                <w:i w:val="0"/>
                <w:sz w:val="19"/>
              </w:rPr>
              <w:t>B-3</w:t>
            </w:r>
          </w:p>
        </w:tc>
        <w:tc>
          <w:tcPr>
            <w:tcW w:type="dxa" w:w="4680"/>
          </w:tcPr>
          <w:p>
            <w:r/>
            <w:r>
              <w:rPr>
                <w:b w:val="0"/>
                <w:i w:val="0"/>
                <w:sz w:val="19"/>
              </w:rPr>
              <w:t>Việc sử dụng hoặc phát hành séc lương trái phép có thể xảy ra, và bất kỳ hành vi biển thủ tiền mặt nào cũng có thể không bị phát hiện.</w:t>
            </w:r>
          </w:p>
        </w:tc>
      </w:tr>
      <w:tr>
        <w:tc>
          <w:tcPr>
            <w:tcW w:type="dxa" w:w="4680"/>
          </w:tcPr>
          <w:p>
            <w:r/>
            <w:r>
              <w:rPr>
                <w:b w:val="0"/>
                <w:i w:val="0"/>
                <w:sz w:val="19"/>
              </w:rPr>
              <w:t>B-4</w:t>
            </w:r>
          </w:p>
        </w:tc>
        <w:tc>
          <w:tcPr>
            <w:tcW w:type="dxa" w:w="4680"/>
          </w:tcPr>
          <w:p>
            <w:r/>
            <w:r>
              <w:rPr>
                <w:b w:val="0"/>
                <w:i w:val="0"/>
                <w:sz w:val="19"/>
              </w:rPr>
              <w:t>Séc có thể bị chuyển hướng và rút tiền bởi những người không được phép.</w:t>
            </w:r>
          </w:p>
        </w:tc>
      </w:tr>
      <w:tr>
        <w:tc>
          <w:tcPr>
            <w:tcW w:type="dxa" w:w="4680"/>
          </w:tcPr>
          <w:p>
            <w:r/>
            <w:r>
              <w:rPr>
                <w:b w:val="0"/>
                <w:i w:val="0"/>
                <w:sz w:val="19"/>
              </w:rPr>
              <w:t>B-5</w:t>
            </w:r>
          </w:p>
        </w:tc>
        <w:tc>
          <w:tcPr>
            <w:tcW w:type="dxa" w:w="4680"/>
          </w:tcPr>
          <w:p>
            <w:r/>
            <w:r>
              <w:rPr>
                <w:b w:val="0"/>
                <w:i w:val="0"/>
                <w:sz w:val="19"/>
              </w:rPr>
              <w:t>Thông tin bảng lương mật có thể bị những người không được phép xem xét và/hoặc tiết lộ, gây tổn hại cho công ty hoặc nhân viên của công ty.</w:t>
            </w:r>
          </w:p>
        </w:tc>
      </w:tr>
      <w:tr>
        <w:tc>
          <w:tcPr>
            <w:tcW w:type="dxa" w:w="4680"/>
          </w:tcPr>
          <w:p>
            <w:r/>
            <w:r>
              <w:rPr>
                <w:b w:val="0"/>
                <w:i w:val="0"/>
                <w:sz w:val="19"/>
              </w:rPr>
              <w:t>B-6</w:t>
            </w:r>
          </w:p>
        </w:tc>
        <w:tc>
          <w:tcPr>
            <w:tcW w:type="dxa" w:w="4680"/>
          </w:tcPr>
          <w:p>
            <w:r/>
            <w:r>
              <w:rPr>
                <w:b w:val="0"/>
                <w:i w:val="0"/>
                <w:sz w:val="19"/>
              </w:rPr>
              <w:t>Các lỗi bảng lương nghiêm trọng hoặc giao dịch không được phép có thể không bị phát hiện trước khi phân phối bảng lương.</w:t>
            </w:r>
          </w:p>
        </w:tc>
      </w:tr>
      <w:tr>
        <w:tc>
          <w:tcPr>
            <w:tcW w:type="dxa" w:w="4680"/>
          </w:tcPr>
          <w:p>
            <w:r/>
            <w:r>
              <w:rPr>
                <w:b w:val="0"/>
                <w:i w:val="0"/>
                <w:sz w:val="19"/>
              </w:rPr>
              <w:t>B-7</w:t>
            </w:r>
          </w:p>
        </w:tc>
        <w:tc>
          <w:tcPr>
            <w:tcW w:type="dxa" w:w="4680"/>
          </w:tcPr>
          <w:p>
            <w:r/>
            <w:r>
              <w:rPr>
                <w:b w:val="0"/>
                <w:i w:val="0"/>
                <w:sz w:val="19"/>
              </w:rPr>
              <w:t>Số séc trùng lặp có thể bị gán hoặc số séc có thể bị bỏ sót.</w:t>
            </w:r>
          </w:p>
        </w:tc>
      </w:tr>
    </w:tbl>
    <w:p>
      <w:pPr>
        <w:spacing w:after="0"/>
      </w:pPr>
    </w:p>
    <w:p>
      <w:pPr>
        <w:pStyle w:val="Heading2"/>
      </w:pPr>
      <w:r>
        <w:rPr>
          <w:rFonts w:ascii="Calibri" w:hAnsi="Calibri"/>
          <w:b/>
          <w:i w:val="0"/>
          <w:sz w:val="32"/>
        </w:rPr>
        <w:t>5.3 PHÂN PHỐI BẢNG LƯƠNG</w:t>
      </w:r>
    </w:p>
    <w:p>
      <w:pPr>
        <w:pStyle w:val="Heading3"/>
      </w:pPr>
      <w:r>
        <w:rPr>
          <w:rFonts w:ascii="Calibri" w:hAnsi="Calibri"/>
          <w:b/>
          <w:i w:val="0"/>
          <w:sz w:val="26"/>
        </w:rPr>
        <w:t>Giới thiệu</w:t>
      </w:r>
    </w:p>
    <w:p>
      <w:pPr>
        <w:spacing w:after="80"/>
      </w:pPr>
      <w:r>
        <w:rPr>
          <w:b w:val="0"/>
          <w:i w:val="0"/>
        </w:rPr>
        <w:t>Mục này cung cấp các tiêu chuẩn cần thiết cho việc phân phối bảng lương, tiền lương chưa nhận và các khoản thanh toán không phải tiền lương.</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5.3.1</w:t>
            </w:r>
          </w:p>
        </w:tc>
        <w:tc>
          <w:tcPr>
            <w:tcW w:type="dxa" w:w="4680"/>
          </w:tcPr>
          <w:p>
            <w:r/>
            <w:r>
              <w:rPr>
                <w:b/>
                <w:i w:val="0"/>
                <w:sz w:val="19"/>
              </w:rPr>
              <w:t>Phân tách Nhiệm vụ.</w:t>
            </w:r>
            <w:r>
              <w:rPr>
                <w:b w:val="0"/>
                <w:i w:val="0"/>
                <w:sz w:val="19"/>
              </w:rPr>
              <w:t xml:space="preserve"> Những người chịu trách nhiệm phân phối séc bảng lương không được phê duyệt giờ lao động, thẻ chấm công hoặc các khoản thanh toán đặc biệt. </w:t>
            </w:r>
            <w:r>
              <w:rPr>
                <w:b/>
                <w:i w:val="0"/>
                <w:sz w:val="19"/>
              </w:rPr>
              <w:t>Tham khảo rủi ro: C-1</w:t>
            </w:r>
          </w:p>
        </w:tc>
      </w:tr>
      <w:tr>
        <w:tc>
          <w:tcPr>
            <w:tcW w:type="dxa" w:w="4680"/>
          </w:tcPr>
          <w:p>
            <w:r/>
            <w:r>
              <w:rPr>
                <w:b w:val="0"/>
                <w:i w:val="0"/>
                <w:sz w:val="19"/>
              </w:rPr>
              <w:t>5.3.2</w:t>
            </w:r>
          </w:p>
        </w:tc>
        <w:tc>
          <w:tcPr>
            <w:tcW w:type="dxa" w:w="4680"/>
          </w:tcPr>
          <w:p>
            <w:r/>
            <w:r>
              <w:rPr>
                <w:b/>
                <w:i w:val="0"/>
                <w:sz w:val="19"/>
              </w:rPr>
              <w:t>Phân phối Séc Bảng lương.</w:t>
            </w:r>
            <w:r>
              <w:rPr>
                <w:b w:val="0"/>
                <w:i w:val="0"/>
                <w:sz w:val="19"/>
              </w:rPr>
              <w:t xml:space="preserve"> Trong mỗi cơ sở, phải thu được biên nhận có chữ ký từ những cá nhân nhận séc bảng lương/phiếu thông báo để phân phối. </w:t>
            </w:r>
            <w:r>
              <w:rPr>
                <w:b/>
                <w:i w:val="0"/>
                <w:sz w:val="19"/>
              </w:rPr>
              <w:t>Tham khảo rủi ro: C-2</w:t>
            </w:r>
          </w:p>
        </w:tc>
      </w:tr>
      <w:tr>
        <w:tc>
          <w:tcPr>
            <w:tcW w:type="dxa" w:w="4680"/>
          </w:tcPr>
          <w:p>
            <w:r/>
            <w:r>
              <w:rPr>
                <w:b w:val="0"/>
                <w:i w:val="0"/>
                <w:sz w:val="19"/>
              </w:rPr>
              <w:t>5.3.3</w:t>
            </w:r>
          </w:p>
        </w:tc>
        <w:tc>
          <w:tcPr>
            <w:tcW w:type="dxa" w:w="4680"/>
          </w:tcPr>
          <w:p>
            <w:r/>
            <w:r>
              <w:rPr>
                <w:b/>
                <w:i w:val="0"/>
                <w:sz w:val="19"/>
              </w:rPr>
              <w:t>Tiền lương chưa nhận.</w:t>
            </w:r>
            <w:r>
              <w:rPr>
                <w:b w:val="0"/>
                <w:i w:val="0"/>
                <w:sz w:val="19"/>
              </w:rPr>
              <w:t xml:space="preserve"> Tiền lương chưa nhận không được chi trả trong khung thời gian hợp lý, và sau khi đã có nỗ lực hợp lý để chuyển tiền cho nhân viên, thì phải được hoàn trả lại cho công ty. Tiền lương chưa nhận phải được nộp cho cơ quan chính phủ có thẩm quyền khi pháp luật yêu cầu. Việc chi trả tiền lương chưa nhận chỉ nên được thực hiện khi đã xác minh danh tính nhân viên đúng cách. </w:t>
            </w:r>
            <w:r>
              <w:rPr>
                <w:b/>
                <w:i w:val="0"/>
                <w:sz w:val="19"/>
              </w:rPr>
              <w:t>Tham khảo rủi ro: C-4</w:t>
            </w:r>
          </w:p>
        </w:tc>
      </w:tr>
      <w:tr>
        <w:tc>
          <w:tcPr>
            <w:tcW w:type="dxa" w:w="4680"/>
          </w:tcPr>
          <w:p>
            <w:r/>
            <w:r>
              <w:rPr>
                <w:b w:val="0"/>
                <w:i w:val="0"/>
                <w:sz w:val="19"/>
              </w:rPr>
              <w:t>5.3.4</w:t>
            </w:r>
          </w:p>
        </w:tc>
        <w:tc>
          <w:tcPr>
            <w:tcW w:type="dxa" w:w="4680"/>
          </w:tcPr>
          <w:p>
            <w:r/>
            <w:r>
              <w:rPr>
                <w:b/>
                <w:i w:val="0"/>
                <w:sz w:val="19"/>
              </w:rPr>
              <w:t>Các khoản thanh toán không phải tiền lương.</w:t>
            </w:r>
            <w:r>
              <w:rPr>
                <w:b w:val="0"/>
                <w:i w:val="0"/>
                <w:sz w:val="19"/>
              </w:rPr>
              <w:t xml:space="preserve"> Các khoản thanh toán do bộ phận tính lương xử lý nhưng không liên quan đến tiền lương kiếm được (ví dụ: ghi nhận đặc biệt) phải được đưa vào phiếu lương định kỳ hoặc chuyển khoản trực tiếp và được phân phối theo các kênh phân phối thông thường. </w:t>
            </w:r>
            <w:r>
              <w:rPr>
                <w:b/>
                <w:i w:val="0"/>
                <w:sz w:val="19"/>
              </w:rPr>
              <w:t>Tham khảo rủi ro: C-3</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C-1</w:t>
            </w:r>
          </w:p>
        </w:tc>
        <w:tc>
          <w:tcPr>
            <w:tcW w:type="dxa" w:w="4680"/>
          </w:tcPr>
          <w:p>
            <w:r/>
            <w:r>
              <w:rPr>
                <w:b w:val="0"/>
                <w:i w:val="0"/>
                <w:sz w:val="19"/>
              </w:rPr>
              <w:t>Tiền có thể bị biển thủ vì những thay đổi/bổ sung không đúng có thể được thực hiện trên hồ sơ gốc hoặc số giờ không chính xác có thể được gửi để thanh toán.</w:t>
            </w:r>
          </w:p>
        </w:tc>
      </w:tr>
      <w:tr>
        <w:tc>
          <w:tcPr>
            <w:tcW w:type="dxa" w:w="4680"/>
          </w:tcPr>
          <w:p>
            <w:r/>
            <w:r>
              <w:rPr>
                <w:b w:val="0"/>
                <w:i w:val="0"/>
                <w:sz w:val="19"/>
              </w:rPr>
              <w:t>C-2</w:t>
            </w:r>
          </w:p>
        </w:tc>
        <w:tc>
          <w:tcPr>
            <w:tcW w:type="dxa" w:w="4680"/>
          </w:tcPr>
          <w:p>
            <w:r/>
            <w:r>
              <w:rPr>
                <w:b w:val="0"/>
                <w:i w:val="0"/>
                <w:sz w:val="19"/>
              </w:rPr>
              <w:t>Không có dấu vết kiểm toán (audit trail) nào được tạo ra để đánh giá trách nhiệm đối với các tấm séc bị mất hoặc bị chuyển hướng.</w:t>
            </w:r>
          </w:p>
        </w:tc>
      </w:tr>
      <w:tr>
        <w:tc>
          <w:tcPr>
            <w:tcW w:type="dxa" w:w="4680"/>
          </w:tcPr>
          <w:p>
            <w:r/>
            <w:r>
              <w:rPr>
                <w:b w:val="0"/>
                <w:i w:val="0"/>
                <w:sz w:val="19"/>
              </w:rPr>
              <w:t>C-3</w:t>
            </w:r>
          </w:p>
        </w:tc>
        <w:tc>
          <w:tcPr>
            <w:tcW w:type="dxa" w:w="4680"/>
          </w:tcPr>
          <w:p>
            <w:r/>
            <w:r>
              <w:rPr>
                <w:b w:val="0"/>
                <w:i w:val="0"/>
                <w:sz w:val="19"/>
              </w:rPr>
              <w:t>Việc phân phối có thể được thực hiện cho nhân viên không được phép và không bị phát hiện.</w:t>
            </w:r>
          </w:p>
        </w:tc>
      </w:tr>
      <w:tr>
        <w:tc>
          <w:tcPr>
            <w:tcW w:type="dxa" w:w="4680"/>
          </w:tcPr>
          <w:p>
            <w:r/>
            <w:r>
              <w:rPr>
                <w:b w:val="0"/>
                <w:i w:val="0"/>
                <w:sz w:val="19"/>
              </w:rPr>
              <w:t>C-4</w:t>
            </w:r>
          </w:p>
        </w:tc>
        <w:tc>
          <w:tcPr>
            <w:tcW w:type="dxa" w:w="4680"/>
          </w:tcPr>
          <w:p>
            <w:r/>
            <w:r>
              <w:rPr>
                <w:b w:val="0"/>
                <w:i w:val="0"/>
                <w:sz w:val="19"/>
              </w:rPr>
              <w:t>Có thể dẫn đến việc biển thủ các tấm séc chưa nhận, mất séc, sao kê ngân hàng không thể đối chiếu, và/hoặc không tuân thủ các quy định của chính phủ.</w:t>
            </w:r>
          </w:p>
        </w:tc>
      </w:tr>
    </w:tbl>
    <w:p>
      <w:pPr>
        <w:spacing w:after="0"/>
      </w:pPr>
    </w:p>
    <w:p>
      <w:pPr>
        <w:pStyle w:val="Heading2"/>
      </w:pPr>
      <w:r>
        <w:rPr>
          <w:rFonts w:ascii="Calibri" w:hAnsi="Calibri"/>
          <w:b/>
          <w:i w:val="0"/>
          <w:sz w:val="32"/>
        </w:rPr>
        <w:t>5.4 LƯƠNG THƯỞNG VÀ PHÚC LỢI</w:t>
      </w:r>
    </w:p>
    <w:p>
      <w:pPr>
        <w:pStyle w:val="Heading3"/>
      </w:pPr>
      <w:r>
        <w:rPr>
          <w:rFonts w:ascii="Calibri" w:hAnsi="Calibri"/>
          <w:b/>
          <w:i w:val="0"/>
          <w:sz w:val="26"/>
        </w:rPr>
        <w:t>Giới thiệu</w:t>
      </w:r>
    </w:p>
    <w:p>
      <w:pPr>
        <w:spacing w:after="80"/>
      </w:pPr>
      <w:r>
        <w:rPr>
          <w:b w:val="0"/>
          <w:i w:val="0"/>
        </w:rPr>
        <w:t>Ban quản lý nhân sự (HR) phải thiết lập và duy trì các chính sách và hướng dẫn cho việc tuyển dụng, thăng chức, trả lương, chuyển công tác, điều chuyển chỗ ở, và chấm dứt hợp đồng nhân viên. Ban quản lý nhân sự được chỉ định phải chịu trách nhiệm quản lý các kế hoạch phúc lợi cho nhân viên. Các kế hoạch này phải được quản lý theo chính sách của công ty và các quy trình kế hoạch đã được định nghĩa.</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5.4.1</w:t>
            </w:r>
          </w:p>
        </w:tc>
        <w:tc>
          <w:tcPr>
            <w:tcW w:type="dxa" w:w="4680"/>
          </w:tcPr>
          <w:p>
            <w:r/>
            <w:r>
              <w:rPr>
                <w:b/>
                <w:i w:val="0"/>
                <w:sz w:val="19"/>
              </w:rPr>
              <w:t>Chính sách Nhân sự.</w:t>
            </w:r>
            <w:r>
              <w:rPr>
                <w:b w:val="0"/>
                <w:i w:val="0"/>
                <w:sz w:val="19"/>
              </w:rPr>
              <w:t xml:space="preserve"> Các chính sách và hướng dẫn cần được ban quản lý nhân sự định nghĩa rõ ràng dưới dạng các tiêu chí và quy trình cụ thể. </w:t>
            </w:r>
            <w:r>
              <w:rPr>
                <w:b/>
                <w:i w:val="0"/>
                <w:sz w:val="19"/>
              </w:rPr>
              <w:t>Tham chiếu rủi ro: D-2, D-3, D-4, D-10, D-11, D-12</w:t>
            </w:r>
          </w:p>
        </w:tc>
      </w:tr>
      <w:tr>
        <w:tc>
          <w:tcPr>
            <w:tcW w:type="dxa" w:w="4680"/>
          </w:tcPr>
          <w:p>
            <w:r/>
            <w:r>
              <w:rPr>
                <w:b w:val="0"/>
                <w:i w:val="0"/>
                <w:sz w:val="19"/>
              </w:rPr>
              <w:t>5.4.2</w:t>
            </w:r>
          </w:p>
        </w:tc>
        <w:tc>
          <w:tcPr>
            <w:tcW w:type="dxa" w:w="4680"/>
          </w:tcPr>
          <w:p>
            <w:r/>
            <w:r>
              <w:rPr>
                <w:b/>
                <w:i w:val="0"/>
                <w:sz w:val="19"/>
              </w:rPr>
              <w:t>Phúc lợi Nhân viên.</w:t>
            </w:r>
            <w:r>
              <w:rPr>
                <w:b w:val="0"/>
                <w:i w:val="0"/>
                <w:sz w:val="19"/>
              </w:rPr>
              <w:t xml:space="preserve"> Các chính sách cho những phúc lợi chính của nhân viên, như chia sẻ lợi nhuận, lương hưu, nghỉ phép và bảo hiểm, phải được ban quản lý xem xét và phê duyệt. Các quy tắc, tiêu chí, quy trình, v.v. cho tất cả phúc lợi phải được ban quản lý nhân sự ghi nhận và phê duyệt, đồng thời được bảo mật theo quy định bảo mật HIPAA. </w:t>
            </w:r>
            <w:r>
              <w:rPr>
                <w:b/>
                <w:i w:val="0"/>
                <w:sz w:val="19"/>
              </w:rPr>
              <w:t>Tham chiếu rủi ro: D-2, D-3, D-4, D-10, D-11, D-12</w:t>
            </w:r>
          </w:p>
        </w:tc>
      </w:tr>
      <w:tr>
        <w:tc>
          <w:tcPr>
            <w:tcW w:type="dxa" w:w="4680"/>
          </w:tcPr>
          <w:p>
            <w:r/>
            <w:r>
              <w:rPr>
                <w:b w:val="0"/>
                <w:i w:val="0"/>
                <w:sz w:val="19"/>
              </w:rPr>
              <w:t>5.4.3</w:t>
            </w:r>
          </w:p>
        </w:tc>
        <w:tc>
          <w:tcPr>
            <w:tcW w:type="dxa" w:w="4680"/>
          </w:tcPr>
          <w:p>
            <w:r/>
            <w:r>
              <w:rPr>
                <w:b/>
                <w:i w:val="0"/>
                <w:sz w:val="19"/>
              </w:rPr>
              <w:t>Thù lao.</w:t>
            </w:r>
            <w:r>
              <w:rPr>
                <w:b w:val="0"/>
                <w:i w:val="0"/>
                <w:sz w:val="19"/>
              </w:rPr>
              <w:t xml:space="preserve"> Thù lao (lương cơ bản, lương biến đổi, hoa hồng bán hàng, giải thưởng ghi nhận, v.v.) cho nhân viên phải được trả theo mức được ủy quyền phù hợp và đúng phân loại công việc cho các dịch vụ đã thực hiện. Ban quản lý phòng ban phải ủy quyền đúng cách cho các thay đổi về thù lao. </w:t>
            </w:r>
            <w:r>
              <w:rPr>
                <w:b/>
                <w:i w:val="0"/>
                <w:sz w:val="19"/>
              </w:rPr>
              <w:t>Tham chiếu rủi ro: D-2, D-4, D-10, D-11, D-12</w:t>
            </w:r>
          </w:p>
        </w:tc>
      </w:tr>
      <w:tr>
        <w:tc>
          <w:tcPr>
            <w:tcW w:type="dxa" w:w="4680"/>
          </w:tcPr>
          <w:p>
            <w:r/>
            <w:r>
              <w:rPr>
                <w:b w:val="0"/>
                <w:i w:val="0"/>
                <w:sz w:val="19"/>
              </w:rPr>
              <w:t>5.4.4</w:t>
            </w:r>
          </w:p>
        </w:tc>
        <w:tc>
          <w:tcPr>
            <w:tcW w:type="dxa" w:w="4680"/>
          </w:tcPr>
          <w:p>
            <w:r/>
            <w:r>
              <w:rPr>
                <w:b/>
                <w:i w:val="0"/>
                <w:sz w:val="19"/>
              </w:rPr>
              <w:t>Quản lý Hồ sơ.</w:t>
            </w:r>
            <w:r>
              <w:rPr>
                <w:b w:val="0"/>
                <w:i w:val="0"/>
                <w:sz w:val="19"/>
              </w:rPr>
              <w:t xml:space="preserve"> Tất cả hồ sơ về thù lao và phúc lợi phải được bộ phận nhân sự và ban quản lý công ty duy trì đúng cách và chính xác theo các kế hoạch nhân viên của công ty. Tài liệu nhân sự tối thiểu phải bao gồm dữ liệu việc làm được thực hiện đúng cách, phân loại được ủy quyền và mức lương. </w:t>
            </w:r>
            <w:r>
              <w:rPr>
                <w:b/>
                <w:i w:val="0"/>
                <w:sz w:val="19"/>
              </w:rPr>
              <w:t>Tham chiếu rủi ro: D-4</w:t>
            </w:r>
          </w:p>
        </w:tc>
      </w:tr>
      <w:tr>
        <w:tc>
          <w:tcPr>
            <w:tcW w:type="dxa" w:w="4680"/>
          </w:tcPr>
          <w:p>
            <w:r/>
            <w:r>
              <w:rPr>
                <w:b w:val="0"/>
                <w:i w:val="0"/>
                <w:sz w:val="19"/>
              </w:rPr>
              <w:t>5.4.5</w:t>
            </w:r>
          </w:p>
        </w:tc>
        <w:tc>
          <w:tcPr>
            <w:tcW w:type="dxa" w:w="4680"/>
          </w:tcPr>
          <w:p>
            <w:r/>
            <w:r>
              <w:rPr>
                <w:b/>
                <w:i w:val="0"/>
                <w:sz w:val="19"/>
              </w:rPr>
              <w:t>Giao dịch được Ủy quyền.</w:t>
            </w:r>
            <w:r>
              <w:rPr>
                <w:b w:val="0"/>
                <w:i w:val="0"/>
                <w:sz w:val="19"/>
              </w:rPr>
              <w:t xml:space="preserve"> Các quy trình chính thức, cùng với tài liệu được ủy quyền đúng cách, phải được duy trì để đảm bảo rằng chỉ những thay đổi, thêm hoặc xóa thông tin nhân viên được ủy quyền mới được phép thực hiện. Phải có các quy trình để đảm bảo các yếu tố chính của bảng lương khớp với tài liệu nhân sự. Bộ phận bảng lương phải được thông báo kịp thời về việc thêm, xóa hoặc thay đổi thông tin nhân viên. </w:t>
            </w:r>
            <w:r>
              <w:rPr>
                <w:b/>
                <w:i w:val="0"/>
                <w:sz w:val="19"/>
              </w:rPr>
              <w:t>Tham chiếu rủi ro: D-2, D-4, D-5, D-6, D-7</w:t>
            </w:r>
          </w:p>
        </w:tc>
      </w:tr>
      <w:tr>
        <w:tc>
          <w:tcPr>
            <w:tcW w:type="dxa" w:w="4680"/>
          </w:tcPr>
          <w:p>
            <w:r/>
            <w:r>
              <w:rPr>
                <w:b w:val="0"/>
                <w:i w:val="0"/>
                <w:sz w:val="19"/>
              </w:rPr>
              <w:t>5.4.6</w:t>
            </w:r>
          </w:p>
        </w:tc>
        <w:tc>
          <w:tcPr>
            <w:tcW w:type="dxa" w:w="4680"/>
          </w:tcPr>
          <w:p>
            <w:r/>
            <w:r>
              <w:rPr>
                <w:b/>
                <w:i w:val="0"/>
                <w:sz w:val="19"/>
              </w:rPr>
              <w:t>Quản trị các Kế hoạch Phúc lợi Nhân viên.</w:t>
            </w:r>
            <w:r>
              <w:rPr>
                <w:b w:val="0"/>
                <w:i w:val="0"/>
                <w:sz w:val="19"/>
              </w:rPr>
              <w:t xml:space="preserve"> Các khoản thanh toán phúc lợi cho nhân viên phải được thực hiện theo các điều khoản và điều kiện của kế hoạch, đồng thời phải được ghi nhận đầy đủ và phê duyệt đúng cách. </w:t>
            </w:r>
            <w:r>
              <w:rPr>
                <w:b/>
                <w:i w:val="0"/>
                <w:sz w:val="19"/>
              </w:rPr>
              <w:t>Tham chiếu rủi ro: D-2, D-3, D-4, D-6</w:t>
            </w:r>
          </w:p>
        </w:tc>
      </w:tr>
      <w:tr>
        <w:tc>
          <w:tcPr>
            <w:tcW w:type="dxa" w:w="4680"/>
          </w:tcPr>
          <w:p>
            <w:r/>
            <w:r>
              <w:rPr>
                <w:b w:val="0"/>
                <w:i w:val="0"/>
                <w:sz w:val="19"/>
              </w:rPr>
              <w:t>5.4.7</w:t>
            </w:r>
          </w:p>
        </w:tc>
        <w:tc>
          <w:tcPr>
            <w:tcW w:type="dxa" w:w="4680"/>
          </w:tcPr>
          <w:p>
            <w:r/>
            <w:r>
              <w:rPr>
                <w:b/>
                <w:i w:val="0"/>
                <w:sz w:val="19"/>
              </w:rPr>
              <w:t>Phân tách Nhiệm vụ.</w:t>
            </w:r>
            <w:r>
              <w:rPr>
                <w:b w:val="0"/>
                <w:i w:val="0"/>
                <w:sz w:val="19"/>
              </w:rPr>
              <w:t xml:space="preserve"> Các trách nhiệm nhân sự, bao gồm ủy quyền bảng lương (như thêm và chấm dứt nhân viên, thay đổi mức lương và thay đổi dữ liệu bảng lương tổng), phải được tách biệt khỏi các trách nhiệm xử lý, phân phối và ghi nhận bảng lương. </w:t>
            </w:r>
            <w:r>
              <w:rPr>
                <w:b/>
                <w:i w:val="0"/>
                <w:sz w:val="19"/>
              </w:rPr>
              <w:t>Tham chiếu rủi ro: D-8</w:t>
            </w:r>
          </w:p>
        </w:tc>
      </w:tr>
      <w:tr>
        <w:tc>
          <w:tcPr>
            <w:tcW w:type="dxa" w:w="4680"/>
          </w:tcPr>
          <w:p>
            <w:r/>
            <w:r>
              <w:rPr>
                <w:b w:val="0"/>
                <w:i w:val="0"/>
                <w:sz w:val="19"/>
              </w:rPr>
              <w:t>5.4.8</w:t>
            </w:r>
          </w:p>
        </w:tc>
        <w:tc>
          <w:tcPr>
            <w:tcW w:type="dxa" w:w="4680"/>
          </w:tcPr>
          <w:p>
            <w:r/>
            <w:r>
              <w:rPr>
                <w:b/>
                <w:i w:val="0"/>
                <w:sz w:val="19"/>
              </w:rPr>
              <w:t>Tính bảo mật.</w:t>
            </w:r>
            <w:r>
              <w:rPr>
                <w:b w:val="0"/>
                <w:i w:val="0"/>
                <w:sz w:val="19"/>
              </w:rPr>
              <w:t xml:space="preserve"> Thông tin về bảng lương và nguồn nhân lực cần được bảo mật và chỉ giới hạn cho những nhân sự được ủy quyền nhằm đảm bảo tuân thủ các quy tắc bảo mật của HIPAA. </w:t>
            </w:r>
            <w:r>
              <w:rPr>
                <w:b/>
                <w:i w:val="0"/>
                <w:sz w:val="19"/>
              </w:rPr>
              <w:t>Tham chiếu rủi ro: D-9</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D-1</w:t>
            </w:r>
          </w:p>
        </w:tc>
        <w:tc>
          <w:tcPr>
            <w:tcW w:type="dxa" w:w="4680"/>
          </w:tcPr>
          <w:p>
            <w:r/>
            <w:r>
              <w:rPr>
                <w:b w:val="0"/>
                <w:i w:val="0"/>
                <w:sz w:val="19"/>
              </w:rPr>
              <w:t>Có thể tuyển dụng những cá nhân không đáp ứng tiêu chí tuyển dụng của công ty, dẫn đến lực lượng lao động không đủ về số lượng và/hoặc chất lượng.</w:t>
            </w:r>
          </w:p>
        </w:tc>
      </w:tr>
      <w:tr>
        <w:tc>
          <w:tcPr>
            <w:tcW w:type="dxa" w:w="4680"/>
          </w:tcPr>
          <w:p>
            <w:r/>
            <w:r>
              <w:rPr>
                <w:b w:val="0"/>
                <w:i w:val="0"/>
                <w:sz w:val="19"/>
              </w:rPr>
              <w:t>D-2</w:t>
            </w:r>
          </w:p>
        </w:tc>
        <w:tc>
          <w:tcPr>
            <w:tcW w:type="dxa" w:w="4680"/>
          </w:tcPr>
          <w:p>
            <w:r/>
            <w:r>
              <w:rPr>
                <w:b w:val="0"/>
                <w:i w:val="0"/>
                <w:sz w:val="19"/>
              </w:rPr>
              <w:t>Các khoản thanh toán sai có thể bị chi trả cho nhân viên sau đó.</w:t>
            </w:r>
          </w:p>
        </w:tc>
      </w:tr>
      <w:tr>
        <w:tc>
          <w:tcPr>
            <w:tcW w:type="dxa" w:w="4680"/>
          </w:tcPr>
          <w:p>
            <w:r/>
            <w:r>
              <w:rPr>
                <w:b w:val="0"/>
                <w:i w:val="0"/>
                <w:sz w:val="19"/>
              </w:rPr>
              <w:t>D-3</w:t>
            </w:r>
          </w:p>
        </w:tc>
        <w:tc>
          <w:tcPr>
            <w:tcW w:type="dxa" w:w="4680"/>
          </w:tcPr>
          <w:p>
            <w:r/>
            <w:r>
              <w:rPr>
                <w:b w:val="0"/>
                <w:i w:val="0"/>
                <w:sz w:val="19"/>
              </w:rPr>
              <w:t>Các khoản trích trước cho phúc lợi, như chia sẻ lợi nhuận, lương hưu, nghỉ phép và bảo hiểm, có thể bị tính toán sai, dẫn đến các khoản nợ phải trả bị báo cáo sai.</w:t>
            </w:r>
          </w:p>
        </w:tc>
      </w:tr>
      <w:tr>
        <w:tc>
          <w:tcPr>
            <w:tcW w:type="dxa" w:w="4680"/>
          </w:tcPr>
          <w:p>
            <w:r/>
            <w:r>
              <w:rPr>
                <w:b w:val="0"/>
                <w:i w:val="0"/>
                <w:sz w:val="19"/>
              </w:rPr>
              <w:t>D-4</w:t>
            </w:r>
          </w:p>
        </w:tc>
        <w:tc>
          <w:tcPr>
            <w:tcW w:type="dxa" w:w="4680"/>
          </w:tcPr>
          <w:p>
            <w:r/>
            <w:r>
              <w:rPr>
                <w:b w:val="0"/>
                <w:i w:val="0"/>
                <w:sz w:val="19"/>
              </w:rPr>
              <w:t>Các luật và quy định của chính phủ có thể bị vi phạm, dẫn đến tiền phạt, hình phạt, kiện tụng hoặc các khoản nợ tiềm tàng.</w:t>
            </w:r>
          </w:p>
        </w:tc>
      </w:tr>
      <w:tr>
        <w:tc>
          <w:tcPr>
            <w:tcW w:type="dxa" w:w="4680"/>
          </w:tcPr>
          <w:p>
            <w:r/>
            <w:r>
              <w:rPr>
                <w:b w:val="0"/>
                <w:i w:val="0"/>
                <w:sz w:val="19"/>
              </w:rPr>
              <w:t>D-5</w:t>
            </w:r>
          </w:p>
        </w:tc>
        <w:tc>
          <w:tcPr>
            <w:tcW w:type="dxa" w:w="4680"/>
          </w:tcPr>
          <w:p>
            <w:r/>
            <w:r>
              <w:rPr>
                <w:b w:val="0"/>
                <w:i w:val="0"/>
                <w:sz w:val="19"/>
              </w:rPr>
              <w:t>Các khoản thanh toán bảng lương và tài khoản thuế bảng lương có thể bị báo cáo sai.</w:t>
            </w:r>
          </w:p>
        </w:tc>
      </w:tr>
      <w:tr>
        <w:tc>
          <w:tcPr>
            <w:tcW w:type="dxa" w:w="4680"/>
          </w:tcPr>
          <w:p>
            <w:r/>
            <w:r>
              <w:rPr>
                <w:b w:val="0"/>
                <w:i w:val="0"/>
                <w:sz w:val="19"/>
              </w:rPr>
              <w:t>D-6</w:t>
            </w:r>
          </w:p>
        </w:tc>
        <w:tc>
          <w:tcPr>
            <w:tcW w:type="dxa" w:w="4680"/>
          </w:tcPr>
          <w:p>
            <w:r/>
            <w:r>
              <w:rPr>
                <w:b w:val="0"/>
                <w:i w:val="0"/>
                <w:sz w:val="19"/>
              </w:rPr>
              <w:t>Các giao dịch không được ủy quyền có thể được xử lý, dẫn đến thanh toán không đúng và/hoặc thanh toán cho nhân viên giả mạo.</w:t>
            </w:r>
          </w:p>
        </w:tc>
      </w:tr>
      <w:tr>
        <w:tc>
          <w:tcPr>
            <w:tcW w:type="dxa" w:w="4680"/>
          </w:tcPr>
          <w:p>
            <w:r/>
            <w:r>
              <w:rPr>
                <w:b w:val="0"/>
                <w:i w:val="0"/>
                <w:sz w:val="19"/>
              </w:rPr>
              <w:t>D-7</w:t>
            </w:r>
          </w:p>
        </w:tc>
        <w:tc>
          <w:tcPr>
            <w:tcW w:type="dxa" w:w="4680"/>
          </w:tcPr>
          <w:p>
            <w:r/>
            <w:r>
              <w:rPr>
                <w:b w:val="0"/>
                <w:i w:val="0"/>
                <w:sz w:val="19"/>
              </w:rPr>
              <w:t>Các khoản thanh toán không đúng có thể không bị phát hiện và sửa chữa.</w:t>
            </w:r>
          </w:p>
        </w:tc>
      </w:tr>
      <w:tr>
        <w:tc>
          <w:tcPr>
            <w:tcW w:type="dxa" w:w="4680"/>
          </w:tcPr>
          <w:p>
            <w:r/>
            <w:r>
              <w:rPr>
                <w:b w:val="0"/>
                <w:i w:val="0"/>
                <w:sz w:val="19"/>
              </w:rPr>
              <w:t>D-8</w:t>
            </w:r>
          </w:p>
        </w:tc>
        <w:tc>
          <w:tcPr>
            <w:tcW w:type="dxa" w:w="4680"/>
          </w:tcPr>
          <w:p>
            <w:r/>
            <w:r>
              <w:rPr>
                <w:b w:val="0"/>
                <w:i w:val="0"/>
                <w:sz w:val="19"/>
              </w:rPr>
              <w:t>Các giao dịch trái phép có thể được xử lý và không bị phát hiện, dẫn đến việc biển thủ hoặc chuyển hướng tạm thời nguồn tiền.</w:t>
            </w:r>
          </w:p>
        </w:tc>
      </w:tr>
      <w:tr>
        <w:tc>
          <w:tcPr>
            <w:tcW w:type="dxa" w:w="4680"/>
          </w:tcPr>
          <w:p>
            <w:r/>
            <w:r>
              <w:rPr>
                <w:b w:val="0"/>
                <w:i w:val="0"/>
                <w:sz w:val="19"/>
              </w:rPr>
              <w:t>D-9</w:t>
            </w:r>
          </w:p>
        </w:tc>
        <w:tc>
          <w:tcPr>
            <w:tcW w:type="dxa" w:w="4680"/>
          </w:tcPr>
          <w:p>
            <w:r/>
            <w:r>
              <w:rPr>
                <w:b w:val="0"/>
                <w:i w:val="0"/>
                <w:sz w:val="19"/>
              </w:rPr>
              <w:t>Hồ sơ nhân sự không được áp dụng các quy trình bảo mật phù hợp và thông tin mật có thể bị truy cập và/hoặc tiết lộ, gây tổn hại cho công ty cùng nhân viên và vi phạm quy tắc bảo mật HIPAA.</w:t>
            </w:r>
          </w:p>
        </w:tc>
      </w:tr>
      <w:tr>
        <w:tc>
          <w:tcPr>
            <w:tcW w:type="dxa" w:w="4680"/>
          </w:tcPr>
          <w:p>
            <w:r/>
            <w:r>
              <w:rPr>
                <w:b w:val="0"/>
                <w:i w:val="0"/>
                <w:sz w:val="19"/>
              </w:rPr>
              <w:t>D-10</w:t>
            </w:r>
          </w:p>
        </w:tc>
        <w:tc>
          <w:tcPr>
            <w:tcW w:type="dxa" w:w="4680"/>
          </w:tcPr>
          <w:p>
            <w:r/>
            <w:r>
              <w:rPr>
                <w:b w:val="0"/>
                <w:i w:val="0"/>
                <w:sz w:val="19"/>
              </w:rPr>
              <w:t>Lương thưởng và phúc lợi thấp hơn so với các công ty tương đương.</w:t>
            </w:r>
          </w:p>
        </w:tc>
      </w:tr>
      <w:tr>
        <w:tc>
          <w:tcPr>
            <w:tcW w:type="dxa" w:w="4680"/>
          </w:tcPr>
          <w:p>
            <w:r/>
            <w:r>
              <w:rPr>
                <w:b w:val="0"/>
                <w:i w:val="0"/>
                <w:sz w:val="19"/>
              </w:rPr>
              <w:t>D-11</w:t>
            </w:r>
          </w:p>
        </w:tc>
        <w:tc>
          <w:tcPr>
            <w:tcW w:type="dxa" w:w="4680"/>
          </w:tcPr>
          <w:p>
            <w:r/>
            <w:r>
              <w:rPr>
                <w:b w:val="0"/>
                <w:i w:val="0"/>
                <w:sz w:val="19"/>
              </w:rPr>
              <w:t>Nhân viên có thể không cảm thấy nỗ lực của mình được ghi nhận hay đánh giá cao.</w:t>
            </w:r>
          </w:p>
        </w:tc>
      </w:tr>
      <w:tr>
        <w:tc>
          <w:tcPr>
            <w:tcW w:type="dxa" w:w="4680"/>
          </w:tcPr>
          <w:p>
            <w:r/>
            <w:r>
              <w:rPr>
                <w:b w:val="0"/>
                <w:i w:val="0"/>
                <w:sz w:val="19"/>
              </w:rPr>
              <w:t>D-12</w:t>
            </w:r>
          </w:p>
        </w:tc>
        <w:tc>
          <w:tcPr>
            <w:tcW w:type="dxa" w:w="4680"/>
          </w:tcPr>
          <w:p>
            <w:r/>
            <w:r>
              <w:rPr>
                <w:b w:val="0"/>
                <w:i w:val="0"/>
                <w:sz w:val="19"/>
              </w:rPr>
              <w:t>Tỷ lệ thay đổi nhân sự cao hơn mức tối ưu.</w:t>
            </w:r>
          </w:p>
        </w:tc>
      </w:tr>
    </w:tbl>
    <w:p>
      <w:pPr>
        <w:spacing w:after="0"/>
      </w:pPr>
    </w:p>
    <w:p>
      <w:pPr>
        <w:pStyle w:val="Heading2"/>
      </w:pPr>
      <w:r>
        <w:rPr>
          <w:rFonts w:ascii="Calibri" w:hAnsi="Calibri"/>
          <w:b/>
          <w:i w:val="0"/>
          <w:sz w:val="32"/>
        </w:rPr>
        <w:t>5.5 TUYỂN DỤNG VÀ CHẤM DỨT HỢP ĐỒNG</w:t>
      </w:r>
    </w:p>
    <w:p>
      <w:pPr>
        <w:pStyle w:val="Heading3"/>
      </w:pPr>
      <w:r>
        <w:rPr>
          <w:rFonts w:ascii="Calibri" w:hAnsi="Calibri"/>
          <w:b/>
          <w:i w:val="0"/>
          <w:sz w:val="26"/>
        </w:rPr>
        <w:t>Giới thiệu</w:t>
      </w:r>
    </w:p>
    <w:p>
      <w:pPr>
        <w:spacing w:after="80"/>
      </w:pPr>
      <w:r>
        <w:rPr>
          <w:b w:val="0"/>
          <w:i w:val="0"/>
        </w:rPr>
        <w:t>Trước khi tuyển dụng nhân viên, bộ phận nhân sự và tuyển dụng cùng với người giám sát bộ phận của nhân viên tiềm năng phải đảm bảo rằng các tiêu chí cụ thể được thiết lập.</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5.5.1</w:t>
            </w:r>
          </w:p>
        </w:tc>
        <w:tc>
          <w:tcPr>
            <w:tcW w:type="dxa" w:w="4680"/>
          </w:tcPr>
          <w:p>
            <w:r/>
            <w:r>
              <w:rPr>
                <w:b w:val="0"/>
                <w:i w:val="0"/>
                <w:sz w:val="19"/>
              </w:rPr>
              <w:t>Quy trình tuyển dụng nhân viên. Trước khi tuyển dụng nhân viên, bộ phận nhân sự/tuyển dụng cùng với người giám sát bộ phận của nhân viên tiềm năng phải đảm bảo rằng các tiêu chí sau được đáp ứng:</w:t>
            </w:r>
            <w:r>
              <w:br/>
            </w:r>
            <w:r>
              <w:rPr>
                <w:b w:val="0"/>
                <w:i w:val="0"/>
                <w:sz w:val="19"/>
              </w:rPr>
              <w:t>a. Các phương pháp nhận diện, sàng lọc và tuyển dụng ứng viên phù hợp được ghi chép và duy trì.</w:t>
            </w:r>
            <w:r>
              <w:br/>
            </w:r>
            <w:r>
              <w:rPr>
                <w:b w:val="0"/>
                <w:i w:val="0"/>
                <w:sz w:val="19"/>
              </w:rPr>
              <w:t>b. Các yêu cầu kỹ năng cho vị trí được xác định rõ ràng và ghi chép lại.</w:t>
            </w:r>
            <w:r>
              <w:br/>
            </w:r>
            <w:r>
              <w:rPr>
                <w:b w:val="0"/>
                <w:i w:val="0"/>
                <w:sz w:val="19"/>
              </w:rPr>
              <w:t>c. Có những nỗ lực hợp lý để điều tra và xem xét các ứng viên nội bộ; tuy nhiên, cả tuyển dụng nội bộ và bên ngoài sẽ bắt đầu cùng lúc.</w:t>
            </w:r>
            <w:r>
              <w:br/>
            </w:r>
            <w:r>
              <w:rPr>
                <w:b w:val="0"/>
                <w:i w:val="0"/>
                <w:sz w:val="19"/>
              </w:rPr>
              <w:t>d. Các bản mô tả công việc đầy đủ với yêu cầu kỹ năng và tiêu chí tuyển dụng được xác định và có thể dùng để đo lường, so sánh trình độ của các ứng viên.</w:t>
            </w:r>
            <w:r>
              <w:br/>
            </w:r>
            <w:r>
              <w:rPr>
                <w:b w:val="0"/>
                <w:i w:val="0"/>
                <w:sz w:val="19"/>
              </w:rPr>
              <w:t>e. Các yêu cầu về kế hoạch nhân sự được xây dựng và xem xét như một phần của quá trình lập kế hoạch kinh doanh liên tục. Việc này sẽ được thực hiện hàng năm hoặc theo yêu cầu của hoạt động kinh doanh.</w:t>
            </w:r>
            <w:r>
              <w:br/>
            </w:r>
            <w:r>
              <w:rPr>
                <w:b w:val="0"/>
                <w:i w:val="0"/>
                <w:sz w:val="19"/>
              </w:rPr>
              <w:t xml:space="preserve">f. Nhân viên mới được định hướng nhân viên và trải qua quy trình hội nhập. </w:t>
            </w:r>
            <w:r>
              <w:rPr>
                <w:b/>
                <w:i w:val="0"/>
                <w:sz w:val="19"/>
              </w:rPr>
              <w:t>Tham khảo rủi ro: E-1, E-2, E-3</w:t>
            </w:r>
          </w:p>
        </w:tc>
      </w:tr>
      <w:tr>
        <w:tc>
          <w:tcPr>
            <w:tcW w:type="dxa" w:w="4680"/>
          </w:tcPr>
          <w:p>
            <w:r/>
            <w:r>
              <w:rPr>
                <w:b w:val="0"/>
                <w:i w:val="0"/>
                <w:sz w:val="19"/>
              </w:rPr>
              <w:t>5.5.2</w:t>
            </w:r>
          </w:p>
        </w:tc>
        <w:tc>
          <w:tcPr>
            <w:tcW w:type="dxa" w:w="4680"/>
          </w:tcPr>
          <w:p>
            <w:r/>
            <w:r>
              <w:rPr>
                <w:b w:val="0"/>
                <w:i w:val="0"/>
                <w:sz w:val="19"/>
              </w:rPr>
              <w:t>Quy trình chấm dứt/từ chức của nhân viên. Khi nhận được thông báo về việc chấm dứt hoặc từ chức của nhân viên, người giám sát của nhân viên đó thông báo cho Bộ phận Nhân sự và cùng nhau họ phải đảm bảo:</w:t>
            </w:r>
            <w:r>
              <w:br/>
            </w:r>
            <w:r>
              <w:rPr>
                <w:b w:val="0"/>
                <w:i w:val="0"/>
                <w:sz w:val="19"/>
              </w:rPr>
              <w:t>a. Tất cả các khoản tạm ứng tiền mặt và bảng kê chi phí còn tồn đọng đã được hoàn tất và thanh toán xong.</w:t>
            </w:r>
            <w:r>
              <w:br/>
            </w:r>
            <w:r>
              <w:rPr>
                <w:b w:val="0"/>
                <w:i w:val="0"/>
                <w:sz w:val="19"/>
              </w:rPr>
              <w:t>b. Tất cả thẻ tín dụng công ty (ví dụ: American Express, thẻ điện thoại, thẻ mua sắm, thẻ bay) đã được trả lại và cắt hủy.</w:t>
            </w:r>
            <w:r>
              <w:br/>
            </w:r>
            <w:r>
              <w:rPr>
                <w:b w:val="0"/>
                <w:i w:val="0"/>
                <w:sz w:val="19"/>
              </w:rPr>
              <w:t>c. Thông báo được gửi đến nhóm Dịch vụ Thông tin để hủy tất cả các tài khoản máy tính và điện thoại.</w:t>
            </w:r>
            <w:r>
              <w:br/>
            </w:r>
            <w:r>
              <w:rPr>
                <w:b w:val="0"/>
                <w:i w:val="0"/>
                <w:sz w:val="19"/>
              </w:rPr>
              <w:t>d. Tất cả tài sản của công ty (như máy tính, v.v.), thông tin độc quyền, thẻ nhân viên, và thẻ ra vào hoặc chìa khóa an ninh đã được trả lại.</w:t>
            </w:r>
            <w:r>
              <w:br/>
            </w:r>
            <w:r>
              <w:rPr>
                <w:b w:val="0"/>
                <w:i w:val="0"/>
                <w:sz w:val="19"/>
              </w:rPr>
              <w:t>e. Các nhà cung cấp bên thứ ba được thông báo để loại bỏ mọi quyền hạn thực hiện công việc kinh doanh của công ty (ví dụ: quyền ký séc, hợp đồng) của nhân viên bị chấm dứt.</w:t>
            </w:r>
            <w:r>
              <w:br/>
            </w:r>
            <w:r>
              <w:rPr>
                <w:b w:val="0"/>
                <w:i w:val="0"/>
                <w:sz w:val="19"/>
              </w:rPr>
              <w:t xml:space="preserve">f. Bộ phận HR thực hiện một buổi phỏng vấn thôi việc để đảm bảo mọi công việc cuối cùng được giải quyết và có sự hiểu biết về lý do ra đi nếu việc chấm dứt là tự nguyện. </w:t>
            </w:r>
            <w:r>
              <w:rPr>
                <w:b/>
                <w:i w:val="0"/>
                <w:sz w:val="19"/>
              </w:rPr>
              <w:t>Tham khảo các rủi ro: E-4, E-5, E-6</w:t>
            </w:r>
          </w:p>
        </w:tc>
      </w:tr>
      <w:tr>
        <w:tc>
          <w:tcPr>
            <w:tcW w:type="dxa" w:w="4680"/>
          </w:tcPr>
          <w:p>
            <w:r/>
            <w:r>
              <w:rPr>
                <w:b w:val="0"/>
                <w:i w:val="0"/>
                <w:sz w:val="19"/>
              </w:rPr>
              <w:t>5.5.3</w:t>
            </w:r>
          </w:p>
        </w:tc>
        <w:tc>
          <w:tcPr>
            <w:tcW w:type="dxa" w:w="4680"/>
          </w:tcPr>
          <w:p>
            <w:r/>
            <w:r>
              <w:rPr>
                <w:b/>
                <w:i w:val="0"/>
                <w:sz w:val="19"/>
              </w:rPr>
              <w:t>Thỏa thuận Lao động.</w:t>
            </w:r>
            <w:r>
              <w:rPr>
                <w:b w:val="0"/>
                <w:i w:val="0"/>
                <w:sz w:val="19"/>
              </w:rPr>
              <w:t xml:space="preserve"> Điều quan trọng là phải liên tục nhận biết tinh thần của nhân viên và các thỏa thuận làm việc của họ để xác định bất kỳ tình huống làm việc thù địch nào. Cần thực hiện các bước hợp lý để tránh tranh chấp lao động và các vấn đề tiềm ẩn liên quan đến công đoàn hoặc hội đồng lao động hiện hành. </w:t>
            </w:r>
            <w:r>
              <w:rPr>
                <w:b/>
                <w:i w:val="0"/>
                <w:sz w:val="19"/>
              </w:rPr>
              <w:t>Tham khảo rủi ro: E-7</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E-1</w:t>
            </w:r>
          </w:p>
        </w:tc>
        <w:tc>
          <w:tcPr>
            <w:tcW w:type="dxa" w:w="4680"/>
          </w:tcPr>
          <w:p>
            <w:r/>
            <w:r>
              <w:rPr>
                <w:b w:val="0"/>
                <w:i w:val="0"/>
                <w:sz w:val="19"/>
              </w:rPr>
              <w:t>Có thể tuyển dụng những cá nhân không đáp ứng tiêu chí tuyển dụng của công ty, dẫn đến lực lượng lao động không đầy đủ về số lượng và/hoặc chất lượng.</w:t>
            </w:r>
          </w:p>
        </w:tc>
      </w:tr>
      <w:tr>
        <w:tc>
          <w:tcPr>
            <w:tcW w:type="dxa" w:w="4680"/>
          </w:tcPr>
          <w:p>
            <w:r/>
            <w:r>
              <w:rPr>
                <w:b w:val="0"/>
                <w:i w:val="0"/>
                <w:sz w:val="19"/>
              </w:rPr>
              <w:t>E-2</w:t>
            </w:r>
          </w:p>
        </w:tc>
        <w:tc>
          <w:tcPr>
            <w:tcW w:type="dxa" w:w="4680"/>
          </w:tcPr>
          <w:p>
            <w:r/>
            <w:r>
              <w:rPr>
                <w:b w:val="0"/>
                <w:i w:val="0"/>
                <w:sz w:val="19"/>
              </w:rPr>
              <w:t>Công ty không thể hạch toán chính xác các ứng viên hoặc phản ánh ứng viên so với các yêu cầu nhân sự cụ thể.</w:t>
            </w:r>
          </w:p>
        </w:tc>
      </w:tr>
      <w:tr>
        <w:tc>
          <w:tcPr>
            <w:tcW w:type="dxa" w:w="4680"/>
          </w:tcPr>
          <w:p>
            <w:r/>
            <w:r>
              <w:rPr>
                <w:b w:val="0"/>
                <w:i w:val="0"/>
                <w:sz w:val="19"/>
              </w:rPr>
              <w:t>E-3</w:t>
            </w:r>
          </w:p>
        </w:tc>
        <w:tc>
          <w:tcPr>
            <w:tcW w:type="dxa" w:w="4680"/>
          </w:tcPr>
          <w:p>
            <w:r/>
            <w:r>
              <w:rPr>
                <w:b w:val="0"/>
                <w:i w:val="0"/>
                <w:sz w:val="19"/>
              </w:rPr>
              <w:t>Công ty có thể không nhận thức được nhu cầu nhân sự trong tương lai của mình và không thể đáp ứng các mục tiêu kinh doanh.</w:t>
            </w:r>
          </w:p>
        </w:tc>
      </w:tr>
      <w:tr>
        <w:tc>
          <w:tcPr>
            <w:tcW w:type="dxa" w:w="4680"/>
          </w:tcPr>
          <w:p>
            <w:r/>
            <w:r>
              <w:rPr>
                <w:b w:val="0"/>
                <w:i w:val="0"/>
                <w:sz w:val="19"/>
              </w:rPr>
              <w:t>E-4</w:t>
            </w:r>
          </w:p>
        </w:tc>
        <w:tc>
          <w:tcPr>
            <w:tcW w:type="dxa" w:w="4680"/>
          </w:tcPr>
          <w:p>
            <w:r/>
            <w:r>
              <w:rPr>
                <w:b w:val="0"/>
                <w:i w:val="0"/>
                <w:sz w:val="19"/>
              </w:rPr>
              <w:t>Các khoản tạm ứng hoặc khoản phải thu từ nhân viên còn tồn đọng có thể không thu hồi được.</w:t>
            </w:r>
          </w:p>
        </w:tc>
      </w:tr>
      <w:tr>
        <w:tc>
          <w:tcPr>
            <w:tcW w:type="dxa" w:w="4680"/>
          </w:tcPr>
          <w:p>
            <w:r/>
            <w:r>
              <w:rPr>
                <w:b w:val="0"/>
                <w:i w:val="0"/>
                <w:sz w:val="19"/>
              </w:rPr>
              <w:t>E-5</w:t>
            </w:r>
          </w:p>
        </w:tc>
        <w:tc>
          <w:tcPr>
            <w:tcW w:type="dxa" w:w="4680"/>
          </w:tcPr>
          <w:p>
            <w:r/>
            <w:r>
              <w:rPr>
                <w:b w:val="0"/>
                <w:i w:val="0"/>
                <w:sz w:val="19"/>
              </w:rPr>
              <w:t>Các khoản phí trái phép có thể phát sinh sau khi chấm dứt việc làm mà công ty có thể phải chịu trách nhiệm.</w:t>
            </w:r>
          </w:p>
        </w:tc>
      </w:tr>
      <w:tr>
        <w:tc>
          <w:tcPr>
            <w:tcW w:type="dxa" w:w="4680"/>
          </w:tcPr>
          <w:p>
            <w:r/>
            <w:r>
              <w:rPr>
                <w:b w:val="0"/>
                <w:i w:val="0"/>
                <w:sz w:val="19"/>
              </w:rPr>
              <w:t>E-6</w:t>
            </w:r>
          </w:p>
        </w:tc>
        <w:tc>
          <w:tcPr>
            <w:tcW w:type="dxa" w:w="4680"/>
          </w:tcPr>
          <w:p>
            <w:r/>
            <w:r>
              <w:rPr>
                <w:b w:val="0"/>
                <w:i w:val="0"/>
                <w:sz w:val="19"/>
              </w:rPr>
              <w:t>Có thể phát sinh các khoản phí máy tính hoặc điện thoại không cần thiết và việc cựu nhân viên truy cập thông tin công ty có thể không được hạn chế đầy đủ.</w:t>
            </w:r>
          </w:p>
        </w:tc>
      </w:tr>
      <w:tr>
        <w:tc>
          <w:tcPr>
            <w:tcW w:type="dxa" w:w="4680"/>
          </w:tcPr>
          <w:p>
            <w:r/>
            <w:r>
              <w:rPr>
                <w:b w:val="0"/>
                <w:i w:val="0"/>
                <w:sz w:val="19"/>
              </w:rPr>
              <w:t>E-7</w:t>
            </w:r>
          </w:p>
        </w:tc>
        <w:tc>
          <w:tcPr>
            <w:tcW w:type="dxa" w:w="4680"/>
          </w:tcPr>
          <w:p>
            <w:r/>
            <w:r>
              <w:rPr>
                <w:b w:val="0"/>
                <w:i w:val="0"/>
                <w:sz w:val="19"/>
              </w:rPr>
              <w:t>Công ty có thể không có đủ nguồn lực để hoàn thành các dự án quan trọng và đáp ứng đúng hạn.</w:t>
            </w:r>
          </w:p>
        </w:tc>
      </w:tr>
    </w:tbl>
    <w:p>
      <w:pPr>
        <w:spacing w:after="0"/>
      </w:pPr>
    </w:p>
    <w:p>
      <w:pPr>
        <w:pStyle w:val="Heading2"/>
      </w:pPr>
      <w:r>
        <w:rPr>
          <w:rFonts w:ascii="Calibri" w:hAnsi="Calibri"/>
          <w:b/>
          <w:i w:val="0"/>
          <w:sz w:val="32"/>
        </w:rPr>
        <w:t>5.6 GIÁO DỤC, ĐÀO TẠO VÀ PHÁT TRIỂN</w:t>
      </w:r>
    </w:p>
    <w:p>
      <w:pPr>
        <w:pStyle w:val="Heading3"/>
      </w:pPr>
      <w:r>
        <w:rPr>
          <w:rFonts w:ascii="Calibri" w:hAnsi="Calibri"/>
          <w:b/>
          <w:i w:val="0"/>
          <w:sz w:val="26"/>
        </w:rPr>
        <w:t>Giới thiệu</w:t>
      </w:r>
    </w:p>
    <w:p>
      <w:pPr>
        <w:spacing w:after="80"/>
      </w:pPr>
      <w:r>
        <w:rPr>
          <w:b w:val="0"/>
          <w:i w:val="0"/>
        </w:rPr>
        <w:t>Bộ phận quản lý nhân sự (HR) phải thiết lập và duy trì các chính sách và hướng dẫn để phát triển nhân viên nhằm đảm bảo sự hài lòng trong công việc, giảm thiểu rủi ro và mang lại giá trị cho công ty.</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5.6.1</w:t>
            </w:r>
          </w:p>
        </w:tc>
        <w:tc>
          <w:tcPr>
            <w:tcW w:type="dxa" w:w="4680"/>
          </w:tcPr>
          <w:p>
            <w:r/>
            <w:r>
              <w:rPr>
                <w:b/>
                <w:i w:val="0"/>
                <w:sz w:val="19"/>
              </w:rPr>
              <w:t>Chính sách và Quy trình.</w:t>
            </w:r>
            <w:r>
              <w:rPr>
                <w:b w:val="0"/>
                <w:i w:val="0"/>
                <w:sz w:val="19"/>
              </w:rPr>
              <w:t xml:space="preserve"> Trách nhiệm của Bộ phận Nhân sự, nhân viên và ban quản lý của họ là tuân thủ các hướng dẫn. </w:t>
            </w:r>
            <w:r>
              <w:rPr>
                <w:b/>
                <w:i w:val="0"/>
                <w:sz w:val="19"/>
              </w:rPr>
              <w:t>Tham chiếu rủi ro: F-1</w:t>
            </w:r>
          </w:p>
        </w:tc>
      </w:tr>
      <w:tr>
        <w:tc>
          <w:tcPr>
            <w:tcW w:type="dxa" w:w="4680"/>
          </w:tcPr>
          <w:p>
            <w:r/>
            <w:r>
              <w:rPr>
                <w:b w:val="0"/>
                <w:i w:val="0"/>
                <w:sz w:val="19"/>
              </w:rPr>
              <w:t>5.6.2</w:t>
            </w:r>
          </w:p>
        </w:tc>
        <w:tc>
          <w:tcPr>
            <w:tcW w:type="dxa" w:w="4680"/>
          </w:tcPr>
          <w:p>
            <w:r/>
            <w:r>
              <w:rPr>
                <w:b/>
                <w:i w:val="0"/>
                <w:sz w:val="19"/>
              </w:rPr>
              <w:t>Giám sát.</w:t>
            </w:r>
            <w:r>
              <w:rPr>
                <w:b w:val="0"/>
                <w:i w:val="0"/>
                <w:sz w:val="19"/>
              </w:rPr>
              <w:t xml:space="preserve"> Việc thực hiện các yêu cầu và chương trình phát triển cần được giám sát và đánh giá định kỳ. Những phát hiện có thể chỉ ra sự thiếu hụt về kiến thức, kỹ năng hoặc năng lực cần được ban quản lý HR và ban quản lý tổ chức của nhân viên đánh giá và giải quyết. </w:t>
            </w:r>
            <w:r>
              <w:rPr>
                <w:b/>
                <w:i w:val="0"/>
                <w:sz w:val="19"/>
              </w:rPr>
              <w:t>Tham chiếu rủi ro: F-1</w:t>
            </w:r>
          </w:p>
        </w:tc>
      </w:tr>
      <w:tr>
        <w:tc>
          <w:tcPr>
            <w:tcW w:type="dxa" w:w="4680"/>
          </w:tcPr>
          <w:p>
            <w:r/>
            <w:r>
              <w:rPr>
                <w:b w:val="0"/>
                <w:i w:val="0"/>
                <w:sz w:val="19"/>
              </w:rPr>
              <w:t>5.6.3</w:t>
            </w:r>
          </w:p>
        </w:tc>
        <w:tc>
          <w:tcPr>
            <w:tcW w:type="dxa" w:w="4680"/>
          </w:tcPr>
          <w:p>
            <w:r/>
            <w:r>
              <w:rPr>
                <w:b/>
                <w:i w:val="0"/>
                <w:sz w:val="19"/>
              </w:rPr>
              <w:t>Truyền thông.</w:t>
            </w:r>
            <w:r>
              <w:rPr>
                <w:b w:val="0"/>
                <w:i w:val="0"/>
                <w:sz w:val="19"/>
              </w:rPr>
              <w:t xml:space="preserve"> Các cơ hội phát triển được cung cấp nội bộ cần được truyền đạt đến nhân viên. Các chuyên gia đào tạo/phát triển HR nên thu thập ý kiến và ý tưởng từ ban quản lý, giám sát viên và nhân viên để xác định nhu cầu phát triển. </w:t>
            </w:r>
            <w:r>
              <w:rPr>
                <w:b/>
                <w:i w:val="0"/>
                <w:sz w:val="19"/>
              </w:rPr>
              <w:t>Tham chiếu rủi ro: F-1</w:t>
            </w:r>
          </w:p>
        </w:tc>
      </w:tr>
      <w:tr>
        <w:tc>
          <w:tcPr>
            <w:tcW w:type="dxa" w:w="4680"/>
          </w:tcPr>
          <w:p>
            <w:r/>
            <w:r>
              <w:rPr>
                <w:b w:val="0"/>
                <w:i w:val="0"/>
                <w:sz w:val="19"/>
              </w:rPr>
              <w:t>5.6.4</w:t>
            </w:r>
          </w:p>
        </w:tc>
        <w:tc>
          <w:tcPr>
            <w:tcW w:type="dxa" w:w="4680"/>
          </w:tcPr>
          <w:p>
            <w:r/>
            <w:r>
              <w:rPr>
                <w:b/>
                <w:i w:val="0"/>
                <w:sz w:val="19"/>
              </w:rPr>
              <w:t>Đánh giá.</w:t>
            </w:r>
            <w:r>
              <w:rPr>
                <w:b w:val="0"/>
                <w:i w:val="0"/>
                <w:sz w:val="19"/>
              </w:rPr>
              <w:t xml:space="preserve"> Hàng năm, việc hoàn thành các kế hoạch phát triển cùng với phản hồi về hiệu suất liên tục cần được tạo ra và truyền đạt với nhân viên. </w:t>
            </w:r>
            <w:r>
              <w:rPr>
                <w:b/>
                <w:i w:val="0"/>
                <w:sz w:val="19"/>
              </w:rPr>
              <w:t>Tham chiếu rủi ro: F-1</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F-1</w:t>
            </w:r>
          </w:p>
        </w:tc>
        <w:tc>
          <w:tcPr>
            <w:tcW w:type="dxa" w:w="4680"/>
          </w:tcPr>
          <w:p>
            <w:r/>
            <w:r>
              <w:rPr>
                <w:b w:val="0"/>
                <w:i w:val="0"/>
                <w:sz w:val="19"/>
              </w:rPr>
              <w:t>Nhân viên có thể không có đủ năng lực để thực hiện trách nhiệm của mình.</w:t>
            </w:r>
          </w:p>
        </w:tc>
      </w:tr>
    </w:tbl>
    <w:p>
      <w:pPr>
        <w:spacing w:after="0"/>
      </w:pPr>
    </w:p>
    <w:p>
      <w:pPr>
        <w:pStyle w:val="Heading2"/>
      </w:pPr>
      <w:r>
        <w:rPr>
          <w:rFonts w:ascii="Calibri" w:hAnsi="Calibri"/>
          <w:b/>
          <w:i w:val="0"/>
          <w:sz w:val="32"/>
        </w:rPr>
        <w:t>5.7 LỰC LƯỢNG LAO ĐỘNG THỜI VỤ</w:t>
      </w:r>
    </w:p>
    <w:p>
      <w:pPr>
        <w:pStyle w:val="Heading3"/>
      </w:pPr>
      <w:r>
        <w:rPr>
          <w:rFonts w:ascii="Calibri" w:hAnsi="Calibri"/>
          <w:b/>
          <w:i w:val="0"/>
          <w:sz w:val="26"/>
        </w:rPr>
        <w:t>Giới thiệu</w:t>
      </w:r>
    </w:p>
    <w:p>
      <w:pPr>
        <w:spacing w:after="80"/>
      </w:pPr>
      <w:r>
        <w:rPr>
          <w:b w:val="0"/>
          <w:i w:val="0"/>
        </w:rPr>
        <w:t>Bộ phận Nhân sự (HR) phải thiết lập và duy trì các chính sách và hướng dẫn cho việc tuyển dụng và thời hạn làm việc của lao động tạm thời và lao động hợp đồng, chẳng hạn như nhân viên tạm thời từ các công ty cung ứng và nhà thầu, chuyên gia tư vấn, nhà thầu cá nhân, và các nhà cung cấp dịch vụ bên thứ ba.</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5.7.1</w:t>
            </w:r>
          </w:p>
        </w:tc>
        <w:tc>
          <w:tcPr>
            <w:tcW w:type="dxa" w:w="4680"/>
          </w:tcPr>
          <w:p>
            <w:r/>
            <w:r>
              <w:rPr>
                <w:b/>
                <w:i w:val="0"/>
                <w:sz w:val="19"/>
              </w:rPr>
              <w:t>Chính sách về Lực lượng Lao động Thời vụ.</w:t>
            </w:r>
            <w:r>
              <w:rPr>
                <w:b w:val="0"/>
                <w:i w:val="0"/>
                <w:sz w:val="19"/>
              </w:rPr>
              <w:t xml:space="preserve"> Các chính sách và hướng dẫn nên được định nghĩa rõ ràng bởi bộ phận quản lý lực lượng lao động thời vụ dưới dạng các tiêu chí và quy trình cụ thể. </w:t>
            </w:r>
            <w:r>
              <w:rPr>
                <w:b/>
                <w:i w:val="0"/>
                <w:sz w:val="19"/>
              </w:rPr>
              <w:t>Tham chiếu rủi ro: G-1</w:t>
            </w:r>
          </w:p>
        </w:tc>
      </w:tr>
      <w:tr>
        <w:tc>
          <w:tcPr>
            <w:tcW w:type="dxa" w:w="4680"/>
          </w:tcPr>
          <w:p>
            <w:r/>
            <w:r>
              <w:rPr>
                <w:b w:val="0"/>
                <w:i w:val="0"/>
                <w:sz w:val="19"/>
              </w:rPr>
              <w:t>5.7.2</w:t>
            </w:r>
          </w:p>
        </w:tc>
        <w:tc>
          <w:tcPr>
            <w:tcW w:type="dxa" w:w="4680"/>
          </w:tcPr>
          <w:p>
            <w:r/>
            <w:r>
              <w:rPr>
                <w:b/>
                <w:i w:val="0"/>
                <w:sz w:val="19"/>
              </w:rPr>
              <w:t>Tuân thủ Chính sách và Hướng dẫn về Lực lượng Lao động Thời vụ.</w:t>
            </w:r>
            <w:r>
              <w:rPr>
                <w:b w:val="0"/>
                <w:i w:val="0"/>
                <w:sz w:val="19"/>
              </w:rPr>
              <w:t xml:space="preserve"> Việc tuân thủ các chính sách và hướng dẫn về lực lượng lao động thời vụ là trách nhiệm của từng đơn vị kinh doanh. </w:t>
            </w:r>
            <w:r>
              <w:rPr>
                <w:b/>
                <w:i w:val="0"/>
                <w:sz w:val="19"/>
              </w:rPr>
              <w:t>Tham chiếu rủi ro: G-1, G-2</w:t>
            </w:r>
          </w:p>
        </w:tc>
      </w:tr>
      <w:tr>
        <w:tc>
          <w:tcPr>
            <w:tcW w:type="dxa" w:w="4680"/>
          </w:tcPr>
          <w:p>
            <w:r/>
            <w:r>
              <w:rPr>
                <w:b w:val="0"/>
                <w:i w:val="0"/>
                <w:sz w:val="19"/>
              </w:rPr>
              <w:t>5.7.3</w:t>
            </w:r>
          </w:p>
        </w:tc>
        <w:tc>
          <w:tcPr>
            <w:tcW w:type="dxa" w:w="4680"/>
          </w:tcPr>
          <w:p>
            <w:r/>
            <w:r>
              <w:rPr>
                <w:b w:val="0"/>
                <w:i w:val="0"/>
                <w:sz w:val="19"/>
              </w:rPr>
              <w:t>Quản lý Chương trình Lực lượng Lao động Thời vụ. Tổ chức lực lượng lao động thời vụ phải đảm bảo rằng các chương trình được thiết lập để đáp ứng các yêu cầu kinh doanh đối với lao động thời vụ. Những chương trình như vậy nên đảm bảo rằng:</w:t>
            </w:r>
            <w:r>
              <w:br/>
            </w:r>
            <w:r>
              <w:rPr>
                <w:b w:val="0"/>
                <w:i w:val="0"/>
                <w:sz w:val="19"/>
              </w:rPr>
              <w:t>a. Các phương pháp xác định và sàng lọc ứng viên phù hợp được duy trì.</w:t>
            </w:r>
            <w:r>
              <w:br/>
            </w:r>
            <w:r>
              <w:rPr>
                <w:b w:val="0"/>
                <w:i w:val="0"/>
                <w:sz w:val="19"/>
              </w:rPr>
              <w:t>b. Lao động tạm thời chỉ được thuê thông qua chương trình lực lượng lao động thời vụ đã được phê duyệt.</w:t>
            </w:r>
            <w:r>
              <w:br/>
            </w:r>
            <w:r>
              <w:rPr>
                <w:b w:val="0"/>
                <w:i w:val="0"/>
                <w:sz w:val="19"/>
              </w:rPr>
              <w:t xml:space="preserve">c. Các hồ sơ công việc được chuẩn hóa được thiết lập để xác định vai trò và trách nhiệm của vị trí nhằm xác định mức phí thanh toán phù hợp và để xác định liệu công việc có được miễn hay không được miễn liên quan đến việc trả lương làm thêm giờ. </w:t>
            </w:r>
            <w:r>
              <w:rPr>
                <w:b/>
                <w:i w:val="0"/>
                <w:sz w:val="19"/>
              </w:rPr>
              <w:t>Tham chiếu rủi ro: G-1, G-2, G-3</w:t>
            </w:r>
          </w:p>
        </w:tc>
      </w:tr>
      <w:tr>
        <w:tc>
          <w:tcPr>
            <w:tcW w:type="dxa" w:w="4680"/>
          </w:tcPr>
          <w:p>
            <w:r/>
            <w:r>
              <w:rPr>
                <w:b w:val="0"/>
                <w:i w:val="0"/>
                <w:sz w:val="19"/>
              </w:rPr>
              <w:t>5.7.4</w:t>
            </w:r>
          </w:p>
        </w:tc>
        <w:tc>
          <w:tcPr>
            <w:tcW w:type="dxa" w:w="4680"/>
          </w:tcPr>
          <w:p>
            <w:r/>
            <w:r>
              <w:rPr>
                <w:b/>
                <w:i w:val="0"/>
                <w:sz w:val="19"/>
              </w:rPr>
              <w:t>Quản lý Hiệu suất của Nhà cung cấp.</w:t>
            </w:r>
            <w:r>
              <w:rPr>
                <w:b w:val="0"/>
                <w:i w:val="0"/>
                <w:sz w:val="19"/>
              </w:rPr>
              <w:t xml:space="preserve"> Tổ chức lực lượng lao động thời vụ chịu trách nhiệm đảm bảo tất cả các phép đo hiệu suất được thiết lập và giám sát cho tất cả các nhà cung cấp được sử dụng để thuê lao động thời vụ. Các phép đo nên bao gồm các tiêu chí cụ thể, các chỉ số, và tiêu chí thỏa thuận mức dịch vụ (SLA). Các nhà cung cấp nên được giám sát hàng tháng để đảm bảo tuân thủ hợp đồng và thỏa thuận hiệu suất. </w:t>
            </w:r>
            <w:r>
              <w:rPr>
                <w:b/>
                <w:i w:val="0"/>
                <w:sz w:val="19"/>
              </w:rPr>
              <w:t>Tham chiếu rủi ro: G-1, G-2, G-3</w:t>
            </w:r>
          </w:p>
        </w:tc>
      </w:tr>
      <w:tr>
        <w:tc>
          <w:tcPr>
            <w:tcW w:type="dxa" w:w="4680"/>
          </w:tcPr>
          <w:p>
            <w:r/>
            <w:r>
              <w:rPr>
                <w:b w:val="0"/>
                <w:i w:val="0"/>
                <w:sz w:val="19"/>
              </w:rPr>
              <w:t>5.7.5</w:t>
            </w:r>
          </w:p>
        </w:tc>
        <w:tc>
          <w:tcPr>
            <w:tcW w:type="dxa" w:w="4680"/>
          </w:tcPr>
          <w:p>
            <w:r/>
            <w:r>
              <w:rPr>
                <w:b/>
                <w:i w:val="0"/>
                <w:sz w:val="19"/>
              </w:rPr>
              <w:t>Giao dịch được Ủy quyền.</w:t>
            </w:r>
            <w:r>
              <w:rPr>
                <w:b w:val="0"/>
                <w:i w:val="0"/>
                <w:sz w:val="19"/>
              </w:rPr>
              <w:t xml:space="preserve"> Các nhà quản lý tuyển dụng hoặc đơn vị kinh doanh phải duy trì các quy trình chính thức, cùng với tài liệu được ủy quyền chính xác, để đảm bảo rằng chỉ những khoản thanh toán được ủy quyền mới được thực hiện cho lao động thời vụ. </w:t>
            </w:r>
            <w:r>
              <w:rPr>
                <w:b/>
                <w:i w:val="0"/>
                <w:sz w:val="19"/>
              </w:rPr>
              <w:t>Tham chiếu rủi ro: G-3</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G-1</w:t>
            </w:r>
          </w:p>
        </w:tc>
        <w:tc>
          <w:tcPr>
            <w:tcW w:type="dxa" w:w="4680"/>
          </w:tcPr>
          <w:p>
            <w:r/>
            <w:r>
              <w:rPr>
                <w:b w:val="0"/>
                <w:i w:val="0"/>
                <w:sz w:val="19"/>
              </w:rPr>
              <w:t>Luật pháp và các quy định của chính phủ có thể bị vi phạm, dẫn đến tiền phạt, hình phạt, kiện tụng hoặc các khoản nợ tiềm tàng.</w:t>
            </w:r>
          </w:p>
        </w:tc>
      </w:tr>
      <w:tr>
        <w:tc>
          <w:tcPr>
            <w:tcW w:type="dxa" w:w="4680"/>
          </w:tcPr>
          <w:p>
            <w:r/>
            <w:r>
              <w:rPr>
                <w:b w:val="0"/>
                <w:i w:val="0"/>
                <w:sz w:val="19"/>
              </w:rPr>
              <w:t>G-2</w:t>
            </w:r>
          </w:p>
        </w:tc>
        <w:tc>
          <w:tcPr>
            <w:tcW w:type="dxa" w:w="4680"/>
          </w:tcPr>
          <w:p>
            <w:r/>
            <w:r>
              <w:rPr>
                <w:b w:val="0"/>
                <w:i w:val="0"/>
                <w:sz w:val="19"/>
              </w:rPr>
              <w:t>Có thể tuyển được những cá nhân không đáp ứng tiêu chí sàng lọc trước của công ty, dẫn đến lực lượng lao động không đủ về chất lượng và gây rủi ro cho công ty. Các khoản thanh toán không đúng có thể không bị phát hiện và sửa chữa.</w:t>
            </w:r>
          </w:p>
        </w:tc>
      </w:tr>
      <w:tr>
        <w:tc>
          <w:tcPr>
            <w:tcW w:type="dxa" w:w="4680"/>
          </w:tcPr>
          <w:p>
            <w:r/>
            <w:r>
              <w:rPr>
                <w:b w:val="0"/>
                <w:i w:val="0"/>
                <w:sz w:val="19"/>
              </w:rPr>
              <w:t>G-3</w:t>
            </w:r>
          </w:p>
        </w:tc>
        <w:tc>
          <w:tcPr>
            <w:tcW w:type="dxa" w:w="4680"/>
          </w:tcPr>
          <w:p>
            <w:r/>
            <w:r>
              <w:rPr>
                <w:b w:val="0"/>
                <w:i w:val="0"/>
                <w:sz w:val="19"/>
              </w:rPr>
              <w:t>Các giao dịch không được phép có thể được xử lý, dẫn đến thanh toán không đúng và/hoặc thanh toán cho những lao động hư cấu.</w:t>
            </w:r>
          </w:p>
        </w:tc>
      </w:tr>
    </w:tbl>
    <w:p>
      <w:pPr>
        <w:spacing w:after="0"/>
      </w:pPr>
    </w:p>
    <w:p>
      <w:pPr>
        <w:pStyle w:val="Heading2"/>
      </w:pPr>
      <w:r>
        <w:rPr>
          <w:rFonts w:ascii="Calibri" w:hAnsi="Calibri"/>
          <w:b/>
          <w:i w:val="0"/>
          <w:sz w:val="32"/>
        </w:rPr>
        <w:t>GHI CHÚ</w:t>
      </w:r>
    </w:p>
    <w:p>
      <w:pPr>
        <w:pStyle w:val="Heading1"/>
      </w:pPr>
      <w:r>
        <w:rPr>
          <w:rFonts w:ascii="Calibri" w:hAnsi="Calibri"/>
          <w:b/>
          <w:i w:val="0"/>
          <w:sz w:val="40"/>
        </w:rPr>
        <w:t xml:space="preserve">CHƯƠNG 6 </w:t>
      </w:r>
      <w:r>
        <w:br/>
      </w:r>
      <w:r>
        <w:rPr>
          <w:rFonts w:ascii="Calibri" w:hAnsi="Calibri"/>
          <w:b/>
          <w:i w:val="0"/>
          <w:sz w:val="40"/>
        </w:rPr>
        <w:t xml:space="preserve"> Quy trình Chuỗi cung ứng</w:t>
      </w:r>
    </w:p>
    <w:p>
      <w:pPr>
        <w:pStyle w:val="Heading2"/>
      </w:pPr>
      <w:r>
        <w:rPr>
          <w:rFonts w:ascii="Calibri" w:hAnsi="Calibri"/>
          <w:b/>
          <w:i w:val="0"/>
          <w:sz w:val="32"/>
        </w:rPr>
        <w:t>GIỚI THIỆU</w:t>
      </w:r>
    </w:p>
    <w:p>
      <w:pPr>
        <w:spacing w:after="80"/>
      </w:pPr>
      <w:r>
        <w:rPr>
          <w:b w:val="0"/>
          <w:i w:val="0"/>
        </w:rPr>
        <w:t>Quy trình chuỗi cung ứng bao gồm các quy trình lập kế hoạch, sản xuất và lưu kho sản phẩm để chuẩn bị vận chuyển đến khách hàng. Phần này đề cập đến các chức năng mà trước đây thường do các đơn vị kinh doanh, nhà máy sản xuất và đơn vị phân phối (ví dụ: kho thành phẩm và các công ty tiếp thị quốc tế) thực hiện. Quy trình bắt đầu bằng việc thiết lập kế hoạch bán hàng và vận hành, bao gồm việc ghi nhận và hiểu đúng về chi phí sản xuất, và kết thúc bằng việc quản lý hàng tồn kho thành phẩm. Tham khảo sơ đồ quy trình được đưa ra dưới đây.</w:t>
      </w:r>
    </w:p>
    <w:p>
      <w:pPr>
        <w:spacing w:after="80"/>
      </w:pPr>
      <w:r>
        <w:rPr>
          <w:b w:val="0"/>
          <w:i w:val="0"/>
        </w:rPr>
        <w:t>Quy trình chuỗi cung ứng có thể trở nên phức tạp do sự kết hợp của nhiều yếu tố như:</w:t>
      </w:r>
    </w:p>
    <w:p>
      <w:pPr>
        <w:spacing w:after="80"/>
        <w:ind w:left="360"/>
      </w:pPr>
      <w:r>
        <w:t xml:space="preserve">• </w:t>
      </w:r>
      <w:r>
        <w:rPr>
          <w:b w:val="0"/>
          <w:i w:val="0"/>
        </w:rPr>
        <w:t>Nhu cầu biến động thất thường</w:t>
      </w:r>
    </w:p>
    <w:p>
      <w:pPr>
        <w:spacing w:after="80"/>
        <w:ind w:left="360"/>
      </w:pPr>
      <w:r>
        <w:t xml:space="preserve">• </w:t>
      </w:r>
      <w:r>
        <w:rPr>
          <w:b w:val="0"/>
          <w:i w:val="0"/>
        </w:rPr>
        <w:t>Thời gian chờ và hạn chế về năng lực của nhà cung cấp</w:t>
      </w:r>
    </w:p>
    <w:p>
      <w:pPr>
        <w:spacing w:after="80"/>
        <w:ind w:left="360"/>
      </w:pPr>
      <w:r>
        <w:t xml:space="preserve">• </w:t>
      </w:r>
      <w:r>
        <w:rPr>
          <w:b w:val="0"/>
          <w:i w:val="0"/>
        </w:rPr>
        <w:t>Nhu cầu linh hoạt trong khi vẫn tối thiểu hóa chi phí sản xuất đơn vị và hàng tồn kho</w:t>
      </w:r>
    </w:p>
    <w:p>
      <w:pPr>
        <w:jc w:val="center"/>
      </w:pPr>
      <w:r>
        <w:drawing>
          <wp:inline xmlns:a="http://schemas.openxmlformats.org/drawingml/2006/main" xmlns:pic="http://schemas.openxmlformats.org/drawingml/2006/picture">
            <wp:extent cx="5486400" cy="2395693"/>
            <wp:docPr id="8" name="Picture 8"/>
            <wp:cNvGraphicFramePr>
              <a:graphicFrameLocks noChangeAspect="1"/>
            </wp:cNvGraphicFramePr>
            <a:graphic>
              <a:graphicData uri="http://schemas.openxmlformats.org/drawingml/2006/picture">
                <pic:pic>
                  <pic:nvPicPr>
                    <pic:cNvPr id="0" name="Image00009.jpg"/>
                    <pic:cNvPicPr/>
                  </pic:nvPicPr>
                  <pic:blipFill>
                    <a:blip r:embed="rId16"/>
                    <a:stretch>
                      <a:fillRect/>
                    </a:stretch>
                  </pic:blipFill>
                  <pic:spPr>
                    <a:xfrm>
                      <a:off x="0" y="0"/>
                      <a:ext cx="5486400" cy="2395693"/>
                    </a:xfrm>
                    <a:prstGeom prst="rect"/>
                  </pic:spPr>
                </pic:pic>
              </a:graphicData>
            </a:graphic>
          </wp:inline>
        </w:drawing>
      </w:r>
    </w:p>
    <w:p>
      <w:pPr>
        <w:pStyle w:val="Heading2"/>
      </w:pPr>
      <w:r>
        <w:rPr>
          <w:rFonts w:ascii="Calibri" w:hAnsi="Calibri"/>
          <w:b/>
          <w:i w:val="0"/>
          <w:sz w:val="32"/>
        </w:rPr>
        <w:t>TỔNG QUAN VỀ QUY TRÌNH</w:t>
      </w:r>
    </w:p>
    <w:p>
      <w:pPr>
        <w:spacing w:after="80"/>
      </w:pPr>
      <w:r>
        <w:rPr>
          <w:b w:val="0"/>
          <w:i w:val="0"/>
        </w:rPr>
        <w:t>Sơ đồ dưới đây cho thấy các yếu tố nền tảng cho quy trình chuỗi cung ứng là Kiểm soát Nội bộ và Tuân thủ, Hệ thống ERP, và các Giải pháp Tự động hóa Chuỗi cung ứng và Kiểm soát Tồn kho.</w:t>
      </w:r>
    </w:p>
    <w:p>
      <w:pPr>
        <w:pStyle w:val="Heading2"/>
      </w:pPr>
      <w:r>
        <w:rPr>
          <w:rFonts w:ascii="Calibri" w:hAnsi="Calibri"/>
          <w:b/>
          <w:i w:val="0"/>
          <w:sz w:val="32"/>
        </w:rPr>
        <w:t>CÁC CHỈ SỐ</w:t>
      </w:r>
    </w:p>
    <w:tbl>
      <w:tblPr>
        <w:tblStyle w:val="TableGrid"/>
        <w:tblW w:type="auto" w:w="0"/>
        <w:tblLook w:firstColumn="1" w:firstRow="1" w:lastColumn="0" w:lastRow="0" w:noHBand="0" w:noVBand="1" w:val="04A0"/>
      </w:tblPr>
      <w:tblGrid>
        <w:gridCol w:w="9360"/>
      </w:tblGrid>
      <w:tr>
        <w:tc>
          <w:tcPr>
            <w:tcW w:type="dxa" w:w="9360"/>
          </w:tcPr>
          <w:p>
            <w:r/>
            <w:r>
              <w:rPr>
                <w:b/>
                <w:i w:val="0"/>
                <w:sz w:val="19"/>
              </w:rPr>
              <w:t>Bảng Các Chỉ số</w:t>
            </w:r>
          </w:p>
        </w:tc>
      </w:tr>
      <w:tr>
        <w:tc>
          <w:tcPr>
            <w:tcW w:type="dxa" w:w="9360"/>
          </w:tcPr>
          <w:p>
            <w:r/>
            <w:r>
              <w:rPr>
                <w:b w:val="0"/>
                <w:i w:val="0"/>
                <w:sz w:val="19"/>
              </w:rPr>
              <w:t xml:space="preserve">•  </w:t>
            </w:r>
            <w:r>
              <w:rPr>
                <w:b/>
                <w:i w:val="0"/>
                <w:sz w:val="19"/>
              </w:rPr>
              <w:t>Đo lường Đơn hàng Hoàn hảo</w:t>
            </w:r>
            <w:r>
              <w:rPr>
                <w:b w:val="0"/>
                <w:i w:val="0"/>
                <w:sz w:val="19"/>
              </w:rPr>
              <w:t xml:space="preserve"> —Tỷ lệ phần trăm đơn hàng không có lỗi. Đơn hàng Hoàn hảo = ((Tổng Đơn hàng – Đơn hàng Lỗi) / Tổng Đơn hàng) * 100.</w:t>
            </w:r>
            <w:r>
              <w:br/>
            </w:r>
            <w:r>
              <w:rPr>
                <w:b w:val="0"/>
                <w:i w:val="0"/>
                <w:sz w:val="19"/>
              </w:rPr>
              <w:t xml:space="preserve">•  </w:t>
            </w:r>
            <w:r>
              <w:rPr>
                <w:b/>
                <w:i w:val="0"/>
                <w:sz w:val="19"/>
              </w:rPr>
              <w:t>Thời gian Chu kỳ Tiền mặt sang Tiền mặt</w:t>
            </w:r>
            <w:r>
              <w:rPr>
                <w:b w:val="0"/>
                <w:i w:val="0"/>
                <w:sz w:val="19"/>
              </w:rPr>
              <w:t xml:space="preserve"> —Số ngày giữa việc thanh toán tiền nguyên vật liệu và việc nhận được tiền thanh toán cho sản phẩm. Thời gian Chu kỳ Tiền mặt sang Tiền mặt = Ngày Thanh toán Nguyên vật liệu – Ngày Thanh toán Đơn hàng của Khách hàng.</w:t>
            </w:r>
            <w:r>
              <w:br/>
            </w:r>
            <w:r>
              <w:rPr>
                <w:b w:val="0"/>
                <w:i w:val="0"/>
                <w:sz w:val="19"/>
              </w:rPr>
              <w:t xml:space="preserve">•  </w:t>
            </w:r>
            <w:r>
              <w:rPr>
                <w:b/>
                <w:i w:val="0"/>
                <w:sz w:val="19"/>
              </w:rPr>
              <w:t>Thời gian Chu kỳ Đơn hàng của Khách hàng</w:t>
            </w:r>
            <w:r>
              <w:rPr>
                <w:b w:val="0"/>
                <w:i w:val="0"/>
                <w:sz w:val="19"/>
              </w:rPr>
              <w:t xml:space="preserve"> —Đo lường thời gian cần để giao một đơn hàng của khách hàng sau khi nhận được đơn đặt hàng (PO). Thời gian Chu kỳ Đơn hàng của Khách hàng = Ngày Giao hàng Thực tế – Ngày Tạo Đơn đặt hàng.</w:t>
            </w:r>
            <w:r>
              <w:br/>
            </w:r>
            <w:r>
              <w:rPr>
                <w:b w:val="0"/>
                <w:i w:val="0"/>
                <w:sz w:val="19"/>
              </w:rPr>
              <w:t xml:space="preserve">•  </w:t>
            </w:r>
            <w:r>
              <w:rPr>
                <w:b/>
                <w:i w:val="0"/>
                <w:sz w:val="19"/>
              </w:rPr>
              <w:t>Tỷ lệ Đáp ứng</w:t>
            </w:r>
            <w:r>
              <w:rPr>
                <w:b w:val="0"/>
                <w:i w:val="0"/>
                <w:sz w:val="19"/>
              </w:rPr>
              <w:t xml:space="preserve"> —Tỷ lệ phần trăm đơn hàng của khách hàng được đáp ứng trong lần giao hàng đầu tiên. Điều này có thể được biểu thị bằng tỷ lệ phần trăm các mặt hàng, SKU, hoặc giá trị đơn hàng được bao gồm trong lần giao hàng đầu tiên.</w:t>
            </w:r>
            <w:r>
              <w:br/>
            </w:r>
            <w:r>
              <w:rPr>
                <w:b w:val="0"/>
                <w:i w:val="0"/>
                <w:sz w:val="19"/>
              </w:rPr>
              <w:t xml:space="preserve">•  </w:t>
            </w:r>
            <w:r>
              <w:rPr>
                <w:b/>
                <w:i w:val="0"/>
                <w:sz w:val="19"/>
              </w:rPr>
              <w:t>Thời gian Chu kỳ Chuỗi cung ứng</w:t>
            </w:r>
            <w:r>
              <w:rPr>
                <w:b w:val="0"/>
                <w:i w:val="0"/>
                <w:sz w:val="19"/>
              </w:rPr>
              <w:t xml:space="preserve"> —Thời gian chu kỳ chuỗi cung ứng cho biết hiệu quả tổng thể của chuỗi cung ứng. Chu kỳ ngắn giúp chuỗi cung ứng hiệu quả và linh hoạt hơn. Việc phân tích chỉ số quan trọng này có thể giúp nhận ra các điểm đau hoặc lợi thế cạnh tranh.</w:t>
            </w:r>
            <w:r>
              <w:br/>
            </w:r>
            <w:r>
              <w:rPr>
                <w:b w:val="0"/>
                <w:i w:val="0"/>
                <w:sz w:val="19"/>
              </w:rPr>
              <w:t xml:space="preserve">•  </w:t>
            </w:r>
            <w:r>
              <w:rPr>
                <w:b/>
                <w:i w:val="0"/>
                <w:sz w:val="19"/>
              </w:rPr>
              <w:t>Số ngày Dự trữ Tồn kho</w:t>
            </w:r>
            <w:r>
              <w:rPr>
                <w:b w:val="0"/>
                <w:i w:val="0"/>
                <w:sz w:val="19"/>
              </w:rPr>
              <w:t xml:space="preserve"> —Số ngày sẽ hết hàng nếu không được bổ sung. Số ngày Dự trữ Tồn kho = Tồn kho Hiện có / Mức Sử dụng Trung bình Hàng ngày.</w:t>
            </w:r>
            <w:r>
              <w:br/>
            </w:r>
            <w:r>
              <w:rPr>
                <w:b w:val="0"/>
                <w:i w:val="0"/>
                <w:sz w:val="19"/>
              </w:rPr>
              <w:t xml:space="preserve">•  </w:t>
            </w:r>
            <w:r>
              <w:rPr>
                <w:b/>
                <w:i w:val="0"/>
                <w:sz w:val="19"/>
              </w:rPr>
              <w:t>Độ chính xác của Hóa đơn Vận chuyển</w:t>
            </w:r>
            <w:r>
              <w:rPr>
                <w:b w:val="0"/>
                <w:i w:val="0"/>
                <w:sz w:val="19"/>
              </w:rPr>
              <w:t xml:space="preserve"> —Tỷ lệ phần trăm hóa đơn vận chuyển không có lỗi: (Hóa đơn Vận chuyển Không lỗi / Tổng Hóa đơn Vận chuyển) * 100.</w:t>
            </w:r>
            <w:r>
              <w:br/>
            </w:r>
            <w:r>
              <w:rPr>
                <w:b w:val="0"/>
                <w:i w:val="0"/>
                <w:sz w:val="19"/>
              </w:rPr>
              <w:t xml:space="preserve">•  </w:t>
            </w:r>
            <w:r>
              <w:rPr>
                <w:b/>
                <w:i w:val="0"/>
                <w:sz w:val="19"/>
              </w:rPr>
              <w:t>Chi phí Vận chuyển trên Đơn vị</w:t>
            </w:r>
            <w:r>
              <w:rPr>
                <w:b w:val="0"/>
                <w:i w:val="0"/>
                <w:sz w:val="19"/>
              </w:rPr>
              <w:t xml:space="preserve"> —Thường được đo bằng chi phí vận chuyển trên mỗi mặt hàng hoặc SKU. Chi phí Vận chuyển trên Đơn vị = Tổng Chi phí Vận chuyển / Số lượng Mặt hàng</w:t>
            </w:r>
            <w:r>
              <w:br/>
            </w:r>
            <w:r>
              <w:rPr>
                <w:b w:val="0"/>
                <w:i w:val="0"/>
                <w:sz w:val="19"/>
              </w:rPr>
              <w:t xml:space="preserve">•  </w:t>
            </w:r>
            <w:r>
              <w:rPr>
                <w:b/>
                <w:i w:val="0"/>
                <w:sz w:val="19"/>
              </w:rPr>
              <w:t>Vòng quay Tồn kho</w:t>
            </w:r>
            <w:r>
              <w:rPr>
                <w:b w:val="0"/>
                <w:i w:val="0"/>
                <w:sz w:val="19"/>
              </w:rPr>
              <w:t xml:space="preserve"> —Số lần tồn kho của một công ty quay vòng mỗi năm. Vòng quay Tồn kho = Giá vốn Hàng bán / Tồn kho Trung bình.</w:t>
            </w:r>
            <w:r>
              <w:br/>
            </w:r>
            <w:r>
              <w:rPr>
                <w:b w:val="0"/>
                <w:i w:val="0"/>
                <w:sz w:val="19"/>
              </w:rPr>
              <w:t xml:space="preserve">•  </w:t>
            </w:r>
            <w:r>
              <w:rPr>
                <w:b/>
                <w:i w:val="0"/>
                <w:sz w:val="19"/>
              </w:rPr>
              <w:t>Thời gian Thanh toán Trung bình cho Nguyên vật liệu Sản xuất</w:t>
            </w:r>
            <w:r>
              <w:rPr>
                <w:b w:val="0"/>
                <w:i w:val="0"/>
                <w:sz w:val="19"/>
              </w:rPr>
              <w:t xml:space="preserve"> —Thời gian trung bình từ khi nhận nguyên vật liệu đến khi thanh toán cho nguyên vật liệu đó. Thời gian Thanh toán Trung bình cho Nguyên vật liệu Sản xuất = (Khoản phải trả Nguyên vật liệu / Tổng Chi phí Nguyên vật liệu) * Số ngày trong Kỳ</w:t>
            </w:r>
            <w:r>
              <w:br/>
            </w:r>
            <w:r>
              <w:rPr>
                <w:b w:val="0"/>
                <w:i w:val="0"/>
                <w:sz w:val="19"/>
              </w:rPr>
              <w:t xml:space="preserve">•  </w:t>
            </w:r>
            <w:r>
              <w:rPr>
                <w:b/>
                <w:i w:val="0"/>
                <w:sz w:val="19"/>
              </w:rPr>
              <w:t>Tỷ lệ Giao hàng Đúng hạn</w:t>
            </w:r>
            <w:r>
              <w:rPr>
                <w:b w:val="0"/>
                <w:i w:val="0"/>
                <w:sz w:val="19"/>
              </w:rPr>
              <w:t xml:space="preserve"> —Tỷ lệ phần trăm các mặt hàng, SKU, hoặc giá trị đơn hàng đến đúng hoặc trước ngày giao hàng yêu cầu. Chỉ số giao hàng đúng hạn được sử dụng để xác định mức độ hài lòng của khách hàng. Tỷ lệ cao cho thấy một chuỗi cung ứng hiệu quả. Tỷ lệ Giao hàng Đúng hạn = (Số Mặt hàng Đúng hạn / Tổng Mặt hàng) * 100</w:t>
            </w:r>
            <w:r>
              <w:br/>
            </w:r>
            <w:r>
              <w:rPr>
                <w:b w:val="0"/>
                <w:i w:val="0"/>
                <w:sz w:val="19"/>
              </w:rPr>
              <w:t xml:space="preserve">•  </w:t>
            </w:r>
            <w:r>
              <w:rPr>
                <w:b/>
                <w:i w:val="0"/>
                <w:sz w:val="19"/>
              </w:rPr>
              <w:t>Tỷ số Vòng quay Tồn kho (ITR)</w:t>
            </w:r>
            <w:r>
              <w:rPr>
                <w:b w:val="0"/>
                <w:i w:val="0"/>
                <w:sz w:val="19"/>
              </w:rPr>
              <w:t xml:space="preserve"> —ITR giúp chúng ta đo lường số lần chúng ta bán hoặc quay vòng lượng tồn kho trung bình được lưu giữ trong kho. Nó đo lường số cơ hội kiếm lợi nhuận mà chúng ta có được mỗi năm từ vốn lưu động đầu tư vào tồn kho. Nó được tính bằng cách chia Giá vốn Hàng bán (COGS) cho khoản đầu tư tồn kho trung bình.</w:t>
            </w:r>
            <w:r>
              <w:br/>
            </w:r>
            <w:r>
              <w:rPr>
                <w:b w:val="0"/>
                <w:i w:val="0"/>
                <w:sz w:val="19"/>
              </w:rPr>
              <w:t xml:space="preserve">•  </w:t>
            </w:r>
            <w:r>
              <w:rPr>
                <w:b/>
                <w:i w:val="0"/>
                <w:sz w:val="19"/>
              </w:rPr>
              <w:t>Chỉ số Quay vòng-Kiếm lời (TEI)</w:t>
            </w:r>
            <w:r>
              <w:rPr>
                <w:b w:val="0"/>
                <w:i w:val="0"/>
                <w:sz w:val="19"/>
              </w:rPr>
              <w:t xml:space="preserve"> —TEI giúp chúng ta kết hợp biên lợi nhuận gộp và vòng quay.</w:t>
            </w:r>
            <w:r>
              <w:br/>
            </w:r>
            <w:r>
              <w:rPr>
                <w:b w:val="0"/>
                <w:i w:val="0"/>
                <w:sz w:val="19"/>
              </w:rPr>
              <w:t xml:space="preserve">•  </w:t>
            </w:r>
            <w:r>
              <w:rPr>
                <w:b/>
                <w:i w:val="0"/>
                <w:sz w:val="19"/>
              </w:rPr>
              <w:t>Lợi nhuận Gộp trên Đầu tư Tồn kho (GMROI)</w:t>
            </w:r>
            <w:r>
              <w:rPr>
                <w:b w:val="0"/>
                <w:i w:val="0"/>
                <w:sz w:val="19"/>
              </w:rPr>
              <w:t xml:space="preserve"> —GMROI thể hiện số lợi nhuận gộp kiếm được cho mỗi AED (hoặc $, £, €, ₤) của khoản đầu tư trung bình vào tồn kho. Nó được tính bằng cách chia lợi nhuận gộp cho khoản đầu tư tồn kho trung bình.</w:t>
            </w:r>
            <w:r>
              <w:br/>
            </w:r>
            <w:r>
              <w:rPr>
                <w:b w:val="0"/>
                <w:i w:val="0"/>
                <w:sz w:val="19"/>
              </w:rPr>
              <w:t xml:space="preserve">•  </w:t>
            </w:r>
            <w:r>
              <w:rPr>
                <w:b/>
                <w:i w:val="0"/>
                <w:sz w:val="19"/>
              </w:rPr>
              <w:t>Số ngày Dự trữ (DoS)</w:t>
            </w:r>
            <w:r>
              <w:rPr>
                <w:b w:val="0"/>
                <w:i w:val="0"/>
                <w:sz w:val="19"/>
              </w:rPr>
              <w:t xml:space="preserve"> —DoS là KPI phổ biến nhất được các nhà quản lý sử dụng để đo lường hiệu quả chuỗi cung ứng. Nó được tính bằng cách chia lượng tồn kho trung bình hiện có (theo giá trị) cho nhu cầu trung bình hàng tháng (theo giá trị) rồi nhân với 30, khi đo lường theo tháng.</w:t>
            </w:r>
            <w:r>
              <w:br/>
            </w:r>
            <w:r>
              <w:rPr>
                <w:b w:val="0"/>
                <w:i w:val="0"/>
                <w:sz w:val="19"/>
              </w:rPr>
              <w:t xml:space="preserve">•  </w:t>
            </w:r>
            <w:r>
              <w:rPr>
                <w:b/>
                <w:i w:val="0"/>
                <w:sz w:val="19"/>
              </w:rPr>
              <w:t>Vận tốc Tồn kho (IV)</w:t>
            </w:r>
            <w:r>
              <w:rPr>
                <w:b w:val="0"/>
                <w:i w:val="0"/>
                <w:sz w:val="19"/>
              </w:rPr>
              <w:t xml:space="preserve"> —IV là tỷ lệ phần trăm tồn kho mà chúng ta dự kiến sẽ được tiêu thụ trong kỳ tiếp theo. Nó giúp các nhà quản lý hiểu được mức độ khớp giữa tồn kho hiện có và nhu cầu. Nó được tính bằng cách chia tồn kho đầu kỳ cho dự báo bán hàng của kỳ tiếp theo.</w:t>
            </w:r>
          </w:p>
        </w:tc>
      </w:tr>
    </w:tbl>
    <w:p>
      <w:pPr>
        <w:spacing w:after="0"/>
      </w:pPr>
    </w:p>
    <w:p>
      <w:pPr>
        <w:pStyle w:val="Heading2"/>
      </w:pPr>
      <w:r>
        <w:rPr>
          <w:rFonts w:ascii="Calibri" w:hAnsi="Calibri"/>
          <w:b/>
          <w:i w:val="0"/>
          <w:sz w:val="32"/>
        </w:rPr>
        <w:t>ỨNG DỤNG KIỂM SOÁT NỘI BỘ</w:t>
      </w:r>
    </w:p>
    <w:p>
      <w:pPr>
        <w:spacing w:after="80"/>
      </w:pPr>
      <w:r>
        <w:rPr>
          <w:b w:val="0"/>
          <w:i w:val="0"/>
        </w:rPr>
        <w:t>Trong việc lựa chọn các thủ tục và kỹ thuật kiểm soát của ban quản lý, mức độ kiểm soát được thực hiện là một vấn đề phán đoán kinh doanh hợp lý. Nguyên tắc chung được sử dụng để xác định mức độ thực hiện kiểm soát nội bộ là chi phí của một biện pháp kiểm soát không được vượt quá lợi ích thu được. Tuy nhiên, có một bộ kiểm soát tối thiểu cần tồn tại trong một môi trường kinh doanh bình thường. Các tiêu chuẩn kiểm soát nội bộ được liệt kê ở đây đại diện cho các biện pháp kiểm soát tối thiểu cần được thực hiện trong quy trình chuỗi cung ứng.</w:t>
      </w:r>
    </w:p>
    <w:p>
      <w:pPr>
        <w:pStyle w:val="Heading2"/>
      </w:pPr>
      <w:r>
        <w:rPr>
          <w:rFonts w:ascii="Calibri" w:hAnsi="Calibri"/>
          <w:b/>
          <w:i w:val="0"/>
          <w:sz w:val="32"/>
        </w:rPr>
        <w:t>CÁC QUY TRÌNH CON</w:t>
      </w:r>
    </w:p>
    <w:p>
      <w:pPr>
        <w:spacing w:after="80"/>
      </w:pPr>
      <w:r>
        <w:rPr>
          <w:b w:val="0"/>
          <w:i w:val="0"/>
        </w:rPr>
        <w:t>Các chức năng hoặc hoạt động cụ thể được quy trình này bao gồm:</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6.1</w:t>
            </w:r>
          </w:p>
        </w:tc>
        <w:tc>
          <w:tcPr>
            <w:tcW w:type="dxa" w:w="4680"/>
          </w:tcPr>
          <w:p>
            <w:r/>
            <w:r>
              <w:rPr>
                <w:b w:val="0"/>
                <w:i w:val="0"/>
                <w:sz w:val="19"/>
              </w:rPr>
              <w:t>Lập kế hoạch và Kiểm soát</w:t>
            </w:r>
          </w:p>
        </w:tc>
      </w:tr>
      <w:tr>
        <w:tc>
          <w:tcPr>
            <w:tcW w:type="dxa" w:w="4680"/>
          </w:tcPr>
          <w:p>
            <w:r/>
            <w:r>
              <w:rPr>
                <w:b w:val="0"/>
                <w:i w:val="0"/>
                <w:sz w:val="19"/>
              </w:rPr>
              <w:t>6.2</w:t>
            </w:r>
          </w:p>
        </w:tc>
        <w:tc>
          <w:tcPr>
            <w:tcW w:type="dxa" w:w="4680"/>
          </w:tcPr>
          <w:p>
            <w:r/>
            <w:r>
              <w:rPr>
                <w:b w:val="0"/>
                <w:i w:val="0"/>
                <w:sz w:val="19"/>
              </w:rPr>
              <w:t>Kiểm soát Tồn kho</w:t>
            </w:r>
          </w:p>
        </w:tc>
      </w:tr>
      <w:tr>
        <w:tc>
          <w:tcPr>
            <w:tcW w:type="dxa" w:w="4680"/>
          </w:tcPr>
          <w:p>
            <w:r/>
            <w:r>
              <w:rPr>
                <w:b w:val="0"/>
                <w:i w:val="0"/>
                <w:sz w:val="19"/>
              </w:rPr>
              <w:t>6.3</w:t>
            </w:r>
          </w:p>
        </w:tc>
        <w:tc>
          <w:tcPr>
            <w:tcW w:type="dxa" w:w="4680"/>
          </w:tcPr>
          <w:p>
            <w:r/>
            <w:r>
              <w:rPr>
                <w:b w:val="0"/>
                <w:i w:val="0"/>
                <w:sz w:val="19"/>
              </w:rPr>
              <w:t>Xác minh Tồn kho</w:t>
            </w:r>
          </w:p>
        </w:tc>
      </w:tr>
      <w:tr>
        <w:tc>
          <w:tcPr>
            <w:tcW w:type="dxa" w:w="4680"/>
          </w:tcPr>
          <w:p>
            <w:r/>
            <w:r>
              <w:rPr>
                <w:b w:val="0"/>
                <w:i w:val="0"/>
                <w:sz w:val="19"/>
              </w:rPr>
              <w:t>6.4</w:t>
            </w:r>
          </w:p>
        </w:tc>
        <w:tc>
          <w:tcPr>
            <w:tcW w:type="dxa" w:w="4680"/>
          </w:tcPr>
          <w:p>
            <w:r/>
            <w:r>
              <w:rPr>
                <w:b w:val="0"/>
                <w:i w:val="0"/>
                <w:sz w:val="19"/>
              </w:rPr>
              <w:t>Định giá Tồn kho</w:t>
            </w:r>
          </w:p>
        </w:tc>
      </w:tr>
      <w:tr>
        <w:tc>
          <w:tcPr>
            <w:tcW w:type="dxa" w:w="4680"/>
          </w:tcPr>
          <w:p>
            <w:r/>
            <w:r>
              <w:rPr>
                <w:b w:val="0"/>
                <w:i w:val="0"/>
                <w:sz w:val="19"/>
              </w:rPr>
              <w:t>6.5</w:t>
            </w:r>
          </w:p>
        </w:tc>
        <w:tc>
          <w:tcPr>
            <w:tcW w:type="dxa" w:w="4680"/>
          </w:tcPr>
          <w:p>
            <w:r/>
            <w:r>
              <w:rPr>
                <w:b w:val="0"/>
                <w:i w:val="0"/>
                <w:sz w:val="19"/>
              </w:rPr>
              <w:t>Quản lý chi phí sản phẩm</w:t>
            </w:r>
          </w:p>
        </w:tc>
      </w:tr>
      <w:tr>
        <w:tc>
          <w:tcPr>
            <w:tcW w:type="dxa" w:w="4680"/>
          </w:tcPr>
          <w:p>
            <w:r/>
            <w:r>
              <w:rPr>
                <w:b w:val="0"/>
                <w:i w:val="0"/>
                <w:sz w:val="19"/>
              </w:rPr>
              <w:t>6.6</w:t>
            </w:r>
          </w:p>
        </w:tc>
        <w:tc>
          <w:tcPr>
            <w:tcW w:type="dxa" w:w="4680"/>
          </w:tcPr>
          <w:p>
            <w:r/>
            <w:r>
              <w:rPr>
                <w:b w:val="0"/>
                <w:i w:val="0"/>
                <w:sz w:val="19"/>
              </w:rPr>
              <w:t>Các nhà sản xuất thiết bị gốc (OEM)/Đối tác liên minh</w:t>
            </w:r>
          </w:p>
        </w:tc>
      </w:tr>
      <w:tr>
        <w:tc>
          <w:tcPr>
            <w:tcW w:type="dxa" w:w="4680"/>
          </w:tcPr>
          <w:p>
            <w:r/>
            <w:r>
              <w:rPr>
                <w:b w:val="0"/>
                <w:i w:val="0"/>
                <w:sz w:val="19"/>
              </w:rPr>
              <w:t>6.7</w:t>
            </w:r>
          </w:p>
        </w:tc>
        <w:tc>
          <w:tcPr>
            <w:tcW w:type="dxa" w:w="4680"/>
          </w:tcPr>
          <w:p>
            <w:r/>
            <w:r>
              <w:rPr>
                <w:b w:val="0"/>
                <w:i w:val="0"/>
                <w:sz w:val="19"/>
              </w:rPr>
              <w:t>An ninh chuỗi cung ứng</w:t>
            </w:r>
          </w:p>
        </w:tc>
      </w:tr>
      <w:tr>
        <w:tc>
          <w:tcPr>
            <w:tcW w:type="dxa" w:w="4680"/>
          </w:tcPr>
          <w:p>
            <w:r/>
            <w:r>
              <w:rPr>
                <w:b w:val="0"/>
                <w:i w:val="0"/>
                <w:sz w:val="19"/>
              </w:rPr>
              <w:t>6.8</w:t>
            </w:r>
          </w:p>
        </w:tc>
        <w:tc>
          <w:tcPr>
            <w:tcW w:type="dxa" w:w="4680"/>
          </w:tcPr>
          <w:p>
            <w:r/>
            <w:r>
              <w:rPr>
                <w:b w:val="0"/>
                <w:i w:val="0"/>
                <w:sz w:val="19"/>
              </w:rPr>
              <w:t>Vận tải và logistics</w:t>
            </w:r>
          </w:p>
        </w:tc>
      </w:tr>
    </w:tbl>
    <w:p>
      <w:pPr>
        <w:spacing w:after="0"/>
      </w:pPr>
    </w:p>
    <w:p>
      <w:pPr>
        <w:pStyle w:val="Heading2"/>
      </w:pPr>
      <w:r>
        <w:rPr>
          <w:rFonts w:ascii="Calibri" w:hAnsi="Calibri"/>
          <w:b/>
          <w:i w:val="0"/>
          <w:sz w:val="32"/>
        </w:rPr>
        <w:t>6.1 LẬP KẾ HOẠCH VÀ KIỂM SOÁT</w:t>
      </w:r>
    </w:p>
    <w:p>
      <w:pPr>
        <w:pStyle w:val="Heading3"/>
      </w:pPr>
      <w:r>
        <w:rPr>
          <w:rFonts w:ascii="Calibri" w:hAnsi="Calibri"/>
          <w:b/>
          <w:i w:val="0"/>
          <w:sz w:val="26"/>
        </w:rPr>
        <w:t>Giới thiệu</w:t>
      </w:r>
    </w:p>
    <w:p>
      <w:pPr>
        <w:spacing w:after="80"/>
      </w:pPr>
      <w:r>
        <w:rPr>
          <w:b w:val="0"/>
          <w:i w:val="0"/>
        </w:rPr>
        <w:t>Việc lập kế hoạch và kiểm soát hiệu quả giúp tất cả các đơn vị vận hành trong chuỗi cung ứng xử lý được những phức tạp trong hoạt động và đạt được mục tiêu cung cấp đúng sản phẩm, đúng thời điểm và đúng chi phí.</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6.1.1</w:t>
            </w:r>
          </w:p>
        </w:tc>
        <w:tc>
          <w:tcPr>
            <w:tcW w:type="dxa" w:w="4680"/>
          </w:tcPr>
          <w:p>
            <w:r/>
            <w:r>
              <w:rPr>
                <w:b/>
                <w:i w:val="0"/>
                <w:sz w:val="19"/>
              </w:rPr>
              <w:t>Chính sách và quy trình được ghi thành văn bản.</w:t>
            </w:r>
            <w:r>
              <w:rPr>
                <w:b w:val="0"/>
                <w:i w:val="0"/>
                <w:sz w:val="19"/>
              </w:rPr>
              <w:t xml:space="preserve"> Phải có các chính sách và quy trình được ghi thành văn bản xác định vai trò và trách nhiệm của tất cả các chức năng, và phải được xem xét ít nhất mỗi năm một lần. Phải sử dụng một quy trình chính thức để nhận diện các vấn đề và cơ hội cải tiến cũng như để triển khai các giải pháp và cải tiến. </w:t>
            </w:r>
            <w:r>
              <w:rPr>
                <w:b/>
                <w:i w:val="0"/>
                <w:sz w:val="19"/>
              </w:rPr>
              <w:t>Tham chiếu rủi ro: A-1</w:t>
            </w:r>
          </w:p>
        </w:tc>
      </w:tr>
      <w:tr>
        <w:tc>
          <w:tcPr>
            <w:tcW w:type="dxa" w:w="4680"/>
          </w:tcPr>
          <w:p>
            <w:r/>
            <w:r>
              <w:rPr>
                <w:b w:val="0"/>
                <w:i w:val="0"/>
                <w:sz w:val="19"/>
              </w:rPr>
              <w:t>6.1.2</w:t>
            </w:r>
          </w:p>
        </w:tc>
        <w:tc>
          <w:tcPr>
            <w:tcW w:type="dxa" w:w="4680"/>
          </w:tcPr>
          <w:p>
            <w:r/>
            <w:r>
              <w:rPr>
                <w:b/>
                <w:i w:val="0"/>
                <w:sz w:val="19"/>
              </w:rPr>
              <w:t>Lập kế hoạch bán hàng và vận hành.</w:t>
            </w:r>
            <w:r>
              <w:rPr>
                <w:b w:val="0"/>
                <w:i w:val="0"/>
                <w:sz w:val="19"/>
              </w:rPr>
              <w:t xml:space="preserve"> Dự báo bán hàng (hoặc nhu cầu) phải được lập và phê duyệt thông qua một quy trình lập kế hoạch bán hàng và vận hành chính thức. Những dự báo này phải ở mức độ phù hợp để cho phép lập kế hoạch sản xuất và tồn kho, xây dựng lịch trình sản xuất, xác định chi tiết nhu cầu nguyên vật liệu và nhân công, cũng như lập kế hoạch tài chính theo yêu cầu của công ty. Những thay đổi trong kế hoạch chính thức phải được cấp quản lý phù hợp phê duyệt thông qua quy trình lập kế hoạch bán hàng và vận hành. </w:t>
            </w:r>
            <w:r>
              <w:rPr>
                <w:b/>
                <w:i w:val="0"/>
                <w:sz w:val="19"/>
              </w:rPr>
              <w:t>Tham chiếu rủi ro: A-2, A-4</w:t>
            </w:r>
          </w:p>
        </w:tc>
      </w:tr>
      <w:tr>
        <w:tc>
          <w:tcPr>
            <w:tcW w:type="dxa" w:w="4680"/>
          </w:tcPr>
          <w:p>
            <w:r/>
            <w:r>
              <w:rPr>
                <w:b w:val="0"/>
                <w:i w:val="0"/>
                <w:sz w:val="19"/>
              </w:rPr>
              <w:t>6.1.3</w:t>
            </w:r>
          </w:p>
        </w:tc>
        <w:tc>
          <w:tcPr>
            <w:tcW w:type="dxa" w:w="4680"/>
          </w:tcPr>
          <w:p>
            <w:r/>
            <w:r>
              <w:rPr>
                <w:b/>
                <w:i w:val="0"/>
                <w:sz w:val="19"/>
              </w:rPr>
              <w:t>Đơn hàng theo lịch trình và đợt sản xuất.</w:t>
            </w:r>
            <w:r>
              <w:rPr>
                <w:b w:val="0"/>
                <w:i w:val="0"/>
                <w:sz w:val="19"/>
              </w:rPr>
              <w:t xml:space="preserve"> Sản phẩm phải được sản xuất hoặc đặt hàng theo một lịch trình (ví dụ: lịch trình tổng thể) hoặc kế hoạch nhu cầu nguyên vật liệu được xây dựng từ kế hoạch bán hàng (hoặc nhu cầu) và vận hành đã được phê duyệt. Lịch trình hoặc kế hoạch nhu cầu nguyên vật liệu phải có khả năng thực hiện được dựa trên nhân lực, nguyên vật liệu và năng lực hiện có. </w:t>
            </w:r>
            <w:r>
              <w:rPr>
                <w:b/>
                <w:i w:val="0"/>
                <w:sz w:val="19"/>
              </w:rPr>
              <w:t>Tham chiếu rủi ro: A-2</w:t>
            </w:r>
          </w:p>
        </w:tc>
      </w:tr>
      <w:tr>
        <w:tc>
          <w:tcPr>
            <w:tcW w:type="dxa" w:w="4680"/>
          </w:tcPr>
          <w:p>
            <w:r/>
            <w:r>
              <w:rPr>
                <w:b w:val="0"/>
                <w:i w:val="0"/>
                <w:sz w:val="19"/>
              </w:rPr>
              <w:t>6.1.4</w:t>
            </w:r>
          </w:p>
        </w:tc>
        <w:tc>
          <w:tcPr>
            <w:tcW w:type="dxa" w:w="4680"/>
          </w:tcPr>
          <w:p>
            <w:r/>
            <w:r>
              <w:rPr>
                <w:b/>
                <w:i w:val="0"/>
                <w:sz w:val="19"/>
              </w:rPr>
              <w:t>Dữ liệu chủ về nguyên vật liệu.</w:t>
            </w:r>
            <w:r>
              <w:rPr>
                <w:b w:val="0"/>
                <w:i w:val="0"/>
                <w:sz w:val="19"/>
              </w:rPr>
              <w:t xml:space="preserve"> Phải tồn tại và được tuân thủ các quy trình kiểm soát thay đổi dữ liệu chủ chính thức. Tất cả dữ liệu chủ về sản phẩm và mặt hàng hoặc nguyên vật liệu phải được xem xét ít nhất mỗi năm một lần và cập nhật. Định mức nguyên vật liệu (bills of material) và quy trình công nghệ (routings) phải được thiết lập và cập nhật để phản ánh thông số kỹ thuật sản phẩm và quy trình sản xuất hiện hành. </w:t>
            </w:r>
            <w:r>
              <w:rPr>
                <w:b/>
                <w:i w:val="0"/>
                <w:sz w:val="19"/>
              </w:rPr>
              <w:t>Tham chiếu rủi ro: A-2, A-3</w:t>
            </w:r>
          </w:p>
        </w:tc>
      </w:tr>
      <w:tr>
        <w:tc>
          <w:tcPr>
            <w:tcW w:type="dxa" w:w="4680"/>
          </w:tcPr>
          <w:p>
            <w:r/>
            <w:r>
              <w:rPr>
                <w:b w:val="0"/>
                <w:i w:val="0"/>
                <w:sz w:val="19"/>
              </w:rPr>
              <w:t>6.1.5</w:t>
            </w:r>
          </w:p>
        </w:tc>
        <w:tc>
          <w:tcPr>
            <w:tcW w:type="dxa" w:w="4680"/>
          </w:tcPr>
          <w:p>
            <w:r/>
            <w:r>
              <w:rPr>
                <w:b/>
                <w:i w:val="0"/>
                <w:sz w:val="19"/>
              </w:rPr>
              <w:t>Phế liệu/Chất thải.</w:t>
            </w:r>
            <w:r>
              <w:rPr>
                <w:b w:val="0"/>
                <w:i w:val="0"/>
                <w:sz w:val="19"/>
              </w:rPr>
              <w:t xml:space="preserve"> Ban quản lý vận hành và tài chính phải thiết lập các quy trình và giới hạn phê duyệt cho việc xử lý phế liệu/chất thải. Phế liệu/chất thải phải được tích lũy, bảo vệ, giám sát và báo cáo kịp thời cho tổ chức tài chính và ban quản lý vận hành. Phế liệu/chất thải phải được tái chế hoặc xử lý kịp thời bởi những người không có trách nhiệm trông coi. Việc xử lý phế liệu/chất thải cho các đơn vị ngoài công ty nên được thực hiện thông qua đấu thầu cạnh tranh. </w:t>
            </w:r>
            <w:r>
              <w:rPr>
                <w:b/>
                <w:i w:val="0"/>
                <w:sz w:val="19"/>
              </w:rPr>
              <w:t>Tham chiếu rủi ro: A-3, A-4, A-5</w:t>
            </w:r>
          </w:p>
        </w:tc>
      </w:tr>
      <w:tr>
        <w:tc>
          <w:tcPr>
            <w:tcW w:type="dxa" w:w="4680"/>
          </w:tcPr>
          <w:p>
            <w:r/>
            <w:r>
              <w:rPr>
                <w:b w:val="0"/>
                <w:i w:val="0"/>
                <w:sz w:val="19"/>
              </w:rPr>
              <w:t>6.1.6</w:t>
            </w:r>
          </w:p>
        </w:tc>
        <w:tc>
          <w:tcPr>
            <w:tcW w:type="dxa" w:w="4680"/>
          </w:tcPr>
          <w:p>
            <w:r/>
            <w:r>
              <w:rPr>
                <w:b/>
                <w:i w:val="0"/>
                <w:sz w:val="19"/>
              </w:rPr>
              <w:t>Mô hình phân bổ.</w:t>
            </w:r>
            <w:r>
              <w:rPr>
                <w:b w:val="0"/>
                <w:i w:val="0"/>
                <w:sz w:val="19"/>
              </w:rPr>
              <w:t xml:space="preserve"> Phân tích khả năng sinh lời, dự báo nhu cầu theo kênh và quản lý tồn kho toàn cầu phải được tích hợp vào các quyết định phân bổ sản phẩm của các nhà quản lý. </w:t>
            </w:r>
            <w:r>
              <w:rPr>
                <w:b/>
                <w:i w:val="0"/>
                <w:sz w:val="19"/>
              </w:rPr>
              <w:t>Tham chiếu rủi ro: A-1, A-4</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A-1</w:t>
            </w:r>
          </w:p>
        </w:tc>
        <w:tc>
          <w:tcPr>
            <w:tcW w:type="dxa" w:w="4680"/>
          </w:tcPr>
          <w:p>
            <w:r/>
            <w:r>
              <w:rPr>
                <w:b w:val="0"/>
                <w:i w:val="0"/>
                <w:sz w:val="19"/>
              </w:rPr>
              <w:t>Nguồn lực của công ty có thể không được sử dụng một cách hiệu quả hoặc hiệu suất, dẫn đến chi phí quá cao và/hoặc đơn vị sản xuất không thể đạt được các mục tiêu kinh doanh của mình.</w:t>
            </w:r>
          </w:p>
        </w:tc>
      </w:tr>
      <w:tr>
        <w:tc>
          <w:tcPr>
            <w:tcW w:type="dxa" w:w="4680"/>
          </w:tcPr>
          <w:p>
            <w:r/>
            <w:r>
              <w:rPr>
                <w:b w:val="0"/>
                <w:i w:val="0"/>
                <w:sz w:val="19"/>
              </w:rPr>
              <w:t>A-2</w:t>
            </w:r>
          </w:p>
        </w:tc>
        <w:tc>
          <w:tcPr>
            <w:tcW w:type="dxa" w:w="4680"/>
          </w:tcPr>
          <w:p>
            <w:r/>
            <w:r>
              <w:rPr>
                <w:b w:val="0"/>
                <w:i w:val="0"/>
                <w:sz w:val="19"/>
              </w:rPr>
              <w:t>Khả năng giao hàng theo kế hoạch sản xuất đã thống nhất có thể bị ảnh hưởng tiêu cực hoặc đạt được với chi phí quá cao. Các sản phẩm hoặc số lượng không được phép vượt quá mức chấp nhận có thể được sản xuất. Nguồn cung cấp linh kiện hoặc hàng tồn kho phụ tùng không đầy đủ có thể dẫn đến gián đoạn sản xuất. Năng lực nhà máy có thể bị sử dụng dưới mức hoặc không đủ để đáp ứng các yêu cầu cụ thể của khách hàng hoặc mức độ dịch vụ. Nhân lực có thể được sử dụng một cách kém hiệu quả, ảnh hưởng đến giá vốn hàng bán.</w:t>
            </w:r>
          </w:p>
        </w:tc>
      </w:tr>
      <w:tr>
        <w:tc>
          <w:tcPr>
            <w:tcW w:type="dxa" w:w="4680"/>
          </w:tcPr>
          <w:p>
            <w:r/>
            <w:r>
              <w:rPr>
                <w:b w:val="0"/>
                <w:i w:val="0"/>
                <w:sz w:val="19"/>
              </w:rPr>
              <w:t>A-3</w:t>
            </w:r>
          </w:p>
        </w:tc>
        <w:tc>
          <w:tcPr>
            <w:tcW w:type="dxa" w:w="4680"/>
          </w:tcPr>
          <w:p>
            <w:r/>
            <w:r>
              <w:rPr>
                <w:b w:val="0"/>
                <w:i w:val="0"/>
                <w:sz w:val="19"/>
              </w:rPr>
              <w:t>Các lỗi và thiếu sót trong xử lý giao dịch hoặc các biện pháp bảo vệ vật chất kém có thể dẫn đến hàng tồn kho bị mất, bị đánh cắp, bị phá hủy hoặc bị chuyển hướng tạm thời. Sản xuất không chính xác có thể được báo cáo, che giấu phế liệu, thiếu hụt hoặc hành vi trộm cắp.</w:t>
            </w:r>
          </w:p>
        </w:tc>
      </w:tr>
      <w:tr>
        <w:tc>
          <w:tcPr>
            <w:tcW w:type="dxa" w:w="4680"/>
          </w:tcPr>
          <w:p>
            <w:r/>
            <w:r>
              <w:rPr>
                <w:b w:val="0"/>
                <w:i w:val="0"/>
                <w:sz w:val="19"/>
              </w:rPr>
              <w:t>A-4</w:t>
            </w:r>
          </w:p>
        </w:tc>
        <w:tc>
          <w:tcPr>
            <w:tcW w:type="dxa" w:w="4680"/>
          </w:tcPr>
          <w:p>
            <w:r/>
            <w:r>
              <w:rPr>
                <w:b w:val="0"/>
                <w:i w:val="0"/>
                <w:sz w:val="19"/>
              </w:rPr>
              <w:t>Các quyết định quan trọng có thể dựa trên báo cáo tài chính, hồ sơ hoặc báo cáo sản xuất không chính xác.</w:t>
            </w:r>
          </w:p>
        </w:tc>
      </w:tr>
      <w:tr>
        <w:tc>
          <w:tcPr>
            <w:tcW w:type="dxa" w:w="4680"/>
          </w:tcPr>
          <w:p>
            <w:r/>
            <w:r>
              <w:rPr>
                <w:b w:val="0"/>
                <w:i w:val="0"/>
                <w:sz w:val="19"/>
              </w:rPr>
              <w:t>A-5</w:t>
            </w:r>
          </w:p>
        </w:tc>
        <w:tc>
          <w:tcPr>
            <w:tcW w:type="dxa" w:w="4680"/>
          </w:tcPr>
          <w:p>
            <w:r/>
            <w:r>
              <w:rPr>
                <w:b w:val="0"/>
                <w:i w:val="0"/>
                <w:sz w:val="19"/>
              </w:rPr>
              <w:t>Doanh thu bán phế liệu có thể bị ghi nhận sai hoặc không được ghi nhận, bán với giá không phù hợp, hoặc bán cho khách hàng có rủi ro tín dụng không thể chấp nhận.</w:t>
            </w:r>
          </w:p>
        </w:tc>
      </w:tr>
    </w:tbl>
    <w:p>
      <w:pPr>
        <w:spacing w:after="0"/>
      </w:pPr>
    </w:p>
    <w:p>
      <w:pPr>
        <w:pStyle w:val="Heading2"/>
      </w:pPr>
      <w:r>
        <w:rPr>
          <w:rFonts w:ascii="Calibri" w:hAnsi="Calibri"/>
          <w:b/>
          <w:i w:val="0"/>
          <w:sz w:val="32"/>
        </w:rPr>
        <w:t>6.2 KIỂM SOÁT HÀNG TỒN KHO</w:t>
      </w:r>
    </w:p>
    <w:p>
      <w:pPr>
        <w:pStyle w:val="Heading3"/>
      </w:pPr>
      <w:r>
        <w:rPr>
          <w:rFonts w:ascii="Calibri" w:hAnsi="Calibri"/>
          <w:b/>
          <w:i w:val="0"/>
          <w:sz w:val="26"/>
        </w:rPr>
        <w:t>Giới thiệu</w:t>
      </w:r>
    </w:p>
    <w:p>
      <w:pPr>
        <w:spacing w:after="80"/>
      </w:pPr>
      <w:r>
        <w:rPr>
          <w:b w:val="0"/>
          <w:i w:val="0"/>
        </w:rPr>
        <w:t>Các biện pháp kiểm soát hàng tồn kho hiệu quả trong chuỗi cung ứng là cần thiết để đảm bảo (i) mức tồn kho phù hợp, (ii) hàng tồn kho được bảo vệ khỏi trộm cắp và hư hỏng, và (iii) hàng tồn kho được định giá đúng. Chức năng kiểm soát hàng tồn kho phải thiết lập một kế hoạch chính thức để kiểm soát mọi khía cạnh của hàng tồn kho.</w:t>
      </w:r>
    </w:p>
    <w:p>
      <w:pPr>
        <w:spacing w:after="80"/>
      </w:pPr>
      <w:r>
        <w:rPr>
          <w:b w:val="0"/>
          <w:i w:val="0"/>
        </w:rPr>
        <w:t>Việc nhận và chuyển hàng tồn kho vào, trong nội bộ, và ra khỏi cơ sở của công ty chỉ được thực hiện khi nhận được và tuân thủ một giao dịch được ủy quyền hợp lệ (bằng giấy hoặc điện tử), giao dịch này được dùng để cập nhật hồ sơ hàng tồn kho một cách kịp thời.</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p>
        </w:tc>
        <w:tc>
          <w:tcPr>
            <w:tcW w:type="dxa" w:w="4680"/>
          </w:tcPr>
          <w:p/>
        </w:tc>
      </w:tr>
      <w:tr>
        <w:tc>
          <w:tcPr>
            <w:tcW w:type="dxa" w:w="4680"/>
          </w:tcPr>
          <w:p>
            <w:r/>
            <w:r>
              <w:rPr>
                <w:b w:val="0"/>
                <w:i w:val="0"/>
                <w:sz w:val="19"/>
              </w:rPr>
              <w:t>6.2.1</w:t>
            </w:r>
          </w:p>
        </w:tc>
        <w:tc>
          <w:tcPr>
            <w:tcW w:type="dxa" w:w="4680"/>
          </w:tcPr>
          <w:p>
            <w:r/>
            <w:r>
              <w:rPr>
                <w:b w:val="0"/>
                <w:i w:val="0"/>
                <w:sz w:val="19"/>
              </w:rPr>
              <w:t>Phân tách nhiệm vụ. Quy trình kiểm soát hàng tồn kho phải có sự phân tách nhiệm vụ sau:</w:t>
            </w:r>
            <w:r>
              <w:br/>
            </w:r>
            <w:r>
              <w:rPr>
                <w:b w:val="0"/>
                <w:i w:val="0"/>
                <w:sz w:val="19"/>
              </w:rPr>
              <w:t>a. Phân tách trách nhiệm sản xuất và trông coi khỏi các hoạt động kế toán</w:t>
            </w:r>
            <w:r>
              <w:br/>
            </w:r>
            <w:r>
              <w:rPr>
                <w:b w:val="0"/>
                <w:i w:val="0"/>
                <w:sz w:val="19"/>
              </w:rPr>
              <w:t xml:space="preserve">b. Phân tách việc giám sát và xác minh sự tồn tại thực tế của hàng tồn kho khỏi việc thực hiện kiểm đếm thực tế </w:t>
            </w:r>
            <w:r>
              <w:rPr>
                <w:b/>
                <w:i w:val="0"/>
                <w:sz w:val="19"/>
              </w:rPr>
              <w:t>Tham chiếu rủi ro: B-1</w:t>
            </w:r>
          </w:p>
        </w:tc>
      </w:tr>
      <w:tr>
        <w:tc>
          <w:tcPr>
            <w:tcW w:type="dxa" w:w="4680"/>
          </w:tcPr>
          <w:p>
            <w:r/>
            <w:r>
              <w:rPr>
                <w:b w:val="0"/>
                <w:i w:val="0"/>
                <w:sz w:val="19"/>
              </w:rPr>
              <w:t>6.2.2</w:t>
            </w:r>
          </w:p>
        </w:tc>
        <w:tc>
          <w:tcPr>
            <w:tcW w:type="dxa" w:w="4680"/>
          </w:tcPr>
          <w:p>
            <w:r/>
            <w:r>
              <w:rPr>
                <w:b/>
                <w:i w:val="0"/>
                <w:sz w:val="19"/>
              </w:rPr>
              <w:t>Nhận và Xuất hàng tồn kho.</w:t>
            </w:r>
            <w:r>
              <w:rPr>
                <w:b w:val="0"/>
                <w:i w:val="0"/>
                <w:sz w:val="19"/>
              </w:rPr>
              <w:t xml:space="preserve"> Các thủ tục chốt sổ hàng tháng phải được thiết lập, ghi chép thành văn bản và phối hợp với bộ phận tài chính để đảm bảo mọi khoản nhận và thanh toán hàng tồn kho đều được ghi nhận đúng. Việc điều tra tiếp theo và hành động khắc phục phải được thực hiện kịp thời đối với mọi chênh lệch giữa hàng giao và hàng nhận được báo cáo. </w:t>
            </w:r>
            <w:r>
              <w:rPr>
                <w:b/>
                <w:i w:val="0"/>
                <w:sz w:val="19"/>
              </w:rPr>
              <w:t>Tham chiếu rủi ro: B-1, B-2</w:t>
            </w:r>
          </w:p>
        </w:tc>
      </w:tr>
      <w:tr>
        <w:tc>
          <w:tcPr>
            <w:tcW w:type="dxa" w:w="4680"/>
          </w:tcPr>
          <w:p>
            <w:r/>
            <w:r>
              <w:rPr>
                <w:b w:val="0"/>
                <w:i w:val="0"/>
                <w:sz w:val="19"/>
              </w:rPr>
              <w:t>6.2.3</w:t>
            </w:r>
          </w:p>
        </w:tc>
        <w:tc>
          <w:tcPr>
            <w:tcW w:type="dxa" w:w="4680"/>
          </w:tcPr>
          <w:p>
            <w:r/>
            <w:r>
              <w:rPr>
                <w:b/>
                <w:i w:val="0"/>
                <w:sz w:val="19"/>
              </w:rPr>
              <w:t>Hàng tồn kho đang vận chuyển.</w:t>
            </w:r>
            <w:r>
              <w:rPr>
                <w:b w:val="0"/>
                <w:i w:val="0"/>
                <w:sz w:val="19"/>
              </w:rPr>
              <w:t xml:space="preserve"> Hàng tồn kho đang vận chuyển giữa các tổ chức phải được đối chiếu (nội dung đã biết và trạng thái được cập nhật) và theo dõi thời gian tồn đọng theo các chính sách và thủ tục bằng văn bản của địa phương. Các khoản mục cần đối chiếu và các khoản mục đang tranh chấp phải được giải quyết theo hướng dẫn do chính sách và thủ tục bằng văn bản của địa phương đặt ra sau thời điểm giao hàng dự kiến. Giả định rằng đơn vị gửi hàng tồn kho sẽ có số dư đúng trừ khi đơn vị nhận hàng chứng minh được đó là lỗi vận chuyển. </w:t>
            </w:r>
            <w:r>
              <w:rPr>
                <w:b/>
                <w:i w:val="0"/>
                <w:sz w:val="19"/>
              </w:rPr>
              <w:t>Tham chiếu rủi ro: B-1, B-2</w:t>
            </w:r>
          </w:p>
        </w:tc>
      </w:tr>
      <w:tr>
        <w:tc>
          <w:tcPr>
            <w:tcW w:type="dxa" w:w="4680"/>
          </w:tcPr>
          <w:p>
            <w:r/>
            <w:r>
              <w:rPr>
                <w:b w:val="0"/>
                <w:i w:val="0"/>
                <w:sz w:val="19"/>
              </w:rPr>
              <w:t>6.2.4</w:t>
            </w:r>
          </w:p>
        </w:tc>
        <w:tc>
          <w:tcPr>
            <w:tcW w:type="dxa" w:w="4680"/>
          </w:tcPr>
          <w:p>
            <w:r/>
            <w:r>
              <w:rPr>
                <w:b/>
                <w:i w:val="0"/>
                <w:sz w:val="19"/>
              </w:rPr>
              <w:t>Hàng trả lại.</w:t>
            </w:r>
            <w:r>
              <w:rPr>
                <w:b w:val="0"/>
                <w:i w:val="0"/>
                <w:sz w:val="19"/>
              </w:rPr>
              <w:t xml:space="preserve"> Sản phẩm trả lại nên được nhận dựa trên thông báo trả lại từ khách hàng hoặc bộ phận phân phối và phải được nhập vào hồ sơ hàng tồn kho. Chi phí sản xuất hàng hóa (ví dụ: hóa đơn sản phẩm) hoặc hóa đơn giữa các bộ phận phải phản ánh các điều chỉnh đối với hàng tồn kho trả lại. Sản phẩm trả lại phải được tách riêng khỏi hàng tồn kho thông thường trừ khi được đưa trở lại kho ngay lập tức. Việc xử lý hoặc nhập lại kho đối với tất cả các hàng trả lại khác (đưa trở lại kho, tái sản xuất, hoặc phế liệu) nên được thực hiện trong một khoảng thời gian hợp lý. </w:t>
            </w:r>
            <w:r>
              <w:rPr>
                <w:b/>
                <w:i w:val="0"/>
                <w:sz w:val="19"/>
              </w:rPr>
              <w:t>Tham chiếu rủi ro: B-1, B-2, B-3</w:t>
            </w:r>
          </w:p>
        </w:tc>
      </w:tr>
      <w:tr>
        <w:tc>
          <w:tcPr>
            <w:tcW w:type="dxa" w:w="4680"/>
          </w:tcPr>
          <w:p>
            <w:r/>
            <w:r>
              <w:rPr>
                <w:b w:val="0"/>
                <w:i w:val="0"/>
                <w:sz w:val="19"/>
              </w:rPr>
              <w:t>6.2.5</w:t>
            </w:r>
          </w:p>
        </w:tc>
        <w:tc>
          <w:tcPr>
            <w:tcW w:type="dxa" w:w="4680"/>
          </w:tcPr>
          <w:p>
            <w:r/>
            <w:r>
              <w:rPr>
                <w:b/>
                <w:i w:val="0"/>
                <w:sz w:val="19"/>
              </w:rPr>
              <w:t>Sự tồn tại và duy trì hồ sơ hàng tồn kho.</w:t>
            </w:r>
            <w:r>
              <w:rPr>
                <w:b w:val="0"/>
                <w:i w:val="0"/>
                <w:sz w:val="19"/>
              </w:rPr>
              <w:t xml:space="preserve"> Hồ sơ hàng tồn kho phải được duy trì để bảo vệ hàng tồn kho và cung cấp thông tin hiện hành về số lượng hàng tồn kho hiện có. Định kỳ (ít nhất mỗi năm một lần), số lượng trong hồ sơ hàng tồn kho phải được đối chiếu (nội dung đã được biết rõ và trạng thái là hiện hành) với số lượng thực tế thông qua kiểm kê luân phiên hoặc kiểm kê thực tế. Các điều chỉnh cần thiết phải được thực hiện đối với hồ sơ hàng tồn kho thực tế và tài chính một cách kịp thời để phản ánh đúng số lượng thực tế. Việc điều tra tiếp theo và hành động khắc phục phải được thực hiện kịp thời đối với mọi chênh lệch. </w:t>
            </w:r>
            <w:r>
              <w:rPr>
                <w:b/>
                <w:i w:val="0"/>
                <w:sz w:val="19"/>
              </w:rPr>
              <w:t>Tham khảo rủi ro: B-1, B-2</w:t>
            </w:r>
          </w:p>
        </w:tc>
      </w:tr>
      <w:tr>
        <w:tc>
          <w:tcPr>
            <w:tcW w:type="dxa" w:w="4680"/>
          </w:tcPr>
          <w:p>
            <w:r/>
            <w:r>
              <w:rPr>
                <w:b w:val="0"/>
                <w:i w:val="0"/>
                <w:sz w:val="19"/>
              </w:rPr>
              <w:t>6.2.6</w:t>
            </w:r>
          </w:p>
        </w:tc>
        <w:tc>
          <w:tcPr>
            <w:tcW w:type="dxa" w:w="4680"/>
          </w:tcPr>
          <w:p>
            <w:r/>
            <w:r>
              <w:rPr>
                <w:b/>
                <w:i w:val="0"/>
                <w:sz w:val="19"/>
              </w:rPr>
              <w:t>Các biện pháp bảo vệ quyền truy cập hàng tồn kho.</w:t>
            </w:r>
            <w:r>
              <w:rPr>
                <w:b w:val="0"/>
                <w:i w:val="0"/>
                <w:sz w:val="19"/>
              </w:rPr>
              <w:t xml:space="preserve"> Hàng tồn kho phải được bảo vệ khỏi sự truy cập trái phép bằng cách thiết lập các kiểm soát vật lý, kiểm soát quyền truy cập hệ thống hoặc các kiểm soát bù trừ khác. </w:t>
            </w:r>
            <w:r>
              <w:rPr>
                <w:b/>
                <w:i w:val="0"/>
                <w:sz w:val="19"/>
              </w:rPr>
              <w:t>Tham khảo rủi ro: B-1, B-2, B-4</w:t>
            </w:r>
          </w:p>
        </w:tc>
      </w:tr>
      <w:tr>
        <w:tc>
          <w:tcPr>
            <w:tcW w:type="dxa" w:w="4680"/>
          </w:tcPr>
          <w:p>
            <w:r/>
            <w:r>
              <w:rPr>
                <w:b w:val="0"/>
                <w:i w:val="0"/>
                <w:sz w:val="19"/>
              </w:rPr>
              <w:t>6.2.7</w:t>
            </w:r>
          </w:p>
        </w:tc>
        <w:tc>
          <w:tcPr>
            <w:tcW w:type="dxa" w:w="4680"/>
          </w:tcPr>
          <w:p>
            <w:r/>
            <w:r>
              <w:rPr>
                <w:b/>
                <w:i w:val="0"/>
                <w:sz w:val="19"/>
              </w:rPr>
              <w:t>Bảo vệ hàng tồn kho khỏi sự hư hỏng và xuống cấp.</w:t>
            </w:r>
            <w:r>
              <w:rPr>
                <w:b w:val="0"/>
                <w:i w:val="0"/>
                <w:sz w:val="19"/>
              </w:rPr>
              <w:t xml:space="preserve"> Hàng tồn kho phải được bảo vệ khỏi sự xuống cấp về mặt vật lý và hư hỏng. </w:t>
            </w:r>
            <w:r>
              <w:rPr>
                <w:b/>
                <w:i w:val="0"/>
                <w:sz w:val="19"/>
              </w:rPr>
              <w:t>Tham khảo rủi ro: B-1, B-4, B-5</w:t>
            </w:r>
          </w:p>
        </w:tc>
      </w:tr>
      <w:tr>
        <w:tc>
          <w:tcPr>
            <w:tcW w:type="dxa" w:w="4680"/>
          </w:tcPr>
          <w:p>
            <w:r/>
            <w:r>
              <w:rPr>
                <w:b w:val="0"/>
                <w:i w:val="0"/>
                <w:sz w:val="19"/>
              </w:rPr>
              <w:t>6.2.8</w:t>
            </w:r>
          </w:p>
        </w:tc>
        <w:tc>
          <w:tcPr>
            <w:tcW w:type="dxa" w:w="4680"/>
          </w:tcPr>
          <w:p>
            <w:r/>
            <w:r>
              <w:rPr>
                <w:b/>
                <w:i w:val="0"/>
                <w:sz w:val="19"/>
              </w:rPr>
              <w:t>Hàng tồn kho ngoài địa điểm.</w:t>
            </w:r>
            <w:r>
              <w:rPr>
                <w:b w:val="0"/>
                <w:i w:val="0"/>
                <w:sz w:val="19"/>
              </w:rPr>
              <w:t xml:space="preserve"> Hàng tồn kho của công ty được lưu trữ hoặc xử lý tại các địa điểm ngoài công ty (ví dụ: cơ sở phân phối không thuộc công ty, cơ sở của nhà cung cấp hoặc nhà bán hàng, hoặc do nhân viên kinh doanh, kỹ thuật hoặc nhân viên khác nắm giữ, v.v.) phải tuân theo các tiêu chuẩn kiểm soát nội bộ giống như bất kỳ hàng tồn kho nào khác. Số lượng hàng tồn kho tại các địa điểm ngoài công ty phải được đối chiếu (nội dung đã được biết rõ và trạng thái là hiện hành) hàng quý với các báo cáo do bên giữ hàng cung cấp. Mọi chênh lệch hàng tồn kho âm không giải thích được phải được báo cáo ngay cho công ty. Việc điều tra tiếp theo và hành động khắc phục phải được thực hiện kịp thời đối với mọi chênh lệch. </w:t>
            </w:r>
            <w:r>
              <w:rPr>
                <w:b/>
                <w:i w:val="0"/>
                <w:sz w:val="19"/>
              </w:rPr>
              <w:t>Tham khảo rủi ro: B-1, B-2</w:t>
            </w:r>
          </w:p>
        </w:tc>
      </w:tr>
      <w:tr>
        <w:tc>
          <w:tcPr>
            <w:tcW w:type="dxa" w:w="4680"/>
          </w:tcPr>
          <w:p>
            <w:r/>
            <w:r>
              <w:rPr>
                <w:b w:val="0"/>
                <w:i w:val="0"/>
                <w:sz w:val="19"/>
              </w:rPr>
              <w:t>6.2.9</w:t>
            </w:r>
          </w:p>
        </w:tc>
        <w:tc>
          <w:tcPr>
            <w:tcW w:type="dxa" w:w="4680"/>
          </w:tcPr>
          <w:p>
            <w:r/>
            <w:r>
              <w:rPr>
                <w:b/>
                <w:i w:val="0"/>
                <w:sz w:val="19"/>
              </w:rPr>
              <w:t>Hàng tồn kho ký gửi thuộc sở hữu nhà cung cấp đặt tại công ty.</w:t>
            </w:r>
            <w:r>
              <w:rPr>
                <w:b w:val="0"/>
                <w:i w:val="0"/>
                <w:sz w:val="19"/>
              </w:rPr>
              <w:t xml:space="preserve"> Hàng tồn kho thuộc sở hữu nhà cung cấp được ký gửi tại cơ sở của công ty phải tuân theo các tiêu chuẩn kiểm soát nội bộ giống như bất kỳ hàng tồn kho nào khác. Hàng tồn kho ký gửi phải được nhận diện và đối chiếu (nội dung đã được biết rõ và trạng thái là hiện hành) với hồ sơ của nhà cung cấp theo quý, kèm theo việc điều tra tiếp theo và hành động khắc phục được thực hiện kịp thời đối với mọi chênh lệch. Hàng tồn kho ký gửi thuộc sở hữu nhà cung cấp phải được loại trừ khỏi hồ sơ tài chính của công ty và </w:t>
            </w:r>
            <w:r>
              <w:rPr>
                <w:b w:val="0"/>
                <w:i/>
                <w:sz w:val="19"/>
              </w:rPr>
              <w:t>không</w:t>
            </w:r>
            <w:r>
              <w:rPr>
                <w:b w:val="0"/>
                <w:i w:val="0"/>
                <w:sz w:val="19"/>
              </w:rPr>
              <w:t xml:space="preserve"> được báo cáo cho bộ phận quản lý rủi ro/bảo hiểm của tập đoàn để đưa vào tính toán tài sản có thể bảo hiểm, vì việc bảo hiểm hàng tồn kho là trách nhiệm của chủ sở hữu. </w:t>
            </w:r>
            <w:r>
              <w:rPr>
                <w:b/>
                <w:i w:val="0"/>
                <w:sz w:val="19"/>
              </w:rPr>
              <w:t>Tham khảo rủi ro: B-1, B-2, B-4</w:t>
            </w:r>
          </w:p>
        </w:tc>
      </w:tr>
      <w:tr>
        <w:tc>
          <w:tcPr>
            <w:tcW w:type="dxa" w:w="4680"/>
          </w:tcPr>
          <w:p>
            <w:r/>
            <w:r>
              <w:rPr>
                <w:b w:val="0"/>
                <w:i w:val="0"/>
                <w:sz w:val="19"/>
              </w:rPr>
              <w:t>6.2.10</w:t>
            </w:r>
          </w:p>
        </w:tc>
        <w:tc>
          <w:tcPr>
            <w:tcW w:type="dxa" w:w="4680"/>
          </w:tcPr>
          <w:p>
            <w:r/>
            <w:r>
              <w:rPr>
                <w:b/>
                <w:i w:val="0"/>
                <w:sz w:val="19"/>
              </w:rPr>
              <w:t>Hàng tồn kho dư thừa, lỗi thời và khiếm khuyết.</w:t>
            </w:r>
            <w:r>
              <w:rPr>
                <w:b w:val="0"/>
                <w:i w:val="0"/>
                <w:sz w:val="19"/>
              </w:rPr>
              <w:t xml:space="preserve"> Định kỳ, ban quản lý phải xem xét hàng tồn kho. Hàng tồn kho được xác định cụ thể là dư thừa, lỗi thời hoặc khiếm khuyết phải được xử lý bằng cách bán, phế liệu, trả lại cho nhà cung cấp hoặc các biện pháp phù hợp khác một cách nhanh chóng và kịp thời. Hàng tồn kho được xác định là có khả năng dư thừa và lỗi thời phải được trích lập dự phòng tuân theo chính sách hàng tồn kho của công ty. </w:t>
            </w:r>
            <w:r>
              <w:rPr>
                <w:b/>
                <w:i w:val="0"/>
                <w:sz w:val="19"/>
              </w:rPr>
              <w:t>Tham khảo rủi ro: B-2, B-3</w:t>
            </w:r>
          </w:p>
        </w:tc>
      </w:tr>
      <w:tr>
        <w:tc>
          <w:tcPr>
            <w:tcW w:type="dxa" w:w="4680"/>
          </w:tcPr>
          <w:p>
            <w:r/>
            <w:r>
              <w:rPr>
                <w:b w:val="0"/>
                <w:i w:val="0"/>
                <w:sz w:val="19"/>
              </w:rPr>
              <w:t>6.2.11</w:t>
            </w:r>
          </w:p>
        </w:tc>
        <w:tc>
          <w:tcPr>
            <w:tcW w:type="dxa" w:w="4680"/>
          </w:tcPr>
          <w:p>
            <w:r/>
            <w:r>
              <w:rPr>
                <w:b/>
                <w:i w:val="0"/>
                <w:sz w:val="19"/>
              </w:rPr>
              <w:t>Thông tin để loại trừ lợi nhuận nội bộ trong hàng tồn kho.</w:t>
            </w:r>
            <w:r>
              <w:rPr>
                <w:b w:val="0"/>
                <w:i w:val="0"/>
                <w:sz w:val="19"/>
              </w:rPr>
              <w:t xml:space="preserve"> Hàng tồn kho nhận được từ các địa điểm khác của công ty phải được ghi nhận theo nguồn gốc và được theo dõi để cung cấp sự hỗ trợ cần thiết cho việc loại trừ lợi nhuận nội bộ định kỳ. </w:t>
            </w:r>
            <w:r>
              <w:rPr>
                <w:b/>
                <w:i w:val="0"/>
                <w:sz w:val="19"/>
              </w:rPr>
              <w:t>Tham khảo rủi ro: B-2</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B-1</w:t>
            </w:r>
          </w:p>
        </w:tc>
        <w:tc>
          <w:tcPr>
            <w:tcW w:type="dxa" w:w="4680"/>
          </w:tcPr>
          <w:p>
            <w:r/>
            <w:r>
              <w:rPr>
                <w:b w:val="0"/>
                <w:i w:val="0"/>
                <w:sz w:val="19"/>
              </w:rPr>
              <w:t>Các lỗi và thiếu sót trong việc phân quyền và xử lý giao dịch hoặc các biện pháp bảo vệ vật chất kém có thể dẫn đến hàng tồn kho bị mất, bị đánh cắp, bị phá hủy hoặc bị chuyển hướng tạm thời. Việc đánh cắp hàng tồn kho có thể không bị phát hiện.</w:t>
            </w:r>
          </w:p>
        </w:tc>
      </w:tr>
      <w:tr>
        <w:tc>
          <w:tcPr>
            <w:tcW w:type="dxa" w:w="4680"/>
          </w:tcPr>
          <w:p>
            <w:r/>
            <w:r>
              <w:rPr>
                <w:b w:val="0"/>
                <w:i w:val="0"/>
                <w:sz w:val="19"/>
              </w:rPr>
              <w:t>B-2</w:t>
            </w:r>
          </w:p>
        </w:tc>
        <w:tc>
          <w:tcPr>
            <w:tcW w:type="dxa" w:w="4680"/>
          </w:tcPr>
          <w:p>
            <w:r/>
            <w:r>
              <w:rPr>
                <w:b w:val="0"/>
                <w:i w:val="0"/>
                <w:sz w:val="19"/>
              </w:rPr>
              <w:t>Các quyết định quan trọng có thể dựa trên báo cáo tài chính, hồ sơ hoặc báo cáo sản xuất không chính xác. Thông tin không chính xác có thể dẫn đến mức tồn kho quá cao nếu hàng tồn kho không cần thiết bị đặt hàng hoặc sản xuất. Ngược lại, tình trạng thiếu hụt bất ngờ có thể làm gián đoạn sản xuất và dẫn đến việc không thể giao sản phẩm cho khách hàng.</w:t>
            </w:r>
          </w:p>
        </w:tc>
      </w:tr>
      <w:tr>
        <w:tc>
          <w:tcPr>
            <w:tcW w:type="dxa" w:w="4680"/>
          </w:tcPr>
          <w:p>
            <w:r/>
            <w:r>
              <w:rPr>
                <w:b w:val="0"/>
                <w:i w:val="0"/>
                <w:sz w:val="19"/>
              </w:rPr>
              <w:t>B-3</w:t>
            </w:r>
          </w:p>
        </w:tc>
        <w:tc>
          <w:tcPr>
            <w:tcW w:type="dxa" w:w="4680"/>
          </w:tcPr>
          <w:p>
            <w:r/>
            <w:r>
              <w:rPr>
                <w:b w:val="0"/>
                <w:i w:val="0"/>
                <w:sz w:val="19"/>
              </w:rPr>
              <w:t>Phế liệu hoặc hàng trả lại có thể bị đánh cắp. Phế liệu có thể bị bán với giá không phù hợp hoặc cho khách hàng có rủi ro tín dụng không thể chấp nhận.</w:t>
            </w:r>
          </w:p>
        </w:tc>
      </w:tr>
      <w:tr>
        <w:tc>
          <w:tcPr>
            <w:tcW w:type="dxa" w:w="4680"/>
          </w:tcPr>
          <w:p>
            <w:r/>
            <w:r>
              <w:rPr>
                <w:b w:val="0"/>
                <w:i w:val="0"/>
                <w:sz w:val="19"/>
              </w:rPr>
              <w:t>B-4</w:t>
            </w:r>
          </w:p>
        </w:tc>
        <w:tc>
          <w:tcPr>
            <w:tcW w:type="dxa" w:w="4680"/>
          </w:tcPr>
          <w:p>
            <w:r/>
            <w:r>
              <w:rPr>
                <w:b w:val="0"/>
                <w:i w:val="0"/>
                <w:sz w:val="19"/>
              </w:rPr>
              <w:t>Công ty có thể bị tổn thất tài chính không cần thiết do hàng tồn kho bị hư hỏng và không thể đáp ứng nhu cầu khách hàng trong tương lai.</w:t>
            </w:r>
          </w:p>
        </w:tc>
      </w:tr>
      <w:tr>
        <w:tc>
          <w:tcPr>
            <w:tcW w:type="dxa" w:w="4680"/>
          </w:tcPr>
          <w:p>
            <w:r/>
            <w:r>
              <w:rPr>
                <w:b w:val="0"/>
                <w:i w:val="0"/>
                <w:sz w:val="19"/>
              </w:rPr>
              <w:t>B-5</w:t>
            </w:r>
          </w:p>
        </w:tc>
        <w:tc>
          <w:tcPr>
            <w:tcW w:type="dxa" w:w="4680"/>
          </w:tcPr>
          <w:p>
            <w:r/>
            <w:r>
              <w:rPr>
                <w:b w:val="0"/>
                <w:i w:val="0"/>
                <w:sz w:val="19"/>
              </w:rPr>
              <w:t>Chất lượng của các mặt hàng được chuyển giao hoặc vận chuyển có thể không đạt yêu cầu, dẫn đến việc trả lại hoặc làm lại quá nhiều và khách hàng không hài lòng.</w:t>
            </w:r>
          </w:p>
        </w:tc>
      </w:tr>
    </w:tbl>
    <w:p>
      <w:pPr>
        <w:spacing w:after="0"/>
      </w:pPr>
    </w:p>
    <w:p>
      <w:pPr>
        <w:pStyle w:val="Heading2"/>
      </w:pPr>
      <w:r>
        <w:rPr>
          <w:rFonts w:ascii="Calibri" w:hAnsi="Calibri"/>
          <w:b/>
          <w:i w:val="0"/>
          <w:sz w:val="32"/>
        </w:rPr>
        <w:t>6.3 XÁC MINH HÀNG TỒN KHO</w:t>
      </w:r>
    </w:p>
    <w:p>
      <w:pPr>
        <w:pStyle w:val="Heading3"/>
      </w:pPr>
      <w:r>
        <w:rPr>
          <w:rFonts w:ascii="Calibri" w:hAnsi="Calibri"/>
          <w:b/>
          <w:i w:val="0"/>
          <w:sz w:val="26"/>
        </w:rPr>
        <w:t>Giới thiệu</w:t>
      </w:r>
    </w:p>
    <w:p>
      <w:pPr>
        <w:spacing w:after="80"/>
      </w:pPr>
      <w:r>
        <w:rPr>
          <w:b w:val="0"/>
          <w:i w:val="0"/>
        </w:rPr>
        <w:t>Việc xác minh hàng tồn kho, dù được thực hiện thông qua các thủ tục xác minh hàng tồn kho thực tế đầy đủ, kiểm đếm theo quy trình hay lấy mẫu thống kê, đều cần thiết để đảm bảo báo cáo chính xác về hàng tồn kho cho cả mục đích tài chính lẫn vận hành. Các đơn vị được phép sử dụng kiểm đếm theo chu kỳ thay cho kiểm kê thực tế hàng năm nếu họ đã ghi chép và triển khai các chính sách và thủ tục kiểm đếm theo quy trình đáp ứng các yêu cầu tối thiểu của công ty. Các thủ tục sau đây phải được áp dụng khi thực hiện, định giá và đối chiếu việc kiểm đếm hàng tồn kho với hồ sơ hàng tồn kho.</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6.3.1</w:t>
            </w:r>
          </w:p>
        </w:tc>
        <w:tc>
          <w:tcPr>
            <w:tcW w:type="dxa" w:w="4680"/>
          </w:tcPr>
          <w:p>
            <w:r/>
            <w:r>
              <w:rPr>
                <w:b/>
                <w:i w:val="0"/>
                <w:sz w:val="19"/>
              </w:rPr>
              <w:t>Thủ tục Kiểm kê Thực tế.</w:t>
            </w:r>
            <w:r>
              <w:rPr>
                <w:b w:val="0"/>
                <w:i w:val="0"/>
                <w:sz w:val="19"/>
              </w:rPr>
              <w:t xml:space="preserve"> Khi hồ sơ hàng tồn kho liên tục không được xác minh thông qua kiểm đếm theo chu kỳ hoặc thủ tục lấy mẫu thống kê, sự tồn tại của hàng tồn kho phải được xác minh thông qua kiểm kê thực tế hàng năm được thực hiện với các thủ tục phù hợp như quy định trong chính sách công ty được ủy quyền để đảm bảo tính chính xác của việc kiểm đếm. </w:t>
            </w:r>
            <w:r>
              <w:rPr>
                <w:b/>
                <w:i w:val="0"/>
                <w:sz w:val="19"/>
              </w:rPr>
              <w:t>Tham khảo rủi ro: C-1, C-2, C-3, C-5</w:t>
            </w:r>
          </w:p>
        </w:tc>
      </w:tr>
      <w:tr>
        <w:tc>
          <w:tcPr>
            <w:tcW w:type="dxa" w:w="4680"/>
          </w:tcPr>
          <w:p>
            <w:r/>
            <w:r>
              <w:rPr>
                <w:b w:val="0"/>
                <w:i w:val="0"/>
                <w:sz w:val="19"/>
              </w:rPr>
              <w:t>6.3.2</w:t>
            </w:r>
          </w:p>
        </w:tc>
        <w:tc>
          <w:tcPr>
            <w:tcW w:type="dxa" w:w="4680"/>
          </w:tcPr>
          <w:p>
            <w:r/>
            <w:r>
              <w:rPr>
                <w:b/>
                <w:i w:val="0"/>
                <w:sz w:val="19"/>
              </w:rPr>
              <w:t>Quy trình đếm hàng tồn kho.</w:t>
            </w:r>
            <w:r>
              <w:rPr>
                <w:b w:val="0"/>
                <w:i w:val="0"/>
                <w:sz w:val="19"/>
              </w:rPr>
              <w:t xml:space="preserve"> Khi yêu cầu kiểm kê theo chu kỳ (cycle counting), các quy trình phải đáp ứng các yêu cầu tối thiểu được quy định trong chính sách của công ty. </w:t>
            </w:r>
            <w:r>
              <w:rPr>
                <w:b/>
                <w:i w:val="0"/>
                <w:sz w:val="19"/>
              </w:rPr>
              <w:t>Tham chiếu rủi ro: C-2, C-3, C-5</w:t>
            </w:r>
          </w:p>
        </w:tc>
      </w:tr>
      <w:tr>
        <w:tc>
          <w:tcPr>
            <w:tcW w:type="dxa" w:w="4680"/>
          </w:tcPr>
          <w:p>
            <w:r/>
            <w:r>
              <w:rPr>
                <w:b w:val="0"/>
                <w:i w:val="0"/>
                <w:sz w:val="19"/>
              </w:rPr>
              <w:t>6.3.3</w:t>
            </w:r>
          </w:p>
        </w:tc>
        <w:tc>
          <w:tcPr>
            <w:tcW w:type="dxa" w:w="4680"/>
          </w:tcPr>
          <w:p>
            <w:r/>
            <w:r>
              <w:rPr>
                <w:b/>
                <w:i w:val="0"/>
                <w:sz w:val="19"/>
              </w:rPr>
              <w:t>Quy trình lấy mẫu thống kê.</w:t>
            </w:r>
            <w:r>
              <w:rPr>
                <w:b w:val="0"/>
                <w:i w:val="0"/>
                <w:sz w:val="19"/>
              </w:rPr>
              <w:t xml:space="preserve"> Quy trình lấy mẫu thống kê phải được kiểm soát viên tài chính của công ty (company controller) phê duyệt trước khi triển khai. </w:t>
            </w:r>
            <w:r>
              <w:rPr>
                <w:b/>
                <w:i w:val="0"/>
                <w:sz w:val="19"/>
              </w:rPr>
              <w:t>Tham chiếu rủi ro: C-2, C-3, C-5</w:t>
            </w:r>
          </w:p>
        </w:tc>
      </w:tr>
      <w:tr>
        <w:tc>
          <w:tcPr>
            <w:tcW w:type="dxa" w:w="4680"/>
          </w:tcPr>
          <w:p>
            <w:r/>
            <w:r>
              <w:rPr>
                <w:b w:val="0"/>
                <w:i w:val="0"/>
                <w:sz w:val="19"/>
              </w:rPr>
              <w:t>6.3.4</w:t>
            </w:r>
          </w:p>
        </w:tc>
        <w:tc>
          <w:tcPr>
            <w:tcW w:type="dxa" w:w="4680"/>
          </w:tcPr>
          <w:p>
            <w:r/>
            <w:r>
              <w:rPr>
                <w:b/>
                <w:i w:val="0"/>
                <w:sz w:val="19"/>
              </w:rPr>
              <w:t>Đối chiếu sổ cái tổng hợp.</w:t>
            </w:r>
            <w:r>
              <w:rPr>
                <w:b w:val="0"/>
                <w:i w:val="0"/>
                <w:sz w:val="19"/>
              </w:rPr>
              <w:t xml:space="preserve"> Kết quả từ các quy trình xác minh hàng tồn kho thực tế phải được đối chiếu (nội dung đã được xác định và trạng thái là hiện hành) với hồ sơ hàng tồn kho tài chính. Các điều chỉnh phù hợp phải được lập thành tài liệu, phê duyệt và thực hiện theo các chính sách và quy trình. Đổi lại, những hồ sơ này phải được đối chiếu với sổ cái tổng hợp. </w:t>
            </w:r>
            <w:r>
              <w:rPr>
                <w:b/>
                <w:i w:val="0"/>
                <w:sz w:val="19"/>
              </w:rPr>
              <w:t>Tham chiếu rủi ro: C-3, C-4, C-5</w:t>
            </w:r>
          </w:p>
        </w:tc>
      </w:tr>
      <w:tr>
        <w:tc>
          <w:tcPr>
            <w:tcW w:type="dxa" w:w="4680"/>
          </w:tcPr>
          <w:p>
            <w:r/>
            <w:r>
              <w:rPr>
                <w:b w:val="0"/>
                <w:i w:val="0"/>
                <w:sz w:val="19"/>
              </w:rPr>
              <w:t>6.3.5</w:t>
            </w:r>
          </w:p>
        </w:tc>
        <w:tc>
          <w:tcPr>
            <w:tcW w:type="dxa" w:w="4680"/>
          </w:tcPr>
          <w:p>
            <w:r/>
            <w:r>
              <w:rPr>
                <w:b/>
                <w:i w:val="0"/>
                <w:sz w:val="19"/>
              </w:rPr>
              <w:t>Điều tra, báo cáo các sai lệch.</w:t>
            </w:r>
            <w:r>
              <w:rPr>
                <w:b w:val="0"/>
                <w:i w:val="0"/>
                <w:sz w:val="19"/>
              </w:rPr>
              <w:t xml:space="preserve"> Các sai lệch hàng tồn kho đáng kể phải được điều tra và báo cáo cho ban điều hành vận hành và tài chính cùng bộ phận EHS&amp;S của công ty. Cần thực hiện các hành động khắc phục để loại bỏ nguyên nhân gốc rễ của các sai lệch hàng tồn kho. </w:t>
            </w:r>
            <w:r>
              <w:rPr>
                <w:b/>
                <w:i w:val="0"/>
                <w:sz w:val="19"/>
              </w:rPr>
              <w:t>Tham chiếu rủi ro: C-4, C-5</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C-1</w:t>
            </w:r>
          </w:p>
        </w:tc>
        <w:tc>
          <w:tcPr>
            <w:tcW w:type="dxa" w:w="4680"/>
          </w:tcPr>
          <w:p>
            <w:r/>
            <w:r>
              <w:rPr>
                <w:b w:val="0"/>
                <w:i w:val="0"/>
                <w:sz w:val="19"/>
              </w:rPr>
              <w:t>Hàng tồn kho có thể bị định giá sai do việc chốt sổ (cutoff) không đầy đủ hoặc tổng hợp không chính xác.</w:t>
            </w:r>
          </w:p>
        </w:tc>
      </w:tr>
      <w:tr>
        <w:tc>
          <w:tcPr>
            <w:tcW w:type="dxa" w:w="4680"/>
          </w:tcPr>
          <w:p>
            <w:r/>
            <w:r>
              <w:rPr>
                <w:b w:val="0"/>
                <w:i w:val="0"/>
                <w:sz w:val="19"/>
              </w:rPr>
              <w:t>C-2</w:t>
            </w:r>
          </w:p>
        </w:tc>
        <w:tc>
          <w:tcPr>
            <w:tcW w:type="dxa" w:w="4680"/>
          </w:tcPr>
          <w:p>
            <w:r/>
            <w:r>
              <w:rPr>
                <w:b w:val="0"/>
                <w:i w:val="0"/>
                <w:sz w:val="19"/>
              </w:rPr>
              <w:t>Hàng tồn kho có thể bị đếm không chính xác. Việc đếm có thể bị ghi nhận sai hoặc bỏ sót. Khả năng xảy ra sai sót và bất thường tăng lên đáng kể.</w:t>
            </w:r>
          </w:p>
        </w:tc>
      </w:tr>
      <w:tr>
        <w:tc>
          <w:tcPr>
            <w:tcW w:type="dxa" w:w="4680"/>
          </w:tcPr>
          <w:p>
            <w:r/>
            <w:r>
              <w:rPr>
                <w:b w:val="0"/>
                <w:i w:val="0"/>
                <w:sz w:val="19"/>
              </w:rPr>
              <w:t>C-3</w:t>
            </w:r>
          </w:p>
        </w:tc>
        <w:tc>
          <w:tcPr>
            <w:tcW w:type="dxa" w:w="4680"/>
          </w:tcPr>
          <w:p>
            <w:r/>
            <w:r>
              <w:rPr>
                <w:b w:val="0"/>
                <w:i w:val="0"/>
                <w:sz w:val="19"/>
              </w:rPr>
              <w:t>Các điều chỉnh sai lệch giữa bộ công cụ (toolkit) và thực tế có thể dẫn đến định giá hàng tồn kho không chính xác và sai lệch trong thu nhập hoạt động.</w:t>
            </w:r>
          </w:p>
        </w:tc>
      </w:tr>
      <w:tr>
        <w:tc>
          <w:tcPr>
            <w:tcW w:type="dxa" w:w="4680"/>
          </w:tcPr>
          <w:p>
            <w:r/>
            <w:r>
              <w:rPr>
                <w:b w:val="0"/>
                <w:i w:val="0"/>
                <w:sz w:val="19"/>
              </w:rPr>
              <w:t>C-4</w:t>
            </w:r>
          </w:p>
        </w:tc>
        <w:tc>
          <w:tcPr>
            <w:tcW w:type="dxa" w:w="4680"/>
          </w:tcPr>
          <w:p>
            <w:r/>
            <w:r>
              <w:rPr>
                <w:b w:val="0"/>
                <w:i w:val="0"/>
                <w:sz w:val="19"/>
              </w:rPr>
              <w:t>Nếu các quy trình xem xét không đầy đủ, các hành động khắc phục phù hợp cho việc quản lý và ghi nhận hàng tồn kho có thể không được khởi xướng kịp thời.</w:t>
            </w:r>
          </w:p>
        </w:tc>
      </w:tr>
      <w:tr>
        <w:tc>
          <w:tcPr>
            <w:tcW w:type="dxa" w:w="4680"/>
          </w:tcPr>
          <w:p>
            <w:r/>
            <w:r>
              <w:rPr>
                <w:b w:val="0"/>
                <w:i w:val="0"/>
                <w:sz w:val="19"/>
              </w:rPr>
              <w:t>C-5</w:t>
            </w:r>
          </w:p>
        </w:tc>
        <w:tc>
          <w:tcPr>
            <w:tcW w:type="dxa" w:w="4680"/>
          </w:tcPr>
          <w:p>
            <w:r/>
            <w:r>
              <w:rPr>
                <w:b w:val="0"/>
                <w:i w:val="0"/>
                <w:sz w:val="19"/>
              </w:rPr>
              <w:t>Dịch vụ khách hàng có thể bị ảnh hưởng tiêu cực nếu hàng tồn kho thực tế không khớp với hồ sơ kế toán và hồ sơ xử lý sản phẩm.</w:t>
            </w:r>
          </w:p>
        </w:tc>
      </w:tr>
    </w:tbl>
    <w:p>
      <w:pPr>
        <w:spacing w:after="0"/>
      </w:pPr>
    </w:p>
    <w:p>
      <w:pPr>
        <w:pStyle w:val="Heading2"/>
      </w:pPr>
      <w:r>
        <w:rPr>
          <w:rFonts w:ascii="Calibri" w:hAnsi="Calibri"/>
          <w:b/>
          <w:i w:val="0"/>
          <w:sz w:val="32"/>
        </w:rPr>
        <w:t>6.4 ĐỊNH GIÁ HÀNG TỒN KHO</w:t>
      </w:r>
    </w:p>
    <w:p>
      <w:pPr>
        <w:pStyle w:val="Heading3"/>
      </w:pPr>
      <w:r>
        <w:rPr>
          <w:rFonts w:ascii="Calibri" w:hAnsi="Calibri"/>
          <w:b/>
          <w:i w:val="0"/>
          <w:sz w:val="26"/>
        </w:rPr>
        <w:t>Giới thiệu</w:t>
      </w:r>
    </w:p>
    <w:p>
      <w:pPr>
        <w:spacing w:after="80"/>
      </w:pPr>
      <w:r>
        <w:rPr>
          <w:b w:val="0"/>
          <w:i w:val="0"/>
        </w:rPr>
        <w:t>Hàng tồn kho phải được định giá nhất quán theo quy trình định giá của công ty, ví dụ: giá trị thấp hơn giữa giá gốc (tức là toàn bộ chi phí mua hàng cộng với bất kỳ chi phí nhập khẩu, vận chuyển, v.v., hoặc chi phí sản xuất) hoặc giá thị trường (tức là giá trị thuần có thể thực hiện được). Các khoản dự phòng hàng tồn kho (ví dụ: hao hụt, hàng dư thừa, hàng lỗi thời, giảm giá xuống giá trị thuần có thể thực hiện được, v.v.) phải được ban điều hành và ban quản lý tài chính thiết lập theo chính sách của công ty.</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6.4.1</w:t>
            </w:r>
          </w:p>
        </w:tc>
        <w:tc>
          <w:tcPr>
            <w:tcW w:type="dxa" w:w="4680"/>
          </w:tcPr>
          <w:p>
            <w:r/>
            <w:r>
              <w:rPr>
                <w:b/>
                <w:i w:val="0"/>
                <w:sz w:val="19"/>
              </w:rPr>
              <w:t>Nhận hàng—Ghi nhận Hàng tồn kho và Khoản nợ phải trả Tương ứng.</w:t>
            </w:r>
            <w:r>
              <w:rPr>
                <w:b w:val="0"/>
                <w:i w:val="0"/>
                <w:sz w:val="19"/>
              </w:rPr>
              <w:t xml:space="preserve"> Hàng tồn kho và khoản nợ phải trả tương ứng phải được ghi vào hồ sơ kế toán khi quyền sở hữu được chuyển giao hợp pháp. Ước tính hàng tồn kho đang trên đường vận chuyển đã biết mà quyền sở hữu đã được chuyển giao hợp pháp cho công ty phải được hoàn thành và các điều chỉnh cần thiết đối với số dư hàng tồn kho phải được thực hiện hàng tháng. </w:t>
            </w:r>
            <w:r>
              <w:rPr>
                <w:b/>
                <w:i w:val="0"/>
                <w:sz w:val="19"/>
              </w:rPr>
              <w:t>Tham khảo rủi ro: D-1</w:t>
            </w:r>
          </w:p>
        </w:tc>
      </w:tr>
      <w:tr>
        <w:tc>
          <w:tcPr>
            <w:tcW w:type="dxa" w:w="4680"/>
          </w:tcPr>
          <w:p>
            <w:r/>
            <w:r>
              <w:rPr>
                <w:b w:val="0"/>
                <w:i w:val="0"/>
                <w:sz w:val="19"/>
              </w:rPr>
              <w:t>6.4.2</w:t>
            </w:r>
          </w:p>
        </w:tc>
        <w:tc>
          <w:tcPr>
            <w:tcW w:type="dxa" w:w="4680"/>
          </w:tcPr>
          <w:p>
            <w:r/>
            <w:r>
              <w:rPr>
                <w:b/>
                <w:i w:val="0"/>
                <w:sz w:val="19"/>
              </w:rPr>
              <w:t>Định giá Hàng tồn kho.</w:t>
            </w:r>
            <w:r>
              <w:rPr>
                <w:b w:val="0"/>
                <w:i w:val="0"/>
                <w:sz w:val="19"/>
              </w:rPr>
              <w:t xml:space="preserve"> Ví dụ, hàng tồn kho phải được định giá theo giá trị thấp hơn giữa giá gốc (tức là toàn bộ chi phí mua hàng cộng với bất kỳ chi phí nhập khẩu, vận chuyển, v.v., hoặc chi phí sản xuất) hoặc giá thị trường (tức là giá trị thuần có thể thực hiện được). </w:t>
            </w:r>
            <w:r>
              <w:rPr>
                <w:b/>
                <w:i w:val="0"/>
                <w:sz w:val="19"/>
              </w:rPr>
              <w:t>Tham khảo rủi ro: D-1</w:t>
            </w:r>
          </w:p>
        </w:tc>
      </w:tr>
      <w:tr>
        <w:tc>
          <w:tcPr>
            <w:tcW w:type="dxa" w:w="4680"/>
          </w:tcPr>
          <w:p>
            <w:r/>
            <w:r>
              <w:rPr>
                <w:b w:val="0"/>
                <w:i w:val="0"/>
                <w:sz w:val="19"/>
              </w:rPr>
              <w:t>6.4.3</w:t>
            </w:r>
          </w:p>
        </w:tc>
        <w:tc>
          <w:tcPr>
            <w:tcW w:type="dxa" w:w="4680"/>
          </w:tcPr>
          <w:p>
            <w:r/>
            <w:r>
              <w:rPr>
                <w:b/>
                <w:i w:val="0"/>
                <w:sz w:val="19"/>
              </w:rPr>
              <w:t>Dự phòng Hàng tồn kho.</w:t>
            </w:r>
            <w:r>
              <w:rPr>
                <w:b w:val="0"/>
                <w:i w:val="0"/>
                <w:sz w:val="19"/>
              </w:rPr>
              <w:t xml:space="preserve"> Các khoản dự phòng phải được xem xét về tính đầy đủ và hợp lý theo chính sách của công ty và điều chỉnh cho phù hợp. </w:t>
            </w:r>
            <w:r>
              <w:rPr>
                <w:b/>
                <w:i w:val="0"/>
                <w:sz w:val="19"/>
              </w:rPr>
              <w:t>Tham khảo rủi ro: D-1</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D-1</w:t>
            </w:r>
          </w:p>
        </w:tc>
        <w:tc>
          <w:tcPr>
            <w:tcW w:type="dxa" w:w="4680"/>
          </w:tcPr>
          <w:p>
            <w:r/>
            <w:r>
              <w:rPr>
                <w:b w:val="0"/>
                <w:i w:val="0"/>
                <w:sz w:val="19"/>
              </w:rPr>
              <w:t>Chi phí sản phẩm riêng lẻ, tổng chi phí sản xuất hàng hóa (ví dụ: bảng kê sản phẩm), và hàng tồn kho có thể bị báo cáo sai trong báo cáo tài chính, hồ sơ, và báo cáo sản xuất. Các quyết định quan trọng về giá sản phẩm, đầu tư hoặc ngừng sản xuất dòng sản phẩm, và nguồn cung ứng và tải nhà máy có thể dựa trên thông tin không chính xác.</w:t>
            </w:r>
          </w:p>
        </w:tc>
      </w:tr>
    </w:tbl>
    <w:p>
      <w:pPr>
        <w:spacing w:after="0"/>
      </w:pPr>
    </w:p>
    <w:p>
      <w:pPr>
        <w:pStyle w:val="Heading2"/>
      </w:pPr>
      <w:r>
        <w:rPr>
          <w:rFonts w:ascii="Calibri" w:hAnsi="Calibri"/>
          <w:b/>
          <w:i w:val="0"/>
          <w:sz w:val="32"/>
        </w:rPr>
        <w:t>6.5 QUẢN LÝ CHI PHÍ SẢN PHẨM</w:t>
      </w:r>
    </w:p>
    <w:p>
      <w:pPr>
        <w:pStyle w:val="Heading3"/>
      </w:pPr>
      <w:r>
        <w:rPr>
          <w:rFonts w:ascii="Calibri" w:hAnsi="Calibri"/>
          <w:b/>
          <w:i w:val="0"/>
          <w:sz w:val="26"/>
        </w:rPr>
        <w:t>Giới thiệu</w:t>
      </w:r>
    </w:p>
    <w:p>
      <w:pPr>
        <w:spacing w:after="80"/>
      </w:pPr>
      <w:r>
        <w:rPr>
          <w:b w:val="0"/>
          <w:i w:val="0"/>
        </w:rPr>
        <w:t>Chức năng kế toán chi phí cung cấp cơ sở để xác định chi phí sản phẩm, giá vốn hàng bán và giá trị hàng tồn kho trong báo cáo tài chính và các báo cáo quản trị khác. Khi hoạt động đúng cách, nó hỗ trợ ban quản lý đưa ra quyết định và xây dựng kế hoạch, chiến lược cho sản xuất và cung cấp dịch vụ.</w:t>
      </w:r>
    </w:p>
    <w:p>
      <w:pPr>
        <w:spacing w:after="80"/>
      </w:pPr>
      <w:r>
        <w:rPr>
          <w:b w:val="0"/>
          <w:i w:val="0"/>
        </w:rPr>
        <w:t>Tất cả các tài khoản sổ cái được sử dụng trong chức năng kế toán chi phí của đơn vị sản xuất phải được xác định, và cơ sở để ghi các bút toán vào và giữa các tài khoản sổ cái, bao gồm cả nguồn dữ liệu từ hệ thống và giao dịch thủ công, cần được mô tả rõ ràng.</w:t>
      </w:r>
    </w:p>
    <w:p>
      <w:pPr>
        <w:pStyle w:val="Heading3"/>
      </w:pPr>
      <w:r>
        <w:rPr>
          <w:rFonts w:ascii="Calibri" w:hAnsi="Calibri"/>
          <w:b/>
          <w:i w:val="0"/>
          <w:sz w:val="26"/>
        </w:rPr>
        <w:t>Chuẩn mực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6.5.1</w:t>
            </w:r>
          </w:p>
        </w:tc>
        <w:tc>
          <w:tcPr>
            <w:tcW w:type="dxa" w:w="4680"/>
          </w:tcPr>
          <w:p>
            <w:r/>
            <w:r>
              <w:rPr>
                <w:b/>
                <w:i w:val="0"/>
                <w:sz w:val="19"/>
              </w:rPr>
              <w:t>Quy trình Kế toán Chi phí được Ghi nhận bằng Văn bản.</w:t>
            </w:r>
            <w:r>
              <w:rPr>
                <w:b w:val="0"/>
                <w:i w:val="0"/>
                <w:sz w:val="19"/>
              </w:rPr>
              <w:t xml:space="preserve"> Phải tồn tại các quy trình kế toán chi phí được ghi nhận bằng văn bản và mô tả tối thiểu các phương pháp được sử dụng để xác định chi phí sản phẩm, tổng giá thành sản xuất hàng hóa (ví dụ: bảng kê sản phẩm) và giá trị hàng tồn kho. </w:t>
            </w:r>
            <w:r>
              <w:rPr>
                <w:b/>
                <w:i w:val="0"/>
                <w:sz w:val="19"/>
              </w:rPr>
              <w:t>Tham chiếu rủi ro: E-1, E-2</w:t>
            </w:r>
          </w:p>
        </w:tc>
      </w:tr>
      <w:tr>
        <w:tc>
          <w:tcPr>
            <w:tcW w:type="dxa" w:w="4680"/>
          </w:tcPr>
          <w:p>
            <w:r/>
            <w:r>
              <w:rPr>
                <w:b w:val="0"/>
                <w:i w:val="0"/>
                <w:sz w:val="19"/>
              </w:rPr>
              <w:t>6.5.2</w:t>
            </w:r>
          </w:p>
        </w:tc>
        <w:tc>
          <w:tcPr>
            <w:tcW w:type="dxa" w:w="4680"/>
          </w:tcPr>
          <w:p>
            <w:r/>
            <w:r>
              <w:rPr>
                <w:b/>
                <w:i w:val="0"/>
                <w:sz w:val="19"/>
              </w:rPr>
              <w:t>Hệ thống Kế toán Chi phí.</w:t>
            </w:r>
            <w:r>
              <w:rPr>
                <w:b w:val="0"/>
                <w:i w:val="0"/>
                <w:sz w:val="19"/>
              </w:rPr>
              <w:t xml:space="preserve"> Phải duy trì một hệ thống kế toán chi phí có khả năng tích lũy và xác định chính xác chi phí sản xuất theo cách phù hợp (ví dụ: theo trung tâm chi phí hoặc sản phẩm) và cung cấp đủ thông tin để phân tích chi phí sản xuất tiêu chuẩn và thực tế cũng như các chênh lệch. </w:t>
            </w:r>
            <w:r>
              <w:rPr>
                <w:b/>
                <w:i w:val="0"/>
                <w:sz w:val="19"/>
              </w:rPr>
              <w:t>Tham chiếu rủi ro: E-1</w:t>
            </w:r>
          </w:p>
        </w:tc>
      </w:tr>
      <w:tr>
        <w:tc>
          <w:tcPr>
            <w:tcW w:type="dxa" w:w="4680"/>
          </w:tcPr>
          <w:p>
            <w:r/>
            <w:r>
              <w:rPr>
                <w:b w:val="0"/>
                <w:i w:val="0"/>
                <w:sz w:val="19"/>
              </w:rPr>
              <w:t>6.5.3</w:t>
            </w:r>
          </w:p>
        </w:tc>
        <w:tc>
          <w:tcPr>
            <w:tcW w:type="dxa" w:w="4680"/>
          </w:tcPr>
          <w:p>
            <w:r/>
            <w:r>
              <w:rPr>
                <w:b/>
                <w:i w:val="0"/>
                <w:sz w:val="19"/>
              </w:rPr>
              <w:t>Thiết lập Chi phí Tiêu chuẩn ở Cấp Đơn vị Hàng hóa Hàng năm.</w:t>
            </w:r>
            <w:r>
              <w:rPr>
                <w:b w:val="0"/>
                <w:i w:val="0"/>
                <w:sz w:val="19"/>
              </w:rPr>
              <w:t xml:space="preserve"> Chi phí tiêu chuẩn chính xác ở cấp đơn vị hàng hóa phải được thiết lập hoặc điều chỉnh theo các chính sách và quy trình đã đề ra thông qua nỗ lực chung của chuỗi cung ứng. Ban quản lý sản xuất chịu trách nhiệm về tính chính xác và phê duyệt chi phí tiêu chuẩn, đồng thời phải đảm bảo chi phí tiêu chuẩn được xây dựng cho tất cả các mặt hàng trong danh mục mặt hàng chính hoặc được lên kế hoạch sản xuất, và dựa trên thông tin trong cơ sở dữ liệu liên quan của công ty. </w:t>
            </w:r>
            <w:r>
              <w:rPr>
                <w:b/>
                <w:i w:val="0"/>
                <w:sz w:val="19"/>
              </w:rPr>
              <w:t>Tham chiếu rủi ro: E-1</w:t>
            </w:r>
          </w:p>
        </w:tc>
      </w:tr>
      <w:tr>
        <w:tc>
          <w:tcPr>
            <w:tcW w:type="dxa" w:w="4680"/>
          </w:tcPr>
          <w:p>
            <w:r/>
            <w:r>
              <w:rPr>
                <w:b w:val="0"/>
                <w:i w:val="0"/>
                <w:sz w:val="19"/>
              </w:rPr>
              <w:t>6.5.4</w:t>
            </w:r>
          </w:p>
        </w:tc>
        <w:tc>
          <w:tcPr>
            <w:tcW w:type="dxa" w:w="4680"/>
          </w:tcPr>
          <w:p>
            <w:r/>
            <w:r>
              <w:rPr>
                <w:b/>
                <w:i w:val="0"/>
                <w:sz w:val="19"/>
              </w:rPr>
              <w:t>Bảng kê Nguyên vật liệu (BOM).</w:t>
            </w:r>
            <w:r>
              <w:rPr>
                <w:b w:val="0"/>
                <w:i w:val="0"/>
                <w:sz w:val="19"/>
              </w:rPr>
              <w:t xml:space="preserve"> Phải tồn tại một bảng kê nguyên vật liệu duy nhất có thể nhận diện được, dùng cho sản xuất, lập kế hoạch, mua hàng và tính chi phí cho mỗi sản phẩm sản xuất hoặc cụm lắp ráp phụ. BOM tại từng địa điểm là phần mở rộng từ BOM của công ty và BOM kỹ thuật, và có thể khác nhau giữa các địa điểm. Bộ phận Kỹ thuật có trách nhiệm thực hiện các thay đổi với ý kiến đóng góp từ đơn vị vận hành và chuyên viên phân tích chi phí sản phẩm tại địa điểm. </w:t>
            </w:r>
            <w:r>
              <w:rPr>
                <w:b/>
                <w:i w:val="0"/>
                <w:sz w:val="19"/>
              </w:rPr>
              <w:t>Tham chiếu rủi ro: E-1, E-3, E-4</w:t>
            </w:r>
          </w:p>
        </w:tc>
      </w:tr>
      <w:tr>
        <w:tc>
          <w:tcPr>
            <w:tcW w:type="dxa" w:w="4680"/>
          </w:tcPr>
          <w:p>
            <w:r/>
            <w:r>
              <w:rPr>
                <w:b w:val="0"/>
                <w:i w:val="0"/>
                <w:sz w:val="19"/>
              </w:rPr>
              <w:t>6.5.5</w:t>
            </w:r>
          </w:p>
        </w:tc>
        <w:tc>
          <w:tcPr>
            <w:tcW w:type="dxa" w:w="4680"/>
          </w:tcPr>
          <w:p>
            <w:r/>
            <w:r>
              <w:rPr>
                <w:b/>
                <w:i w:val="0"/>
                <w:sz w:val="19"/>
              </w:rPr>
              <w:t>Giao dịch Nguyên vật liệu và Nhân công.</w:t>
            </w:r>
            <w:r>
              <w:rPr>
                <w:b w:val="0"/>
                <w:i w:val="0"/>
                <w:sz w:val="19"/>
              </w:rPr>
              <w:t xml:space="preserve"> Việc xuất nguyên vật liệu và nhân công vào sản xuất cũng như nhập các mặt hàng ra khỏi sản xuất phải được kiểm soát bằng trách nhiệm giải trình giao dịch phù hợp. Các thủ tục chốt sổ hàng tháng phải được phối hợp với bộ phận tài chính. </w:t>
            </w:r>
            <w:r>
              <w:rPr>
                <w:b/>
                <w:i w:val="0"/>
                <w:sz w:val="19"/>
              </w:rPr>
              <w:t>Tham chiếu rủi ro: E-1, E-2, E-4</w:t>
            </w:r>
          </w:p>
        </w:tc>
      </w:tr>
      <w:tr>
        <w:tc>
          <w:tcPr>
            <w:tcW w:type="dxa" w:w="4680"/>
          </w:tcPr>
          <w:p>
            <w:r/>
            <w:r>
              <w:rPr>
                <w:b w:val="0"/>
                <w:i w:val="0"/>
                <w:sz w:val="19"/>
              </w:rPr>
              <w:t>6.5.6</w:t>
            </w:r>
          </w:p>
        </w:tc>
        <w:tc>
          <w:tcPr>
            <w:tcW w:type="dxa" w:w="4680"/>
          </w:tcPr>
          <w:p>
            <w:r/>
            <w:r>
              <w:rPr>
                <w:b/>
                <w:i w:val="0"/>
                <w:sz w:val="19"/>
              </w:rPr>
              <w:t>Phân bổ Nhân công và Chi phí Chung.</w:t>
            </w:r>
            <w:r>
              <w:rPr>
                <w:b w:val="0"/>
                <w:i w:val="0"/>
                <w:sz w:val="19"/>
              </w:rPr>
              <w:t xml:space="preserve"> Chi phí nhân công và chi phí chung phải được phân bổ hoàn toàn cho các sản phẩm trên cơ sở hợp lý và nhất quán. Các yếu tố thúc đẩy hoạt động như điều kiện vận hành hiện tại, tốc độ sản xuất và mức độ sử dụng công suất phải hỗ trợ cho việc phân bổ chi phí. Những thay đổi đáng kể trong phương pháp phân bổ phải được xem xét và phê duyệt bởi cấp quản lý vận hành và tài chính phù hợp. </w:t>
            </w:r>
            <w:r>
              <w:rPr>
                <w:b/>
                <w:i w:val="0"/>
                <w:sz w:val="19"/>
              </w:rPr>
              <w:t>Tham chiếu rủi ro: E-1, E-3</w:t>
            </w:r>
          </w:p>
        </w:tc>
      </w:tr>
      <w:tr>
        <w:tc>
          <w:tcPr>
            <w:tcW w:type="dxa" w:w="4680"/>
          </w:tcPr>
          <w:p>
            <w:r/>
            <w:r>
              <w:rPr>
                <w:b w:val="0"/>
                <w:i w:val="0"/>
                <w:sz w:val="19"/>
              </w:rPr>
              <w:t>6.5.7</w:t>
            </w:r>
          </w:p>
        </w:tc>
        <w:tc>
          <w:tcPr>
            <w:tcW w:type="dxa" w:w="4680"/>
          </w:tcPr>
          <w:p>
            <w:r/>
            <w:r>
              <w:rPr>
                <w:b/>
                <w:i w:val="0"/>
                <w:sz w:val="19"/>
              </w:rPr>
              <w:t>Phân tích chênh lệch và xử lý.</w:t>
            </w:r>
            <w:r>
              <w:rPr>
                <w:b w:val="0"/>
                <w:i w:val="0"/>
                <w:sz w:val="19"/>
              </w:rPr>
              <w:t xml:space="preserve"> Chi phí sản xuất thực tế phải được so sánh với chi phí tiêu chuẩn theo định kỳ. Mọi chênh lệch phải được báo cáo cho ban quản lý và các chênh lệch trọng yếu phải được điều tra cùng với hành động khắc phục phù hợp được thực hiện kịp thời. Chênh lệch phải được phân bổ vào giá vốn hàng bán và hàng tồn kho theo cách phản ánh tỷ lệ giữa số lượng bán ra và mức tồn kho. </w:t>
            </w:r>
            <w:r>
              <w:rPr>
                <w:b/>
                <w:i w:val="0"/>
                <w:sz w:val="19"/>
              </w:rPr>
              <w:t>Tham chiếu rủi ro: E-1, E-3</w:t>
            </w:r>
          </w:p>
        </w:tc>
      </w:tr>
      <w:tr>
        <w:tc>
          <w:tcPr>
            <w:tcW w:type="dxa" w:w="4680"/>
          </w:tcPr>
          <w:p>
            <w:r/>
            <w:r>
              <w:rPr>
                <w:b w:val="0"/>
                <w:i w:val="0"/>
                <w:sz w:val="19"/>
              </w:rPr>
              <w:t>6.5.8</w:t>
            </w:r>
          </w:p>
        </w:tc>
        <w:tc>
          <w:tcPr>
            <w:tcW w:type="dxa" w:w="4680"/>
          </w:tcPr>
          <w:p>
            <w:r/>
            <w:r>
              <w:rPr>
                <w:b/>
                <w:i w:val="0"/>
                <w:sz w:val="19"/>
              </w:rPr>
              <w:t>Nhập và xuất kho hàng tồn kho.</w:t>
            </w:r>
            <w:r>
              <w:rPr>
                <w:b w:val="0"/>
                <w:i w:val="0"/>
                <w:sz w:val="19"/>
              </w:rPr>
              <w:t xml:space="preserve"> Hàng tồn kho nhập và xuất phải được nhận diện, tính giá chính xác và hạch toán kịp thời. </w:t>
            </w:r>
            <w:r>
              <w:rPr>
                <w:b/>
                <w:i w:val="0"/>
                <w:sz w:val="19"/>
              </w:rPr>
              <w:t>Tham chiếu rủi ro: E-1, E-2, E-4</w:t>
            </w:r>
          </w:p>
        </w:tc>
      </w:tr>
      <w:tr>
        <w:tc>
          <w:tcPr>
            <w:tcW w:type="dxa" w:w="4680"/>
          </w:tcPr>
          <w:p>
            <w:r/>
            <w:r>
              <w:rPr>
                <w:b w:val="0"/>
                <w:i w:val="0"/>
                <w:sz w:val="19"/>
              </w:rPr>
              <w:t>6.5.9</w:t>
            </w:r>
          </w:p>
        </w:tc>
        <w:tc>
          <w:tcPr>
            <w:tcW w:type="dxa" w:w="4680"/>
          </w:tcPr>
          <w:p>
            <w:r/>
            <w:r>
              <w:rPr>
                <w:b/>
                <w:i w:val="0"/>
                <w:sz w:val="19"/>
              </w:rPr>
              <w:t>Quy trình chốt sổ hàng tháng.</w:t>
            </w:r>
            <w:r>
              <w:rPr>
                <w:b w:val="0"/>
                <w:i w:val="0"/>
                <w:sz w:val="19"/>
              </w:rPr>
              <w:t xml:space="preserve"> Chi phí phát sinh bởi đơn vị sản xuất phải được phân bổ đầy đủ và chính xác vào hàng tồn kho, giá vốn hàng bán, hoặc các tài khoản đặc biệt được phê duyệt (các khoản mục chi phí đặc biệt, nghiên cứu &amp; phát triển, v.v.) theo định kỳ (hàng tháng). Để hỗ trợ việc này, các quy trình chốt sổ hàng tháng nhất quán và được ghi chép lại phải được xây dựng cùng với ban quản lý vận hành và tài chính nhằm đảm bảo việc cắt kỳ (cutoff) đúng đắn trong sản xuất, hệ thống và các quy trình tài chính. Số dư tài khoản sổ cái tổng hợp phải được đối chiếu (nội dung đã được biết rõ và trạng thái hiện hành) hàng tháng để hỗ trợ chi tiết đến từng khoản mục; các điều chỉnh trọng yếu phải được cấp quản lý tài chính và vận hành phù hợp phê duyệt. </w:t>
            </w:r>
            <w:r>
              <w:rPr>
                <w:b/>
                <w:i w:val="0"/>
                <w:sz w:val="19"/>
              </w:rPr>
              <w:t>Tham chiếu rủi ro: E-1</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E-1</w:t>
            </w:r>
          </w:p>
        </w:tc>
        <w:tc>
          <w:tcPr>
            <w:tcW w:type="dxa" w:w="4680"/>
          </w:tcPr>
          <w:p>
            <w:r/>
            <w:r>
              <w:rPr>
                <w:b w:val="0"/>
                <w:i w:val="0"/>
                <w:sz w:val="19"/>
              </w:rPr>
              <w:t>Chi phí từng sản phẩm, tổng giá thành sản xuất (ví dụ: bảng kê sản phẩm), và hàng tồn kho có thể bị trình bày sai trên báo cáo tài chính, sổ sách và báo cáo sản xuất. Các quyết định quan trọng về giá sản phẩm, đầu tư hoặc ngừng một dòng sản phẩm, và việc tìm nguồn cung ứng cũng như phân bổ tải nhà máy có thể dựa trên thông tin không chính xác.</w:t>
            </w:r>
          </w:p>
        </w:tc>
      </w:tr>
      <w:tr>
        <w:tc>
          <w:tcPr>
            <w:tcW w:type="dxa" w:w="4680"/>
          </w:tcPr>
          <w:p>
            <w:r/>
            <w:r>
              <w:rPr>
                <w:b w:val="0"/>
                <w:i w:val="0"/>
                <w:sz w:val="19"/>
              </w:rPr>
              <w:t>E-2</w:t>
            </w:r>
          </w:p>
        </w:tc>
        <w:tc>
          <w:tcPr>
            <w:tcW w:type="dxa" w:w="4680"/>
          </w:tcPr>
          <w:p>
            <w:r/>
            <w:r>
              <w:rPr>
                <w:b w:val="0"/>
                <w:i w:val="0"/>
                <w:sz w:val="19"/>
              </w:rPr>
              <w:t>Khả năng xảy ra sai sót và gian lận tăng lên đáng kể. Hàng tồn kho cũng có thể bị mất, bị trộm, bị phá hủy, hoặc bị chuyển hướng tạm thời.</w:t>
            </w:r>
          </w:p>
        </w:tc>
      </w:tr>
      <w:tr>
        <w:tc>
          <w:tcPr>
            <w:tcW w:type="dxa" w:w="4680"/>
          </w:tcPr>
          <w:p>
            <w:r/>
            <w:r>
              <w:rPr>
                <w:b w:val="0"/>
                <w:i w:val="0"/>
                <w:sz w:val="19"/>
              </w:rPr>
              <w:t>E-3</w:t>
            </w:r>
          </w:p>
        </w:tc>
        <w:tc>
          <w:tcPr>
            <w:tcW w:type="dxa" w:w="4680"/>
          </w:tcPr>
          <w:p>
            <w:r/>
            <w:r>
              <w:rPr>
                <w:b w:val="0"/>
                <w:i w:val="0"/>
                <w:sz w:val="19"/>
              </w:rPr>
              <w:t>Nếu các quy trình xem xét không đầy đủ, các hành động khắc phục phù hợp đối với kế hoạch và chiến lược sản xuất có thể không được khởi xướng kịp thời.</w:t>
            </w:r>
          </w:p>
        </w:tc>
      </w:tr>
      <w:tr>
        <w:tc>
          <w:tcPr>
            <w:tcW w:type="dxa" w:w="4680"/>
          </w:tcPr>
          <w:p>
            <w:r/>
            <w:r>
              <w:rPr>
                <w:b w:val="0"/>
                <w:i w:val="0"/>
                <w:sz w:val="19"/>
              </w:rPr>
              <w:t>E-4</w:t>
            </w:r>
          </w:p>
        </w:tc>
        <w:tc>
          <w:tcPr>
            <w:tcW w:type="dxa" w:w="4680"/>
          </w:tcPr>
          <w:p>
            <w:r/>
            <w:r>
              <w:rPr>
                <w:b w:val="0"/>
                <w:i w:val="0"/>
                <w:sz w:val="19"/>
              </w:rPr>
              <w:t>Hoạt động có thể bị ảnh hưởng tiêu cực. Nguyên vật liệu và vật tư có thể được xuất cho sản xuất với số lượng sai, hoặc sản phẩm có thể được sản xuất với số lượng không được phép.</w:t>
            </w:r>
          </w:p>
        </w:tc>
      </w:tr>
    </w:tbl>
    <w:p>
      <w:pPr>
        <w:spacing w:after="0"/>
      </w:pPr>
    </w:p>
    <w:p>
      <w:pPr>
        <w:pStyle w:val="Heading2"/>
      </w:pPr>
      <w:r>
        <w:rPr>
          <w:rFonts w:ascii="Calibri" w:hAnsi="Calibri"/>
          <w:b/>
          <w:i w:val="0"/>
          <w:sz w:val="32"/>
        </w:rPr>
        <w:t>6.6 CÁC NHÀ SẢN XUẤT THIẾT BỊ GỐC (OEMS)/ĐỐI TÁC LIÊN MINH</w:t>
      </w:r>
    </w:p>
    <w:p>
      <w:pPr>
        <w:pStyle w:val="Heading3"/>
      </w:pPr>
      <w:r>
        <w:rPr>
          <w:rFonts w:ascii="Calibri" w:hAnsi="Calibri"/>
          <w:b/>
          <w:i w:val="0"/>
          <w:sz w:val="26"/>
        </w:rPr>
        <w:t>Giới thiệu</w:t>
      </w:r>
    </w:p>
    <w:p>
      <w:pPr>
        <w:spacing w:after="80"/>
      </w:pPr>
      <w:r>
        <w:rPr>
          <w:b w:val="0"/>
          <w:i w:val="0"/>
        </w:rPr>
        <w:t>Tất cả nhân sự liên quan phải xem xét các hợp đồng với OEM/Đối tác liên minh (Alliance Partner) để đảm bảo không có điều khoản và điều kiện bất lợi nào, mọi khía cạnh ảnh hưởng đến quy trình đều được hiểu rõ, và các điều khoản thanh toán không bao gồm những mục nằm ngoài hợp đồng.</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6.6.1</w:t>
            </w:r>
          </w:p>
        </w:tc>
        <w:tc>
          <w:tcPr>
            <w:tcW w:type="dxa" w:w="4680"/>
          </w:tcPr>
          <w:p>
            <w:r/>
            <w:r>
              <w:rPr>
                <w:b w:val="0"/>
                <w:i w:val="0"/>
                <w:sz w:val="19"/>
              </w:rPr>
              <w:t>Quản trị Hợp đồng. Cần có các tiêu chuẩn kiểm soát nội bộ sau đây:</w:t>
            </w:r>
            <w:r>
              <w:br/>
            </w:r>
            <w:r>
              <w:rPr>
                <w:b w:val="0"/>
                <w:i w:val="0"/>
                <w:sz w:val="19"/>
              </w:rPr>
              <w:t>a. Hợp đồng với OEM/Đối tác liên minh phải được phê duyệt bởi người có thẩm quyền ủy quyền (Delegation of Authority - DoA) phù hợp. Tổng giá trị hợp đồng nên được tính bằng cách nhân giá trị hàng năm của hợp đồng với thời hạn của hợp đồng.</w:t>
            </w:r>
            <w:r>
              <w:br/>
            </w:r>
            <w:r>
              <w:rPr>
                <w:b w:val="0"/>
                <w:i w:val="0"/>
                <w:sz w:val="19"/>
              </w:rPr>
              <w:t>b. Bộ phận Pháp lý phải xem xét và phê duyệt tất cả hợp đồng với OEM/Đối tác liên minh.</w:t>
            </w:r>
            <w:r>
              <w:br/>
            </w:r>
            <w:r>
              <w:rPr>
                <w:b w:val="0"/>
                <w:i w:val="0"/>
                <w:sz w:val="19"/>
              </w:rPr>
              <w:t>c. Quyền kiểm toán (audit) nên được đưa vào hợp đồng; bộ phận Kiểm toán Nội bộ phải xem xét và phê duyệt điều khoản kiểm toán.</w:t>
            </w:r>
            <w:r>
              <w:br/>
            </w:r>
            <w:r>
              <w:rPr>
                <w:b w:val="0"/>
                <w:i w:val="0"/>
                <w:sz w:val="19"/>
              </w:rPr>
              <w:t>d. Mọi thay đổi đối với hợp đồng gốc (ví dụ: giá cả, giao hàng, v.v.) phải có phụ lục tương ứng được đánh số tuần tự. Mọi thay đổi phải được thông báo đến nhân sự liên quan.</w:t>
            </w:r>
            <w:r>
              <w:br/>
            </w:r>
            <w:r>
              <w:rPr>
                <w:b w:val="0"/>
                <w:i w:val="0"/>
                <w:sz w:val="19"/>
              </w:rPr>
              <w:t xml:space="preserve">e. Các chỉ số đo lường chi tiết về giao hàng, chất lượng, giá cả và hiệu quả tài chính nên được xây dựng, theo dõi và thảo luận định kỳ với đối tác liên minh (ví dụ: tỷ lệ giao hàng đúng hạn). Việc tuân thủ hợp đồng với các chỉ số và điều khoản, điều kiện nên được xác nhận định kỳ. </w:t>
            </w:r>
            <w:r>
              <w:rPr>
                <w:b/>
                <w:i w:val="0"/>
                <w:sz w:val="19"/>
              </w:rPr>
              <w:t>Tham khảo các rủi ro: F-1, F-2, F-3 và F-4</w:t>
            </w:r>
          </w:p>
        </w:tc>
      </w:tr>
      <w:tr>
        <w:tc>
          <w:tcPr>
            <w:tcW w:type="dxa" w:w="4680"/>
          </w:tcPr>
          <w:p>
            <w:r/>
            <w:r>
              <w:rPr>
                <w:b w:val="0"/>
                <w:i w:val="0"/>
                <w:sz w:val="19"/>
              </w:rPr>
              <w:t>6.6.2</w:t>
            </w:r>
          </w:p>
        </w:tc>
        <w:tc>
          <w:tcPr>
            <w:tcW w:type="dxa" w:w="4680"/>
          </w:tcPr>
          <w:p>
            <w:r/>
            <w:r>
              <w:rPr>
                <w:b w:val="0"/>
                <w:i w:val="0"/>
                <w:sz w:val="19"/>
              </w:rPr>
              <w:t>Giá cả. OEM/Đối tác liên minh và công ty phải thống nhất về giá trước khi hoàn thành và vận chuyển hàng hóa. Để đảm bảo luôn sử dụng đúng giá:</w:t>
            </w:r>
            <w:r>
              <w:br/>
            </w:r>
            <w:r>
              <w:rPr>
                <w:b w:val="0"/>
                <w:i w:val="0"/>
                <w:sz w:val="19"/>
              </w:rPr>
              <w:t>a. Hồ sơ giá hiện hành phải được lưu trữ và duy trì.</w:t>
            </w:r>
            <w:r>
              <w:br/>
            </w:r>
            <w:r>
              <w:rPr>
                <w:b w:val="0"/>
                <w:i w:val="0"/>
                <w:sz w:val="19"/>
              </w:rPr>
              <w:t>b. Trước khi thanh toán hàng hóa, công ty phải đối chiếu giá trên hóa đơn của OEM với giá trong hợp đồng.</w:t>
            </w:r>
            <w:r>
              <w:br/>
            </w:r>
            <w:r>
              <w:rPr>
                <w:b w:val="0"/>
                <w:i w:val="0"/>
                <w:sz w:val="19"/>
              </w:rPr>
              <w:t xml:space="preserve">c. Việc kiểm toán đơn hàng (PO) để xác định giá cuối cùng thanh toán cho OEM phải được hoàn tất kịp thời theo các chính sách và quy trình bằng văn bản. </w:t>
            </w:r>
            <w:r>
              <w:rPr>
                <w:b/>
                <w:i w:val="0"/>
                <w:sz w:val="19"/>
              </w:rPr>
              <w:t>Tham khảo các Rủi ro: F-3, F-4, F-5</w:t>
            </w:r>
          </w:p>
        </w:tc>
      </w:tr>
      <w:tr>
        <w:tc>
          <w:tcPr>
            <w:tcW w:type="dxa" w:w="4680"/>
          </w:tcPr>
          <w:p>
            <w:r/>
            <w:r>
              <w:rPr>
                <w:b w:val="0"/>
                <w:i w:val="0"/>
                <w:sz w:val="19"/>
              </w:rPr>
              <w:t>6.6.3</w:t>
            </w:r>
          </w:p>
        </w:tc>
        <w:tc>
          <w:tcPr>
            <w:tcW w:type="dxa" w:w="4680"/>
          </w:tcPr>
          <w:p>
            <w:r/>
            <w:r>
              <w:rPr>
                <w:b/>
                <w:i w:val="0"/>
                <w:sz w:val="19"/>
              </w:rPr>
              <w:t>Các tác động phi giá cả.</w:t>
            </w:r>
            <w:r>
              <w:rPr>
                <w:b w:val="0"/>
                <w:i w:val="0"/>
                <w:sz w:val="19"/>
              </w:rPr>
              <w:t xml:space="preserve"> Bảo hành, làm lại, vận chuyển, chi phí gấp rút, dụng cụ, v.v. không trực tiếp điều chỉnh giá niêm yết phải được phê duyệt bởi nhân sự có DOA phù hợp trước khi thanh toán. </w:t>
            </w:r>
            <w:r>
              <w:rPr>
                <w:b/>
                <w:i w:val="0"/>
                <w:sz w:val="19"/>
              </w:rPr>
              <w:t>Tham khảo các rủi ro: F-3, F-4</w:t>
            </w:r>
          </w:p>
        </w:tc>
      </w:tr>
      <w:tr>
        <w:tc>
          <w:tcPr>
            <w:tcW w:type="dxa" w:w="4680"/>
          </w:tcPr>
          <w:p>
            <w:r/>
            <w:r>
              <w:rPr>
                <w:b w:val="0"/>
                <w:i w:val="0"/>
                <w:sz w:val="19"/>
              </w:rPr>
              <w:t>6.6.4</w:t>
            </w:r>
          </w:p>
        </w:tc>
        <w:tc>
          <w:tcPr>
            <w:tcW w:type="dxa" w:w="4680"/>
          </w:tcPr>
          <w:p>
            <w:r/>
            <w:r>
              <w:rPr>
                <w:b/>
                <w:i w:val="0"/>
                <w:sz w:val="19"/>
              </w:rPr>
              <w:t>Hoàn tiền (Rebates).</w:t>
            </w:r>
            <w:r>
              <w:rPr>
                <w:b w:val="0"/>
                <w:i w:val="0"/>
                <w:sz w:val="19"/>
              </w:rPr>
              <w:t xml:space="preserve"> Cần triển khai và tuân thủ một quy trình hoàn tiền cho phép xác định và thu hồi tất cả các khoản hoàn tiền một cách kịp thời. Quy trình nên bao gồm các chỉ số và quyền sở hữu đối với các quy trình cụ thể. </w:t>
            </w:r>
            <w:r>
              <w:rPr>
                <w:b/>
                <w:i w:val="0"/>
                <w:sz w:val="19"/>
              </w:rPr>
              <w:t>Tham khảo rủi ro: F-4</w:t>
            </w:r>
          </w:p>
        </w:tc>
      </w:tr>
      <w:tr>
        <w:tc>
          <w:tcPr>
            <w:tcW w:type="dxa" w:w="4680"/>
          </w:tcPr>
          <w:p>
            <w:r/>
            <w:r>
              <w:rPr>
                <w:b w:val="0"/>
                <w:i w:val="0"/>
                <w:sz w:val="19"/>
              </w:rPr>
              <w:t>6.6.5</w:t>
            </w:r>
          </w:p>
        </w:tc>
        <w:tc>
          <w:tcPr>
            <w:tcW w:type="dxa" w:w="4680"/>
          </w:tcPr>
          <w:p>
            <w:r/>
            <w:r>
              <w:rPr>
                <w:b w:val="0"/>
                <w:i w:val="0"/>
                <w:sz w:val="19"/>
              </w:rPr>
              <w:t>Giao hàng trực tiếp (Drop Shipments). Tất cả các lô hàng giao trực tiếp liên quan đến linh kiện quan trọng phải được hạch toán đúng đắn, chẳng hạn như:</w:t>
            </w:r>
            <w:r>
              <w:br/>
            </w:r>
            <w:r>
              <w:rPr>
                <w:b w:val="0"/>
                <w:i w:val="0"/>
                <w:sz w:val="19"/>
              </w:rPr>
              <w:t>a. Các lô hàng giao trực tiếp (từ nhà cung cấp bên ngoài và từ công ty) phải được ghi nhận, với thông tin về số lượng và mục hàng phù hợp.</w:t>
            </w:r>
            <w:r>
              <w:br/>
            </w:r>
            <w:r>
              <w:rPr>
                <w:b w:val="0"/>
                <w:i w:val="0"/>
                <w:sz w:val="19"/>
              </w:rPr>
              <w:t>b. Công ty phải tạo giấy báo nợ (debit memo) cho OEM với giá và số lượng phù hợp cho mỗi lô hàng giao trực tiếp. Các giấy báo nợ này phải được áp dụng vào tài khoản phải trả của OEM trong thời hạn hợp đồng.</w:t>
            </w:r>
            <w:r>
              <w:br/>
            </w:r>
            <w:r>
              <w:rPr>
                <w:b w:val="0"/>
                <w:i w:val="0"/>
                <w:sz w:val="19"/>
              </w:rPr>
              <w:t xml:space="preserve">c. Các lô hàng giao trực tiếp phải được đối chiếu (nội dung được biết rõ và trạng thái được cập nhật) định kỳ theo chính sách và quy trình. </w:t>
            </w:r>
            <w:r>
              <w:rPr>
                <w:b/>
                <w:i w:val="0"/>
                <w:sz w:val="19"/>
              </w:rPr>
              <w:t>Tham khảo các rủi ro: F-3, F-4</w:t>
            </w:r>
          </w:p>
        </w:tc>
      </w:tr>
      <w:tr>
        <w:tc>
          <w:tcPr>
            <w:tcW w:type="dxa" w:w="4680"/>
          </w:tcPr>
          <w:p>
            <w:r/>
            <w:r>
              <w:rPr>
                <w:b w:val="0"/>
                <w:i w:val="0"/>
                <w:sz w:val="19"/>
              </w:rPr>
              <w:t>6.6.6</w:t>
            </w:r>
          </w:p>
        </w:tc>
        <w:tc>
          <w:tcPr>
            <w:tcW w:type="dxa" w:w="4680"/>
          </w:tcPr>
          <w:p>
            <w:r/>
            <w:r>
              <w:rPr>
                <w:b w:val="0"/>
                <w:i w:val="0"/>
                <w:sz w:val="19"/>
              </w:rPr>
              <w:t>Đối chiếu. Các hoạt động đối chiếu sau đây nên được thực hiện định kỳ:</w:t>
            </w:r>
            <w:r>
              <w:br/>
            </w:r>
            <w:r>
              <w:rPr>
                <w:b w:val="0"/>
                <w:i w:val="0"/>
                <w:sz w:val="19"/>
              </w:rPr>
              <w:t>a. Tài khoản phải trả của công ty với tài khoản phải thu của OEM; mọi chênh lệch phải được giải quyết theo chính sách và quy trình hiện hành.</w:t>
            </w:r>
            <w:r>
              <w:br/>
            </w:r>
            <w:r>
              <w:rPr>
                <w:b w:val="0"/>
                <w:i w:val="0"/>
                <w:sz w:val="19"/>
              </w:rPr>
              <w:t xml:space="preserve">b. Tất cả các giao dịch kinh doanh với OEM phải được đối chiếu theo chính sách và quy trình. </w:t>
            </w:r>
            <w:r>
              <w:rPr>
                <w:b/>
                <w:i w:val="0"/>
                <w:sz w:val="19"/>
              </w:rPr>
              <w:t>Tham khảo các rủi ro: F-3, F-4, F-5</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F-1</w:t>
            </w:r>
          </w:p>
        </w:tc>
        <w:tc>
          <w:tcPr>
            <w:tcW w:type="dxa" w:w="4680"/>
          </w:tcPr>
          <w:p>
            <w:r/>
            <w:r>
              <w:rPr>
                <w:b w:val="0"/>
                <w:i w:val="0"/>
                <w:sz w:val="19"/>
              </w:rPr>
              <w:t>Công ty có thể ký kết một hợp đồng không mang lại lợi ích tốt nhất cho tập đoàn. Có thể tồn tại những điều khoản hoặc điều kiện bất lợi.</w:t>
            </w:r>
          </w:p>
        </w:tc>
      </w:tr>
      <w:tr>
        <w:tc>
          <w:tcPr>
            <w:tcW w:type="dxa" w:w="4680"/>
          </w:tcPr>
          <w:p>
            <w:r/>
            <w:r>
              <w:rPr>
                <w:b w:val="0"/>
                <w:i w:val="0"/>
                <w:sz w:val="19"/>
              </w:rPr>
              <w:t>F-2</w:t>
            </w:r>
          </w:p>
        </w:tc>
        <w:tc>
          <w:tcPr>
            <w:tcW w:type="dxa" w:w="4680"/>
          </w:tcPr>
          <w:p>
            <w:r/>
            <w:r>
              <w:rPr>
                <w:b w:val="0"/>
                <w:i w:val="0"/>
                <w:sz w:val="19"/>
              </w:rPr>
              <w:t>Những nhân sự phù hợp có thể không hiểu hết mọi khía cạnh của hợp đồng hiện tại có ảnh hưởng đến quy trình của họ.</w:t>
            </w:r>
          </w:p>
        </w:tc>
      </w:tr>
      <w:tr>
        <w:tc>
          <w:tcPr>
            <w:tcW w:type="dxa" w:w="4680"/>
          </w:tcPr>
          <w:p>
            <w:r/>
            <w:r>
              <w:rPr>
                <w:b w:val="0"/>
                <w:i w:val="0"/>
                <w:sz w:val="19"/>
              </w:rPr>
              <w:t>F-3</w:t>
            </w:r>
          </w:p>
        </w:tc>
        <w:tc>
          <w:tcPr>
            <w:tcW w:type="dxa" w:w="4680"/>
          </w:tcPr>
          <w:p>
            <w:r/>
            <w:r>
              <w:rPr>
                <w:b w:val="0"/>
                <w:i w:val="0"/>
                <w:sz w:val="19"/>
              </w:rPr>
              <w:t>Công ty có thể gánh chịu những bất lợi về tài chính.</w:t>
            </w:r>
          </w:p>
        </w:tc>
      </w:tr>
      <w:tr>
        <w:tc>
          <w:tcPr>
            <w:tcW w:type="dxa" w:w="4680"/>
          </w:tcPr>
          <w:p>
            <w:r/>
            <w:r>
              <w:rPr>
                <w:b w:val="0"/>
                <w:i w:val="0"/>
                <w:sz w:val="19"/>
              </w:rPr>
              <w:t>F-4</w:t>
            </w:r>
          </w:p>
        </w:tc>
        <w:tc>
          <w:tcPr>
            <w:tcW w:type="dxa" w:w="4680"/>
          </w:tcPr>
          <w:p>
            <w:r/>
            <w:r>
              <w:rPr>
                <w:b w:val="0"/>
                <w:i w:val="0"/>
                <w:sz w:val="19"/>
              </w:rPr>
              <w:t>Công ty có thể trả quá cao hoặc quá thấp cho hàng hóa và dịch vụ. Công ty có thể thanh toán cho những hạng mục nằm ngoài các điều khoản hợp đồng.</w:t>
            </w:r>
          </w:p>
        </w:tc>
      </w:tr>
      <w:tr>
        <w:tc>
          <w:tcPr>
            <w:tcW w:type="dxa" w:w="4680"/>
          </w:tcPr>
          <w:p>
            <w:r/>
            <w:r>
              <w:rPr>
                <w:b w:val="0"/>
                <w:i w:val="0"/>
                <w:sz w:val="19"/>
              </w:rPr>
              <w:t>F-5</w:t>
            </w:r>
          </w:p>
        </w:tc>
        <w:tc>
          <w:tcPr>
            <w:tcW w:type="dxa" w:w="4680"/>
          </w:tcPr>
          <w:p>
            <w:r/>
            <w:r>
              <w:rPr>
                <w:b w:val="0"/>
                <w:i w:val="0"/>
                <w:sz w:val="19"/>
              </w:rPr>
              <w:t>Báo cáo tài chính có thể bị trình bày sai.</w:t>
            </w:r>
          </w:p>
        </w:tc>
      </w:tr>
    </w:tbl>
    <w:p>
      <w:pPr>
        <w:spacing w:after="0"/>
      </w:pPr>
    </w:p>
    <w:p>
      <w:pPr>
        <w:pStyle w:val="Heading2"/>
      </w:pPr>
      <w:r>
        <w:rPr>
          <w:rFonts w:ascii="Calibri" w:hAnsi="Calibri"/>
          <w:b/>
          <w:i w:val="0"/>
          <w:sz w:val="32"/>
        </w:rPr>
        <w:t>6.7 AN NINH CHUỖI CUNG ỨNG</w:t>
      </w:r>
    </w:p>
    <w:p>
      <w:pPr>
        <w:pStyle w:val="Heading3"/>
      </w:pPr>
      <w:r>
        <w:rPr>
          <w:rFonts w:ascii="Calibri" w:hAnsi="Calibri"/>
          <w:b/>
          <w:i w:val="0"/>
          <w:sz w:val="26"/>
        </w:rPr>
        <w:t>Giới thiệu</w:t>
      </w:r>
    </w:p>
    <w:p>
      <w:pPr>
        <w:spacing w:after="80"/>
      </w:pPr>
      <w:r>
        <w:rPr>
          <w:b w:val="0"/>
          <w:i w:val="0"/>
        </w:rPr>
        <w:t>Tất cả các cơ sở và hoạt động của nhà cung cấp vận tải và logistics phải tuân thủ các yêu cầu an ninh tối thiểu của nhà cung cấp vận tải hoặc logistics của công ty. Tất cả nguyên vật liệu thô và thành phẩm của công ty cần được đóng gói và xếp trên pallet để ngăn chặn hành vi trộm cắp. Bao bì sản phẩm phải chắc chắn và không được nhận diện bộ phận/sản phẩm dưới bất kỳ hình thức nào.</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6.7.1</w:t>
            </w:r>
          </w:p>
        </w:tc>
        <w:tc>
          <w:tcPr>
            <w:tcW w:type="dxa" w:w="4680"/>
          </w:tcPr>
          <w:p>
            <w:r/>
            <w:r>
              <w:rPr>
                <w:b/>
                <w:i w:val="0"/>
                <w:sz w:val="19"/>
              </w:rPr>
              <w:t>Hợp đồng.</w:t>
            </w:r>
            <w:r>
              <w:rPr>
                <w:b w:val="0"/>
                <w:i w:val="0"/>
                <w:sz w:val="19"/>
              </w:rPr>
              <w:t xml:space="preserve"> Tất cả hợp đồng với các nhà cung cấp vận tải và logistics nên bao gồm các yêu cầu an ninh tối thiểu của nhà cung cấp vận tải hoặc logistics của công ty. Các ngoại lệ đối với các yêu cầu an ninh chỉ có thể được chấp thuận bởi bộ phận an ninh của tập đoàn. </w:t>
            </w:r>
            <w:r>
              <w:rPr>
                <w:b/>
                <w:i w:val="0"/>
                <w:sz w:val="19"/>
              </w:rPr>
              <w:t>Tham khảo các rủi ro: G-1, G-2, G-3, G-4, G-5</w:t>
            </w:r>
          </w:p>
        </w:tc>
      </w:tr>
      <w:tr>
        <w:tc>
          <w:tcPr>
            <w:tcW w:type="dxa" w:w="4680"/>
          </w:tcPr>
          <w:p>
            <w:r/>
            <w:r>
              <w:rPr>
                <w:b w:val="0"/>
                <w:i w:val="0"/>
                <w:sz w:val="19"/>
              </w:rPr>
              <w:t>6.7.2</w:t>
            </w:r>
          </w:p>
        </w:tc>
        <w:tc>
          <w:tcPr>
            <w:tcW w:type="dxa" w:w="4680"/>
          </w:tcPr>
          <w:p>
            <w:r/>
            <w:r>
              <w:rPr>
                <w:b/>
                <w:i w:val="0"/>
                <w:sz w:val="19"/>
              </w:rPr>
              <w:t>Hoạt động của nhà cung cấp.</w:t>
            </w:r>
            <w:r>
              <w:rPr>
                <w:b w:val="0"/>
                <w:i w:val="0"/>
                <w:sz w:val="19"/>
              </w:rPr>
              <w:t xml:space="preserve"> Tất cả các cơ sở và hoạt động của nhà cung cấp vận tải và logistics phải tuân thủ các yêu cầu an ninh tối thiểu dành cho nhà cung cấp vận tải hoặc logistics của công ty. Các trường hợp ngoại lệ đối với yêu cầu an ninh chỉ có thể được chấp thuận bởi bộ phận an ninh của công ty. </w:t>
            </w:r>
            <w:r>
              <w:rPr>
                <w:b/>
                <w:i w:val="0"/>
                <w:sz w:val="19"/>
              </w:rPr>
              <w:t>Tham khảo rủi ro: G-2, G-3, G-4</w:t>
            </w:r>
          </w:p>
        </w:tc>
      </w:tr>
      <w:tr>
        <w:tc>
          <w:tcPr>
            <w:tcW w:type="dxa" w:w="4680"/>
          </w:tcPr>
          <w:p>
            <w:r/>
            <w:r>
              <w:rPr>
                <w:b w:val="0"/>
                <w:i w:val="0"/>
                <w:sz w:val="19"/>
              </w:rPr>
              <w:t>6.7.3</w:t>
            </w:r>
          </w:p>
        </w:tc>
        <w:tc>
          <w:tcPr>
            <w:tcW w:type="dxa" w:w="4680"/>
          </w:tcPr>
          <w:p>
            <w:r/>
            <w:r>
              <w:rPr>
                <w:b/>
                <w:i w:val="0"/>
                <w:sz w:val="19"/>
              </w:rPr>
              <w:t>Đóng gói và xếp pallet.</w:t>
            </w:r>
            <w:r>
              <w:rPr>
                <w:b w:val="0"/>
                <w:i w:val="0"/>
                <w:sz w:val="19"/>
              </w:rPr>
              <w:t xml:space="preserve"> Nhà cung cấp vận tải không được phép lấy linh kiện/sản phẩm ra khỏi bao bì. Việc xếp pallet không nên cho phép dễ dàng lấy hàng ra nhưng phải dễ dàng phát hiện sự can thiệp trái phép. </w:t>
            </w:r>
            <w:r>
              <w:rPr>
                <w:b/>
                <w:i w:val="0"/>
                <w:sz w:val="19"/>
              </w:rPr>
              <w:t>Tham khảo rủi ro: G-2, G-3</w:t>
            </w:r>
          </w:p>
        </w:tc>
      </w:tr>
      <w:tr>
        <w:tc>
          <w:tcPr>
            <w:tcW w:type="dxa" w:w="4680"/>
          </w:tcPr>
          <w:p>
            <w:r/>
            <w:r>
              <w:rPr>
                <w:b w:val="0"/>
                <w:i w:val="0"/>
                <w:sz w:val="19"/>
              </w:rPr>
              <w:t>6.7.4</w:t>
            </w:r>
          </w:p>
        </w:tc>
        <w:tc>
          <w:tcPr>
            <w:tcW w:type="dxa" w:w="4680"/>
          </w:tcPr>
          <w:p>
            <w:r/>
            <w:r>
              <w:rPr>
                <w:b/>
                <w:i w:val="0"/>
                <w:sz w:val="19"/>
              </w:rPr>
              <w:t>Kiểm toán.</w:t>
            </w:r>
            <w:r>
              <w:rPr>
                <w:b w:val="0"/>
                <w:i w:val="0"/>
                <w:sz w:val="19"/>
              </w:rPr>
              <w:t xml:space="preserve"> Tất cả các nhà cung cấp vận tải và logistics đều phải chịu sự kiểm toán về việc tuân thủ các yêu cầu an ninh tối thiểu của công ty hàng năm bằng cách sử dụng các hướng dẫn kiểm toán hiện hành. Ban quản lý công ty có trách nhiệm đảm bảo rằng các hành động khắc phục được thực hiện trong khung thời gian đã thống nhất. </w:t>
            </w:r>
            <w:r>
              <w:rPr>
                <w:b/>
                <w:i w:val="0"/>
                <w:sz w:val="19"/>
              </w:rPr>
              <w:t>Tham khảo rủi ro: G-2, G-3, G-4</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G-1</w:t>
            </w:r>
          </w:p>
        </w:tc>
        <w:tc>
          <w:tcPr>
            <w:tcW w:type="dxa" w:w="4680"/>
          </w:tcPr>
          <w:p>
            <w:r/>
            <w:r>
              <w:rPr>
                <w:b w:val="0"/>
                <w:i w:val="0"/>
                <w:sz w:val="19"/>
              </w:rPr>
              <w:t>Nhà cung cấp có thể không biết về các yêu cầu an ninh của công ty.</w:t>
            </w:r>
          </w:p>
        </w:tc>
      </w:tr>
      <w:tr>
        <w:tc>
          <w:tcPr>
            <w:tcW w:type="dxa" w:w="4680"/>
          </w:tcPr>
          <w:p>
            <w:r/>
            <w:r>
              <w:rPr>
                <w:b w:val="0"/>
                <w:i w:val="0"/>
                <w:sz w:val="19"/>
              </w:rPr>
              <w:t>G-2</w:t>
            </w:r>
          </w:p>
        </w:tc>
        <w:tc>
          <w:tcPr>
            <w:tcW w:type="dxa" w:w="4680"/>
          </w:tcPr>
          <w:p>
            <w:r/>
            <w:r>
              <w:rPr>
                <w:b w:val="0"/>
                <w:i w:val="0"/>
                <w:sz w:val="19"/>
              </w:rPr>
              <w:t>Tài sản của công ty có thể bị đánh cắp.</w:t>
            </w:r>
          </w:p>
        </w:tc>
      </w:tr>
      <w:tr>
        <w:tc>
          <w:tcPr>
            <w:tcW w:type="dxa" w:w="4680"/>
          </w:tcPr>
          <w:p>
            <w:r/>
            <w:r>
              <w:rPr>
                <w:b w:val="0"/>
                <w:i w:val="0"/>
                <w:sz w:val="19"/>
              </w:rPr>
              <w:t>G-3</w:t>
            </w:r>
          </w:p>
        </w:tc>
        <w:tc>
          <w:tcPr>
            <w:tcW w:type="dxa" w:w="4680"/>
          </w:tcPr>
          <w:p>
            <w:r/>
            <w:r>
              <w:rPr>
                <w:b w:val="0"/>
                <w:i w:val="0"/>
                <w:sz w:val="19"/>
              </w:rPr>
              <w:t>Sự hài lòng của khách hàng có thể bị ảnh hưởng vì sản phẩm không thể được giao do bị đánh cắp.</w:t>
            </w:r>
          </w:p>
        </w:tc>
      </w:tr>
      <w:tr>
        <w:tc>
          <w:tcPr>
            <w:tcW w:type="dxa" w:w="4680"/>
          </w:tcPr>
          <w:p>
            <w:r/>
            <w:r>
              <w:rPr>
                <w:b w:val="0"/>
                <w:i w:val="0"/>
                <w:sz w:val="19"/>
              </w:rPr>
              <w:t>G-4</w:t>
            </w:r>
          </w:p>
        </w:tc>
        <w:tc>
          <w:tcPr>
            <w:tcW w:type="dxa" w:w="4680"/>
          </w:tcPr>
          <w:p>
            <w:r/>
            <w:r>
              <w:rPr>
                <w:b w:val="0"/>
                <w:i w:val="0"/>
                <w:sz w:val="19"/>
              </w:rPr>
              <w:t>Hiệu suất an ninh của nhà cung cấp có thể giảm và tình trạng trộm cắp có thể gia tăng.</w:t>
            </w:r>
          </w:p>
        </w:tc>
      </w:tr>
      <w:tr>
        <w:tc>
          <w:tcPr>
            <w:tcW w:type="dxa" w:w="4680"/>
          </w:tcPr>
          <w:p>
            <w:r/>
            <w:r>
              <w:rPr>
                <w:b w:val="0"/>
                <w:i w:val="0"/>
                <w:sz w:val="19"/>
              </w:rPr>
              <w:t>G-5</w:t>
            </w:r>
          </w:p>
        </w:tc>
        <w:tc>
          <w:tcPr>
            <w:tcW w:type="dxa" w:w="4680"/>
          </w:tcPr>
          <w:p>
            <w:r/>
            <w:r>
              <w:rPr>
                <w:b w:val="0"/>
                <w:i w:val="0"/>
                <w:sz w:val="19"/>
              </w:rPr>
              <w:t>Công ty không thể ràng buộc nhà cung cấp bằng hợp đồng về hiệu suất bảo mật và mức độ dịch vụ mong đợi theo các chỉ số thỏa thuận mức độ dịch vụ (SLA).</w:t>
            </w:r>
          </w:p>
        </w:tc>
      </w:tr>
    </w:tbl>
    <w:p>
      <w:pPr>
        <w:spacing w:after="0"/>
      </w:pPr>
    </w:p>
    <w:p>
      <w:pPr>
        <w:pStyle w:val="Heading2"/>
      </w:pPr>
      <w:r>
        <w:rPr>
          <w:rFonts w:ascii="Calibri" w:hAnsi="Calibri"/>
          <w:b/>
          <w:i w:val="0"/>
          <w:sz w:val="32"/>
        </w:rPr>
        <w:t>6.8 VẬN TẢI VÀ LOGISTICS</w:t>
      </w:r>
    </w:p>
    <w:p>
      <w:pPr>
        <w:pStyle w:val="Heading3"/>
      </w:pPr>
      <w:r>
        <w:rPr>
          <w:rFonts w:ascii="Calibri" w:hAnsi="Calibri"/>
          <w:b/>
          <w:i w:val="0"/>
          <w:sz w:val="26"/>
        </w:rPr>
        <w:t>Giới thiệu</w:t>
      </w:r>
    </w:p>
    <w:p>
      <w:pPr>
        <w:spacing w:after="80"/>
      </w:pPr>
      <w:r>
        <w:rPr>
          <w:b w:val="0"/>
          <w:i w:val="0"/>
        </w:rPr>
        <w:t>Các chính sách và quy trình được thiết lập để hướng dẫn thực hành kinh doanh, thúc đẩy tính nhất quán trong toàn công ty, và làm rõ vai trò, trách nhiệm cũng như tính chịu trách nhiệm trong lĩnh vực vận tải và logistics. Công ty đã ký kết hợp đồng với các đơn vị vận tải và những hợp đồng này còn hiệu lực, đầy đủ, đồng thời có các điều khoản bảo vệ phù hợp nếu nguồn lực đội xe của công ty không có sẵn hoặc không được sử dụng.</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6.8.1</w:t>
            </w:r>
          </w:p>
        </w:tc>
        <w:tc>
          <w:tcPr>
            <w:tcW w:type="dxa" w:w="4680"/>
          </w:tcPr>
          <w:p>
            <w:r/>
            <w:r>
              <w:rPr>
                <w:b/>
                <w:i w:val="0"/>
                <w:sz w:val="19"/>
              </w:rPr>
              <w:t>Chính sách và Quy trình của Công ty.</w:t>
            </w:r>
            <w:r>
              <w:rPr>
                <w:b w:val="0"/>
                <w:i w:val="0"/>
                <w:sz w:val="19"/>
              </w:rPr>
              <w:t xml:space="preserve"> Các chính sách và quy trình được thiết lập để hướng dẫn thực hành kinh doanh, thúc đẩy tính nhất quán trong toàn công ty, và làm rõ vai trò, trách nhiệm cũng như tính chịu trách nhiệm trong lĩnh vực vận tải và logistics. </w:t>
            </w:r>
            <w:r>
              <w:rPr>
                <w:b/>
                <w:i w:val="0"/>
                <w:sz w:val="19"/>
              </w:rPr>
              <w:t>Tham chiếu rủi ro: H-1</w:t>
            </w:r>
          </w:p>
        </w:tc>
      </w:tr>
      <w:tr>
        <w:tc>
          <w:tcPr>
            <w:tcW w:type="dxa" w:w="4680"/>
          </w:tcPr>
          <w:p>
            <w:r/>
            <w:r>
              <w:rPr>
                <w:b w:val="0"/>
                <w:i w:val="0"/>
                <w:sz w:val="19"/>
              </w:rPr>
              <w:t>6.8.2</w:t>
            </w:r>
          </w:p>
        </w:tc>
        <w:tc>
          <w:tcPr>
            <w:tcW w:type="dxa" w:w="4680"/>
          </w:tcPr>
          <w:p>
            <w:r/>
            <w:r>
              <w:rPr>
                <w:b/>
                <w:i w:val="0"/>
                <w:sz w:val="19"/>
              </w:rPr>
              <w:t>Quản trị Hợp đồng.</w:t>
            </w:r>
            <w:r>
              <w:rPr>
                <w:b w:val="0"/>
                <w:i w:val="0"/>
                <w:sz w:val="19"/>
              </w:rPr>
              <w:t xml:space="preserve"> Công ty đã ký kết hợp đồng với các đơn vị vận tải và những hợp đồng này còn hiệu lực, đầy đủ, đồng thời có các điều khoản bảo vệ phù hợp. </w:t>
            </w:r>
            <w:r>
              <w:rPr>
                <w:b/>
                <w:i w:val="0"/>
                <w:sz w:val="19"/>
              </w:rPr>
              <w:t>Tham chiếu rủi ro: H-2, H-3, H-4</w:t>
            </w:r>
          </w:p>
        </w:tc>
      </w:tr>
      <w:tr>
        <w:tc>
          <w:tcPr>
            <w:tcW w:type="dxa" w:w="4680"/>
          </w:tcPr>
          <w:p>
            <w:r/>
            <w:r>
              <w:rPr>
                <w:b w:val="0"/>
                <w:i w:val="0"/>
                <w:sz w:val="19"/>
              </w:rPr>
              <w:t>6.8.3</w:t>
            </w:r>
          </w:p>
        </w:tc>
        <w:tc>
          <w:tcPr>
            <w:tcW w:type="dxa" w:w="4680"/>
          </w:tcPr>
          <w:p>
            <w:r/>
            <w:r>
              <w:rPr>
                <w:b/>
                <w:i w:val="0"/>
                <w:sz w:val="19"/>
              </w:rPr>
              <w:t>Khiếu nại Vận chuyển Hàng hóa.</w:t>
            </w:r>
            <w:r>
              <w:rPr>
                <w:b w:val="0"/>
                <w:i w:val="0"/>
                <w:sz w:val="19"/>
              </w:rPr>
              <w:t xml:space="preserve"> Tất cả các khiếu nại vận chuyển hàng hóa đủ điều kiện đều được nộp, xử lý đúng hạn, thông báo đến các nhóm hỗ trợ và kiểm soát phù hợp, và được thanh toán kịp thời. Bộ phận vận tải của công ty giám sát việc tuân thủ các quy trình liên quan ở từng khu vực và phối hợp với các khu vực để đưa ra hành động. </w:t>
            </w:r>
            <w:r>
              <w:rPr>
                <w:b/>
                <w:i w:val="0"/>
                <w:sz w:val="19"/>
              </w:rPr>
              <w:t>Tham chiếu rủi ro: H-5</w:t>
            </w:r>
          </w:p>
        </w:tc>
      </w:tr>
      <w:tr>
        <w:tc>
          <w:tcPr>
            <w:tcW w:type="dxa" w:w="4680"/>
          </w:tcPr>
          <w:p>
            <w:r/>
            <w:r>
              <w:rPr>
                <w:b w:val="0"/>
                <w:i w:val="0"/>
                <w:sz w:val="19"/>
              </w:rPr>
              <w:t>6.8.4</w:t>
            </w:r>
          </w:p>
        </w:tc>
        <w:tc>
          <w:tcPr>
            <w:tcW w:type="dxa" w:w="4680"/>
          </w:tcPr>
          <w:p>
            <w:r/>
            <w:r>
              <w:rPr>
                <w:b/>
                <w:i w:val="0"/>
                <w:sz w:val="19"/>
              </w:rPr>
              <w:t>Quản lý Vật liệu Nguy hiểm.</w:t>
            </w:r>
            <w:r>
              <w:rPr>
                <w:b w:val="0"/>
                <w:i w:val="0"/>
                <w:sz w:val="19"/>
              </w:rPr>
              <w:t xml:space="preserve"> Bộ phận vận tải của công ty có một chương trình đầy đủ về nhận thức, đào tạo và thực thi liên quan đến vật liệu nguy hiểm. </w:t>
            </w:r>
            <w:r>
              <w:rPr>
                <w:b/>
                <w:i w:val="0"/>
                <w:sz w:val="19"/>
              </w:rPr>
              <w:t>Tham chiếu rủi ro: H-6</w:t>
            </w:r>
          </w:p>
        </w:tc>
      </w:tr>
      <w:tr>
        <w:tc>
          <w:tcPr>
            <w:tcW w:type="dxa" w:w="4680"/>
          </w:tcPr>
          <w:p>
            <w:r/>
            <w:r>
              <w:rPr>
                <w:b w:val="0"/>
                <w:i w:val="0"/>
                <w:sz w:val="19"/>
              </w:rPr>
              <w:t>6.8.5</w:t>
            </w:r>
          </w:p>
        </w:tc>
        <w:tc>
          <w:tcPr>
            <w:tcW w:type="dxa" w:w="4680"/>
          </w:tcPr>
          <w:p>
            <w:r/>
            <w:r>
              <w:rPr>
                <w:b/>
                <w:i w:val="0"/>
                <w:sz w:val="19"/>
              </w:rPr>
              <w:t>Hợp đồng với Nhà cung cấp Dịch vụ Logistics.</w:t>
            </w:r>
            <w:r>
              <w:rPr>
                <w:b w:val="0"/>
                <w:i w:val="0"/>
                <w:sz w:val="19"/>
              </w:rPr>
              <w:t xml:space="preserve"> Tất cả các nhà cung cấp dịch vụ logistics bên thứ ba đều hiểu và tuân thủ các tiêu chuẩn về hàng hóa hư hỏng. Việc tuân thủ các tiêu chuẩn này được đưa vào như một phần trong hoạt động kiểm toán các nhà cung cấp dịch vụ logistics của công ty. </w:t>
            </w:r>
            <w:r>
              <w:rPr>
                <w:b/>
                <w:i w:val="0"/>
                <w:sz w:val="19"/>
              </w:rPr>
              <w:t>Tham chiếu rủi ro: H-8, H-9, H-10</w:t>
            </w:r>
          </w:p>
        </w:tc>
      </w:tr>
      <w:tr>
        <w:tc>
          <w:tcPr>
            <w:tcW w:type="dxa" w:w="4680"/>
          </w:tcPr>
          <w:p>
            <w:r/>
            <w:r>
              <w:rPr>
                <w:b w:val="0"/>
                <w:i w:val="0"/>
                <w:sz w:val="19"/>
              </w:rPr>
              <w:t>6.8.6</w:t>
            </w:r>
          </w:p>
        </w:tc>
        <w:tc>
          <w:tcPr>
            <w:tcW w:type="dxa" w:w="4680"/>
          </w:tcPr>
          <w:p>
            <w:r/>
            <w:r>
              <w:rPr>
                <w:b/>
                <w:i w:val="0"/>
                <w:sz w:val="19"/>
              </w:rPr>
              <w:t>Lựa chọn đơn vị vận tải.</w:t>
            </w:r>
            <w:r>
              <w:rPr>
                <w:b w:val="0"/>
                <w:i w:val="0"/>
                <w:sz w:val="19"/>
              </w:rPr>
              <w:t xml:space="preserve"> Tất cả các nhà cung cấp dịch vụ logistics bên thứ ba và đơn vị vận tải đều được lựa chọn theo quy trình và thủ tục lựa chọn đơn vị vận tải của từng khu vực. </w:t>
            </w:r>
            <w:r>
              <w:rPr>
                <w:b/>
                <w:i w:val="0"/>
                <w:sz w:val="19"/>
              </w:rPr>
              <w:t>Tham khảo rủi ro: H-4, H-9, H-10</w:t>
            </w:r>
          </w:p>
        </w:tc>
      </w:tr>
      <w:tr>
        <w:tc>
          <w:tcPr>
            <w:tcW w:type="dxa" w:w="4680"/>
          </w:tcPr>
          <w:p>
            <w:r/>
            <w:r>
              <w:rPr>
                <w:b w:val="0"/>
                <w:i w:val="0"/>
                <w:sz w:val="19"/>
              </w:rPr>
              <w:t>6.8.7</w:t>
            </w:r>
          </w:p>
        </w:tc>
        <w:tc>
          <w:tcPr>
            <w:tcW w:type="dxa" w:w="4680"/>
          </w:tcPr>
          <w:p>
            <w:r/>
            <w:r>
              <w:rPr>
                <w:b/>
                <w:i w:val="0"/>
                <w:sz w:val="19"/>
              </w:rPr>
              <w:t>Chính sách và thủ tục đối với sản phẩm bị hư hỏng.</w:t>
            </w:r>
            <w:r>
              <w:rPr>
                <w:b w:val="0"/>
                <w:i w:val="0"/>
                <w:sz w:val="19"/>
              </w:rPr>
              <w:t xml:space="preserve"> Các chính sách và thủ tục đã được xây dựng và triển khai để giải quyết sản phẩm bị hư hỏng tại cơ sở của nhà cung cấp dịch vụ logistics bên thứ ba. </w:t>
            </w:r>
            <w:r>
              <w:rPr>
                <w:b/>
                <w:i w:val="0"/>
                <w:sz w:val="19"/>
              </w:rPr>
              <w:t>Tham khảo rủi ro: H-3, H-9, H-10</w:t>
            </w:r>
          </w:p>
        </w:tc>
      </w:tr>
      <w:tr>
        <w:tc>
          <w:tcPr>
            <w:tcW w:type="dxa" w:w="4680"/>
          </w:tcPr>
          <w:p>
            <w:r/>
            <w:r>
              <w:rPr>
                <w:b w:val="0"/>
                <w:i w:val="0"/>
                <w:sz w:val="19"/>
              </w:rPr>
              <w:t>6.8.8</w:t>
            </w:r>
          </w:p>
        </w:tc>
        <w:tc>
          <w:tcPr>
            <w:tcW w:type="dxa" w:w="4680"/>
          </w:tcPr>
          <w:p>
            <w:r/>
            <w:r>
              <w:rPr>
                <w:b/>
                <w:i w:val="0"/>
                <w:sz w:val="19"/>
              </w:rPr>
              <w:t>Giám sát các nhà cung cấp dịch vụ logistics.</w:t>
            </w:r>
            <w:r>
              <w:rPr>
                <w:b w:val="0"/>
                <w:i w:val="0"/>
                <w:sz w:val="19"/>
              </w:rPr>
              <w:t xml:space="preserve"> Các nhà cung cấp dịch vụ logistics bên thứ ba hiểu rõ và tuân thủ quy trình, thủ tục phân loại hàng tồn kho của công ty. </w:t>
            </w:r>
            <w:r>
              <w:rPr>
                <w:b/>
                <w:i w:val="0"/>
                <w:sz w:val="19"/>
              </w:rPr>
              <w:t>Tham khảo rủi ro: H-2, H-7</w:t>
            </w:r>
          </w:p>
        </w:tc>
      </w:tr>
      <w:tr>
        <w:tc>
          <w:tcPr>
            <w:tcW w:type="dxa" w:w="4680"/>
          </w:tcPr>
          <w:p>
            <w:r/>
            <w:r>
              <w:rPr>
                <w:b w:val="0"/>
                <w:i w:val="0"/>
                <w:sz w:val="19"/>
              </w:rPr>
              <w:t>6.8.9</w:t>
            </w:r>
          </w:p>
        </w:tc>
        <w:tc>
          <w:tcPr>
            <w:tcW w:type="dxa" w:w="4680"/>
          </w:tcPr>
          <w:p>
            <w:r/>
            <w:r>
              <w:rPr>
                <w:b/>
                <w:i w:val="0"/>
                <w:sz w:val="19"/>
              </w:rPr>
              <w:t>Chính sách và thủ tục theo khu vực.</w:t>
            </w:r>
            <w:r>
              <w:rPr>
                <w:b w:val="0"/>
                <w:i w:val="0"/>
                <w:sz w:val="19"/>
              </w:rPr>
              <w:t xml:space="preserve"> Các chính sách và thủ tục theo khu vực liên quan đến vận tải và logistics đã được xây dựng, ghi chép thành văn bản và triển khai. </w:t>
            </w:r>
            <w:r>
              <w:rPr>
                <w:b/>
                <w:i w:val="0"/>
                <w:sz w:val="19"/>
              </w:rPr>
              <w:t>Tham khảo rủi ro: H-1, H-10</w:t>
            </w:r>
          </w:p>
        </w:tc>
      </w:tr>
      <w:tr>
        <w:tc>
          <w:tcPr>
            <w:tcW w:type="dxa" w:w="4680"/>
          </w:tcPr>
          <w:p>
            <w:r/>
            <w:r>
              <w:rPr>
                <w:b w:val="0"/>
                <w:i w:val="0"/>
                <w:sz w:val="19"/>
              </w:rPr>
              <w:t>6.8.10</w:t>
            </w:r>
          </w:p>
        </w:tc>
        <w:tc>
          <w:tcPr>
            <w:tcW w:type="dxa" w:w="4680"/>
          </w:tcPr>
          <w:p>
            <w:r/>
            <w:r>
              <w:rPr>
                <w:b/>
                <w:i w:val="0"/>
                <w:sz w:val="19"/>
              </w:rPr>
              <w:t>Hàng hóa bị hư hỏng.</w:t>
            </w:r>
            <w:r>
              <w:rPr>
                <w:b w:val="0"/>
                <w:i w:val="0"/>
                <w:sz w:val="19"/>
              </w:rPr>
              <w:t xml:space="preserve"> Quy trình xử lý hàng hóa bị hư hỏng bao gồm các tiêu chí để xác định phân tích chi phí - lợi ích nhằm kiểm tra lại và/hoặc đóng gói lại hàng hóa bị hư hỏng, cùng các mốc thời gian để chuyển hướng hàng hóa bị hư hỏng sang các luồng xử lý thay thế. </w:t>
            </w:r>
            <w:r>
              <w:rPr>
                <w:b/>
                <w:i w:val="0"/>
                <w:sz w:val="19"/>
              </w:rPr>
              <w:t>Tham khảo rủi ro: H-1</w:t>
            </w:r>
          </w:p>
        </w:tc>
      </w:tr>
      <w:tr>
        <w:tc>
          <w:tcPr>
            <w:tcW w:type="dxa" w:w="4680"/>
          </w:tcPr>
          <w:p>
            <w:r/>
            <w:r>
              <w:rPr>
                <w:b w:val="0"/>
                <w:i w:val="0"/>
                <w:sz w:val="19"/>
              </w:rPr>
              <w:t>6.8.11</w:t>
            </w:r>
          </w:p>
        </w:tc>
        <w:tc>
          <w:tcPr>
            <w:tcW w:type="dxa" w:w="4680"/>
          </w:tcPr>
          <w:p>
            <w:r/>
            <w:r>
              <w:rPr>
                <w:b/>
                <w:i w:val="0"/>
                <w:sz w:val="19"/>
              </w:rPr>
              <w:t>Quản lý hợp đồng theo khu vực.</w:t>
            </w:r>
            <w:r>
              <w:rPr>
                <w:b w:val="0"/>
                <w:i w:val="0"/>
                <w:sz w:val="19"/>
              </w:rPr>
              <w:t xml:space="preserve"> Các thỏa thuận với nhà cung cấp bên thứ ba bao gồm các chỉ số đo lường và biện pháp xử lý, kể cả trách nhiệm tài chính, đối với hàng hóa bị hư hỏng khi đang trong quyền kiểm soát của họ. </w:t>
            </w:r>
            <w:r>
              <w:rPr>
                <w:b/>
                <w:i w:val="0"/>
                <w:sz w:val="19"/>
              </w:rPr>
              <w:t>Tham khảo rủi ro: H-3, H-8, H-9, H-10</w:t>
            </w:r>
          </w:p>
        </w:tc>
      </w:tr>
      <w:tr>
        <w:tc>
          <w:tcPr>
            <w:tcW w:type="dxa" w:w="4680"/>
          </w:tcPr>
          <w:p>
            <w:r/>
            <w:r>
              <w:rPr>
                <w:b w:val="0"/>
                <w:i w:val="0"/>
                <w:sz w:val="19"/>
              </w:rPr>
              <w:t>6.8.12</w:t>
            </w:r>
          </w:p>
        </w:tc>
        <w:tc>
          <w:tcPr>
            <w:tcW w:type="dxa" w:w="4680"/>
          </w:tcPr>
          <w:p>
            <w:r/>
            <w:r>
              <w:rPr>
                <w:b/>
                <w:i w:val="0"/>
                <w:sz w:val="19"/>
              </w:rPr>
              <w:t>Quản lý địa điểm theo khu vực.</w:t>
            </w:r>
            <w:r>
              <w:rPr>
                <w:b w:val="0"/>
                <w:i w:val="0"/>
                <w:sz w:val="19"/>
              </w:rPr>
              <w:t xml:space="preserve"> Một quy trình quản lý địa điểm đã được xây dựng và triển khai theo đúng thủ tục vận hành của công ty. </w:t>
            </w:r>
            <w:r>
              <w:rPr>
                <w:b/>
                <w:i w:val="0"/>
                <w:sz w:val="19"/>
              </w:rPr>
              <w:t>Tham khảo rủi ro: H-1</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H-1</w:t>
            </w:r>
          </w:p>
        </w:tc>
        <w:tc>
          <w:tcPr>
            <w:tcW w:type="dxa" w:w="4680"/>
          </w:tcPr>
          <w:p>
            <w:r/>
            <w:r>
              <w:rPr>
                <w:b w:val="0"/>
                <w:i w:val="0"/>
                <w:sz w:val="19"/>
              </w:rPr>
              <w:t>Nguồn lực của công ty có thể không được sử dụng một cách hiệu quả hoặc hiệu suất, dẫn đến chi phí quá cao và/hoặc đơn vị sản xuất không thể đạt được các mục tiêu kinh doanh của mình.</w:t>
            </w:r>
          </w:p>
        </w:tc>
      </w:tr>
      <w:tr>
        <w:tc>
          <w:tcPr>
            <w:tcW w:type="dxa" w:w="4680"/>
          </w:tcPr>
          <w:p>
            <w:r/>
            <w:r>
              <w:rPr>
                <w:b w:val="0"/>
                <w:i w:val="0"/>
                <w:sz w:val="19"/>
              </w:rPr>
              <w:t>H-2</w:t>
            </w:r>
          </w:p>
        </w:tc>
        <w:tc>
          <w:tcPr>
            <w:tcW w:type="dxa" w:w="4680"/>
          </w:tcPr>
          <w:p>
            <w:r/>
            <w:r>
              <w:rPr>
                <w:b w:val="0"/>
                <w:i w:val="0"/>
                <w:sz w:val="19"/>
              </w:rPr>
              <w:t>Nhà cung cấp có thể không biết về các tiêu chuẩn hiệu suất của công ty.</w:t>
            </w:r>
          </w:p>
        </w:tc>
      </w:tr>
      <w:tr>
        <w:tc>
          <w:tcPr>
            <w:tcW w:type="dxa" w:w="4680"/>
          </w:tcPr>
          <w:p>
            <w:r/>
            <w:r>
              <w:rPr>
                <w:b w:val="0"/>
                <w:i w:val="0"/>
                <w:sz w:val="19"/>
              </w:rPr>
              <w:t>H-3</w:t>
            </w:r>
          </w:p>
        </w:tc>
        <w:tc>
          <w:tcPr>
            <w:tcW w:type="dxa" w:w="4680"/>
          </w:tcPr>
          <w:p>
            <w:r/>
            <w:r>
              <w:rPr>
                <w:b w:val="0"/>
                <w:i w:val="0"/>
                <w:sz w:val="19"/>
              </w:rPr>
              <w:t>Hiệu suất của nhà cung cấp có thể giảm sút và tình trạng hư hỏng, chậm trễ giao hàng có thể gia tăng.</w:t>
            </w:r>
          </w:p>
        </w:tc>
      </w:tr>
      <w:tr>
        <w:tc>
          <w:tcPr>
            <w:tcW w:type="dxa" w:w="4680"/>
          </w:tcPr>
          <w:p>
            <w:r/>
            <w:r>
              <w:rPr>
                <w:b w:val="0"/>
                <w:i w:val="0"/>
                <w:sz w:val="19"/>
              </w:rPr>
              <w:t>H-4</w:t>
            </w:r>
          </w:p>
        </w:tc>
        <w:tc>
          <w:tcPr>
            <w:tcW w:type="dxa" w:w="4680"/>
          </w:tcPr>
          <w:p>
            <w:r/>
            <w:r>
              <w:rPr>
                <w:b w:val="0"/>
                <w:i w:val="0"/>
                <w:sz w:val="19"/>
              </w:rPr>
              <w:t>Công ty có thể không thể ràng buộc nhà cung cấp phải chịu trách nhiệm về hiệu suất theo hợp đồng.</w:t>
            </w:r>
          </w:p>
        </w:tc>
      </w:tr>
      <w:tr>
        <w:tc>
          <w:tcPr>
            <w:tcW w:type="dxa" w:w="4680"/>
          </w:tcPr>
          <w:p>
            <w:r/>
            <w:r>
              <w:rPr>
                <w:b w:val="0"/>
                <w:i w:val="0"/>
                <w:sz w:val="19"/>
              </w:rPr>
              <w:t>H-5</w:t>
            </w:r>
          </w:p>
        </w:tc>
        <w:tc>
          <w:tcPr>
            <w:tcW w:type="dxa" w:w="4680"/>
          </w:tcPr>
          <w:p>
            <w:r/>
            <w:r>
              <w:rPr>
                <w:b w:val="0"/>
                <w:i w:val="0"/>
                <w:sz w:val="19"/>
              </w:rPr>
              <w:t>Các khoản thanh toán có thể được thực hiện cho những yêu cầu bồi thường dịch vụ chưa được cung cấp, hoặc các yêu cầu vận chuyển trùng lặp hay gian lận.</w:t>
            </w:r>
          </w:p>
        </w:tc>
      </w:tr>
      <w:tr>
        <w:tc>
          <w:tcPr>
            <w:tcW w:type="dxa" w:w="4680"/>
          </w:tcPr>
          <w:p>
            <w:r/>
            <w:r>
              <w:rPr>
                <w:b w:val="0"/>
                <w:i w:val="0"/>
                <w:sz w:val="19"/>
              </w:rPr>
              <w:t>H-6</w:t>
            </w:r>
          </w:p>
        </w:tc>
        <w:tc>
          <w:tcPr>
            <w:tcW w:type="dxa" w:w="4680"/>
          </w:tcPr>
          <w:p>
            <w:r/>
            <w:r>
              <w:rPr>
                <w:b w:val="0"/>
                <w:i w:val="0"/>
                <w:sz w:val="19"/>
              </w:rPr>
              <w:t>Các khoản tiền phạt và hình phạt có thể bị áp đặt, làm tăng chi phí do không tuân thủ luật và quy định về vật liệu nguy hiểm.</w:t>
            </w:r>
          </w:p>
        </w:tc>
      </w:tr>
      <w:tr>
        <w:tc>
          <w:tcPr>
            <w:tcW w:type="dxa" w:w="4680"/>
          </w:tcPr>
          <w:p>
            <w:r/>
            <w:r>
              <w:rPr>
                <w:b w:val="0"/>
                <w:i w:val="0"/>
                <w:sz w:val="19"/>
              </w:rPr>
              <w:t>H-7</w:t>
            </w:r>
          </w:p>
        </w:tc>
        <w:tc>
          <w:tcPr>
            <w:tcW w:type="dxa" w:w="4680"/>
          </w:tcPr>
          <w:p>
            <w:r/>
            <w:r>
              <w:rPr>
                <w:b w:val="0"/>
                <w:i w:val="0"/>
                <w:sz w:val="19"/>
              </w:rPr>
              <w:t>Nhà cung cấp có thể phân loại hàng tồn kho không đúng cách, điều này có thể làm giảm hiệu quả trong quy trình quản lý hàng tồn kho.</w:t>
            </w:r>
          </w:p>
        </w:tc>
      </w:tr>
      <w:tr>
        <w:tc>
          <w:tcPr>
            <w:tcW w:type="dxa" w:w="4680"/>
          </w:tcPr>
          <w:p>
            <w:r/>
            <w:r>
              <w:rPr>
                <w:b w:val="0"/>
                <w:i w:val="0"/>
                <w:sz w:val="19"/>
              </w:rPr>
              <w:t>H-8</w:t>
            </w:r>
          </w:p>
        </w:tc>
        <w:tc>
          <w:tcPr>
            <w:tcW w:type="dxa" w:w="4680"/>
          </w:tcPr>
          <w:p>
            <w:r/>
            <w:r>
              <w:rPr>
                <w:b w:val="0"/>
                <w:i w:val="0"/>
                <w:sz w:val="19"/>
              </w:rPr>
              <w:t>Nhà cung cấp có thể không biết về các tiêu chuẩn của công ty đối với hàng hóa bị hư hỏng.</w:t>
            </w:r>
          </w:p>
        </w:tc>
      </w:tr>
      <w:tr>
        <w:tc>
          <w:tcPr>
            <w:tcW w:type="dxa" w:w="4680"/>
          </w:tcPr>
          <w:p>
            <w:r/>
            <w:r>
              <w:rPr>
                <w:b w:val="0"/>
                <w:i w:val="0"/>
                <w:sz w:val="19"/>
              </w:rPr>
              <w:t>H-9</w:t>
            </w:r>
          </w:p>
        </w:tc>
        <w:tc>
          <w:tcPr>
            <w:tcW w:type="dxa" w:w="4680"/>
          </w:tcPr>
          <w:p>
            <w:r/>
            <w:r>
              <w:rPr>
                <w:b w:val="0"/>
                <w:i w:val="0"/>
                <w:sz w:val="19"/>
              </w:rPr>
              <w:t>Tài sản của công ty có thể bị hư hỏng.</w:t>
            </w:r>
          </w:p>
        </w:tc>
      </w:tr>
      <w:tr>
        <w:tc>
          <w:tcPr>
            <w:tcW w:type="dxa" w:w="4680"/>
          </w:tcPr>
          <w:p>
            <w:r/>
            <w:r>
              <w:rPr>
                <w:b w:val="0"/>
                <w:i w:val="0"/>
                <w:sz w:val="19"/>
              </w:rPr>
              <w:t>H-10</w:t>
            </w:r>
          </w:p>
        </w:tc>
        <w:tc>
          <w:tcPr>
            <w:tcW w:type="dxa" w:w="4680"/>
          </w:tcPr>
          <w:p>
            <w:r/>
            <w:r>
              <w:rPr>
                <w:b w:val="0"/>
                <w:i w:val="0"/>
                <w:sz w:val="19"/>
              </w:rPr>
              <w:t>Sự hài lòng của khách hàng có thể bị ảnh hưởng vì sản phẩm không thể được giao do hư hỏng hoặc các sự chậm trễ khác trong khâu giao hàng.</w:t>
            </w:r>
          </w:p>
        </w:tc>
      </w:tr>
    </w:tbl>
    <w:p>
      <w:pPr>
        <w:spacing w:after="0"/>
      </w:pPr>
    </w:p>
    <w:p>
      <w:pPr>
        <w:pStyle w:val="Heading1"/>
      </w:pPr>
      <w:r>
        <w:rPr>
          <w:rFonts w:ascii="Calibri" w:hAnsi="Calibri"/>
          <w:b/>
          <w:i w:val="0"/>
          <w:sz w:val="40"/>
        </w:rPr>
        <w:t xml:space="preserve">CHƯƠNG 7 </w:t>
      </w:r>
      <w:r>
        <w:br/>
      </w:r>
      <w:r>
        <w:rPr>
          <w:rFonts w:ascii="Calibri" w:hAnsi="Calibri"/>
          <w:b/>
          <w:i w:val="0"/>
          <w:sz w:val="40"/>
        </w:rPr>
        <w:t xml:space="preserve"> Ghi nhận để Báo cáo (R2R)</w:t>
      </w:r>
    </w:p>
    <w:p>
      <w:pPr>
        <w:pStyle w:val="Heading2"/>
      </w:pPr>
      <w:r>
        <w:rPr>
          <w:rFonts w:ascii="Calibri" w:hAnsi="Calibri"/>
          <w:b/>
          <w:i w:val="0"/>
          <w:sz w:val="32"/>
        </w:rPr>
        <w:t>GIỚI THIỆU</w:t>
      </w:r>
    </w:p>
    <w:p>
      <w:pPr>
        <w:spacing w:after="80"/>
      </w:pPr>
      <w:r>
        <w:rPr>
          <w:b w:val="0"/>
          <w:i w:val="0"/>
        </w:rPr>
        <w:t>Quy trình R2R bao gồm các chức năng tài chính và giao dịch liên quan đến việc đảm bảo rằng các yêu cầu của IFRS được công ty tuân thủ; lập các bút toán nhật ký và ghi vào sổ cái chung; thu thập và hợp nhất thông tin cần thiết để lập báo cáo tài chính và các báo cáo tài chính bên ngoài khác; và lập cùng xem xét báo cáo tài chính và các báo cáo bên ngoài khác.</w:t>
      </w:r>
    </w:p>
    <w:p>
      <w:pPr>
        <w:spacing w:after="80"/>
      </w:pPr>
      <w:r>
        <w:rPr>
          <w:b w:val="0"/>
          <w:i w:val="0"/>
        </w:rPr>
        <w:t>Nhiều yếu tố đặt sự chú ý vào quy trình chốt sổ tài chính, thường được dẫn dắt bởi một nhóm cá nhân trong bộ phận tài chính và kế toán doanh nghiệp và được quản lý bởi trưởng phòng kiểm soát tài chính (corporate controller). Độ phức tạp của quy trình phụ thuộc vào bản chất của công ty (tư nhân, đại chúng, phi lợi nhuận [được miễn thuế hoặc hoạt động theo sứ mệnh], hoặc chính phủ) và loại ngành hoặc các ngành mà công ty chịu trách nhiệm.</w:t>
      </w:r>
    </w:p>
    <w:p>
      <w:pPr>
        <w:spacing w:after="80"/>
      </w:pPr>
      <w:r>
        <w:rPr>
          <w:b w:val="0"/>
          <w:i w:val="0"/>
        </w:rPr>
        <w:t>Một cuộc khảo sát gần đây do Viện Tài chính &amp; Quản lý (Institute of Finance &amp; Management - IOFM) thực hiện với khoảng 100 trưởng phòng kiểm soát tài chính đã tiết lộ rằng các nguồn lực mà đội ngũ tài chính và kế toán thường sử dụng để thực hiện quy trình quan trọng này còn thiếu tính chiến lược; chủ yếu là họ có xu hướng tập trung vào việc nâng cấp công nghệ và khắc phục các lỗ hổng trong quy trình, bao gồm những điểm sau:</w:t>
      </w:r>
    </w:p>
    <w:p>
      <w:pPr>
        <w:spacing w:after="80"/>
        <w:ind w:left="360"/>
      </w:pPr>
      <w:r>
        <w:t xml:space="preserve">• </w:t>
      </w:r>
      <w:r>
        <w:rPr>
          <w:b w:val="0"/>
          <w:i w:val="0"/>
        </w:rPr>
        <w:t>Nhiều sổ cái chung và các hệ thống giao dịch rời rạc với cấu trúc dữ liệu không nhất quán, phải được ánh xạ sang một định dạng báo cáo nhất quán</w:t>
      </w:r>
    </w:p>
    <w:p>
      <w:pPr>
        <w:spacing w:after="80"/>
        <w:ind w:left="360"/>
      </w:pPr>
      <w:r>
        <w:t xml:space="preserve">• </w:t>
      </w:r>
      <w:r>
        <w:rPr>
          <w:b w:val="0"/>
          <w:i w:val="0"/>
        </w:rPr>
        <w:t>Thiếu khả năng hiển thị trạng thái và việc thực thi quy trình chốt sổ, cùng các nhiệm vụ liên quan và việc thu thập bằng chứng do bộ phận tài chính thực hiện, với kiến thức về các quy trình này chỉ nằm trong đầu của một vài nhân viên</w:t>
      </w:r>
    </w:p>
    <w:p>
      <w:pPr>
        <w:spacing w:after="80"/>
        <w:ind w:left="360"/>
      </w:pPr>
      <w:r>
        <w:t xml:space="preserve">• </w:t>
      </w:r>
      <w:r>
        <w:rPr>
          <w:b w:val="0"/>
          <w:i w:val="0"/>
        </w:rPr>
        <w:t>Khả năng báo cáo hạn chế dẫn đến các báo cáo dựa trên bảng tính chứa đầy dữ liệu tài chính quan trọng, vốn là "hồ sơ doanh nghiệp" của công ty</w:t>
      </w:r>
    </w:p>
    <w:p>
      <w:pPr>
        <w:spacing w:after="80"/>
        <w:ind w:left="360"/>
      </w:pPr>
      <w:r>
        <w:t xml:space="preserve">• </w:t>
      </w:r>
      <w:r>
        <w:rPr>
          <w:b w:val="0"/>
          <w:i w:val="0"/>
        </w:rPr>
        <w:t>Bảng tính được dùng để hỗ trợ việc thao tác cùng một dữ liệu hết lần này đến lần khác nhằm đáp ứng các yêu cầu báo cáo khác nhau</w:t>
      </w:r>
    </w:p>
    <w:p>
      <w:pPr>
        <w:spacing w:after="80"/>
        <w:ind w:left="360"/>
      </w:pPr>
      <w:r>
        <w:t xml:space="preserve">• </w:t>
      </w:r>
      <w:r>
        <w:rPr>
          <w:b w:val="0"/>
          <w:i w:val="0"/>
        </w:rPr>
        <w:t>Thiếu sự tập trung vào những điều cơ bản của quy trình, chẳng hạn như danh sách kiểm tra quy trình chốt sổ, mẫu báo cáo, quy trình vận hành tiêu chuẩn và kế hoạch duy trì hoạt động liên tục</w:t>
      </w:r>
    </w:p>
    <w:p>
      <w:pPr>
        <w:spacing w:after="80"/>
        <w:ind w:left="360"/>
      </w:pPr>
      <w:r>
        <w:t xml:space="preserve">• </w:t>
      </w:r>
      <w:r>
        <w:rPr>
          <w:b w:val="0"/>
          <w:i w:val="0"/>
        </w:rPr>
        <w:t>Không có kế hoạch nhân sự và đào tạo, tạo ra khoảng trống nguồn lực trong mỗi chu kỳ chốt sổ</w:t>
      </w:r>
    </w:p>
    <w:p>
      <w:pPr>
        <w:jc w:val="center"/>
      </w:pPr>
      <w:r>
        <w:drawing>
          <wp:inline xmlns:a="http://schemas.openxmlformats.org/drawingml/2006/main" xmlns:pic="http://schemas.openxmlformats.org/drawingml/2006/picture">
            <wp:extent cx="5486400" cy="2379897"/>
            <wp:docPr id="9" name="Picture 9"/>
            <wp:cNvGraphicFramePr>
              <a:graphicFrameLocks noChangeAspect="1"/>
            </wp:cNvGraphicFramePr>
            <a:graphic>
              <a:graphicData uri="http://schemas.openxmlformats.org/drawingml/2006/picture">
                <pic:pic>
                  <pic:nvPicPr>
                    <pic:cNvPr id="0" name="Image00010.jpg"/>
                    <pic:cNvPicPr/>
                  </pic:nvPicPr>
                  <pic:blipFill>
                    <a:blip r:embed="rId17"/>
                    <a:stretch>
                      <a:fillRect/>
                    </a:stretch>
                  </pic:blipFill>
                  <pic:spPr>
                    <a:xfrm>
                      <a:off x="0" y="0"/>
                      <a:ext cx="5486400" cy="2379897"/>
                    </a:xfrm>
                    <a:prstGeom prst="rect"/>
                  </pic:spPr>
                </pic:pic>
              </a:graphicData>
            </a:graphic>
          </wp:inline>
        </w:drawing>
      </w:r>
    </w:p>
    <w:p>
      <w:pPr>
        <w:pStyle w:val="Heading2"/>
      </w:pPr>
      <w:r>
        <w:rPr>
          <w:rFonts w:ascii="Calibri" w:hAnsi="Calibri"/>
          <w:b/>
          <w:i w:val="0"/>
          <w:sz w:val="32"/>
        </w:rPr>
        <w:t>TỔNG QUAN VỀ QUY TRÌNH</w:t>
      </w:r>
    </w:p>
    <w:p>
      <w:pPr>
        <w:spacing w:after="80"/>
      </w:pPr>
      <w:r>
        <w:rPr>
          <w:b w:val="0"/>
          <w:i w:val="0"/>
        </w:rPr>
        <w:t>Sơ đồ dưới đây cho thấy các yếu tố nền tảng cho quy trình R2R là Kiểm soát Nội bộ và Tuân thủ, Giao dịch Tài chính và Sổ cái Chung, cùng Quy tắc Ứng xử và "Tông giọng từ Cấp trên" (Tone at the Top).</w:t>
      </w:r>
    </w:p>
    <w:p>
      <w:pPr>
        <w:pStyle w:val="Heading2"/>
      </w:pPr>
      <w:r>
        <w:rPr>
          <w:rFonts w:ascii="Calibri" w:hAnsi="Calibri"/>
          <w:b/>
          <w:i w:val="0"/>
          <w:sz w:val="32"/>
        </w:rPr>
        <w:t>CÁC CHỈ SỐ ĐO LƯỜNG</w:t>
      </w:r>
    </w:p>
    <w:tbl>
      <w:tblPr>
        <w:tblStyle w:val="TableGrid"/>
        <w:tblW w:type="auto" w:w="0"/>
        <w:tblLook w:firstColumn="1" w:firstRow="1" w:lastColumn="0" w:lastRow="0" w:noHBand="0" w:noVBand="1" w:val="04A0"/>
      </w:tblPr>
      <w:tblGrid>
        <w:gridCol w:w="9360"/>
      </w:tblGrid>
      <w:tr>
        <w:tc>
          <w:tcPr>
            <w:tcW w:type="dxa" w:w="9360"/>
          </w:tcPr>
          <w:p>
            <w:r/>
            <w:r>
              <w:rPr>
                <w:b/>
                <w:i w:val="0"/>
                <w:sz w:val="19"/>
              </w:rPr>
              <w:t>Bảng các Chỉ số</w:t>
            </w:r>
          </w:p>
        </w:tc>
      </w:tr>
      <w:tr>
        <w:tc>
          <w:tcPr>
            <w:tcW w:type="dxa" w:w="9360"/>
          </w:tcPr>
          <w:p>
            <w:r/>
            <w:r>
              <w:rPr>
                <w:b w:val="0"/>
                <w:i w:val="0"/>
                <w:sz w:val="19"/>
              </w:rPr>
              <w:t xml:space="preserve">1.  </w:t>
            </w:r>
            <w:r>
              <w:rPr>
                <w:b/>
                <w:i w:val="0"/>
                <w:sz w:val="19"/>
              </w:rPr>
              <w:t>Tổng số Bút toán Điều chỉnh</w:t>
            </w:r>
            <w:r>
              <w:rPr>
                <w:b w:val="0"/>
                <w:i w:val="0"/>
                <w:sz w:val="19"/>
              </w:rPr>
              <w:t xml:space="preserve"> — Các lỗi giao dịch có thể làm chậm đáng kể quá trình kết sổ tài chính. Việc điều tra tổng số bút toán điều chỉnh có thể được dùng để xác định nguyên nhân gốc rễ của một vấn đề tiềm ẩn trong quy trình hoặc hệ thống.</w:t>
            </w:r>
            <w:r>
              <w:br/>
            </w:r>
            <w:r>
              <w:rPr>
                <w:b w:val="0"/>
                <w:i w:val="0"/>
                <w:sz w:val="19"/>
              </w:rPr>
              <w:t xml:space="preserve">2.  </w:t>
            </w:r>
            <w:r>
              <w:rPr>
                <w:b/>
                <w:i w:val="0"/>
                <w:sz w:val="19"/>
              </w:rPr>
              <w:t>Lỗi Rà soát</w:t>
            </w:r>
            <w:r>
              <w:rPr>
                <w:b w:val="0"/>
                <w:i w:val="0"/>
                <w:sz w:val="19"/>
              </w:rPr>
              <w:t xml:space="preserve"> — Tập trung vào các loại lỗi được phát hiện trong lần rà soát ban đầu đối với báo cáo tài chính. Thông tin này có thể được dùng để xác định và khắc phục các vấn đề nền tảng có thể phòng ngừa được trong các quy trình kết sổ sau này. Những lỗi này cần được ghi nhận và thảo luận trong các buổi rà soát sau kết sổ.</w:t>
            </w:r>
            <w:r>
              <w:br/>
            </w:r>
            <w:r>
              <w:rPr>
                <w:b w:val="0"/>
                <w:i w:val="0"/>
                <w:sz w:val="19"/>
              </w:rPr>
              <w:t xml:space="preserve">3.  </w:t>
            </w:r>
            <w:r>
              <w:rPr>
                <w:b/>
                <w:i w:val="0"/>
                <w:sz w:val="19"/>
              </w:rPr>
              <w:t>Thời gian Hoàn thành</w:t>
            </w:r>
            <w:r>
              <w:rPr>
                <w:b w:val="0"/>
                <w:i w:val="0"/>
                <w:sz w:val="19"/>
              </w:rPr>
              <w:t xml:space="preserve"> — Tinh chỉnh thêm thời lượng của quá trình kết sổ tài chính để tập trung vào từng nhóm hoạt động phải hoàn thành, nhằm hiểu không chỉ chúng mất bao lâu mà còn chịu ảnh hưởng thế nào từ các bước khác trong quy trình kết sổ. Một số phép đo theo loại hoạt động bao gồm: </w:t>
            </w:r>
            <w:r>
              <w:br/>
            </w:r>
            <w:r>
              <w:rPr>
                <w:b w:val="0"/>
                <w:i w:val="0"/>
                <w:sz w:val="19"/>
              </w:rPr>
              <w:t>• Thời gian để các công ty con chuyển kết quả của mình về trụ sở chính</w:t>
            </w:r>
            <w:r>
              <w:br/>
            </w:r>
            <w:r>
              <w:rPr>
                <w:b w:val="0"/>
                <w:i w:val="0"/>
                <w:sz w:val="19"/>
              </w:rPr>
              <w:t>• Thời gian để kết thúc xử lý tiền mặt cuối kỳ</w:t>
            </w:r>
            <w:r>
              <w:br/>
            </w:r>
            <w:r>
              <w:rPr>
                <w:b w:val="0"/>
                <w:i w:val="0"/>
                <w:sz w:val="19"/>
              </w:rPr>
              <w:t>• Thời gian để hoàn tất xử lý các khoản phải trả</w:t>
            </w:r>
            <w:r>
              <w:br/>
            </w:r>
            <w:r>
              <w:rPr>
                <w:b w:val="0"/>
                <w:i w:val="0"/>
                <w:sz w:val="19"/>
              </w:rPr>
              <w:t>• Thời gian để phát hành hóa đơn cho khách hàng</w:t>
            </w:r>
            <w:r>
              <w:br/>
            </w:r>
            <w:r>
              <w:rPr>
                <w:b w:val="0"/>
                <w:i w:val="0"/>
                <w:sz w:val="19"/>
              </w:rPr>
              <w:t>•  Thời gian để kết sổ bảng lương và ghi nhận lương tích lũy</w:t>
            </w:r>
            <w:r>
              <w:br/>
            </w:r>
            <w:r>
              <w:rPr>
                <w:b w:val="0"/>
                <w:i w:val="0"/>
                <w:sz w:val="19"/>
              </w:rPr>
              <w:t>• Thời gian để kiểm đếm và định giá hàng tồn kho cuối kỳ</w:t>
            </w:r>
            <w:r>
              <w:br/>
            </w:r>
            <w:r>
              <w:rPr>
                <w:b w:val="0"/>
                <w:i w:val="0"/>
                <w:sz w:val="19"/>
              </w:rPr>
              <w:t>• Thời gian để phát hành các báo cáo quản trị liên quan</w:t>
            </w:r>
          </w:p>
        </w:tc>
      </w:tr>
    </w:tbl>
    <w:p>
      <w:pPr>
        <w:spacing w:after="0"/>
      </w:pPr>
    </w:p>
    <w:p>
      <w:pPr>
        <w:pStyle w:val="Heading2"/>
      </w:pPr>
      <w:r>
        <w:rPr>
          <w:rFonts w:ascii="Calibri" w:hAnsi="Calibri"/>
          <w:b/>
          <w:i w:val="0"/>
          <w:sz w:val="32"/>
        </w:rPr>
        <w:t>NHỮNG KHÁC BIỆT GIỮA IFRS VÀ U.S. GAAP ẢNH HƯỞNG ĐẾN QUY TRÌNH R2R</w:t>
      </w:r>
    </w:p>
    <w:p>
      <w:pPr>
        <w:spacing w:after="80"/>
      </w:pPr>
      <w:r>
        <w:rPr>
          <w:b w:val="0"/>
          <w:i w:val="0"/>
        </w:rPr>
        <w:t>Dù đây không phải là danh sách đầy đủ mọi khác biệt đang tồn tại, những ví dụ này cho thấy phần nào tác động lên báo cáo tài chính và do đó lên cách vận hành doanh nghiệp:</w:t>
      </w:r>
    </w:p>
    <w:p>
      <w:pPr>
        <w:spacing w:after="80"/>
        <w:ind w:left="360"/>
      </w:pPr>
      <w:r>
        <w:t xml:space="preserve">• </w:t>
      </w:r>
      <w:r>
        <w:rPr>
          <w:b/>
          <w:i w:val="0"/>
        </w:rPr>
        <w:t>Hợp nhất</w:t>
      </w:r>
      <w:r>
        <w:rPr>
          <w:b w:val="0"/>
          <w:i w:val="0"/>
        </w:rPr>
        <w:t xml:space="preserve"> — IFRS ưu tiên mô hình kiểm soát, trong khi U.S. GAAP thiên về mô hình rủi ro và lợi ích. Một số đơn vị được hợp nhất theo FIN 46(R) có thể phải được trình bày riêng theo IFRS.</w:t>
      </w:r>
    </w:p>
    <w:p>
      <w:pPr>
        <w:spacing w:after="80"/>
        <w:ind w:left="360"/>
      </w:pPr>
      <w:r>
        <w:t xml:space="preserve">• </w:t>
      </w:r>
      <w:r>
        <w:rPr>
          <w:b/>
          <w:i w:val="0"/>
        </w:rPr>
        <w:t>Báo cáo Thu nhập</w:t>
      </w:r>
      <w:r>
        <w:rPr>
          <w:b w:val="0"/>
          <w:i w:val="0"/>
        </w:rPr>
        <w:t xml:space="preserve"> — Theo IFRS, các khoản mục bất thường không được tách riêng trong báo cáo thu nhập, trong khi theo U.S. GAAP chúng được trình bày bên dưới lợi nhuận ròng.</w:t>
      </w:r>
    </w:p>
    <w:p>
      <w:pPr>
        <w:spacing w:after="80"/>
        <w:ind w:left="360"/>
      </w:pPr>
      <w:r>
        <w:t xml:space="preserve">• </w:t>
      </w:r>
      <w:r>
        <w:rPr>
          <w:b/>
          <w:i w:val="0"/>
        </w:rPr>
        <w:t>Hàng tồn kho</w:t>
      </w:r>
      <w:r>
        <w:rPr>
          <w:b w:val="0"/>
          <w:i w:val="0"/>
        </w:rPr>
        <w:t xml:space="preserve"> — Theo IFRS, LIFO (một phương pháp ghi nhận giá trị hàng tồn kho theo lịch sử, trong đó doanh nghiệp ghi nhận các đơn vị mua sau cùng là các đơn vị bán ra đầu tiên) không được sử dụng, trong khi theo U.S. GAAP các công ty có quyền chọn giữa LIFO và FIFO (một phương pháp phổ biến để ghi nhận giá trị hàng tồn kho).</w:t>
      </w:r>
    </w:p>
    <w:p>
      <w:pPr>
        <w:spacing w:after="80"/>
        <w:ind w:left="360"/>
      </w:pPr>
      <w:r>
        <w:t xml:space="preserve">• </w:t>
      </w:r>
      <w:r>
        <w:rPr>
          <w:b/>
          <w:i w:val="0"/>
        </w:rPr>
        <w:t>Lợi nhuận trên mỗi Cổ phiếu</w:t>
      </w:r>
      <w:r>
        <w:rPr>
          <w:b w:val="0"/>
          <w:i w:val="0"/>
        </w:rPr>
        <w:t xml:space="preserve"> — Theo IFRS, việc tính lợi nhuận trên mỗi cổ phiếu không lấy bình quân các phép tính của từng kỳ tạm thời, trong khi theo U.S. GAAP phép tính lấy bình quân số cổ phiếu gia tăng của từng kỳ tạm thời.</w:t>
      </w:r>
    </w:p>
    <w:p>
      <w:pPr>
        <w:spacing w:after="80"/>
        <w:ind w:left="360"/>
      </w:pPr>
      <w:r>
        <w:t xml:space="preserve">• </w:t>
      </w:r>
      <w:r>
        <w:rPr>
          <w:b/>
          <w:i w:val="0"/>
        </w:rPr>
        <w:t>Chi phí Phát triển</w:t>
      </w:r>
      <w:r>
        <w:rPr>
          <w:b w:val="0"/>
          <w:i w:val="0"/>
        </w:rPr>
        <w:t xml:space="preserve"> — Những chi phí này có thể được vốn hóa theo IFRS nếu đáp ứng một số tiêu chí nhất định, trong khi theo U.S. GAAP chúng được coi là “chi phí”.</w:t>
      </w:r>
    </w:p>
    <w:p>
      <w:pPr>
        <w:pStyle w:val="Heading2"/>
      </w:pPr>
      <w:r>
        <w:rPr>
          <w:rFonts w:ascii="Calibri" w:hAnsi="Calibri"/>
          <w:b/>
          <w:i w:val="0"/>
          <w:sz w:val="32"/>
        </w:rPr>
        <w:t>ÁP DỤNG KIỂM SOÁT NỘI BỘ</w:t>
      </w:r>
    </w:p>
    <w:p>
      <w:pPr>
        <w:spacing w:after="80"/>
      </w:pPr>
      <w:r>
        <w:rPr>
          <w:b w:val="0"/>
          <w:i w:val="0"/>
        </w:rPr>
        <w:t>Trong việc lựa chọn các thủ tục và kỹ thuật kiểm soát của ban quản lý, mức độ kiểm soát được triển khai là vấn đề thuộc phán đoán kinh doanh hợp lý. Nguyên tắc chung cần dùng để xác định mức độ triển khai kiểm soát nội bộ là chi phí của một biện pháp kiểm soát không được vượt quá lợi ích thu được. Có một bộ kiểm soát tối thiểu cần tồn tại trong môi trường kinh doanh thông thường. Các tiêu chuẩn kiểm soát nội bộ được liệt kê ở đây đại diện cho các biện pháp kiểm soát tối thiểu cần được triển khai cho quy trình báo cáo tài chính.</w:t>
      </w:r>
    </w:p>
    <w:p>
      <w:pPr>
        <w:pStyle w:val="Heading2"/>
      </w:pPr>
      <w:r>
        <w:rPr>
          <w:rFonts w:ascii="Calibri" w:hAnsi="Calibri"/>
          <w:b/>
          <w:i w:val="0"/>
          <w:sz w:val="32"/>
        </w:rPr>
        <w:t>CÁC QUY TRÌNH CON</w:t>
      </w:r>
    </w:p>
    <w:p>
      <w:pPr>
        <w:spacing w:after="80"/>
      </w:pPr>
      <w:r>
        <w:rPr>
          <w:b w:val="0"/>
          <w:i w:val="0"/>
        </w:rPr>
        <w:t>Các chức năng hoặc hoạt động cụ thể nằm trong quy trình Báo cáo Tài chính bao gồm:</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7.1</w:t>
            </w:r>
          </w:p>
        </w:tc>
        <w:tc>
          <w:tcPr>
            <w:tcW w:type="dxa" w:w="4680"/>
          </w:tcPr>
          <w:p>
            <w:r/>
            <w:r>
              <w:rPr>
                <w:b w:val="0"/>
                <w:i w:val="0"/>
                <w:sz w:val="19"/>
              </w:rPr>
              <w:t>Định giá Chuyển nhượng Quốc tế</w:t>
            </w:r>
          </w:p>
        </w:tc>
      </w:tr>
      <w:tr>
        <w:tc>
          <w:tcPr>
            <w:tcW w:type="dxa" w:w="4680"/>
          </w:tcPr>
          <w:p>
            <w:r/>
            <w:r>
              <w:rPr>
                <w:b w:val="0"/>
                <w:i w:val="0"/>
                <w:sz w:val="19"/>
              </w:rPr>
              <w:t>7.2</w:t>
            </w:r>
          </w:p>
        </w:tc>
        <w:tc>
          <w:tcPr>
            <w:tcW w:type="dxa" w:w="4680"/>
          </w:tcPr>
          <w:p>
            <w:r/>
            <w:r>
              <w:rPr>
                <w:b w:val="0"/>
                <w:i w:val="0"/>
                <w:sz w:val="19"/>
              </w:rPr>
              <w:t>Giao dịch giữa các công ty trong tập đoàn</w:t>
            </w:r>
          </w:p>
        </w:tc>
      </w:tr>
      <w:tr>
        <w:tc>
          <w:tcPr>
            <w:tcW w:type="dxa" w:w="4680"/>
          </w:tcPr>
          <w:p>
            <w:r/>
            <w:r>
              <w:rPr>
                <w:b w:val="0"/>
                <w:i w:val="0"/>
                <w:sz w:val="19"/>
              </w:rPr>
              <w:t>7.3</w:t>
            </w:r>
          </w:p>
        </w:tc>
        <w:tc>
          <w:tcPr>
            <w:tcW w:type="dxa" w:w="4680"/>
          </w:tcPr>
          <w:p>
            <w:r/>
            <w:r>
              <w:rPr>
                <w:b w:val="0"/>
                <w:i w:val="0"/>
                <w:sz w:val="19"/>
              </w:rPr>
              <w:t>Tích lũy thông tin tài chính</w:t>
            </w:r>
          </w:p>
        </w:tc>
      </w:tr>
      <w:tr>
        <w:tc>
          <w:tcPr>
            <w:tcW w:type="dxa" w:w="4680"/>
          </w:tcPr>
          <w:p>
            <w:r/>
            <w:r>
              <w:rPr>
                <w:b w:val="0"/>
                <w:i w:val="0"/>
                <w:sz w:val="19"/>
              </w:rPr>
              <w:t>7.4</w:t>
            </w:r>
          </w:p>
        </w:tc>
        <w:tc>
          <w:tcPr>
            <w:tcW w:type="dxa" w:w="4680"/>
          </w:tcPr>
          <w:p>
            <w:r/>
            <w:r>
              <w:rPr>
                <w:b w:val="0"/>
                <w:i w:val="0"/>
                <w:sz w:val="19"/>
              </w:rPr>
              <w:t>Xử lý và báo cáo thông tin tài chính (Chặng cuối)</w:t>
            </w:r>
          </w:p>
        </w:tc>
      </w:tr>
      <w:tr>
        <w:tc>
          <w:tcPr>
            <w:tcW w:type="dxa" w:w="4680"/>
          </w:tcPr>
          <w:p>
            <w:r/>
            <w:r>
              <w:rPr>
                <w:b w:val="0"/>
                <w:i w:val="0"/>
                <w:sz w:val="19"/>
              </w:rPr>
              <w:t>7.5</w:t>
            </w:r>
          </w:p>
        </w:tc>
        <w:tc>
          <w:tcPr>
            <w:tcW w:type="dxa" w:w="4680"/>
          </w:tcPr>
          <w:p>
            <w:r/>
            <w:r>
              <w:rPr>
                <w:b w:val="0"/>
                <w:i w:val="0"/>
                <w:sz w:val="19"/>
              </w:rPr>
              <w:t>Tài sản cố định</w:t>
            </w:r>
          </w:p>
        </w:tc>
      </w:tr>
    </w:tbl>
    <w:p>
      <w:pPr>
        <w:spacing w:after="0"/>
      </w:pPr>
    </w:p>
    <w:p>
      <w:pPr>
        <w:pStyle w:val="Heading2"/>
      </w:pPr>
      <w:r>
        <w:rPr>
          <w:rFonts w:ascii="Calibri" w:hAnsi="Calibri"/>
          <w:b/>
          <w:i w:val="0"/>
          <w:sz w:val="32"/>
        </w:rPr>
        <w:t>7.1 ĐỊNH GIÁ CHUYỂN NHƯỢNG QUỐC TẾ</w:t>
      </w:r>
    </w:p>
    <w:p>
      <w:pPr>
        <w:pStyle w:val="Heading3"/>
      </w:pPr>
      <w:r>
        <w:rPr>
          <w:rFonts w:ascii="Calibri" w:hAnsi="Calibri"/>
          <w:b/>
          <w:i w:val="0"/>
          <w:sz w:val="26"/>
        </w:rPr>
        <w:t>Giới thiệu</w:t>
      </w:r>
    </w:p>
    <w:p>
      <w:pPr>
        <w:spacing w:after="80"/>
      </w:pPr>
      <w:r>
        <w:rPr>
          <w:b w:val="0"/>
          <w:i w:val="0"/>
        </w:rPr>
        <w:t>Định giá chuyển nhượng quốc tế liên quan đến việc chuyển giao hàng hóa, dịch vụ hoặc công nghệ qua biên giới giữa các pháp nhân của công ty. Chính sách của công ty là thiết lập giá chuyển nhượng nhằm phân bổ một cách công bằng lợi nhuận thu được từ việc bán sản phẩm và dịch vụ của mình cho các công ty con có tham gia tạo ra lợi nhuận đó.</w:t>
      </w:r>
    </w:p>
    <w:p>
      <w:pPr>
        <w:spacing w:after="80"/>
      </w:pPr>
      <w:r>
        <w:rPr>
          <w:b w:val="0"/>
          <w:i w:val="0"/>
        </w:rPr>
        <w:t>Công ty tuân theo nguyên tắc giao dịch độc lập (arm's-length principle) như được định nghĩa trong Hướng dẫn Định giá Chuyển nhượng của Tổ chức Hợp tác và Phát triển Kinh tế (OECD) dành cho các Doanh nghiệp Đa quốc gia và Cơ quan Thuế.</w:t>
      </w:r>
    </w:p>
    <w:p>
      <w:pPr>
        <w:spacing w:after="80"/>
      </w:pPr>
      <w:r>
        <w:rPr>
          <w:b w:val="0"/>
          <w:i w:val="0"/>
        </w:rPr>
        <w:t>OECD cung cấp một diễn đàn để các chính phủ có thể cùng nhau chia sẻ kinh nghiệm và tìm kiếm giải pháp cho các vấn đề chung, đồng thời hợp tác với các chính phủ để hiểu điều gì thúc đẩy sự thay đổi về kinh tế, xã hội và môi trường. OECD đo lường năng suất và các dòng chảy thương mại, đầu tư toàn cầu, đồng thời phân tích và so sánh dữ liệu để dự đoán xu hướng tương lai.</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7.1.1</w:t>
            </w:r>
          </w:p>
        </w:tc>
        <w:tc>
          <w:tcPr>
            <w:tcW w:type="dxa" w:w="4680"/>
          </w:tcPr>
          <w:p>
            <w:r/>
            <w:r>
              <w:rPr>
                <w:b/>
                <w:i w:val="0"/>
                <w:sz w:val="19"/>
              </w:rPr>
              <w:t>Phương pháp định giá.</w:t>
            </w:r>
            <w:r>
              <w:rPr>
                <w:b w:val="0"/>
                <w:i w:val="0"/>
                <w:sz w:val="19"/>
              </w:rPr>
              <w:t xml:space="preserve"> Công ty sử dụng phương pháp định giá cụ thể phù hợp nhất với hoàn cảnh của từng loại giao dịch, theo hướng dẫn của OECD cũng như luật pháp và quy định của Hoa Kỳ và các khu vực pháp lý khác nơi công ty hoạt động. Khi không có phương pháp cụ thể nào được áp dụng, một phương pháp khác sẽ được dùng sao cho gần nhất với các điều kiện giao dịch độc lập. </w:t>
            </w:r>
            <w:r>
              <w:rPr>
                <w:b/>
                <w:i w:val="0"/>
                <w:sz w:val="19"/>
              </w:rPr>
              <w:t>Tham khảo rủi ro: A-1, A-2</w:t>
            </w:r>
          </w:p>
        </w:tc>
      </w:tr>
      <w:tr>
        <w:tc>
          <w:tcPr>
            <w:tcW w:type="dxa" w:w="4680"/>
          </w:tcPr>
          <w:p>
            <w:r/>
            <w:r>
              <w:rPr>
                <w:b w:val="0"/>
                <w:i w:val="0"/>
                <w:sz w:val="19"/>
              </w:rPr>
              <w:t>7.1.2</w:t>
            </w:r>
          </w:p>
        </w:tc>
        <w:tc>
          <w:tcPr>
            <w:tcW w:type="dxa" w:w="4680"/>
          </w:tcPr>
          <w:p>
            <w:r/>
            <w:r>
              <w:rPr>
                <w:b/>
                <w:i w:val="0"/>
                <w:sz w:val="19"/>
              </w:rPr>
              <w:t>Trách nhiệm.</w:t>
            </w:r>
            <w:r>
              <w:rPr>
                <w:b w:val="0"/>
                <w:i w:val="0"/>
                <w:sz w:val="19"/>
              </w:rPr>
              <w:t xml:space="preserve"> Phương pháp chuyển giá tiêu chuẩn cho từng loại giao dịch quốc tế phải được bộ phận thuế doanh nghiệp xem xét và được người quản lý quỹ (treasurer) cùng kiểm soát viên (controller) của công ty phê duyệt. Việc triển khai các phương pháp đã được phê duyệt thuộc trách nhiệm của các giám đốc tài chính khu vực và quản lý tài chính doanh nghiệp phụ trách chuyển giá. </w:t>
            </w:r>
            <w:r>
              <w:rPr>
                <w:b/>
                <w:i w:val="0"/>
                <w:sz w:val="19"/>
              </w:rPr>
              <w:t>Tham chiếu rủi ro: A-1, A-2</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A-1</w:t>
            </w:r>
          </w:p>
        </w:tc>
        <w:tc>
          <w:tcPr>
            <w:tcW w:type="dxa" w:w="4680"/>
          </w:tcPr>
          <w:p>
            <w:r/>
            <w:r>
              <w:rPr>
                <w:b w:val="0"/>
                <w:i w:val="0"/>
                <w:sz w:val="19"/>
              </w:rPr>
              <w:t>Công ty có thể bị đánh thuế hai lần do các điều chỉnh của cơ quan thuế.</w:t>
            </w:r>
          </w:p>
        </w:tc>
      </w:tr>
      <w:tr>
        <w:tc>
          <w:tcPr>
            <w:tcW w:type="dxa" w:w="4680"/>
          </w:tcPr>
          <w:p>
            <w:r/>
            <w:r>
              <w:rPr>
                <w:b w:val="0"/>
                <w:i w:val="0"/>
                <w:sz w:val="19"/>
              </w:rPr>
              <w:t>A-2</w:t>
            </w:r>
          </w:p>
        </w:tc>
        <w:tc>
          <w:tcPr>
            <w:tcW w:type="dxa" w:w="4680"/>
          </w:tcPr>
          <w:p>
            <w:r/>
            <w:r>
              <w:rPr>
                <w:b w:val="0"/>
                <w:i w:val="0"/>
                <w:sz w:val="19"/>
              </w:rPr>
              <w:t>Công ty có thể bị cơ quan thuế xử phạt hoặc phạt tiền.</w:t>
            </w:r>
          </w:p>
        </w:tc>
      </w:tr>
    </w:tbl>
    <w:p>
      <w:pPr>
        <w:spacing w:after="0"/>
      </w:pPr>
    </w:p>
    <w:p>
      <w:pPr>
        <w:pStyle w:val="Heading2"/>
      </w:pPr>
      <w:r>
        <w:rPr>
          <w:rFonts w:ascii="Calibri" w:hAnsi="Calibri"/>
          <w:b/>
          <w:i w:val="0"/>
          <w:sz w:val="32"/>
        </w:rPr>
        <w:t>7.2 GIAO DỊCH GIỮA CÁC CÔNG TY</w:t>
      </w:r>
    </w:p>
    <w:p>
      <w:pPr>
        <w:pStyle w:val="Heading3"/>
      </w:pPr>
      <w:r>
        <w:rPr>
          <w:rFonts w:ascii="Calibri" w:hAnsi="Calibri"/>
          <w:b/>
          <w:i w:val="0"/>
          <w:sz w:val="26"/>
        </w:rPr>
        <w:t>Giới thiệu</w:t>
      </w:r>
    </w:p>
    <w:p>
      <w:pPr>
        <w:spacing w:after="80"/>
      </w:pPr>
      <w:r>
        <w:rPr>
          <w:b w:val="0"/>
          <w:i w:val="0"/>
        </w:rPr>
        <w:t>Phạm vi của mục này bao gồm tất cả các giao dịch giữa các công ty và giữa các bộ phận liên quan đến sản phẩm và/hoặc dịch vụ. Giao dịch giữa các công ty được định nghĩa là những giao dịch giữa hai pháp nhân của công ty. Giao dịch giữa các bộ phận được định nghĩa là những giao dịch trong cùng một pháp nhân và giữa hai bộ phận của công ty.</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7.2.1</w:t>
            </w:r>
          </w:p>
        </w:tc>
        <w:tc>
          <w:tcPr>
            <w:tcW w:type="dxa" w:w="4680"/>
          </w:tcPr>
          <w:p>
            <w:r/>
            <w:r>
              <w:rPr>
                <w:b/>
                <w:i w:val="0"/>
                <w:sz w:val="19"/>
              </w:rPr>
              <w:t>Xử lý giao dịch.</w:t>
            </w:r>
            <w:r>
              <w:rPr>
                <w:b w:val="0"/>
                <w:i w:val="0"/>
                <w:sz w:val="19"/>
              </w:rPr>
              <w:t xml:space="preserve"> Tất cả các giao dịch giữa các công ty phải được xử lý theo chính sách bằng văn bản của công ty. </w:t>
            </w:r>
            <w:r>
              <w:rPr>
                <w:b/>
                <w:i w:val="0"/>
                <w:sz w:val="19"/>
              </w:rPr>
              <w:t>Tham chiếu rủi ro: B-1, B-2, B-3, B-4</w:t>
            </w:r>
          </w:p>
        </w:tc>
      </w:tr>
      <w:tr>
        <w:tc>
          <w:tcPr>
            <w:tcW w:type="dxa" w:w="4680"/>
          </w:tcPr>
          <w:p>
            <w:r/>
            <w:r>
              <w:rPr>
                <w:b w:val="0"/>
                <w:i w:val="0"/>
                <w:sz w:val="19"/>
              </w:rPr>
              <w:t>7.2.2</w:t>
            </w:r>
          </w:p>
        </w:tc>
        <w:tc>
          <w:tcPr>
            <w:tcW w:type="dxa" w:w="4680"/>
          </w:tcPr>
          <w:p>
            <w:r/>
            <w:r>
              <w:rPr>
                <w:b/>
                <w:i w:val="0"/>
                <w:sz w:val="19"/>
              </w:rPr>
              <w:t>Thông tin bắt buộc.</w:t>
            </w:r>
            <w:r>
              <w:rPr>
                <w:b w:val="0"/>
                <w:i w:val="0"/>
                <w:sz w:val="19"/>
              </w:rPr>
              <w:t xml:space="preserve"> Các nhà cung cấp nội bộ phải cung cấp cho đối tác giao dịch của mình thông tin phù hợp, liên quan và chính xác về tất cả các giao dịch thanh toán sản phẩm hoặc dịch vụ. Tối thiểu, số phí hợp lệ, mô tả, thông tin bên nhận, thông tin liên hệ của nhà cung cấp và giá trị được xuất hóa đơn phải được cung cấp trên tất cả các giao dịch thanh toán sản phẩm hoặc dịch vụ không phải thành phẩm. Thông tin được cung cấp phải đủ để cho phép thực hiện việc đối chiếu tài khoản. </w:t>
            </w:r>
            <w:r>
              <w:rPr>
                <w:b/>
                <w:i w:val="0"/>
                <w:sz w:val="19"/>
              </w:rPr>
              <w:t>Tham chiếu rủi ro: B-1, B-2, B-3, B-4</w:t>
            </w:r>
          </w:p>
        </w:tc>
      </w:tr>
      <w:tr>
        <w:tc>
          <w:tcPr>
            <w:tcW w:type="dxa" w:w="4680"/>
          </w:tcPr>
          <w:p>
            <w:r/>
            <w:r>
              <w:rPr>
                <w:b w:val="0"/>
                <w:i w:val="0"/>
                <w:sz w:val="19"/>
              </w:rPr>
              <w:t>7.2.3</w:t>
            </w:r>
          </w:p>
        </w:tc>
        <w:tc>
          <w:tcPr>
            <w:tcW w:type="dxa" w:w="4680"/>
          </w:tcPr>
          <w:p>
            <w:r/>
            <w:r>
              <w:rPr>
                <w:b/>
                <w:i w:val="0"/>
                <w:sz w:val="19"/>
              </w:rPr>
              <w:t>Ghi nhận giao dịch.</w:t>
            </w:r>
            <w:r>
              <w:rPr>
                <w:b w:val="0"/>
                <w:i w:val="0"/>
                <w:sz w:val="19"/>
              </w:rPr>
              <w:t xml:space="preserve"> Tất cả các giao dịch giữa các công ty phải được ghi nhận trong cùng một kỳ kế toán bởi cả hai bên. </w:t>
            </w:r>
            <w:r>
              <w:rPr>
                <w:b/>
                <w:i w:val="0"/>
                <w:sz w:val="19"/>
              </w:rPr>
              <w:t>Tham chiếu rủi ro: B-1, B-2, B-3</w:t>
            </w:r>
          </w:p>
        </w:tc>
      </w:tr>
      <w:tr>
        <w:tc>
          <w:tcPr>
            <w:tcW w:type="dxa" w:w="4680"/>
          </w:tcPr>
          <w:p>
            <w:r/>
            <w:r>
              <w:rPr>
                <w:b w:val="0"/>
                <w:i w:val="0"/>
                <w:sz w:val="19"/>
              </w:rPr>
              <w:t>7.2.4</w:t>
            </w:r>
          </w:p>
        </w:tc>
        <w:tc>
          <w:tcPr>
            <w:tcW w:type="dxa" w:w="4680"/>
          </w:tcPr>
          <w:p>
            <w:r/>
            <w:r>
              <w:rPr>
                <w:b/>
                <w:i w:val="0"/>
                <w:sz w:val="19"/>
              </w:rPr>
              <w:t>Thanh toán đúng hạn.</w:t>
            </w:r>
            <w:r>
              <w:rPr>
                <w:b w:val="0"/>
                <w:i w:val="0"/>
                <w:sz w:val="19"/>
              </w:rPr>
              <w:t xml:space="preserve"> Tất cả các khoản phải thu/phải trả nội bộ công ty phải được thanh toán theo các điều khoản và điều kiện đã quy định. </w:t>
            </w:r>
            <w:r>
              <w:rPr>
                <w:b/>
                <w:i w:val="0"/>
                <w:sz w:val="19"/>
              </w:rPr>
              <w:t>Tham khảo rủi ro: B-1, B-3</w:t>
            </w:r>
          </w:p>
        </w:tc>
      </w:tr>
      <w:tr>
        <w:tc>
          <w:tcPr>
            <w:tcW w:type="dxa" w:w="4680"/>
          </w:tcPr>
          <w:p>
            <w:r/>
            <w:r>
              <w:rPr>
                <w:b w:val="0"/>
                <w:i w:val="0"/>
                <w:sz w:val="19"/>
              </w:rPr>
              <w:t>7.2.5</w:t>
            </w:r>
          </w:p>
        </w:tc>
        <w:tc>
          <w:tcPr>
            <w:tcW w:type="dxa" w:w="4680"/>
          </w:tcPr>
          <w:p>
            <w:r/>
            <w:r>
              <w:rPr>
                <w:b/>
                <w:i w:val="0"/>
                <w:sz w:val="19"/>
              </w:rPr>
              <w:t>Ban Giám đốc Xem xét.</w:t>
            </w:r>
            <w:r>
              <w:rPr>
                <w:b w:val="0"/>
                <w:i w:val="0"/>
                <w:sz w:val="19"/>
              </w:rPr>
              <w:t xml:space="preserve"> Các khoản mất cân đối tài khoản nội bộ công ty phải được báo cáo cho ban giám đốc công ty mẹ và địa phương hàng tháng để xem xét và giải quyết. </w:t>
            </w:r>
            <w:r>
              <w:rPr>
                <w:b/>
                <w:i w:val="0"/>
                <w:sz w:val="19"/>
              </w:rPr>
              <w:t>Tham khảo rủi ro: B-2, B-3</w:t>
            </w:r>
          </w:p>
        </w:tc>
      </w:tr>
      <w:tr>
        <w:tc>
          <w:tcPr>
            <w:tcW w:type="dxa" w:w="4680"/>
          </w:tcPr>
          <w:p>
            <w:r/>
            <w:r>
              <w:rPr>
                <w:b w:val="0"/>
                <w:i w:val="0"/>
                <w:sz w:val="19"/>
              </w:rPr>
              <w:t>7.2.6</w:t>
            </w:r>
          </w:p>
        </w:tc>
        <w:tc>
          <w:tcPr>
            <w:tcW w:type="dxa" w:w="4680"/>
          </w:tcPr>
          <w:p>
            <w:r/>
            <w:r>
              <w:rPr>
                <w:b/>
                <w:i w:val="0"/>
                <w:sz w:val="19"/>
              </w:rPr>
              <w:t>Đối chiếu Tài khoản.</w:t>
            </w:r>
            <w:r>
              <w:rPr>
                <w:b w:val="0"/>
                <w:i w:val="0"/>
                <w:sz w:val="19"/>
              </w:rPr>
              <w:t xml:space="preserve"> Các khoản mất cân đối nội bộ công ty phải được đối chiếu (nội dung đã được biết rõ và trạng thái đã được cập nhật) và phân tích tuổi nợ hàng tháng. Các khoản mục cần đối chiếu và các khoản mục đang tranh chấp phải được giải quyết trong vòng 60 ngày. Đơn vị kinh doanh có số dư phải thu được giả định là có số dư đúng trừ khi đơn vị kinh doanh có số dư phải trả có thể chứng minh được bằng chứng giao hàng. </w:t>
            </w:r>
            <w:r>
              <w:rPr>
                <w:b/>
                <w:i w:val="0"/>
                <w:sz w:val="19"/>
              </w:rPr>
              <w:t>Tham khảo rủi ro: B-1, B-2, B-3, B-4</w:t>
            </w:r>
          </w:p>
        </w:tc>
      </w:tr>
      <w:tr>
        <w:tc>
          <w:tcPr>
            <w:tcW w:type="dxa" w:w="4680"/>
          </w:tcPr>
          <w:p>
            <w:r/>
            <w:r>
              <w:rPr>
                <w:b w:val="0"/>
                <w:i w:val="0"/>
                <w:sz w:val="19"/>
              </w:rPr>
              <w:t>7.2.7</w:t>
            </w:r>
          </w:p>
        </w:tc>
        <w:tc>
          <w:tcPr>
            <w:tcW w:type="dxa" w:w="4680"/>
          </w:tcPr>
          <w:p>
            <w:r/>
            <w:r>
              <w:rPr>
                <w:b/>
                <w:i w:val="0"/>
                <w:sz w:val="19"/>
              </w:rPr>
              <w:t>Đối chiếu Sổ Cái Tổng hợp.</w:t>
            </w:r>
            <w:r>
              <w:rPr>
                <w:b w:val="0"/>
                <w:i w:val="0"/>
                <w:sz w:val="19"/>
              </w:rPr>
              <w:t xml:space="preserve"> Sổ cái chi tiết của công ty con hỗ trợ các tài khoản bên liên quan nên được đối chiếu (nội dung đã được biết rõ và trạng thái đã được cập nhật) với các tài khoản kiểm soát sổ cái tổng hợp tương ứng hàng tháng. </w:t>
            </w:r>
            <w:r>
              <w:rPr>
                <w:b/>
                <w:i w:val="0"/>
                <w:sz w:val="19"/>
              </w:rPr>
              <w:t>Tham khảo rủi ro: B-1, B-2, B-3</w:t>
            </w:r>
          </w:p>
        </w:tc>
      </w:tr>
      <w:tr>
        <w:tc>
          <w:tcPr>
            <w:tcW w:type="dxa" w:w="4680"/>
          </w:tcPr>
          <w:p>
            <w:r/>
            <w:r>
              <w:rPr>
                <w:b w:val="0"/>
                <w:i w:val="0"/>
                <w:sz w:val="19"/>
              </w:rPr>
              <w:t>7.2.8</w:t>
            </w:r>
          </w:p>
        </w:tc>
        <w:tc>
          <w:tcPr>
            <w:tcW w:type="dxa" w:w="4680"/>
          </w:tcPr>
          <w:p>
            <w:r/>
            <w:r>
              <w:rPr>
                <w:b/>
                <w:i w:val="0"/>
                <w:sz w:val="19"/>
              </w:rPr>
              <w:t>Số tiền Lập hóa đơn Tối thiểu.</w:t>
            </w:r>
            <w:r>
              <w:rPr>
                <w:b w:val="0"/>
                <w:i w:val="0"/>
                <w:sz w:val="19"/>
              </w:rPr>
              <w:t xml:space="preserve"> Các giao dịch nội bộ công ty phải vượt quá số tiền tối thiểu được quy định trong chính sách của công ty mẹ (ví dụ: $50,000 trừ khi nó ảnh hưởng đến giá vốn hàng bán hoặc được yêu cầu hợp pháp) mới được lập hóa đơn. </w:t>
            </w:r>
            <w:r>
              <w:rPr>
                <w:b/>
                <w:i w:val="0"/>
                <w:sz w:val="19"/>
              </w:rPr>
              <w:t>Tham khảo rủi ro: B-3, B-4</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B-1</w:t>
            </w:r>
          </w:p>
        </w:tc>
        <w:tc>
          <w:tcPr>
            <w:tcW w:type="dxa" w:w="4680"/>
          </w:tcPr>
          <w:p>
            <w:r/>
            <w:r>
              <w:rPr>
                <w:b w:val="0"/>
                <w:i w:val="0"/>
                <w:sz w:val="19"/>
              </w:rPr>
              <w:t>Dòng tiền có thể không được tối đa hóa vì các khoản thu dự kiến có thể không chính xác. Có thể phát sinh nhu cầu mua ngoại tệ ngoài dự kiến hoặc phải chịu chi phí tài trợ vượt mức.</w:t>
            </w:r>
          </w:p>
        </w:tc>
      </w:tr>
      <w:tr>
        <w:tc>
          <w:tcPr>
            <w:tcW w:type="dxa" w:w="4680"/>
          </w:tcPr>
          <w:p>
            <w:r/>
            <w:r>
              <w:rPr>
                <w:b w:val="0"/>
                <w:i w:val="0"/>
                <w:sz w:val="19"/>
              </w:rPr>
              <w:t>B-2</w:t>
            </w:r>
          </w:p>
        </w:tc>
        <w:tc>
          <w:tcPr>
            <w:tcW w:type="dxa" w:w="4680"/>
          </w:tcPr>
          <w:p>
            <w:r/>
            <w:r>
              <w:rPr>
                <w:b w:val="0"/>
                <w:i w:val="0"/>
                <w:sz w:val="19"/>
              </w:rPr>
              <w:t>Các hồ sơ tài chính và báo cáo tài chính có thể bị trình bày sai.</w:t>
            </w:r>
          </w:p>
        </w:tc>
      </w:tr>
      <w:tr>
        <w:tc>
          <w:tcPr>
            <w:tcW w:type="dxa" w:w="4680"/>
          </w:tcPr>
          <w:p>
            <w:r/>
            <w:r>
              <w:rPr>
                <w:b w:val="0"/>
                <w:i w:val="0"/>
                <w:sz w:val="19"/>
              </w:rPr>
              <w:t>B-3</w:t>
            </w:r>
          </w:p>
        </w:tc>
        <w:tc>
          <w:tcPr>
            <w:tcW w:type="dxa" w:w="4680"/>
          </w:tcPr>
          <w:p>
            <w:r/>
            <w:r>
              <w:rPr>
                <w:b w:val="0"/>
                <w:i w:val="0"/>
                <w:sz w:val="19"/>
              </w:rPr>
              <w:t>Các giao dịch có thể dẫn đến việc sử dụng nguồn lực công ty một cách kém hiệu quả.</w:t>
            </w:r>
          </w:p>
        </w:tc>
      </w:tr>
      <w:tr>
        <w:tc>
          <w:tcPr>
            <w:tcW w:type="dxa" w:w="4680"/>
          </w:tcPr>
          <w:p>
            <w:r/>
            <w:r>
              <w:rPr>
                <w:b w:val="0"/>
                <w:i w:val="0"/>
                <w:sz w:val="19"/>
              </w:rPr>
              <w:t>B-4</w:t>
            </w:r>
          </w:p>
        </w:tc>
        <w:tc>
          <w:tcPr>
            <w:tcW w:type="dxa" w:w="4680"/>
          </w:tcPr>
          <w:p>
            <w:r/>
            <w:r>
              <w:rPr>
                <w:b w:val="0"/>
                <w:i w:val="0"/>
                <w:sz w:val="19"/>
              </w:rPr>
              <w:t>Các giao dịch có thể dẫn đến những hệ lụy không mong muốn về pháp lý và/hoặc thuế.</w:t>
            </w:r>
          </w:p>
        </w:tc>
      </w:tr>
    </w:tbl>
    <w:p>
      <w:pPr>
        <w:spacing w:after="0"/>
      </w:pPr>
    </w:p>
    <w:p>
      <w:pPr>
        <w:pStyle w:val="Heading2"/>
      </w:pPr>
      <w:r>
        <w:rPr>
          <w:rFonts w:ascii="Calibri" w:hAnsi="Calibri"/>
          <w:b/>
          <w:i w:val="0"/>
          <w:sz w:val="32"/>
        </w:rPr>
        <w:t>7.3 TÍCH LŨY THÔNG TIN TÀI CHÍNH</w:t>
      </w:r>
    </w:p>
    <w:p>
      <w:pPr>
        <w:pStyle w:val="Heading3"/>
      </w:pPr>
      <w:r>
        <w:rPr>
          <w:rFonts w:ascii="Calibri" w:hAnsi="Calibri"/>
          <w:b/>
          <w:i w:val="0"/>
          <w:sz w:val="26"/>
        </w:rPr>
        <w:t>Giới thiệu</w:t>
      </w:r>
    </w:p>
    <w:p>
      <w:pPr>
        <w:spacing w:after="80"/>
      </w:pPr>
      <w:r>
        <w:rPr>
          <w:b w:val="0"/>
          <w:i w:val="0"/>
        </w:rPr>
        <w:t>Để hỗ trợ quy trình R2R, các chính sách và thủ tục kế toán phải được xây dựng và ghi chép đầy đủ theo yêu cầu của IFRS. Các chính sách kế toán mới hoặc thay đổi đối với chính sách hiện hành cần được nghiên cứu, xem xét, ghi chép và truyền đạt một cách đúng đắn và kịp thời. Kiểm soát viên tài chính cấp công ty phải phê duyệt mọi thay đổi trong chính sách kế toán. Ban quản lý tài chính tại địa phương cũng có thể xây dựng các chính sách và thủ tục áp dụng cho việc tích lũy thông tin tài chính nhằm đảm bảo tuân thủ.</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7.3.1</w:t>
            </w:r>
          </w:p>
        </w:tc>
        <w:tc>
          <w:tcPr>
            <w:tcW w:type="dxa" w:w="4680"/>
          </w:tcPr>
          <w:p>
            <w:r/>
            <w:r>
              <w:rPr>
                <w:b/>
                <w:i w:val="0"/>
                <w:sz w:val="19"/>
              </w:rPr>
              <w:t>Chính sách và Thủ tục.</w:t>
            </w:r>
            <w:r>
              <w:rPr>
                <w:b w:val="0"/>
                <w:i w:val="0"/>
                <w:sz w:val="19"/>
              </w:rPr>
              <w:t xml:space="preserve"> Các chính sách và thủ tục này phải được tuân thủ bất kể mức độ "trọng yếu" như thế nào. Phiên bản hiện hành của các chính sách và thủ tục nêu trên phải luôn sẵn có tại tất cả các địa điểm của công ty. </w:t>
            </w:r>
            <w:r>
              <w:rPr>
                <w:b/>
                <w:i w:val="0"/>
                <w:sz w:val="19"/>
              </w:rPr>
              <w:t>Tham chiếu rủi ro: C-1, C-2, C-3, C-4</w:t>
            </w:r>
          </w:p>
        </w:tc>
      </w:tr>
      <w:tr>
        <w:tc>
          <w:tcPr>
            <w:tcW w:type="dxa" w:w="4680"/>
          </w:tcPr>
          <w:p>
            <w:r/>
            <w:r>
              <w:rPr>
                <w:b w:val="0"/>
                <w:i w:val="0"/>
                <w:sz w:val="19"/>
              </w:rPr>
              <w:t>7.3.2</w:t>
            </w:r>
          </w:p>
        </w:tc>
        <w:tc>
          <w:tcPr>
            <w:tcW w:type="dxa" w:w="4680"/>
          </w:tcPr>
          <w:p>
            <w:r/>
            <w:r>
              <w:rPr>
                <w:b/>
                <w:i w:val="0"/>
                <w:sz w:val="19"/>
              </w:rPr>
              <w:t>Thay đổi Chính sách.</w:t>
            </w:r>
            <w:r>
              <w:rPr>
                <w:b w:val="0"/>
                <w:i w:val="0"/>
                <w:sz w:val="19"/>
              </w:rPr>
              <w:t xml:space="preserve"> Các chính sách xung đột với chính sách của công ty phải được kiểm soát viên tài chính cấp công ty phê duyệt bằng văn bản. </w:t>
            </w:r>
            <w:r>
              <w:rPr>
                <w:b/>
                <w:i w:val="0"/>
                <w:sz w:val="19"/>
              </w:rPr>
              <w:t>Tham chiếu rủi ro: C-1, C-2, C-3, C-4</w:t>
            </w:r>
          </w:p>
        </w:tc>
      </w:tr>
      <w:tr>
        <w:tc>
          <w:tcPr>
            <w:tcW w:type="dxa" w:w="4680"/>
          </w:tcPr>
          <w:p>
            <w:r/>
            <w:r>
              <w:rPr>
                <w:b w:val="0"/>
                <w:i w:val="0"/>
                <w:sz w:val="19"/>
              </w:rPr>
              <w:t>7.3.3</w:t>
            </w:r>
          </w:p>
        </w:tc>
        <w:tc>
          <w:tcPr>
            <w:tcW w:type="dxa" w:w="4680"/>
          </w:tcPr>
          <w:p>
            <w:r/>
            <w:r>
              <w:rPr>
                <w:b/>
                <w:i w:val="0"/>
                <w:sz w:val="19"/>
              </w:rPr>
              <w:t>Bút toán Nhật ký.</w:t>
            </w:r>
            <w:r>
              <w:rPr>
                <w:b w:val="0"/>
                <w:i w:val="0"/>
                <w:sz w:val="19"/>
              </w:rPr>
              <w:t xml:space="preserve"> Các bút toán nhật ký phải được nhập chính xác vào sổ cái chung trong đúng kỳ kế toán. Cần có các quy trình để đảm bảo việc ghi bút toán nhật ký vào sổ cái chung được thực hiện chính xác và kịp thời. </w:t>
            </w:r>
            <w:r>
              <w:rPr>
                <w:b/>
                <w:i w:val="0"/>
                <w:sz w:val="19"/>
              </w:rPr>
              <w:t>Tham chiếu rủi ro: C-1, C-2, C-4, C-5</w:t>
            </w:r>
          </w:p>
        </w:tc>
      </w:tr>
      <w:tr>
        <w:tc>
          <w:tcPr>
            <w:tcW w:type="dxa" w:w="4680"/>
          </w:tcPr>
          <w:p>
            <w:r/>
            <w:r>
              <w:rPr>
                <w:b w:val="0"/>
                <w:i w:val="0"/>
                <w:sz w:val="19"/>
              </w:rPr>
              <w:t>7.3.4</w:t>
            </w:r>
          </w:p>
        </w:tc>
        <w:tc>
          <w:tcPr>
            <w:tcW w:type="dxa" w:w="4680"/>
          </w:tcPr>
          <w:p>
            <w:r/>
            <w:r>
              <w:rPr>
                <w:b/>
                <w:i w:val="0"/>
                <w:sz w:val="19"/>
              </w:rPr>
              <w:t>Bút toán Nhật ký có Ghi chép.</w:t>
            </w:r>
            <w:r>
              <w:rPr>
                <w:b w:val="0"/>
                <w:i w:val="0"/>
                <w:sz w:val="19"/>
              </w:rPr>
              <w:t xml:space="preserve"> Tất cả các bút toán nhật ký sổ cái chung thực hiện thủ công phải được ban quản lý tài chính ghi chép, xem xét và phê duyệt. Cũng cần có một quy trình để nhận diện các bút toán nhật ký thủ công nhằm xác định xem có bút toán nào bị bỏ sót hoặc trùng lặp hay không. </w:t>
            </w:r>
            <w:r>
              <w:rPr>
                <w:b/>
                <w:i w:val="0"/>
                <w:sz w:val="19"/>
              </w:rPr>
              <w:t>Tham chiếu rủi ro: C-1, C-2, C-4, C-5</w:t>
            </w:r>
          </w:p>
        </w:tc>
      </w:tr>
      <w:tr>
        <w:tc>
          <w:tcPr>
            <w:tcW w:type="dxa" w:w="4680"/>
          </w:tcPr>
          <w:p>
            <w:r/>
            <w:r>
              <w:rPr>
                <w:b w:val="0"/>
                <w:i w:val="0"/>
                <w:sz w:val="19"/>
              </w:rPr>
              <w:t>7.3.5</w:t>
            </w:r>
          </w:p>
        </w:tc>
        <w:tc>
          <w:tcPr>
            <w:tcW w:type="dxa" w:w="4680"/>
          </w:tcPr>
          <w:p>
            <w:r/>
            <w:r>
              <w:rPr>
                <w:b/>
                <w:i w:val="0"/>
                <w:sz w:val="19"/>
              </w:rPr>
              <w:t>Bút toán nhật ký chuẩn hóa.</w:t>
            </w:r>
            <w:r>
              <w:rPr>
                <w:b w:val="0"/>
                <w:i w:val="0"/>
                <w:sz w:val="19"/>
              </w:rPr>
              <w:t xml:space="preserve"> Các bút toán nhật ký sổ cái chung được chuẩn hóa (tức là do hệ thống tính toán và ghi sổ) phải được sử dụng bất cứ khi nào có thể. Khi bút toán nhật ký được thiết lập, quy trình tính toán phải được ban quản lý tài chính địa phương xem xét, phê duyệt và ghi lại thành văn bản. Cũng cần có một quy trình để nhận diện các bút toán nhật ký chuẩn hóa nhằm xác định xem có bút toán nào bị bỏ sót, bị trùng lặp hoặc có giá trị bất hợp lý hay không. </w:t>
            </w:r>
            <w:r>
              <w:rPr>
                <w:b/>
                <w:i w:val="0"/>
                <w:sz w:val="19"/>
              </w:rPr>
              <w:t>Tham chiếu rủi ro: C-1, C-2, C-4, C-5</w:t>
            </w:r>
          </w:p>
        </w:tc>
      </w:tr>
      <w:tr>
        <w:tc>
          <w:tcPr>
            <w:tcW w:type="dxa" w:w="4680"/>
          </w:tcPr>
          <w:p>
            <w:r/>
            <w:r>
              <w:rPr>
                <w:b w:val="0"/>
                <w:i w:val="0"/>
                <w:sz w:val="19"/>
              </w:rPr>
              <w:t>7.3.6</w:t>
            </w:r>
          </w:p>
        </w:tc>
        <w:tc>
          <w:tcPr>
            <w:tcW w:type="dxa" w:w="4680"/>
          </w:tcPr>
          <w:p>
            <w:r/>
            <w:r>
              <w:rPr>
                <w:b/>
                <w:i w:val="0"/>
                <w:sz w:val="19"/>
              </w:rPr>
              <w:t>Giao dịch phi tiêu chuẩn.</w:t>
            </w:r>
            <w:r>
              <w:rPr>
                <w:b w:val="0"/>
                <w:i w:val="0"/>
                <w:sz w:val="19"/>
              </w:rPr>
              <w:t xml:space="preserve"> Phải thiết lập các chính sách để xem xét và phê duyệt cách xử lý kế toán đối với các bút toán nhật ký sổ cái chung không phát sinh thường xuyên. </w:t>
            </w:r>
            <w:r>
              <w:rPr>
                <w:b/>
                <w:i w:val="0"/>
                <w:sz w:val="19"/>
              </w:rPr>
              <w:t>Tham chiếu rủi ro: C-1, C-2, C-4, C-5</w:t>
            </w:r>
          </w:p>
        </w:tc>
      </w:tr>
      <w:tr>
        <w:tc>
          <w:tcPr>
            <w:tcW w:type="dxa" w:w="4680"/>
          </w:tcPr>
          <w:p>
            <w:r/>
            <w:r>
              <w:rPr>
                <w:b w:val="0"/>
                <w:i w:val="0"/>
                <w:sz w:val="19"/>
              </w:rPr>
              <w:t>7.3.7</w:t>
            </w:r>
          </w:p>
        </w:tc>
        <w:tc>
          <w:tcPr>
            <w:tcW w:type="dxa" w:w="4680"/>
          </w:tcPr>
          <w:p>
            <w:r/>
            <w:r>
              <w:rPr>
                <w:b/>
                <w:i w:val="0"/>
                <w:sz w:val="19"/>
              </w:rPr>
              <w:t>Tài khoản tài sản đối ứng.</w:t>
            </w:r>
            <w:r>
              <w:rPr>
                <w:b w:val="0"/>
                <w:i w:val="0"/>
                <w:sz w:val="19"/>
              </w:rPr>
              <w:t xml:space="preserve"> Nên sử dụng các tài khoản tài sản đối ứng khi cần thiết để duy trì cả việc định giá tài sản đúng đắn lẫn hồ sơ kế toán chi tiết (ví dụ: các khoản phải thu, hàng tồn kho và tài sản cố định). </w:t>
            </w:r>
            <w:r>
              <w:rPr>
                <w:b/>
                <w:i w:val="0"/>
                <w:sz w:val="19"/>
              </w:rPr>
              <w:t>Tham chiếu rủi ro: C-1, C-2, C-4, C-6</w:t>
            </w:r>
          </w:p>
        </w:tc>
      </w:tr>
      <w:tr>
        <w:tc>
          <w:tcPr>
            <w:tcW w:type="dxa" w:w="4680"/>
          </w:tcPr>
          <w:p>
            <w:r/>
            <w:r>
              <w:rPr>
                <w:b w:val="0"/>
                <w:i w:val="0"/>
                <w:sz w:val="19"/>
              </w:rPr>
              <w:t>7.3.8</w:t>
            </w:r>
          </w:p>
        </w:tc>
        <w:tc>
          <w:tcPr>
            <w:tcW w:type="dxa" w:w="4680"/>
          </w:tcPr>
          <w:p>
            <w:r/>
            <w:r>
              <w:rPr>
                <w:b/>
                <w:i w:val="0"/>
                <w:sz w:val="19"/>
              </w:rPr>
              <w:t>Trích trước hàng tháng.</w:t>
            </w:r>
            <w:r>
              <w:rPr>
                <w:b w:val="0"/>
                <w:i w:val="0"/>
                <w:sz w:val="19"/>
              </w:rPr>
              <w:t xml:space="preserve"> Hàng tháng, phải thực hiện trích trước đối với tất cả các khoản nợ phải trả đã biết nhưng chưa được xử lý để thanh toán hoặc chưa được ghi nhận trong hồ sơ kế toán, theo quy định của chính sách công ty. Cần tiến hành xem xét và đánh giá hàng quý ở cấp đơn vị hoạt động báo cáo để xác định xem có khoản nợ tiềm tàng hiện hữu nào cần được ghi nhận theo các yêu cầu của U.S. GAAP hay không. </w:t>
            </w:r>
            <w:r>
              <w:rPr>
                <w:b/>
                <w:i w:val="0"/>
                <w:sz w:val="19"/>
              </w:rPr>
              <w:t>Tham chiếu rủi ro: C-1, C-2, C-4, C-7</w:t>
            </w:r>
          </w:p>
        </w:tc>
      </w:tr>
      <w:tr>
        <w:tc>
          <w:tcPr>
            <w:tcW w:type="dxa" w:w="4680"/>
          </w:tcPr>
          <w:p>
            <w:r/>
            <w:r>
              <w:rPr>
                <w:b w:val="0"/>
                <w:i w:val="0"/>
                <w:sz w:val="19"/>
              </w:rPr>
              <w:t>7.3.9</w:t>
            </w:r>
          </w:p>
        </w:tc>
        <w:tc>
          <w:tcPr>
            <w:tcW w:type="dxa" w:w="4680"/>
          </w:tcPr>
          <w:p>
            <w:r/>
            <w:r>
              <w:rPr>
                <w:b/>
                <w:i w:val="0"/>
                <w:sz w:val="19"/>
              </w:rPr>
              <w:t>Xem xét tài khoản tài sản.</w:t>
            </w:r>
            <w:r>
              <w:rPr>
                <w:b w:val="0"/>
                <w:i w:val="0"/>
                <w:sz w:val="19"/>
              </w:rPr>
              <w:t xml:space="preserve"> Tất cả các tài khoản tài sản dài hạn nên được xem xét ít nhất mỗi năm một lần để đảm bảo giá trị không vượt quá giá trị thấp hơn giữa giá gốc và giá thị trường. Tất cả các tài khoản tài sản ngắn hạn nên được xem xét ít nhất mỗi quý một lần để đảm bảo giá trị không vượt quá giá trị thấp hơn giữa giá gốc và giá thị trường. </w:t>
            </w:r>
            <w:r>
              <w:rPr>
                <w:b/>
                <w:i w:val="0"/>
                <w:sz w:val="19"/>
              </w:rPr>
              <w:t>Tham chiếu rủi ro: C-1, C-4</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C-1</w:t>
            </w:r>
          </w:p>
        </w:tc>
        <w:tc>
          <w:tcPr>
            <w:tcW w:type="dxa" w:w="4680"/>
          </w:tcPr>
          <w:p>
            <w:r/>
            <w:r>
              <w:rPr>
                <w:b w:val="0"/>
                <w:i w:val="0"/>
                <w:sz w:val="19"/>
              </w:rPr>
              <w:t>Báo cáo tài chính công bố cho công chúng có thể không được lập theo GAAP.</w:t>
            </w:r>
          </w:p>
        </w:tc>
      </w:tr>
      <w:tr>
        <w:tc>
          <w:tcPr>
            <w:tcW w:type="dxa" w:w="4680"/>
          </w:tcPr>
          <w:p>
            <w:r/>
            <w:r>
              <w:rPr>
                <w:b w:val="0"/>
                <w:i w:val="0"/>
                <w:sz w:val="19"/>
              </w:rPr>
              <w:t>C-2</w:t>
            </w:r>
          </w:p>
        </w:tc>
        <w:tc>
          <w:tcPr>
            <w:tcW w:type="dxa" w:w="4680"/>
          </w:tcPr>
          <w:p>
            <w:r/>
            <w:r>
              <w:rPr>
                <w:b w:val="0"/>
                <w:i w:val="0"/>
                <w:sz w:val="19"/>
              </w:rPr>
              <w:t>Báo cáo có thể không chính xác, và các quyết định quan trọng có thể dựa trên thông tin sai lệch.</w:t>
            </w:r>
          </w:p>
        </w:tc>
      </w:tr>
      <w:tr>
        <w:tc>
          <w:tcPr>
            <w:tcW w:type="dxa" w:w="4680"/>
          </w:tcPr>
          <w:p>
            <w:r/>
            <w:r>
              <w:rPr>
                <w:b w:val="0"/>
                <w:i w:val="0"/>
                <w:sz w:val="19"/>
              </w:rPr>
              <w:t>C-3</w:t>
            </w:r>
          </w:p>
        </w:tc>
        <w:tc>
          <w:tcPr>
            <w:tcW w:type="dxa" w:w="4680"/>
          </w:tcPr>
          <w:p>
            <w:r/>
            <w:r>
              <w:rPr>
                <w:b w:val="0"/>
                <w:i w:val="0"/>
                <w:sz w:val="19"/>
              </w:rPr>
              <w:t>Tiền mặt hoặc chứng khoán có thể bị đánh cắp, mất mát, phá hủy hoặc tạm thời bị chuyển hướng.</w:t>
            </w:r>
          </w:p>
        </w:tc>
      </w:tr>
      <w:tr>
        <w:tc>
          <w:tcPr>
            <w:tcW w:type="dxa" w:w="4680"/>
          </w:tcPr>
          <w:p>
            <w:r/>
            <w:r>
              <w:rPr>
                <w:b w:val="0"/>
                <w:i w:val="0"/>
                <w:sz w:val="19"/>
              </w:rPr>
              <w:t>C-4</w:t>
            </w:r>
          </w:p>
        </w:tc>
        <w:tc>
          <w:tcPr>
            <w:tcW w:type="dxa" w:w="4680"/>
          </w:tcPr>
          <w:p>
            <w:r/>
            <w:r>
              <w:rPr>
                <w:b w:val="0"/>
                <w:i w:val="0"/>
                <w:sz w:val="19"/>
              </w:rPr>
              <w:t>Các yêu cầu báo cáo của SEC, IFRS và các cơ quan quản lý khác và/hoặc các hạn chế cho vay có thể bị vi phạm. Rủi ro bị cổ đông kiện tụng tăng lên đáng kể do báo cáo không đúng quy định.</w:t>
            </w:r>
          </w:p>
        </w:tc>
      </w:tr>
      <w:tr>
        <w:tc>
          <w:tcPr>
            <w:tcW w:type="dxa" w:w="4680"/>
          </w:tcPr>
          <w:p>
            <w:r/>
            <w:r>
              <w:rPr>
                <w:b w:val="0"/>
                <w:i w:val="0"/>
                <w:sz w:val="19"/>
              </w:rPr>
              <w:t>C-5</w:t>
            </w:r>
          </w:p>
        </w:tc>
        <w:tc>
          <w:tcPr>
            <w:tcW w:type="dxa" w:w="4680"/>
          </w:tcPr>
          <w:p>
            <w:r/>
            <w:r>
              <w:rPr>
                <w:b w:val="0"/>
                <w:i w:val="0"/>
                <w:sz w:val="19"/>
              </w:rPr>
              <w:t>Các bút toán nhật ký (journal entry) có thể bị lập sai, trùng lặp, bỏ sót, hoặc được thực hiện nhằm mục đích báo cáo sai số dư tài khoản để che giấu các sai phạm hoặc thiếu hụt.</w:t>
            </w:r>
          </w:p>
        </w:tc>
      </w:tr>
      <w:tr>
        <w:tc>
          <w:tcPr>
            <w:tcW w:type="dxa" w:w="4680"/>
          </w:tcPr>
          <w:p>
            <w:r/>
            <w:r>
              <w:rPr>
                <w:b w:val="0"/>
                <w:i w:val="0"/>
                <w:sz w:val="19"/>
              </w:rPr>
              <w:t>C-6</w:t>
            </w:r>
          </w:p>
        </w:tc>
        <w:tc>
          <w:tcPr>
            <w:tcW w:type="dxa" w:w="4680"/>
          </w:tcPr>
          <w:p>
            <w:r/>
            <w:r>
              <w:rPr>
                <w:b w:val="0"/>
                <w:i w:val="0"/>
                <w:sz w:val="19"/>
              </w:rPr>
              <w:t>Trách nhiệm giải trình đối với các giao dịch đã ghi nhận có thể không được duy trì.</w:t>
            </w:r>
          </w:p>
        </w:tc>
      </w:tr>
      <w:tr>
        <w:tc>
          <w:tcPr>
            <w:tcW w:type="dxa" w:w="4680"/>
          </w:tcPr>
          <w:p>
            <w:r/>
            <w:r>
              <w:rPr>
                <w:b w:val="0"/>
                <w:i w:val="0"/>
                <w:sz w:val="19"/>
              </w:rPr>
              <w:t>C-7</w:t>
            </w:r>
          </w:p>
        </w:tc>
        <w:tc>
          <w:tcPr>
            <w:tcW w:type="dxa" w:w="4680"/>
          </w:tcPr>
          <w:p>
            <w:r/>
            <w:r>
              <w:rPr>
                <w:b w:val="0"/>
                <w:i w:val="0"/>
                <w:sz w:val="19"/>
              </w:rPr>
              <w:t>Các khoản chi phí có thể được trích trước cho những khoản không có khả năng phát sinh nhằm tạo ra các nguồn "tài trợ" cho các kỳ tương lai.</w:t>
            </w:r>
          </w:p>
        </w:tc>
      </w:tr>
    </w:tbl>
    <w:p>
      <w:pPr>
        <w:spacing w:after="0"/>
      </w:pPr>
    </w:p>
    <w:p>
      <w:pPr>
        <w:pStyle w:val="Heading2"/>
      </w:pPr>
      <w:r>
        <w:rPr>
          <w:rFonts w:ascii="Calibri" w:hAnsi="Calibri"/>
          <w:b/>
          <w:i w:val="0"/>
          <w:sz w:val="32"/>
        </w:rPr>
        <w:t>7.4 XỬ LÝ VÀ BÁO CÁO THÔNG TIN TÀI CHÍNH (CHẶNG CUỐI)</w:t>
      </w:r>
    </w:p>
    <w:p>
      <w:pPr>
        <w:pStyle w:val="Heading3"/>
      </w:pPr>
      <w:r>
        <w:rPr>
          <w:rFonts w:ascii="Calibri" w:hAnsi="Calibri"/>
          <w:b/>
          <w:i w:val="0"/>
          <w:sz w:val="26"/>
        </w:rPr>
        <w:t>Giới thiệu</w:t>
      </w:r>
    </w:p>
    <w:p>
      <w:pPr>
        <w:spacing w:after="80"/>
      </w:pPr>
      <w:r>
        <w:rPr>
          <w:b w:val="0"/>
          <w:i w:val="0"/>
        </w:rPr>
        <w:t>Là một phần của "chặng cuối" trong quy trình R2R, thông tin tài chính và số dư sổ cái tổng hợp (general ledger) phải được đối chiếu chính thức (nội dung đã được xác định rõ và trạng thái được cập nhật) với các sổ cái phụ (subsidiary ledger) hoặc các hồ sơ hỗ trợ khác một cách kịp thời. Nội dung và thời gian tồn đọng (aging) của sổ cái phụ được cung cấp trong quá trình đối chiếu cùng với định nghĩa ngắn gọn về tài khoản. Ngoài ra, các biến động đáng kể trong số dư tài khoản sổ cái tổng hợp cũng được giải thích như một phần của quá trình đối chiếu. Mọi chênh lệch phải được giải quyết và ghi nhận kịp thời, thường là vào kỳ báo cáo hàng tháng tiếp theo. Thời gian tồn đọng của tất cả các chênh lệch được cung cấp kèm theo kế hoạch hành động để giải quyết và/hoặc ngày giải quyết nếu đã được khắc phục.</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7.4.1</w:t>
            </w:r>
          </w:p>
        </w:tc>
        <w:tc>
          <w:tcPr>
            <w:tcW w:type="dxa" w:w="4680"/>
          </w:tcPr>
          <w:p>
            <w:r/>
            <w:r>
              <w:rPr>
                <w:b/>
                <w:i w:val="0"/>
                <w:sz w:val="19"/>
              </w:rPr>
              <w:t>Xử lý Bút toán Nhật ký.</w:t>
            </w:r>
            <w:r>
              <w:rPr>
                <w:b w:val="0"/>
                <w:i w:val="0"/>
                <w:sz w:val="19"/>
              </w:rPr>
              <w:t xml:space="preserve"> Phải thiết lập các kiểm soát để đảm bảo tất cả các bút toán nhật ký đã được xử lý và hạch toán một khi chúng được nhập vào hệ thống. Cần tạo các sổ đăng ký lỗi giao dịch (transaction error register) và giải quyết các sai lệch đáng kể trước khi chốt kỳ. </w:t>
            </w:r>
            <w:r>
              <w:rPr>
                <w:b/>
                <w:i w:val="0"/>
                <w:sz w:val="19"/>
              </w:rPr>
              <w:t>Tham chiếu rủi ro: D-1, D-2, D-3, D-4, D-5</w:t>
            </w:r>
          </w:p>
        </w:tc>
      </w:tr>
      <w:tr>
        <w:tc>
          <w:tcPr>
            <w:tcW w:type="dxa" w:w="4680"/>
          </w:tcPr>
          <w:p>
            <w:r/>
            <w:r>
              <w:rPr>
                <w:b w:val="0"/>
                <w:i w:val="0"/>
                <w:sz w:val="19"/>
              </w:rPr>
              <w:t>7.4.2</w:t>
            </w:r>
          </w:p>
        </w:tc>
        <w:tc>
          <w:tcPr>
            <w:tcW w:type="dxa" w:w="4680"/>
          </w:tcPr>
          <w:p>
            <w:r/>
            <w:r>
              <w:rPr>
                <w:b/>
                <w:i w:val="0"/>
                <w:sz w:val="19"/>
              </w:rPr>
              <w:t>Lịch trình Báo cáo và Điểm cắt (Cutoff).</w:t>
            </w:r>
            <w:r>
              <w:rPr>
                <w:b w:val="0"/>
                <w:i w:val="0"/>
                <w:sz w:val="19"/>
              </w:rPr>
              <w:t xml:space="preserve"> Lịch trình báo cáo và điểm cắt chốt sổ hàng tháng, hàng quý, hàng năm phải được tuân thủ và áp dụng nhất quán trong các quy trình vận hành tài chính trên toàn công ty. </w:t>
            </w:r>
            <w:r>
              <w:rPr>
                <w:b/>
                <w:i w:val="0"/>
                <w:sz w:val="19"/>
              </w:rPr>
              <w:t>Tham chiếu rủi ro: D-1, D-2, D-3, D-5, D-9</w:t>
            </w:r>
          </w:p>
        </w:tc>
      </w:tr>
      <w:tr>
        <w:tc>
          <w:tcPr>
            <w:tcW w:type="dxa" w:w="4680"/>
          </w:tcPr>
          <w:p>
            <w:r/>
            <w:r>
              <w:rPr>
                <w:b w:val="0"/>
                <w:i w:val="0"/>
                <w:sz w:val="19"/>
              </w:rPr>
              <w:t>7.4.3</w:t>
            </w:r>
          </w:p>
        </w:tc>
        <w:tc>
          <w:tcPr>
            <w:tcW w:type="dxa" w:w="4680"/>
          </w:tcPr>
          <w:p>
            <w:r/>
            <w:r>
              <w:rPr>
                <w:b/>
                <w:i w:val="0"/>
                <w:sz w:val="19"/>
              </w:rPr>
              <w:t>Đối chiếu Sổ cái Tổng hợp.</w:t>
            </w:r>
            <w:r>
              <w:rPr>
                <w:b w:val="0"/>
                <w:i w:val="0"/>
                <w:sz w:val="19"/>
              </w:rPr>
              <w:t xml:space="preserve"> Mọi chênh lệch chưa giải thích được đều phải được báo cáo cho bộ phận quản lý tài chính phù hợp ngay khi phát hiện, kể cả khi chưa được giải quyết. Ban quản lý có trách nhiệm theo dõi tất cả các chênh lệch chưa giải thích được hàng tháng để đảm bảo các tiêu chuẩn đối chiếu được tuân thủ. </w:t>
            </w:r>
            <w:r>
              <w:rPr>
                <w:b/>
                <w:i w:val="0"/>
                <w:sz w:val="19"/>
              </w:rPr>
              <w:t>Tham chiếu rủi ro: D-1, D-2, D-3, D-4, D-5</w:t>
            </w:r>
          </w:p>
        </w:tc>
      </w:tr>
      <w:tr>
        <w:tc>
          <w:tcPr>
            <w:tcW w:type="dxa" w:w="4680"/>
          </w:tcPr>
          <w:p>
            <w:r/>
            <w:r>
              <w:rPr>
                <w:b w:val="0"/>
                <w:i w:val="0"/>
                <w:sz w:val="19"/>
              </w:rPr>
              <w:t>7.4.4</w:t>
            </w:r>
          </w:p>
        </w:tc>
        <w:tc>
          <w:tcPr>
            <w:tcW w:type="dxa" w:w="4680"/>
          </w:tcPr>
          <w:p>
            <w:r/>
            <w:r>
              <w:rPr>
                <w:b/>
                <w:i w:val="0"/>
                <w:sz w:val="19"/>
              </w:rPr>
              <w:t>Giao dịch Tài khoản Treo.</w:t>
            </w:r>
            <w:r>
              <w:rPr>
                <w:b w:val="0"/>
                <w:i w:val="0"/>
                <w:sz w:val="19"/>
              </w:rPr>
              <w:t xml:space="preserve"> Các giao dịch trên tài khoản thanh toán bù trừ và tài khoản treo, bao gồm việc chuyển chi phí, thu nhập hoặc vốn, phải được giải quyết kịp thời. Việc ghi nhận đúng đắn thu nhập hoặc chi phí cho các tài khoản này phải được thực hiện ít nhất mỗi quý và hàng tháng nếu có thể. </w:t>
            </w:r>
            <w:r>
              <w:rPr>
                <w:b/>
                <w:i w:val="0"/>
                <w:sz w:val="19"/>
              </w:rPr>
              <w:t>Tham chiếu rủi ro: D-1, D-2, D-3, D-4, D-5</w:t>
            </w:r>
          </w:p>
        </w:tc>
      </w:tr>
      <w:tr>
        <w:tc>
          <w:tcPr>
            <w:tcW w:type="dxa" w:w="4680"/>
          </w:tcPr>
          <w:p>
            <w:r/>
            <w:r>
              <w:rPr>
                <w:b w:val="0"/>
                <w:i w:val="0"/>
                <w:sz w:val="19"/>
              </w:rPr>
              <w:t>7.4.5</w:t>
            </w:r>
          </w:p>
        </w:tc>
        <w:tc>
          <w:tcPr>
            <w:tcW w:type="dxa" w:w="4680"/>
          </w:tcPr>
          <w:p>
            <w:r/>
            <w:r>
              <w:rPr>
                <w:b/>
                <w:i w:val="0"/>
                <w:sz w:val="19"/>
              </w:rPr>
              <w:t>Điều chỉnh Sổ cái Tổng hợp.</w:t>
            </w:r>
            <w:r>
              <w:rPr>
                <w:b w:val="0"/>
                <w:i w:val="0"/>
                <w:sz w:val="19"/>
              </w:rPr>
              <w:t xml:space="preserve"> Các điều chỉnh hợp nhất, phân loại lại và các điều chỉnh khác đối với số dư sổ cái tổng hợp phải được giải thích và ghi chép đầy đủ. Những điều chỉnh như vậy phải được phê duyệt bởi Kiểm soát viên/Quản lý phù hợp hoặc người được ủy quyền chỉ định. </w:t>
            </w:r>
            <w:r>
              <w:rPr>
                <w:b/>
                <w:i w:val="0"/>
                <w:sz w:val="19"/>
              </w:rPr>
              <w:t>Tham chiếu rủi ro: D-1, D-2, D-3, D-4, D-5</w:t>
            </w:r>
          </w:p>
        </w:tc>
      </w:tr>
      <w:tr>
        <w:tc>
          <w:tcPr>
            <w:tcW w:type="dxa" w:w="4680"/>
          </w:tcPr>
          <w:p>
            <w:r/>
            <w:r>
              <w:rPr>
                <w:b w:val="0"/>
                <w:i w:val="0"/>
                <w:sz w:val="19"/>
              </w:rPr>
              <w:t>7.4.6</w:t>
            </w:r>
          </w:p>
        </w:tc>
        <w:tc>
          <w:tcPr>
            <w:tcW w:type="dxa" w:w="4680"/>
          </w:tcPr>
          <w:p>
            <w:r/>
            <w:r>
              <w:rPr>
                <w:b/>
                <w:i w:val="0"/>
                <w:sz w:val="19"/>
              </w:rPr>
              <w:t>Chuẩn bị Báo cáo Tài chính.</w:t>
            </w:r>
            <w:r>
              <w:rPr>
                <w:b w:val="0"/>
                <w:i w:val="0"/>
                <w:sz w:val="19"/>
              </w:rPr>
              <w:t xml:space="preserve"> Các quy trình và trách nhiệm phải được thiết lập và duy trì để đảm bảo việc chuẩn bị, xem xét và phê duyệt các báo cáo tài chính bên ngoài một cách kịp thời và chính xác, bao gồm các báo cáo gửi cho các cơ quan chính phủ và cơ quan quản lý. Những quy trình này cũng phải đảm bảo rằng các báo cáo đó tuân thủ các yêu cầu đã được thiết lập về thông tin tài chính và các thuyết minh liên quan. </w:t>
            </w:r>
            <w:r>
              <w:rPr>
                <w:b/>
                <w:i w:val="0"/>
                <w:sz w:val="19"/>
              </w:rPr>
              <w:t>Tham chiếu rủi ro: D-1, D-2, D-5, D-8, D-9</w:t>
            </w:r>
          </w:p>
        </w:tc>
      </w:tr>
      <w:tr>
        <w:tc>
          <w:tcPr>
            <w:tcW w:type="dxa" w:w="4680"/>
          </w:tcPr>
          <w:p>
            <w:r/>
            <w:r>
              <w:rPr>
                <w:b w:val="0"/>
                <w:i w:val="0"/>
                <w:sz w:val="19"/>
              </w:rPr>
              <w:t>7.4.7</w:t>
            </w:r>
          </w:p>
        </w:tc>
        <w:tc>
          <w:tcPr>
            <w:tcW w:type="dxa" w:w="4680"/>
          </w:tcPr>
          <w:p>
            <w:r/>
            <w:r>
              <w:rPr>
                <w:b/>
                <w:i w:val="0"/>
                <w:sz w:val="19"/>
              </w:rPr>
              <w:t>Quyền Truy cập Hồ sơ.</w:t>
            </w:r>
            <w:r>
              <w:rPr>
                <w:b w:val="0"/>
                <w:i w:val="0"/>
                <w:sz w:val="19"/>
              </w:rPr>
              <w:t xml:space="preserve"> Quyền truy cập vào hồ sơ, tài liệu và hệ thống thông tin kế toán và tài chính phải được bảo vệ và chỉ được cấp trên nguyên tắc "cần biết" (need to know) dựa trên chính sách truy cập hệ thống của công ty. </w:t>
            </w:r>
            <w:r>
              <w:rPr>
                <w:b/>
                <w:i w:val="0"/>
                <w:sz w:val="19"/>
              </w:rPr>
              <w:t>Tham chiếu rủi ro: D-6, D-7, D-8, D-11</w:t>
            </w:r>
          </w:p>
        </w:tc>
      </w:tr>
      <w:tr>
        <w:tc>
          <w:tcPr>
            <w:tcW w:type="dxa" w:w="4680"/>
          </w:tcPr>
          <w:p>
            <w:r/>
            <w:r>
              <w:rPr>
                <w:b w:val="0"/>
                <w:i w:val="0"/>
                <w:sz w:val="19"/>
              </w:rPr>
              <w:t>7.4.8</w:t>
            </w:r>
          </w:p>
        </w:tc>
        <w:tc>
          <w:tcPr>
            <w:tcW w:type="dxa" w:w="4680"/>
          </w:tcPr>
          <w:p>
            <w:r/>
            <w:r>
              <w:rPr>
                <w:b/>
                <w:i w:val="0"/>
                <w:sz w:val="19"/>
              </w:rPr>
              <w:t>Quản lý Hồ sơ.</w:t>
            </w:r>
            <w:r>
              <w:rPr>
                <w:b w:val="0"/>
                <w:i w:val="0"/>
                <w:sz w:val="19"/>
              </w:rPr>
              <w:t xml:space="preserve"> Hồ sơ kế toán và tài chính phải đầy đủ, được tổ chức tốt và được lưu giữ theo chính sách của công ty về quản lý hồ sơ và các yêu cầu về thuế. Phải lưu giữ đủ hồ sơ trong một môi trường an toàn nhưng có thể truy cập được để hỗ trợ chính xác và đầy đủ cho tất cả tài sản không cố định và tất cả các khoản nợ phải trả. </w:t>
            </w:r>
            <w:r>
              <w:rPr>
                <w:b/>
                <w:i w:val="0"/>
                <w:sz w:val="19"/>
              </w:rPr>
              <w:t>Tham chiếu rủi ro: D-5, D-7, D-8, D-10, D-11</w:t>
            </w:r>
          </w:p>
        </w:tc>
      </w:tr>
      <w:tr>
        <w:tc>
          <w:tcPr>
            <w:tcW w:type="dxa" w:w="4680"/>
          </w:tcPr>
          <w:p>
            <w:r/>
            <w:r>
              <w:rPr>
                <w:b w:val="0"/>
                <w:i w:val="0"/>
                <w:sz w:val="19"/>
              </w:rPr>
              <w:t>7.4.9</w:t>
            </w:r>
          </w:p>
        </w:tc>
        <w:tc>
          <w:tcPr>
            <w:tcW w:type="dxa" w:w="4680"/>
          </w:tcPr>
          <w:p>
            <w:r/>
            <w:r>
              <w:rPr>
                <w:b/>
                <w:i w:val="0"/>
                <w:sz w:val="19"/>
              </w:rPr>
              <w:t>Kết quả Tài chính.</w:t>
            </w:r>
            <w:r>
              <w:rPr>
                <w:b w:val="0"/>
                <w:i w:val="0"/>
                <w:sz w:val="19"/>
              </w:rPr>
              <w:t xml:space="preserve"> Chỉ những cá nhân được ủy quyền mới được giao trách nhiệm thảo luận về kết quả tài chính với những người bên ngoài công ty. </w:t>
            </w:r>
            <w:r>
              <w:rPr>
                <w:b/>
                <w:i w:val="0"/>
                <w:sz w:val="19"/>
              </w:rPr>
              <w:t>Tham chiếu rủi ro: D-6</w:t>
            </w:r>
          </w:p>
        </w:tc>
      </w:tr>
      <w:tr>
        <w:tc>
          <w:tcPr>
            <w:tcW w:type="dxa" w:w="4680"/>
          </w:tcPr>
          <w:p>
            <w:r/>
            <w:r>
              <w:rPr>
                <w:b w:val="0"/>
                <w:i w:val="0"/>
                <w:sz w:val="19"/>
              </w:rPr>
              <w:t>7.4.10</w:t>
            </w:r>
          </w:p>
        </w:tc>
        <w:tc>
          <w:tcPr>
            <w:tcW w:type="dxa" w:w="4680"/>
          </w:tcPr>
          <w:p>
            <w:r/>
            <w:r>
              <w:rPr>
                <w:b/>
                <w:i w:val="0"/>
                <w:sz w:val="19"/>
              </w:rPr>
              <w:t>Yêu cầu Báo cáo Tài chính.</w:t>
            </w:r>
            <w:r>
              <w:rPr>
                <w:b w:val="0"/>
                <w:i w:val="0"/>
                <w:sz w:val="19"/>
              </w:rPr>
              <w:t xml:space="preserve"> Tất cả các đơn vị hoạt động của công ty phải tuân thủ các yêu cầu báo cáo tài chính hiện hành do kiểm soát viên thiết lập. </w:t>
            </w:r>
            <w:r>
              <w:rPr>
                <w:b/>
                <w:i w:val="0"/>
                <w:sz w:val="19"/>
              </w:rPr>
              <w:t>Tham chiếu rủi ro: D-1, D-2, D-5, D-9, D-10</w:t>
            </w:r>
          </w:p>
        </w:tc>
      </w:tr>
      <w:tr>
        <w:tc>
          <w:tcPr>
            <w:tcW w:type="dxa" w:w="4680"/>
          </w:tcPr>
          <w:p>
            <w:r/>
            <w:r>
              <w:rPr>
                <w:b w:val="0"/>
                <w:i w:val="0"/>
                <w:sz w:val="19"/>
              </w:rPr>
              <w:t>7.4.11</w:t>
            </w:r>
          </w:p>
        </w:tc>
        <w:tc>
          <w:tcPr>
            <w:tcW w:type="dxa" w:w="4680"/>
          </w:tcPr>
          <w:p>
            <w:r/>
            <w:r>
              <w:rPr>
                <w:b/>
                <w:i w:val="0"/>
                <w:sz w:val="19"/>
              </w:rPr>
              <w:t>Các Yêu Cầu Báo Cáo Tài Chính Hợp Pháp.</w:t>
            </w:r>
            <w:r>
              <w:rPr>
                <w:b w:val="0"/>
                <w:i w:val="0"/>
                <w:sz w:val="19"/>
              </w:rPr>
              <w:t xml:space="preserve"> Tất cả các yêu cầu báo cáo hợp pháp (ví dụ: tờ khai thuế, kiểm toán theo luật định, v.v.) phải được tuân thủ và áp dụng nhất quán. </w:t>
            </w:r>
            <w:r>
              <w:rPr>
                <w:b/>
                <w:i w:val="0"/>
                <w:sz w:val="19"/>
              </w:rPr>
              <w:t>Tham khảo rủi ro: D-1, D-5</w:t>
            </w:r>
          </w:p>
        </w:tc>
      </w:tr>
      <w:tr>
        <w:tc>
          <w:tcPr>
            <w:tcW w:type="dxa" w:w="4680"/>
          </w:tcPr>
          <w:p>
            <w:r/>
            <w:r>
              <w:rPr>
                <w:b w:val="0"/>
                <w:i w:val="0"/>
                <w:sz w:val="19"/>
              </w:rPr>
              <w:t>7.4.12</w:t>
            </w:r>
          </w:p>
        </w:tc>
        <w:tc>
          <w:tcPr>
            <w:tcW w:type="dxa" w:w="4680"/>
          </w:tcPr>
          <w:p>
            <w:r/>
            <w:r>
              <w:rPr>
                <w:b/>
                <w:i w:val="0"/>
                <w:sz w:val="19"/>
              </w:rPr>
              <w:t>Dịch Báo Cáo Tài Chính.</w:t>
            </w:r>
            <w:r>
              <w:rPr>
                <w:b w:val="0"/>
                <w:i w:val="0"/>
                <w:sz w:val="19"/>
              </w:rPr>
              <w:t xml:space="preserve"> Báo cáo tài chính nước ngoài phải được dịch theo U.S. GAAP và chính sách của công ty. </w:t>
            </w:r>
            <w:r>
              <w:rPr>
                <w:b/>
                <w:i w:val="0"/>
                <w:sz w:val="19"/>
              </w:rPr>
              <w:t>Tham khảo rủi ro: D-1, D-2, D-5, D-9</w:t>
            </w:r>
          </w:p>
        </w:tc>
      </w:tr>
      <w:tr>
        <w:tc>
          <w:tcPr>
            <w:tcW w:type="dxa" w:w="4680"/>
          </w:tcPr>
          <w:p>
            <w:r/>
            <w:r>
              <w:rPr>
                <w:b w:val="0"/>
                <w:i w:val="0"/>
                <w:sz w:val="19"/>
              </w:rPr>
              <w:t>7.4.13</w:t>
            </w:r>
          </w:p>
        </w:tc>
        <w:tc>
          <w:tcPr>
            <w:tcW w:type="dxa" w:w="4680"/>
          </w:tcPr>
          <w:p>
            <w:r/>
            <w:r>
              <w:rPr>
                <w:b/>
                <w:i w:val="0"/>
                <w:sz w:val="19"/>
              </w:rPr>
              <w:t>Định Nghĩa Tài Khoản Sổ Cái Chung.</w:t>
            </w:r>
            <w:r>
              <w:rPr>
                <w:b w:val="0"/>
                <w:i w:val="0"/>
                <w:sz w:val="19"/>
              </w:rPr>
              <w:t xml:space="preserve"> Các định nghĩa hiện hành phải được ghi chép và duy trì cho tất cả các tài khoản sổ cái. </w:t>
            </w:r>
            <w:r>
              <w:rPr>
                <w:b/>
                <w:i w:val="0"/>
                <w:sz w:val="19"/>
              </w:rPr>
              <w:t>Tham khảo rủi ro: D-2, D-9, D-10</w:t>
            </w:r>
          </w:p>
        </w:tc>
      </w:tr>
      <w:tr>
        <w:tc>
          <w:tcPr>
            <w:tcW w:type="dxa" w:w="4680"/>
          </w:tcPr>
          <w:p>
            <w:r/>
            <w:r>
              <w:rPr>
                <w:b w:val="0"/>
                <w:i w:val="0"/>
                <w:sz w:val="19"/>
              </w:rPr>
              <w:t>7.4.14</w:t>
            </w:r>
          </w:p>
        </w:tc>
        <w:tc>
          <w:tcPr>
            <w:tcW w:type="dxa" w:w="4680"/>
          </w:tcPr>
          <w:p>
            <w:r/>
            <w:r>
              <w:rPr>
                <w:b/>
                <w:i w:val="0"/>
                <w:sz w:val="19"/>
              </w:rPr>
              <w:t>Chủ Sở Hữu Tài Khoản Sổ Cái Chung.</w:t>
            </w:r>
            <w:r>
              <w:rPr>
                <w:b w:val="0"/>
                <w:i w:val="0"/>
                <w:sz w:val="19"/>
              </w:rPr>
              <w:t xml:space="preserve"> Danh sách chủ sở hữu tài khoản sổ cái chung phải được cập nhật thường xuyên và các trưởng trung tâm chi phí phải chịu trách nhiệm về tính chính xác của số dư tài khoản. </w:t>
            </w:r>
            <w:r>
              <w:rPr>
                <w:b/>
                <w:i w:val="0"/>
                <w:sz w:val="19"/>
              </w:rPr>
              <w:t>Tham khảo rủi ro: D-2, D-10</w:t>
            </w:r>
          </w:p>
        </w:tc>
      </w:tr>
      <w:tr>
        <w:tc>
          <w:tcPr>
            <w:tcW w:type="dxa" w:w="4680"/>
          </w:tcPr>
          <w:p>
            <w:r/>
            <w:r>
              <w:rPr>
                <w:b w:val="0"/>
                <w:i w:val="0"/>
                <w:sz w:val="19"/>
              </w:rPr>
              <w:t>7.4.15</w:t>
            </w:r>
          </w:p>
        </w:tc>
        <w:tc>
          <w:tcPr>
            <w:tcW w:type="dxa" w:w="4680"/>
          </w:tcPr>
          <w:p>
            <w:r/>
            <w:r>
              <w:rPr>
                <w:b/>
                <w:i w:val="0"/>
                <w:sz w:val="19"/>
              </w:rPr>
              <w:t>So Sánh Thực Tế Với Dự Báo.</w:t>
            </w:r>
            <w:r>
              <w:rPr>
                <w:b w:val="0"/>
                <w:i w:val="0"/>
                <w:sz w:val="19"/>
              </w:rPr>
              <w:t xml:space="preserve"> Việc so sánh và giải thích thông tin tài chính thực tế với thông tin dự báo phải được thực hiện thường xuyên theo các chính sách và quy trình đã thiết lập; tất cả các chênh lệch đáng kể phải được nghiên cứu và phản ánh vào các ước tính/kế hoạch đã điều chỉnh khi thích hợp một cách kịp thời. Các thước đo hiệu suất bảng cân đối kế toán được định nghĩa thống nhất (cùng phương pháp luận) phải được thiết lập và hiệu suất thực tế phải được đo lường so với dự báo hàng tháng. </w:t>
            </w:r>
            <w:r>
              <w:rPr>
                <w:b/>
                <w:i w:val="0"/>
                <w:sz w:val="19"/>
              </w:rPr>
              <w:t>Tham khảo rủi ro: D-1, D-2, D-4, D-5, D-8, D-9</w:t>
            </w:r>
          </w:p>
        </w:tc>
      </w:tr>
      <w:tr>
        <w:tc>
          <w:tcPr>
            <w:tcW w:type="dxa" w:w="4680"/>
          </w:tcPr>
          <w:p>
            <w:r/>
            <w:r>
              <w:rPr>
                <w:b w:val="0"/>
                <w:i w:val="0"/>
                <w:sz w:val="19"/>
              </w:rPr>
              <w:t>7.4.16</w:t>
            </w:r>
          </w:p>
        </w:tc>
        <w:tc>
          <w:tcPr>
            <w:tcW w:type="dxa" w:w="4680"/>
          </w:tcPr>
          <w:p>
            <w:r/>
            <w:r>
              <w:rPr>
                <w:b w:val="0"/>
                <w:i w:val="0"/>
                <w:sz w:val="19"/>
              </w:rPr>
              <w:t>Giao Dịch Với Các Bên Liên Quan. Giao dịch với các bên liên quan cần được định nghĩa và báo cáo. Ví dụ về giao dịch với các bên liên quan là các giao dịch giữa:</w:t>
            </w:r>
            <w:r>
              <w:br/>
            </w:r>
            <w:r>
              <w:rPr>
                <w:b w:val="0"/>
                <w:i w:val="0"/>
                <w:sz w:val="19"/>
              </w:rPr>
              <w:t>a. Một thực thể mẹ và các công ty con của nó</w:t>
            </w:r>
            <w:r>
              <w:br/>
            </w:r>
            <w:r>
              <w:rPr>
                <w:b w:val="0"/>
                <w:i w:val="0"/>
                <w:sz w:val="19"/>
              </w:rPr>
              <w:t>b. Các công ty con của cùng một công ty mẹ</w:t>
            </w:r>
            <w:r>
              <w:br/>
            </w:r>
            <w:r>
              <w:rPr>
                <w:b w:val="0"/>
                <w:i w:val="0"/>
                <w:sz w:val="19"/>
              </w:rPr>
              <w:t>c. Một thực thể và các quỹ tín thác vì lợi ích của nhân viên, chẳng hạn như quỹ hưu trí và quỹ chia sẻ lợi nhuận được quản lý bởi hoặc dưới sự ủy thác của ban quản lý thực thể</w:t>
            </w:r>
            <w:r>
              <w:br/>
            </w:r>
            <w:r>
              <w:rPr>
                <w:b w:val="0"/>
                <w:i w:val="0"/>
                <w:sz w:val="19"/>
              </w:rPr>
              <w:t>d. Một thực thể và các chủ sở hữu chính, ban quản lý, hoặc các thành viên trong gia đình trực hệ của họ</w:t>
            </w:r>
            <w:r>
              <w:br/>
            </w:r>
            <w:r>
              <w:rPr>
                <w:b w:val="0"/>
                <w:i w:val="0"/>
                <w:sz w:val="19"/>
              </w:rPr>
              <w:t xml:space="preserve">e. Các công ty liên kết </w:t>
            </w:r>
            <w:r>
              <w:rPr>
                <w:b/>
                <w:i w:val="0"/>
                <w:sz w:val="19"/>
              </w:rPr>
              <w:t>Tham khảo rủi ro: D-5</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D-1</w:t>
            </w:r>
          </w:p>
        </w:tc>
        <w:tc>
          <w:tcPr>
            <w:tcW w:type="dxa" w:w="4680"/>
          </w:tcPr>
          <w:p>
            <w:r/>
            <w:r>
              <w:rPr>
                <w:b w:val="0"/>
                <w:i w:val="0"/>
                <w:sz w:val="19"/>
              </w:rPr>
              <w:t>Báo cáo tài chính được công bố cho công chúng có thể không được lập theo GAAP áp dụng một cách nhất quán.</w:t>
            </w:r>
          </w:p>
        </w:tc>
      </w:tr>
      <w:tr>
        <w:tc>
          <w:tcPr>
            <w:tcW w:type="dxa" w:w="4680"/>
          </w:tcPr>
          <w:p>
            <w:r/>
            <w:r>
              <w:rPr>
                <w:b w:val="0"/>
                <w:i w:val="0"/>
                <w:sz w:val="19"/>
              </w:rPr>
              <w:t>D-2</w:t>
            </w:r>
          </w:p>
        </w:tc>
        <w:tc>
          <w:tcPr>
            <w:tcW w:type="dxa" w:w="4680"/>
          </w:tcPr>
          <w:p>
            <w:r/>
            <w:r>
              <w:rPr>
                <w:b w:val="0"/>
                <w:i w:val="0"/>
                <w:sz w:val="19"/>
              </w:rPr>
              <w:t>Các báo cáo có thể không chính xác, và những quyết định quan trọng có thể bị đưa ra dựa trên thông tin sai lệch.</w:t>
            </w:r>
          </w:p>
        </w:tc>
      </w:tr>
      <w:tr>
        <w:tc>
          <w:tcPr>
            <w:tcW w:type="dxa" w:w="4680"/>
          </w:tcPr>
          <w:p>
            <w:r/>
            <w:r>
              <w:rPr>
                <w:b w:val="0"/>
                <w:i w:val="0"/>
                <w:sz w:val="19"/>
              </w:rPr>
              <w:t>D-3</w:t>
            </w:r>
          </w:p>
        </w:tc>
        <w:tc>
          <w:tcPr>
            <w:tcW w:type="dxa" w:w="4680"/>
          </w:tcPr>
          <w:p>
            <w:r/>
            <w:r>
              <w:rPr>
                <w:b w:val="0"/>
                <w:i w:val="0"/>
                <w:sz w:val="19"/>
              </w:rPr>
              <w:t>Báo cáo tài chính có thể bị trình bày sai vì các bút toán nhật ký có thể bị bỏ sót, ghi nhận sai kỳ, ghi trùng, và/hoặc thực hiện không đúng.</w:t>
            </w:r>
          </w:p>
        </w:tc>
      </w:tr>
      <w:tr>
        <w:tc>
          <w:tcPr>
            <w:tcW w:type="dxa" w:w="4680"/>
          </w:tcPr>
          <w:p>
            <w:r/>
            <w:r>
              <w:rPr>
                <w:b w:val="0"/>
                <w:i w:val="0"/>
                <w:sz w:val="19"/>
              </w:rPr>
              <w:t>D-4</w:t>
            </w:r>
          </w:p>
        </w:tc>
        <w:tc>
          <w:tcPr>
            <w:tcW w:type="dxa" w:w="4680"/>
          </w:tcPr>
          <w:p>
            <w:r/>
            <w:r>
              <w:rPr>
                <w:b w:val="0"/>
                <w:i w:val="0"/>
                <w:sz w:val="19"/>
              </w:rPr>
              <w:t>Các sai sót và thiếu sót trong việc bảo vệ thực tế, phê duyệt và xử lý giao dịch có thể không bị phát hiện và không được khắc phục. Báo cáo tài chính và hồ sơ có thể được lập không chính xác hoặc không kịp thời.</w:t>
            </w:r>
          </w:p>
        </w:tc>
      </w:tr>
      <w:tr>
        <w:tc>
          <w:tcPr>
            <w:tcW w:type="dxa" w:w="4680"/>
          </w:tcPr>
          <w:p>
            <w:r/>
            <w:r>
              <w:rPr>
                <w:b w:val="0"/>
                <w:i w:val="0"/>
                <w:sz w:val="19"/>
              </w:rPr>
              <w:t>D-5</w:t>
            </w:r>
          </w:p>
        </w:tc>
        <w:tc>
          <w:tcPr>
            <w:tcW w:type="dxa" w:w="4680"/>
          </w:tcPr>
          <w:p>
            <w:r/>
            <w:r>
              <w:rPr>
                <w:b w:val="0"/>
                <w:i w:val="0"/>
                <w:sz w:val="19"/>
              </w:rPr>
              <w:t>Các yêu cầu báo cáo của SEC và các cơ quan chính phủ khác và/hoặc các hạn chế cho vay có thể bị vi phạm. Rủi ro kiện tụng tăng đáng kể do báo cáo tài chính không đúng quy định.</w:t>
            </w:r>
          </w:p>
        </w:tc>
      </w:tr>
      <w:tr>
        <w:tc>
          <w:tcPr>
            <w:tcW w:type="dxa" w:w="4680"/>
          </w:tcPr>
          <w:p>
            <w:r/>
            <w:r>
              <w:rPr>
                <w:b w:val="0"/>
                <w:i w:val="0"/>
                <w:sz w:val="19"/>
              </w:rPr>
              <w:t>D-6</w:t>
            </w:r>
          </w:p>
        </w:tc>
        <w:tc>
          <w:tcPr>
            <w:tcW w:type="dxa" w:w="4680"/>
          </w:tcPr>
          <w:p>
            <w:r/>
            <w:r>
              <w:rPr>
                <w:b w:val="0"/>
                <w:i w:val="0"/>
                <w:sz w:val="19"/>
              </w:rPr>
              <w:t>Thông tin bảo mật và độc quyền có thể bị những cá nhân không được phép xem xét và tiết lộ. Vị thế cạnh tranh và danh tiếng của công ty có thể bị ảnh hưởng tiêu cực.</w:t>
            </w:r>
          </w:p>
        </w:tc>
      </w:tr>
      <w:tr>
        <w:tc>
          <w:tcPr>
            <w:tcW w:type="dxa" w:w="4680"/>
          </w:tcPr>
          <w:p>
            <w:r/>
            <w:r>
              <w:rPr>
                <w:b w:val="0"/>
                <w:i w:val="0"/>
                <w:sz w:val="19"/>
              </w:rPr>
              <w:t>D-7</w:t>
            </w:r>
          </w:p>
        </w:tc>
        <w:tc>
          <w:tcPr>
            <w:tcW w:type="dxa" w:w="4680"/>
          </w:tcPr>
          <w:p>
            <w:r/>
            <w:r>
              <w:rPr>
                <w:b w:val="0"/>
                <w:i w:val="0"/>
                <w:sz w:val="19"/>
              </w:rPr>
              <w:t>Hồ sơ có thể bị hủy hoặc thay đổi. Điều này có thể dẫn đến việc không thể lập báo cáo tài chính chính xác và đáng tin cậy.</w:t>
            </w:r>
          </w:p>
        </w:tc>
      </w:tr>
      <w:tr>
        <w:tc>
          <w:tcPr>
            <w:tcW w:type="dxa" w:w="4680"/>
          </w:tcPr>
          <w:p>
            <w:r/>
            <w:r>
              <w:rPr>
                <w:b w:val="0"/>
                <w:i w:val="0"/>
                <w:sz w:val="19"/>
              </w:rPr>
              <w:t>D-8</w:t>
            </w:r>
          </w:p>
        </w:tc>
        <w:tc>
          <w:tcPr>
            <w:tcW w:type="dxa" w:w="4680"/>
          </w:tcPr>
          <w:p>
            <w:r/>
            <w:r>
              <w:rPr>
                <w:b w:val="0"/>
                <w:i w:val="0"/>
                <w:sz w:val="19"/>
              </w:rPr>
              <w:t>Thông tin tài chính cần thiết cho việc lập ngân sách, dự báo hoặc phân tích có thể không có sẵn.</w:t>
            </w:r>
          </w:p>
        </w:tc>
      </w:tr>
      <w:tr>
        <w:tc>
          <w:tcPr>
            <w:tcW w:type="dxa" w:w="4680"/>
          </w:tcPr>
          <w:p>
            <w:r/>
            <w:r>
              <w:rPr>
                <w:b w:val="0"/>
                <w:i w:val="0"/>
                <w:sz w:val="19"/>
              </w:rPr>
              <w:t>D-9</w:t>
            </w:r>
          </w:p>
        </w:tc>
        <w:tc>
          <w:tcPr>
            <w:tcW w:type="dxa" w:w="4680"/>
          </w:tcPr>
          <w:p>
            <w:r/>
            <w:r>
              <w:rPr>
                <w:b w:val="0"/>
                <w:i w:val="0"/>
                <w:sz w:val="19"/>
              </w:rPr>
              <w:t>Các chính sách và quy trình có thể không được áp dụng đúng cách hoặc nhất quán bởi hoặc giữa các đơn vị hoạt động của công ty. Báo cáo tài chính có thể được lập không chính xác hoặc không kịp thời.</w:t>
            </w:r>
          </w:p>
        </w:tc>
      </w:tr>
      <w:tr>
        <w:tc>
          <w:tcPr>
            <w:tcW w:type="dxa" w:w="4680"/>
          </w:tcPr>
          <w:p>
            <w:r/>
            <w:r>
              <w:rPr>
                <w:b w:val="0"/>
                <w:i w:val="0"/>
                <w:sz w:val="19"/>
              </w:rPr>
              <w:t>D-10</w:t>
            </w:r>
          </w:p>
        </w:tc>
        <w:tc>
          <w:tcPr>
            <w:tcW w:type="dxa" w:w="4680"/>
          </w:tcPr>
          <w:p>
            <w:r/>
            <w:r>
              <w:rPr>
                <w:b w:val="0"/>
                <w:i w:val="0"/>
                <w:sz w:val="19"/>
              </w:rPr>
              <w:t>Rủi ro sai sót trong việc tích lũy và báo cáo thông tin tài chính sẽ tăng lên.</w:t>
            </w:r>
          </w:p>
        </w:tc>
      </w:tr>
      <w:tr>
        <w:tc>
          <w:tcPr>
            <w:tcW w:type="dxa" w:w="4680"/>
          </w:tcPr>
          <w:p>
            <w:r/>
            <w:r>
              <w:rPr>
                <w:b w:val="0"/>
                <w:i w:val="0"/>
                <w:sz w:val="19"/>
              </w:rPr>
              <w:t>D-11</w:t>
            </w:r>
          </w:p>
        </w:tc>
        <w:tc>
          <w:tcPr>
            <w:tcW w:type="dxa" w:w="4680"/>
          </w:tcPr>
          <w:p>
            <w:r/>
            <w:r>
              <w:rPr>
                <w:b w:val="0"/>
                <w:i w:val="0"/>
                <w:sz w:val="19"/>
              </w:rPr>
              <w:t>Công ty có thể đối mặt với kiện tụng do việc lưu trữ hồ sơ không đầy đủ.</w:t>
            </w:r>
          </w:p>
        </w:tc>
      </w:tr>
    </w:tbl>
    <w:p>
      <w:pPr>
        <w:spacing w:after="0"/>
      </w:pPr>
    </w:p>
    <w:p>
      <w:pPr>
        <w:pStyle w:val="Heading2"/>
      </w:pPr>
      <w:r>
        <w:rPr>
          <w:rFonts w:ascii="Calibri" w:hAnsi="Calibri"/>
          <w:b/>
          <w:i w:val="0"/>
          <w:sz w:val="32"/>
        </w:rPr>
        <w:t>7.5 TÀI SẢN CỐ ĐỊNH</w:t>
      </w:r>
    </w:p>
    <w:p>
      <w:pPr>
        <w:pStyle w:val="Heading3"/>
      </w:pPr>
      <w:r>
        <w:rPr>
          <w:rFonts w:ascii="Calibri" w:hAnsi="Calibri"/>
          <w:b/>
          <w:i w:val="0"/>
          <w:sz w:val="26"/>
        </w:rPr>
        <w:t>Giới thiệu</w:t>
      </w:r>
    </w:p>
    <w:p>
      <w:pPr>
        <w:spacing w:after="80"/>
      </w:pPr>
      <w:r>
        <w:rPr>
          <w:b w:val="0"/>
          <w:i w:val="0"/>
        </w:rPr>
        <w:t>Trong phạm vi bộ công cụ này, tài sản cố định bao gồm đất đai, nhà cửa, các dự án đầu tư xây dựng cơ bản, máy móc và thiết bị, đồ nội thất, thiết bị cố định, công cụ dụng cụ và các tài sản tương tự được sử dụng trong hoạt động kinh doanh, cũng như tất cả các loại thiết bị thuê (tài sản thuê, thuê tài chính, thuê cho thuê tài chính trực tiếp và thuê hoạt động). Doanh thu được tạo ra từ việc sử dụng các tài sản này, chứ không phải từ việc bán chúng. Nói chung, một tài sản phải có thời gian sử dụng hữu ích ước tính ít nhất là hai năm để được phân loại là tài sản cố định.</w:t>
      </w:r>
    </w:p>
    <w:p>
      <w:pPr>
        <w:spacing w:after="80"/>
      </w:pPr>
      <w:r>
        <w:rPr>
          <w:b w:val="0"/>
          <w:i w:val="0"/>
        </w:rPr>
        <w:t>Tài sản cố định thường là những tài sản có giá trị cao mà các công ty sử dụng trong khoảng thời gian từ vài năm đến nhiều năm. Vì lý do này, có vẻ như việc quản lý tài sản cố định ít quan trọng hơn so với việc theo dõi các tài sản có thể di chuyển. Hầu như không có hoặc rất ít rủi ro mất mát, trộm cắp và chuyển nhượng trái phép đối với tài sản cố định, nhưng việc theo dõi những tài sản này là một chức năng kinh doanh quan trọng.</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7.5.1</w:t>
            </w:r>
          </w:p>
        </w:tc>
        <w:tc>
          <w:tcPr>
            <w:tcW w:type="dxa" w:w="4680"/>
          </w:tcPr>
          <w:p>
            <w:r/>
            <w:r>
              <w:rPr>
                <w:b/>
                <w:i w:val="0"/>
                <w:sz w:val="19"/>
              </w:rPr>
              <w:t>Lưu trữ hồ sơ.</w:t>
            </w:r>
            <w:r>
              <w:rPr>
                <w:b w:val="0"/>
                <w:i w:val="0"/>
                <w:sz w:val="19"/>
              </w:rPr>
              <w:t xml:space="preserve"> Phải duy trì hồ sơ chi tiết về tài sản cố định và phải bao gồm nguyên giá và khấu hao lũy kế của từng tài sản. Những hồ sơ này cũng nên bao gồm thông tin về số sê-ri, mô tả tài sản, vị trí, số tài sản, dữ liệu thuê, dữ liệu thuế, dữ liệu đơn vị vận hành, v.v., khi thích hợp. </w:t>
            </w:r>
            <w:r>
              <w:rPr>
                <w:b/>
                <w:i w:val="0"/>
                <w:sz w:val="19"/>
              </w:rPr>
              <w:t>Tham khảo rủi ro: E-1, E-2, E-5</w:t>
            </w:r>
          </w:p>
        </w:tc>
      </w:tr>
      <w:tr>
        <w:tc>
          <w:tcPr>
            <w:tcW w:type="dxa" w:w="4680"/>
          </w:tcPr>
          <w:p>
            <w:r/>
            <w:r>
              <w:rPr>
                <w:b w:val="0"/>
                <w:i w:val="0"/>
                <w:sz w:val="19"/>
              </w:rPr>
              <w:t>7.5.2</w:t>
            </w:r>
          </w:p>
        </w:tc>
        <w:tc>
          <w:tcPr>
            <w:tcW w:type="dxa" w:w="4680"/>
          </w:tcPr>
          <w:p>
            <w:r/>
            <w:r>
              <w:rPr>
                <w:b/>
                <w:i w:val="0"/>
                <w:sz w:val="19"/>
              </w:rPr>
              <w:t>Các dự án đầu tư xây dựng cơ bản.</w:t>
            </w:r>
            <w:r>
              <w:rPr>
                <w:b w:val="0"/>
                <w:i w:val="0"/>
                <w:sz w:val="19"/>
              </w:rPr>
              <w:t xml:space="preserve"> Phải duy trì hồ sơ chi tiết cho các dự án đầu tư xây dựng cơ bản như xây dựng dở dang để tạo điều kiện phân loại tài sản một cách chính xác và kịp thời khi công trình hoàn thành. </w:t>
            </w:r>
            <w:r>
              <w:rPr>
                <w:b/>
                <w:i w:val="0"/>
                <w:sz w:val="19"/>
              </w:rPr>
              <w:t>Tham khảo rủi ro: E-1, E-3, E-5, E-7</w:t>
            </w:r>
          </w:p>
        </w:tc>
      </w:tr>
      <w:tr>
        <w:tc>
          <w:tcPr>
            <w:tcW w:type="dxa" w:w="4680"/>
          </w:tcPr>
          <w:p>
            <w:r/>
            <w:r>
              <w:rPr>
                <w:b w:val="0"/>
                <w:i w:val="0"/>
                <w:sz w:val="19"/>
              </w:rPr>
              <w:t>7.5.3</w:t>
            </w:r>
          </w:p>
        </w:tc>
        <w:tc>
          <w:tcPr>
            <w:tcW w:type="dxa" w:w="4680"/>
          </w:tcPr>
          <w:p>
            <w:r/>
            <w:r>
              <w:rPr>
                <w:b/>
                <w:i w:val="0"/>
                <w:sz w:val="19"/>
              </w:rPr>
              <w:t>Hồ sơ được bảo vệ.</w:t>
            </w:r>
            <w:r>
              <w:rPr>
                <w:b w:val="0"/>
                <w:i w:val="0"/>
                <w:sz w:val="19"/>
              </w:rPr>
              <w:t xml:space="preserve"> Phải bảo vệ hồ sơ chi tiết về tài sản cố định và xây dựng dở dang, bao gồm cả bảo mật truy cập hệ thống. </w:t>
            </w:r>
            <w:r>
              <w:rPr>
                <w:b/>
                <w:i w:val="0"/>
                <w:sz w:val="19"/>
              </w:rPr>
              <w:t>Tham khảo rủi ro: E-5, E-6</w:t>
            </w:r>
          </w:p>
        </w:tc>
      </w:tr>
      <w:tr>
        <w:tc>
          <w:tcPr>
            <w:tcW w:type="dxa" w:w="4680"/>
          </w:tcPr>
          <w:p>
            <w:r/>
            <w:r>
              <w:rPr>
                <w:b w:val="0"/>
                <w:i w:val="0"/>
                <w:sz w:val="19"/>
              </w:rPr>
              <w:t>7.5.4</w:t>
            </w:r>
          </w:p>
        </w:tc>
        <w:tc>
          <w:tcPr>
            <w:tcW w:type="dxa" w:w="4680"/>
          </w:tcPr>
          <w:p>
            <w:r/>
            <w:r>
              <w:rPr>
                <w:b/>
                <w:i w:val="0"/>
                <w:sz w:val="19"/>
              </w:rPr>
              <w:t>Đối chiếu sổ cái tổng hợp.</w:t>
            </w:r>
            <w:r>
              <w:rPr>
                <w:b w:val="0"/>
                <w:i w:val="0"/>
                <w:sz w:val="19"/>
              </w:rPr>
              <w:t xml:space="preserve"> Hồ sơ chi tiết về tài sản cố định phải được đối chiếu (nội dung đã được biết rõ và tình trạng hiện tại được cập nhật) với sổ cái tổng hợp và mọi chênh lệch phải được nghiên cứu và giải quyết kịp thời. Hồ sơ sổ cái tổng hợp phải khớp với báo cáo tài chính hợp nhất. </w:t>
            </w:r>
            <w:r>
              <w:rPr>
                <w:b/>
                <w:i w:val="0"/>
                <w:sz w:val="19"/>
              </w:rPr>
              <w:t>Tham khảo rủi ro: E-1, E-3, E-5</w:t>
            </w:r>
          </w:p>
        </w:tc>
      </w:tr>
      <w:tr>
        <w:tc>
          <w:tcPr>
            <w:tcW w:type="dxa" w:w="4680"/>
          </w:tcPr>
          <w:p>
            <w:r/>
            <w:r>
              <w:rPr>
                <w:b w:val="0"/>
                <w:i w:val="0"/>
                <w:sz w:val="19"/>
              </w:rPr>
              <w:t>7.5.5</w:t>
            </w:r>
          </w:p>
        </w:tc>
        <w:tc>
          <w:tcPr>
            <w:tcW w:type="dxa" w:w="4680"/>
          </w:tcPr>
          <w:p>
            <w:r/>
            <w:r>
              <w:rPr>
                <w:b w:val="0"/>
                <w:i w:val="0"/>
                <w:sz w:val="19"/>
              </w:rPr>
              <w:t>Quy trình kế toán. Các quy trình kế toán cho tài sản cố định phải tuân theo chính sách của công ty và các yêu cầu luật định tại địa phương. Ví dụ bao gồm:</w:t>
            </w:r>
            <w:r>
              <w:br/>
            </w:r>
            <w:r>
              <w:rPr>
                <w:b w:val="0"/>
                <w:i w:val="0"/>
                <w:sz w:val="19"/>
              </w:rPr>
              <w:t>a. Thuê hoạt động so với thuê tài chính</w:t>
            </w:r>
            <w:r>
              <w:br/>
            </w:r>
            <w:r>
              <w:rPr>
                <w:b w:val="0"/>
                <w:i w:val="0"/>
                <w:sz w:val="19"/>
              </w:rPr>
              <w:t>b. Vốn hóa so với ghi nhận chi phí cho các cải tiến, sửa chữa, tân trang</w:t>
            </w:r>
            <w:r>
              <w:br/>
            </w:r>
            <w:r>
              <w:rPr>
                <w:b w:val="0"/>
                <w:i w:val="0"/>
                <w:sz w:val="19"/>
              </w:rPr>
              <w:t>c. Phương pháp khấu hao và thời gian sử dụng hữu ích</w:t>
            </w:r>
            <w:r>
              <w:br/>
            </w:r>
            <w:r>
              <w:rPr>
                <w:b w:val="0"/>
                <w:i w:val="0"/>
                <w:sz w:val="19"/>
              </w:rPr>
              <w:t xml:space="preserve">d. Bổ sung, chuyển nhượng và thanh lý. </w:t>
            </w:r>
            <w:r>
              <w:rPr>
                <w:b/>
                <w:i w:val="0"/>
                <w:sz w:val="19"/>
              </w:rPr>
              <w:t>Tham chiếu rủi ro: E-1, E-2, E-5</w:t>
            </w:r>
          </w:p>
        </w:tc>
      </w:tr>
      <w:tr>
        <w:tc>
          <w:tcPr>
            <w:tcW w:type="dxa" w:w="4680"/>
          </w:tcPr>
          <w:p>
            <w:r/>
            <w:r>
              <w:rPr>
                <w:b w:val="0"/>
                <w:i w:val="0"/>
                <w:sz w:val="19"/>
              </w:rPr>
              <w:t>7.5.6</w:t>
            </w:r>
          </w:p>
        </w:tc>
        <w:tc>
          <w:tcPr>
            <w:tcW w:type="dxa" w:w="4680"/>
          </w:tcPr>
          <w:p>
            <w:r/>
            <w:r>
              <w:rPr>
                <w:b/>
                <w:i w:val="0"/>
                <w:sz w:val="19"/>
              </w:rPr>
              <w:t>Quy trình phê duyệt.</w:t>
            </w:r>
            <w:r>
              <w:rPr>
                <w:b w:val="0"/>
                <w:i w:val="0"/>
                <w:sz w:val="19"/>
              </w:rPr>
              <w:t xml:space="preserve"> Cần thiết lập một quy trình phê duyệt chính thức cho tất cả các khoản chi tiêu vốn, bao gồm việc xin phê duyệt bổ sung khi các khoản chi riêng lẻ vượt quá số tiền đã được phê duyệt ban đầu. </w:t>
            </w:r>
            <w:r>
              <w:rPr>
                <w:b/>
                <w:i w:val="0"/>
                <w:sz w:val="19"/>
              </w:rPr>
              <w:t>Tham chiếu rủi ro: E-9</w:t>
            </w:r>
          </w:p>
        </w:tc>
      </w:tr>
      <w:tr>
        <w:tc>
          <w:tcPr>
            <w:tcW w:type="dxa" w:w="4680"/>
          </w:tcPr>
          <w:p>
            <w:r/>
            <w:r>
              <w:rPr>
                <w:b w:val="0"/>
                <w:i/>
                <w:sz w:val="19"/>
              </w:rPr>
              <w:t>7.5.7</w:t>
            </w:r>
          </w:p>
        </w:tc>
        <w:tc>
          <w:tcPr>
            <w:tcW w:type="dxa" w:w="4680"/>
          </w:tcPr>
          <w:p>
            <w:r/>
            <w:r>
              <w:rPr>
                <w:b/>
                <w:i w:val="0"/>
                <w:sz w:val="19"/>
              </w:rPr>
              <w:t>Xác minh tài sản.</w:t>
            </w:r>
            <w:r>
              <w:rPr>
                <w:b w:val="0"/>
                <w:i w:val="0"/>
                <w:sz w:val="19"/>
              </w:rPr>
              <w:t xml:space="preserve"> Việc xác minh thực tế tài sản cố định phải được hoàn thành ít nhất hai năm một lần. Các lần kiểm đếm thực tế phải được đối chiếu với hồ sơ chi tiết và sổ cái chung, mọi chênh lệch phải được điều tra và ghi nhận kịp thời. </w:t>
            </w:r>
            <w:r>
              <w:rPr>
                <w:b/>
                <w:i w:val="0"/>
                <w:sz w:val="19"/>
              </w:rPr>
              <w:t>Tham chiếu rủi ro: E-1, E-3, E-4, E-5</w:t>
            </w:r>
          </w:p>
        </w:tc>
      </w:tr>
      <w:tr>
        <w:tc>
          <w:tcPr>
            <w:tcW w:type="dxa" w:w="4680"/>
          </w:tcPr>
          <w:p>
            <w:r/>
            <w:r>
              <w:rPr>
                <w:b w:val="0"/>
                <w:i w:val="0"/>
                <w:sz w:val="19"/>
              </w:rPr>
              <w:t>7.5.8</w:t>
            </w:r>
          </w:p>
        </w:tc>
        <w:tc>
          <w:tcPr>
            <w:tcW w:type="dxa" w:w="4680"/>
          </w:tcPr>
          <w:p>
            <w:r/>
            <w:r>
              <w:rPr>
                <w:b/>
                <w:i w:val="0"/>
                <w:sz w:val="19"/>
              </w:rPr>
              <w:t>Tài sản được bảo vệ.</w:t>
            </w:r>
            <w:r>
              <w:rPr>
                <w:b w:val="0"/>
                <w:i w:val="0"/>
                <w:sz w:val="19"/>
              </w:rPr>
              <w:t xml:space="preserve"> Phải xây dựng và ghi nhận thành văn bản các chính sách để thiết lập trách nhiệm giải trình nhằm bảo vệ tài sản. Tất cả tài sản cố định phải được bảo vệ đầy đủ. Các tài sản dễ di chuyển (ví dụ: laptop PC) nên được cố định về mặt vật lý trong mức độ có thể. </w:t>
            </w:r>
            <w:r>
              <w:rPr>
                <w:b/>
                <w:i w:val="0"/>
                <w:sz w:val="19"/>
              </w:rPr>
              <w:t>Tham chiếu rủi ro: E-1, E-3</w:t>
            </w:r>
          </w:p>
        </w:tc>
      </w:tr>
      <w:tr>
        <w:tc>
          <w:tcPr>
            <w:tcW w:type="dxa" w:w="4680"/>
          </w:tcPr>
          <w:p>
            <w:r/>
            <w:r>
              <w:rPr>
                <w:b w:val="0"/>
                <w:i w:val="0"/>
                <w:sz w:val="19"/>
              </w:rPr>
              <w:t>7.5.9</w:t>
            </w:r>
          </w:p>
        </w:tc>
        <w:tc>
          <w:tcPr>
            <w:tcW w:type="dxa" w:w="4680"/>
          </w:tcPr>
          <w:p>
            <w:r/>
            <w:r>
              <w:rPr>
                <w:b/>
                <w:i w:val="0"/>
                <w:sz w:val="19"/>
              </w:rPr>
              <w:t>Tài sản thừa.</w:t>
            </w:r>
            <w:r>
              <w:rPr>
                <w:b w:val="0"/>
                <w:i w:val="0"/>
                <w:sz w:val="19"/>
              </w:rPr>
              <w:t xml:space="preserve"> Mọi sự tích tụ đáng kể tài sản cố định ít được sử dụng (tức là nhàn rỗi hoặc thừa) phải được báo cáo cho ban quản lý địa phương. Những tài sản như vậy nên được xem xét để tìm cơ hội thanh lý và định giá đúng trên bảng cân đối kế toán; sự suy giảm giá trị của tài sản nên được ghi nhận một cách thích hợp trong báo cáo tài chính. </w:t>
            </w:r>
            <w:r>
              <w:rPr>
                <w:b/>
                <w:i w:val="0"/>
                <w:sz w:val="19"/>
              </w:rPr>
              <w:t>Tham chiếu rủi ro: E-1, E-2, E-4</w:t>
            </w:r>
          </w:p>
        </w:tc>
      </w:tr>
      <w:tr>
        <w:tc>
          <w:tcPr>
            <w:tcW w:type="dxa" w:w="4680"/>
          </w:tcPr>
          <w:p>
            <w:r/>
            <w:r>
              <w:rPr>
                <w:b w:val="0"/>
                <w:i w:val="0"/>
                <w:sz w:val="19"/>
              </w:rPr>
              <w:t>7.5.10</w:t>
            </w:r>
          </w:p>
        </w:tc>
        <w:tc>
          <w:tcPr>
            <w:tcW w:type="dxa" w:w="4680"/>
          </w:tcPr>
          <w:p>
            <w:r/>
            <w:r>
              <w:rPr>
                <w:b/>
                <w:i w:val="0"/>
                <w:sz w:val="19"/>
              </w:rPr>
              <w:t>Quy trình thanh lý tài sản.</w:t>
            </w:r>
            <w:r>
              <w:rPr>
                <w:b w:val="0"/>
                <w:i w:val="0"/>
                <w:sz w:val="19"/>
              </w:rPr>
              <w:t xml:space="preserve"> Cần có một quy trình phê duyệt chính thức cho bất kỳ việc bán, thanh lý, bỏ hoang, mất mát hoặc chuyển nhượng tài sản cố định nào. Việc bán sẽ được thực hiện, xuất hóa đơn và ghi nhận trong cùng năm kế toán với thời điểm thanh lý, sau khi thực hiện việc kiểm tra tín dụng phù hợp. </w:t>
            </w:r>
            <w:r>
              <w:rPr>
                <w:b/>
                <w:i w:val="0"/>
                <w:sz w:val="19"/>
              </w:rPr>
              <w:t>Tham chiếu rủi ro: E-3, E-5, E-8</w:t>
            </w:r>
          </w:p>
        </w:tc>
      </w:tr>
      <w:tr>
        <w:tc>
          <w:tcPr>
            <w:tcW w:type="dxa" w:w="4680"/>
          </w:tcPr>
          <w:p>
            <w:r/>
            <w:r>
              <w:rPr>
                <w:b w:val="0"/>
                <w:i w:val="0"/>
                <w:sz w:val="19"/>
              </w:rPr>
              <w:t>7.5.11</w:t>
            </w:r>
          </w:p>
        </w:tc>
        <w:tc>
          <w:tcPr>
            <w:tcW w:type="dxa" w:w="4680"/>
          </w:tcPr>
          <w:p>
            <w:r/>
            <w:r>
              <w:rPr>
                <w:b/>
                <w:i w:val="0"/>
                <w:sz w:val="19"/>
              </w:rPr>
              <w:t>Tính toán thuế.</w:t>
            </w:r>
            <w:r>
              <w:rPr>
                <w:b w:val="0"/>
                <w:i w:val="0"/>
                <w:sz w:val="19"/>
              </w:rPr>
              <w:t xml:space="preserve"> Phải duy trì các quy trình để hỗ trợ việc tính toán thuế (liên quan đến tài sản cố định, ví dụ: thuế tài sản, thuế sử dụng, v.v.) theo luật thuế của quốc gia địa phương và/hoặc Hoa Kỳ. </w:t>
            </w:r>
            <w:r>
              <w:rPr>
                <w:b/>
                <w:i w:val="0"/>
                <w:sz w:val="19"/>
              </w:rPr>
              <w:t>Tham chiếu rủi ro: E-1, E-5</w:t>
            </w:r>
          </w:p>
        </w:tc>
      </w:tr>
      <w:tr>
        <w:tc>
          <w:tcPr>
            <w:tcW w:type="dxa" w:w="4680"/>
          </w:tcPr>
          <w:p>
            <w:r/>
            <w:r>
              <w:rPr>
                <w:b w:val="0"/>
                <w:i w:val="0"/>
                <w:sz w:val="19"/>
              </w:rPr>
              <w:t>7.5.12</w:t>
            </w:r>
          </w:p>
        </w:tc>
        <w:tc>
          <w:tcPr>
            <w:tcW w:type="dxa" w:w="4680"/>
          </w:tcPr>
          <w:p>
            <w:r/>
            <w:r>
              <w:rPr>
                <w:b w:val="0"/>
                <w:i w:val="0"/>
                <w:sz w:val="19"/>
              </w:rPr>
              <w:t>Phân tách nhiệm vụ. Tất cả các chức năng liên quan đến tài sản cố định phải có các kiểm soát phân tách nhiệm vụ sau đây:</w:t>
            </w:r>
            <w:r>
              <w:br/>
            </w:r>
            <w:r>
              <w:rPr>
                <w:b w:val="0"/>
                <w:i w:val="0"/>
                <w:sz w:val="19"/>
              </w:rPr>
              <w:t>a. Khởi tạo, đánh giá và phê duyệt các khoản chi tiêu tài sản cố định tách biệt khỏi các chức năng hồ sơ tài sản và sổ cái chung</w:t>
            </w:r>
            <w:r>
              <w:br/>
            </w:r>
            <w:r>
              <w:rPr>
                <w:b w:val="0"/>
                <w:i w:val="0"/>
                <w:sz w:val="19"/>
              </w:rPr>
              <w:t>b. Các chức năng hồ sơ tài sản và sổ cái chung tách biệt khỏi việc giám hộ tài sản cố định</w:t>
            </w:r>
            <w:r>
              <w:br/>
            </w:r>
            <w:r>
              <w:rPr>
                <w:b w:val="0"/>
                <w:i w:val="0"/>
                <w:sz w:val="19"/>
              </w:rPr>
              <w:t xml:space="preserve">c. Các chức năng kế toán tài sản cố định, mua sắm và giám hộ tách biệt khỏi việc thực hiện kiểm kê thực tế </w:t>
            </w:r>
            <w:r>
              <w:rPr>
                <w:b/>
                <w:i w:val="0"/>
                <w:sz w:val="19"/>
              </w:rPr>
              <w:t>Tham chiếu rủi ro: E-1, E-3, E-10</w:t>
            </w:r>
          </w:p>
        </w:tc>
      </w:tr>
      <w:tr>
        <w:tc>
          <w:tcPr>
            <w:tcW w:type="dxa" w:w="4680"/>
          </w:tcPr>
          <w:p>
            <w:r/>
            <w:r>
              <w:rPr>
                <w:b w:val="0"/>
                <w:i w:val="0"/>
                <w:sz w:val="19"/>
              </w:rPr>
              <w:t>7.5.13</w:t>
            </w:r>
          </w:p>
        </w:tc>
        <w:tc>
          <w:tcPr>
            <w:tcW w:type="dxa" w:w="4680"/>
          </w:tcPr>
          <w:p>
            <w:r/>
            <w:r>
              <w:rPr>
                <w:b/>
                <w:i w:val="0"/>
                <w:sz w:val="19"/>
              </w:rPr>
              <w:t>Ghi nhận vốn hóa.</w:t>
            </w:r>
            <w:r>
              <w:rPr>
                <w:b w:val="0"/>
                <w:i w:val="0"/>
                <w:sz w:val="19"/>
              </w:rPr>
              <w:t xml:space="preserve"> Tài sản cố định phải được ghi nhận vốn hóa kịp thời theo quy định thuế và GAAP (chuẩn mực kế toán được chấp nhận chung). </w:t>
            </w:r>
            <w:r>
              <w:rPr>
                <w:b/>
                <w:i w:val="0"/>
                <w:sz w:val="19"/>
              </w:rPr>
              <w:t>Tham chiếu rủi ro: E-1, E-2, E-3</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E-1</w:t>
            </w:r>
          </w:p>
        </w:tc>
        <w:tc>
          <w:tcPr>
            <w:tcW w:type="dxa" w:w="4680"/>
          </w:tcPr>
          <w:p>
            <w:r/>
            <w:r>
              <w:rPr>
                <w:b w:val="0"/>
                <w:i w:val="0"/>
                <w:sz w:val="19"/>
              </w:rPr>
              <w:t>Báo cáo tài chính có thể bị trình bày sai.</w:t>
            </w:r>
          </w:p>
        </w:tc>
      </w:tr>
      <w:tr>
        <w:tc>
          <w:tcPr>
            <w:tcW w:type="dxa" w:w="4680"/>
          </w:tcPr>
          <w:p>
            <w:r/>
            <w:r>
              <w:rPr>
                <w:b w:val="0"/>
                <w:i w:val="0"/>
                <w:sz w:val="19"/>
              </w:rPr>
              <w:t>E-2</w:t>
            </w:r>
          </w:p>
        </w:tc>
        <w:tc>
          <w:tcPr>
            <w:tcW w:type="dxa" w:w="4680"/>
          </w:tcPr>
          <w:p>
            <w:r/>
            <w:r>
              <w:rPr>
                <w:b w:val="0"/>
                <w:i w:val="0"/>
                <w:sz w:val="19"/>
              </w:rPr>
              <w:t>Thông tin tài chính/thuế có thể bị trình bày sai, dẫn đến định giá doanh nghiệp không chính xác hoặc các quyết định không phù hợp.</w:t>
            </w:r>
          </w:p>
        </w:tc>
      </w:tr>
      <w:tr>
        <w:tc>
          <w:tcPr>
            <w:tcW w:type="dxa" w:w="4680"/>
          </w:tcPr>
          <w:p>
            <w:r/>
            <w:r>
              <w:rPr>
                <w:b w:val="0"/>
                <w:i w:val="0"/>
                <w:sz w:val="19"/>
              </w:rPr>
              <w:t>E-3</w:t>
            </w:r>
          </w:p>
        </w:tc>
        <w:tc>
          <w:tcPr>
            <w:tcW w:type="dxa" w:w="4680"/>
          </w:tcPr>
          <w:p>
            <w:r/>
            <w:r>
              <w:rPr>
                <w:b w:val="0"/>
                <w:i w:val="0"/>
                <w:sz w:val="19"/>
              </w:rPr>
              <w:t>Tài sản có thể bị chiếm dụng/đánh cắp khỏi công ty.</w:t>
            </w:r>
          </w:p>
        </w:tc>
      </w:tr>
      <w:tr>
        <w:tc>
          <w:tcPr>
            <w:tcW w:type="dxa" w:w="4680"/>
          </w:tcPr>
          <w:p>
            <w:r/>
            <w:r>
              <w:rPr>
                <w:b w:val="0"/>
                <w:i w:val="0"/>
                <w:sz w:val="19"/>
              </w:rPr>
              <w:t>E-4</w:t>
            </w:r>
          </w:p>
        </w:tc>
        <w:tc>
          <w:tcPr>
            <w:tcW w:type="dxa" w:w="4680"/>
          </w:tcPr>
          <w:p>
            <w:r/>
            <w:r>
              <w:rPr>
                <w:b w:val="0"/>
                <w:i w:val="0"/>
                <w:sz w:val="19"/>
              </w:rPr>
              <w:t>Tài sản có thể bị sử dụng dưới mức tiềm năng.</w:t>
            </w:r>
          </w:p>
        </w:tc>
      </w:tr>
      <w:tr>
        <w:tc>
          <w:tcPr>
            <w:tcW w:type="dxa" w:w="4680"/>
          </w:tcPr>
          <w:p>
            <w:r/>
            <w:r>
              <w:rPr>
                <w:b w:val="0"/>
                <w:i w:val="0"/>
                <w:sz w:val="19"/>
              </w:rPr>
              <w:t>E-5</w:t>
            </w:r>
          </w:p>
        </w:tc>
        <w:tc>
          <w:tcPr>
            <w:tcW w:type="dxa" w:w="4680"/>
          </w:tcPr>
          <w:p>
            <w:r/>
            <w:r>
              <w:rPr>
                <w:b w:val="0"/>
                <w:i w:val="0"/>
                <w:sz w:val="19"/>
              </w:rPr>
              <w:t>Nếu không có tài liệu hỗ trợ đầy đủ, có nguy cơ vi phạm luật thuế của quốc gia sở tại và Hoa Kỳ.</w:t>
            </w:r>
          </w:p>
        </w:tc>
      </w:tr>
      <w:tr>
        <w:tc>
          <w:tcPr>
            <w:tcW w:type="dxa" w:w="4680"/>
          </w:tcPr>
          <w:p>
            <w:r/>
            <w:r>
              <w:rPr>
                <w:b w:val="0"/>
                <w:i w:val="0"/>
                <w:sz w:val="19"/>
              </w:rPr>
              <w:t>E-6</w:t>
            </w:r>
          </w:p>
        </w:tc>
        <w:tc>
          <w:tcPr>
            <w:tcW w:type="dxa" w:w="4680"/>
          </w:tcPr>
          <w:p>
            <w:r/>
            <w:r>
              <w:rPr>
                <w:b w:val="0"/>
                <w:i w:val="0"/>
                <w:sz w:val="19"/>
              </w:rPr>
              <w:t>Việc hủy hoại hoặc mất hồ sơ có thể dẫn đến gián đoạn kinh doanh và chi phí không cần thiết.</w:t>
            </w:r>
          </w:p>
        </w:tc>
      </w:tr>
      <w:tr>
        <w:tc>
          <w:tcPr>
            <w:tcW w:type="dxa" w:w="4680"/>
          </w:tcPr>
          <w:p>
            <w:r/>
            <w:r>
              <w:rPr>
                <w:b w:val="0"/>
                <w:i w:val="0"/>
                <w:sz w:val="19"/>
              </w:rPr>
              <w:t>E-7</w:t>
            </w:r>
          </w:p>
        </w:tc>
        <w:tc>
          <w:tcPr>
            <w:tcW w:type="dxa" w:w="4680"/>
          </w:tcPr>
          <w:p>
            <w:r/>
            <w:r>
              <w:rPr>
                <w:b w:val="0"/>
                <w:i w:val="0"/>
                <w:sz w:val="19"/>
              </w:rPr>
              <w:t>Trong trường hợp mất mát hoặc hư hỏng tài sản, việc bồi thường bảo hiểm có thể không đủ để chi trả cho việc sửa chữa hoặc thay thế tài sản cố định cùng loại/cùng chất lượng tương đương.</w:t>
            </w:r>
          </w:p>
        </w:tc>
      </w:tr>
      <w:tr>
        <w:tc>
          <w:tcPr>
            <w:tcW w:type="dxa" w:w="4680"/>
          </w:tcPr>
          <w:p>
            <w:r/>
            <w:r>
              <w:rPr>
                <w:b w:val="0"/>
                <w:i w:val="0"/>
                <w:sz w:val="19"/>
              </w:rPr>
              <w:t>E-8</w:t>
            </w:r>
          </w:p>
        </w:tc>
        <w:tc>
          <w:tcPr>
            <w:tcW w:type="dxa" w:w="4680"/>
          </w:tcPr>
          <w:p>
            <w:r/>
            <w:r>
              <w:rPr>
                <w:b w:val="0"/>
                <w:i w:val="0"/>
                <w:sz w:val="19"/>
              </w:rPr>
              <w:t>Nếu việc tính toán giá trị thay thế không chính xác, phí bảo hiểm sẽ bị khai cao/khai thấp.</w:t>
            </w:r>
          </w:p>
        </w:tc>
      </w:tr>
      <w:tr>
        <w:tc>
          <w:tcPr>
            <w:tcW w:type="dxa" w:w="4680"/>
          </w:tcPr>
          <w:p>
            <w:r/>
            <w:r>
              <w:rPr>
                <w:b w:val="0"/>
                <w:i w:val="0"/>
                <w:sz w:val="19"/>
              </w:rPr>
              <w:t>E-9</w:t>
            </w:r>
          </w:p>
        </w:tc>
        <w:tc>
          <w:tcPr>
            <w:tcW w:type="dxa" w:w="4680"/>
          </w:tcPr>
          <w:p>
            <w:r/>
            <w:r>
              <w:rPr>
                <w:b w:val="0"/>
                <w:i w:val="0"/>
                <w:sz w:val="19"/>
              </w:rPr>
              <w:t>Chi tiêu vốn có thể quá mức, ảnh hưởng tiêu cực đến dòng tiền của công ty.</w:t>
            </w:r>
          </w:p>
        </w:tc>
      </w:tr>
      <w:tr>
        <w:tc>
          <w:tcPr>
            <w:tcW w:type="dxa" w:w="4680"/>
          </w:tcPr>
          <w:p>
            <w:r/>
            <w:r>
              <w:rPr>
                <w:b w:val="0"/>
                <w:i w:val="0"/>
                <w:sz w:val="19"/>
              </w:rPr>
              <w:t>E-10</w:t>
            </w:r>
          </w:p>
        </w:tc>
        <w:tc>
          <w:tcPr>
            <w:tcW w:type="dxa" w:w="4680"/>
          </w:tcPr>
          <w:p>
            <w:r/>
            <w:r>
              <w:rPr>
                <w:b w:val="0"/>
                <w:i w:val="0"/>
                <w:sz w:val="19"/>
              </w:rPr>
              <w:t>Các sai sót và thiếu sót trong việc phê duyệt và xử lý giao dịch hoặc các biện pháp bảo vệ tài sản yếu kém có thể dẫn đến tài sản bị mất, bị đánh cắp, bị phá hủy hoặc bị chuyển hướng tạm thời. Việc trộm cắp tài sản có thể không bị phát hiện.</w:t>
            </w:r>
          </w:p>
        </w:tc>
      </w:tr>
    </w:tbl>
    <w:p>
      <w:pPr>
        <w:spacing w:after="0"/>
      </w:pPr>
    </w:p>
    <w:p>
      <w:pPr>
        <w:pStyle w:val="Heading2"/>
      </w:pPr>
      <w:r>
        <w:rPr>
          <w:rFonts w:ascii="Calibri" w:hAnsi="Calibri"/>
          <w:b/>
          <w:i w:val="0"/>
          <w:sz w:val="32"/>
        </w:rPr>
        <w:t>GHI CHÚ</w:t>
      </w:r>
    </w:p>
    <w:p>
      <w:pPr>
        <w:pStyle w:val="Heading1"/>
      </w:pPr>
      <w:r>
        <w:rPr>
          <w:rFonts w:ascii="Calibri" w:hAnsi="Calibri"/>
          <w:b/>
          <w:i w:val="0"/>
          <w:sz w:val="40"/>
        </w:rPr>
        <w:t xml:space="preserve">CHƯƠNG 8 </w:t>
      </w:r>
      <w:r>
        <w:br/>
      </w:r>
      <w:r>
        <w:rPr>
          <w:rFonts w:ascii="Calibri" w:hAnsi="Calibri"/>
          <w:b/>
          <w:i w:val="0"/>
          <w:sz w:val="40"/>
        </w:rPr>
        <w:t xml:space="preserve"> Hợp đồng Chính phủ</w:t>
      </w:r>
    </w:p>
    <w:p>
      <w:pPr>
        <w:pStyle w:val="Heading2"/>
      </w:pPr>
      <w:r>
        <w:rPr>
          <w:rFonts w:ascii="Calibri" w:hAnsi="Calibri"/>
          <w:b/>
          <w:i w:val="0"/>
          <w:sz w:val="32"/>
        </w:rPr>
        <w:t>GIỚI THIỆU</w:t>
      </w:r>
    </w:p>
    <w:p>
      <w:pPr>
        <w:spacing w:after="80"/>
      </w:pPr>
      <w:r>
        <w:rPr>
          <w:b w:val="0"/>
          <w:i w:val="0"/>
        </w:rPr>
        <w:t>Quy trình hợp đồng chính phủ bao gồm tổng quan về các biện pháp kiểm soát cần thiết để tuân thủ các yêu cầu của chính phủ và chỉ ra nơi chúng có thể được áp dụng cho công ty.</w:t>
      </w:r>
    </w:p>
    <w:p>
      <w:pPr>
        <w:pStyle w:val="Heading2"/>
      </w:pPr>
      <w:r>
        <w:rPr>
          <w:rFonts w:ascii="Calibri" w:hAnsi="Calibri"/>
          <w:b/>
          <w:i w:val="0"/>
          <w:sz w:val="32"/>
        </w:rPr>
        <w:t>ÁP DỤNG KIỂM SOÁT NỘI BỘ</w:t>
      </w:r>
    </w:p>
    <w:p>
      <w:pPr>
        <w:spacing w:after="80"/>
      </w:pPr>
      <w:r>
        <w:rPr>
          <w:b w:val="0"/>
          <w:i w:val="0"/>
        </w:rPr>
        <w:t>Trong việc lựa chọn các thủ tục và kỹ thuật kiểm soát của ban quản lý, mức độ kiểm soát được thực hiện là một vấn đề thuộc phán đoán kinh doanh hợp lý. Nguyên tắc chung được sử dụng để xác định mức độ thực hiện kiểm soát nội bộ là chi phí của một biện pháp kiểm soát không được vượt quá lợi ích thu được. Tuy nhiên, có một bộ biện pháp kiểm soát tối thiểu cần tồn tại trong môi trường kinh doanh bình thường. Các tiêu chuẩn kiểm soát nội bộ được liệt kê ở đây đại diện cho các biện pháp kiểm soát tối thiểu cần được thực hiện cho quy trình hợp đồng chính phủ.</w:t>
      </w:r>
    </w:p>
    <w:p>
      <w:pPr>
        <w:pStyle w:val="Heading2"/>
      </w:pPr>
      <w:r>
        <w:rPr>
          <w:rFonts w:ascii="Calibri" w:hAnsi="Calibri"/>
          <w:b/>
          <w:i w:val="0"/>
          <w:sz w:val="32"/>
        </w:rPr>
        <w:t>TỔNG QUAN QUY TRÌNH</w:t>
      </w:r>
    </w:p>
    <w:p>
      <w:pPr>
        <w:spacing w:after="80"/>
      </w:pPr>
      <w:r>
        <w:rPr>
          <w:b w:val="0"/>
          <w:i w:val="0"/>
        </w:rPr>
        <w:t>Sơ đồ dưới đây cho thấy các yếu tố nền tảng cho quy trình hợp đồng chính phủ là Kiểm soát Nội bộ và Tuân thủ, Kiểm soát Hợp đồng Chính phủ, và Quy tắc Ứng xử cùng "Tone at the Top" (Tông giọng từ cấp cao nhất).</w:t>
      </w:r>
    </w:p>
    <w:p>
      <w:pPr>
        <w:jc w:val="center"/>
      </w:pPr>
      <w:r>
        <w:drawing>
          <wp:inline xmlns:a="http://schemas.openxmlformats.org/drawingml/2006/main" xmlns:pic="http://schemas.openxmlformats.org/drawingml/2006/picture">
            <wp:extent cx="5486400" cy="2390428"/>
            <wp:docPr id="10" name="Picture 10"/>
            <wp:cNvGraphicFramePr>
              <a:graphicFrameLocks noChangeAspect="1"/>
            </wp:cNvGraphicFramePr>
            <a:graphic>
              <a:graphicData uri="http://schemas.openxmlformats.org/drawingml/2006/picture">
                <pic:pic>
                  <pic:nvPicPr>
                    <pic:cNvPr id="0" name="Image00011.jpg"/>
                    <pic:cNvPicPr/>
                  </pic:nvPicPr>
                  <pic:blipFill>
                    <a:blip r:embed="rId18"/>
                    <a:stretch>
                      <a:fillRect/>
                    </a:stretch>
                  </pic:blipFill>
                  <pic:spPr>
                    <a:xfrm>
                      <a:off x="0" y="0"/>
                      <a:ext cx="5486400" cy="2390428"/>
                    </a:xfrm>
                    <a:prstGeom prst="rect"/>
                  </pic:spPr>
                </pic:pic>
              </a:graphicData>
            </a:graphic>
          </wp:inline>
        </w:drawing>
      </w:r>
    </w:p>
    <w:p>
      <w:pPr>
        <w:pStyle w:val="Heading2"/>
      </w:pPr>
      <w:r>
        <w:rPr>
          <w:rFonts w:ascii="Calibri" w:hAnsi="Calibri"/>
          <w:b/>
          <w:i w:val="0"/>
          <w:sz w:val="32"/>
        </w:rPr>
        <w:t>CÁC CHỈ SỐ ĐO LƯỜNG</w:t>
      </w:r>
    </w:p>
    <w:tbl>
      <w:tblPr>
        <w:tblStyle w:val="TableGrid"/>
        <w:tblW w:type="auto" w:w="0"/>
        <w:tblLook w:firstColumn="1" w:firstRow="1" w:lastColumn="0" w:lastRow="0" w:noHBand="0" w:noVBand="1" w:val="04A0"/>
      </w:tblPr>
      <w:tblGrid>
        <w:gridCol w:w="9360"/>
      </w:tblGrid>
      <w:tr>
        <w:tc>
          <w:tcPr>
            <w:tcW w:type="dxa" w:w="9360"/>
          </w:tcPr>
          <w:p>
            <w:r/>
            <w:r>
              <w:rPr>
                <w:b/>
                <w:i w:val="0"/>
                <w:sz w:val="19"/>
              </w:rPr>
              <w:t>Bảng chỉ số</w:t>
            </w:r>
          </w:p>
        </w:tc>
      </w:tr>
      <w:tr>
        <w:tc>
          <w:tcPr>
            <w:tcW w:type="dxa" w:w="9360"/>
          </w:tcPr>
          <w:p>
            <w:r/>
            <w:r>
              <w:rPr>
                <w:b w:val="0"/>
                <w:i w:val="0"/>
                <w:sz w:val="19"/>
              </w:rPr>
              <w:t xml:space="preserve">•  </w:t>
            </w:r>
            <w:r>
              <w:rPr>
                <w:b/>
                <w:i w:val="0"/>
                <w:sz w:val="19"/>
              </w:rPr>
              <w:t>Thời gian chu kỳ phê duyệt hợp đồng</w:t>
            </w:r>
            <w:r>
              <w:rPr>
                <w:b w:val="0"/>
                <w:i w:val="0"/>
                <w:sz w:val="19"/>
              </w:rPr>
              <w:t xml:space="preserve"> </w:t>
            </w:r>
            <w:r>
              <w:br/>
            </w:r>
            <w:r>
              <w:rPr>
                <w:b w:val="0"/>
                <w:i w:val="0"/>
                <w:sz w:val="19"/>
              </w:rPr>
              <w:t xml:space="preserve">•  </w:t>
            </w:r>
            <w:r>
              <w:rPr>
                <w:b/>
                <w:i w:val="0"/>
                <w:sz w:val="19"/>
              </w:rPr>
              <w:t>Số lượng và tỷ lệ phần trăm lỗi hợp đồng</w:t>
            </w:r>
            <w:r>
              <w:rPr>
                <w:b w:val="0"/>
                <w:i w:val="0"/>
                <w:sz w:val="19"/>
              </w:rPr>
              <w:t xml:space="preserve"> </w:t>
            </w:r>
            <w:r>
              <w:br/>
            </w:r>
            <w:r>
              <w:rPr>
                <w:b w:val="0"/>
                <w:i w:val="0"/>
                <w:sz w:val="19"/>
              </w:rPr>
              <w:t xml:space="preserve">•  </w:t>
            </w:r>
            <w:r>
              <w:rPr>
                <w:b/>
                <w:i w:val="0"/>
                <w:sz w:val="19"/>
              </w:rPr>
              <w:t>Số lượng, tỷ lệ phần trăm và giá trị các vấn đề tuân thủ hợp đồng</w:t>
            </w:r>
            <w:r>
              <w:rPr>
                <w:b w:val="0"/>
                <w:i w:val="0"/>
                <w:sz w:val="19"/>
              </w:rPr>
              <w:t xml:space="preserve"> </w:t>
            </w:r>
            <w:r>
              <w:br/>
            </w:r>
            <w:r>
              <w:rPr>
                <w:b w:val="0"/>
                <w:i w:val="0"/>
                <w:sz w:val="19"/>
              </w:rPr>
              <w:t xml:space="preserve">•  </w:t>
            </w:r>
            <w:r>
              <w:rPr>
                <w:b/>
                <w:i w:val="0"/>
                <w:sz w:val="19"/>
              </w:rPr>
              <w:t>Số lượng hợp đồng được tạo ra mỗi kỳ tài chính</w:t>
            </w:r>
            <w:r>
              <w:rPr>
                <w:b w:val="0"/>
                <w:i w:val="0"/>
                <w:sz w:val="19"/>
              </w:rPr>
              <w:t xml:space="preserve"> </w:t>
            </w:r>
            <w:r>
              <w:br/>
            </w:r>
            <w:r>
              <w:rPr>
                <w:b w:val="0"/>
                <w:i w:val="0"/>
                <w:sz w:val="19"/>
              </w:rPr>
              <w:t xml:space="preserve">•  </w:t>
            </w:r>
            <w:r>
              <w:rPr>
                <w:b/>
                <w:i w:val="0"/>
                <w:sz w:val="19"/>
              </w:rPr>
              <w:t>Chi phí để tạo ra một hợp đồng</w:t>
            </w:r>
          </w:p>
        </w:tc>
      </w:tr>
    </w:tbl>
    <w:p>
      <w:pPr>
        <w:spacing w:after="0"/>
      </w:pPr>
    </w:p>
    <w:p>
      <w:pPr>
        <w:pStyle w:val="Heading2"/>
      </w:pPr>
      <w:r>
        <w:rPr>
          <w:rFonts w:ascii="Calibri" w:hAnsi="Calibri"/>
          <w:b/>
          <w:i w:val="0"/>
          <w:sz w:val="32"/>
        </w:rPr>
        <w:t>CÁC QUY TRÌNH CON</w:t>
      </w:r>
    </w:p>
    <w:p>
      <w:pPr>
        <w:spacing w:after="80"/>
      </w:pPr>
      <w:r>
        <w:rPr>
          <w:b w:val="0"/>
          <w:i w:val="0"/>
        </w:rPr>
        <w:t>Các quy trình con cụ thể được bao gồm là:</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8.1</w:t>
            </w:r>
          </w:p>
        </w:tc>
        <w:tc>
          <w:tcPr>
            <w:tcW w:type="dxa" w:w="4680"/>
          </w:tcPr>
          <w:p>
            <w:r/>
            <w:r>
              <w:rPr>
                <w:b w:val="0"/>
                <w:i w:val="0"/>
                <w:sz w:val="19"/>
              </w:rPr>
              <w:t>Hợp đồng Chính phủ Hoa Kỳ—Tổng quát</w:t>
            </w:r>
          </w:p>
        </w:tc>
      </w:tr>
      <w:tr>
        <w:tc>
          <w:tcPr>
            <w:tcW w:type="dxa" w:w="4680"/>
          </w:tcPr>
          <w:p>
            <w:r/>
            <w:r>
              <w:rPr>
                <w:b w:val="0"/>
                <w:i w:val="0"/>
                <w:sz w:val="19"/>
              </w:rPr>
              <w:t>8.2</w:t>
            </w:r>
          </w:p>
        </w:tc>
        <w:tc>
          <w:tcPr>
            <w:tcW w:type="dxa" w:w="4680"/>
          </w:tcPr>
          <w:p>
            <w:r/>
            <w:r>
              <w:rPr>
                <w:b w:val="0"/>
                <w:i w:val="0"/>
                <w:sz w:val="19"/>
              </w:rPr>
              <w:t>Hợp đồng Chính phủ Hoa Kỳ—Sản phẩm Phi thương mại</w:t>
            </w:r>
          </w:p>
        </w:tc>
      </w:tr>
      <w:tr>
        <w:tc>
          <w:tcPr>
            <w:tcW w:type="dxa" w:w="4680"/>
          </w:tcPr>
          <w:p>
            <w:r/>
            <w:r>
              <w:rPr>
                <w:b w:val="0"/>
                <w:i w:val="0"/>
                <w:sz w:val="19"/>
              </w:rPr>
              <w:t>8.3</w:t>
            </w:r>
          </w:p>
        </w:tc>
        <w:tc>
          <w:tcPr>
            <w:tcW w:type="dxa" w:w="4680"/>
          </w:tcPr>
          <w:p>
            <w:r/>
            <w:r>
              <w:rPr>
                <w:b w:val="0"/>
                <w:i w:val="0"/>
                <w:sz w:val="19"/>
              </w:rPr>
              <w:t>Hợp đồng Chính phủ Hoa Kỳ—Sản phẩm Thương mại</w:t>
            </w:r>
          </w:p>
        </w:tc>
      </w:tr>
      <w:tr>
        <w:tc>
          <w:tcPr>
            <w:tcW w:type="dxa" w:w="4680"/>
          </w:tcPr>
          <w:p>
            <w:r/>
            <w:r>
              <w:rPr>
                <w:b w:val="0"/>
                <w:i w:val="0"/>
                <w:sz w:val="19"/>
              </w:rPr>
              <w:t>8.4</w:t>
            </w:r>
          </w:p>
        </w:tc>
        <w:tc>
          <w:tcPr>
            <w:tcW w:type="dxa" w:w="4680"/>
          </w:tcPr>
          <w:p>
            <w:r/>
            <w:r>
              <w:rPr>
                <w:b w:val="0"/>
                <w:i w:val="0"/>
                <w:sz w:val="19"/>
              </w:rPr>
              <w:t>Hợp đồng với Chính quyền Tiểu bang và Địa phương cùng các Tổ chức Giáo dục trong Hoa Kỳ</w:t>
            </w:r>
          </w:p>
        </w:tc>
      </w:tr>
      <w:tr>
        <w:tc>
          <w:tcPr>
            <w:tcW w:type="dxa" w:w="4680"/>
          </w:tcPr>
          <w:p>
            <w:r/>
            <w:r>
              <w:rPr>
                <w:b w:val="0"/>
                <w:i w:val="0"/>
                <w:sz w:val="19"/>
              </w:rPr>
              <w:t>8.5</w:t>
            </w:r>
          </w:p>
        </w:tc>
        <w:tc>
          <w:tcPr>
            <w:tcW w:type="dxa" w:w="4680"/>
          </w:tcPr>
          <w:p>
            <w:r/>
            <w:r>
              <w:rPr>
                <w:b w:val="0"/>
                <w:i w:val="0"/>
                <w:sz w:val="19"/>
              </w:rPr>
              <w:t>Hợp đồng với các Chính phủ ngoài Hoa Kỳ</w:t>
            </w:r>
          </w:p>
        </w:tc>
      </w:tr>
    </w:tbl>
    <w:p>
      <w:pPr>
        <w:spacing w:after="0"/>
      </w:pPr>
    </w:p>
    <w:p>
      <w:pPr>
        <w:pStyle w:val="Heading2"/>
      </w:pPr>
      <w:r>
        <w:rPr>
          <w:rFonts w:ascii="Calibri" w:hAnsi="Calibri"/>
          <w:b/>
          <w:i w:val="0"/>
          <w:sz w:val="32"/>
        </w:rPr>
        <w:t>8.1 HỢP ĐỒNG CHÍNH PHỦ HOA KỲ—TỔNG QUÁT</w:t>
      </w:r>
    </w:p>
    <w:p>
      <w:pPr>
        <w:pStyle w:val="Heading3"/>
      </w:pPr>
      <w:r>
        <w:rPr>
          <w:rFonts w:ascii="Calibri" w:hAnsi="Calibri"/>
          <w:b/>
          <w:i w:val="0"/>
          <w:sz w:val="26"/>
        </w:rPr>
        <w:t>Giới thiệu</w:t>
      </w:r>
    </w:p>
    <w:p>
      <w:pPr>
        <w:spacing w:after="80"/>
      </w:pPr>
      <w:r>
        <w:rPr>
          <w:b w:val="0"/>
          <w:i w:val="0"/>
        </w:rPr>
        <w:t>Nếu một công ty con làm ăn với một cơ quan chính phủ với vai trò nhà thầu chính hoặc nhà thầu phụ, thì toàn bộ công ty con đó phải tuân thủ một số yêu cầu luật định và quy định của chính phủ. Tuy nhiên, các công ty con, với tư cách là những pháp nhân riêng biệt, không buộc phải tuân thủ các yêu cầu luật định và quy định của chính phủ được áp đặt theo hợp đồng chỉ vì công ty mẹ là nhà thầu chính phủ. Tương tự, công ty mẹ cũng không nhất thiết bị ràng buộc bởi các điều khoản và điều kiện cụ thể trong hợp đồng chính phủ của các công ty con.</w:t>
      </w:r>
    </w:p>
    <w:p>
      <w:pPr>
        <w:spacing w:after="80"/>
      </w:pPr>
      <w:r>
        <w:rPr>
          <w:b w:val="0"/>
          <w:i w:val="0"/>
        </w:rPr>
        <w:t>Ngoài các yêu cầu chung áp dụng cho toàn công ty, công ty hoặc công ty con giữ hợp đồng chính hoặc hợp đồng phụ với chính phủ phải tuân thủ các yêu cầu bổ sung riêng cho từng hợp đồng. Loại hợp đồng hoặc thỏa thuận mà công ty hoặc một công ty con có với các cơ quan chính phủ hay một nhà thầu chính của chính phủ thường quyết định trách nhiệm cụ thể của công ty hoặc công ty con đó đối với các quy định và luật của chính phủ.</w:t>
      </w:r>
    </w:p>
    <w:p>
      <w:pPr>
        <w:spacing w:after="80"/>
      </w:pPr>
      <w:r>
        <w:rPr>
          <w:b w:val="0"/>
          <w:i w:val="0"/>
        </w:rPr>
        <w:t>Toàn bộ công ty có thể bị quy trách nhiệm khi bất kỳ một đơn vị hoạt động nào không tuân thủ các luật và quy định do các cơ quan chính phủ áp đặt mà công ty đã chấp nhận do làm ăn với các cơ quan chính phủ, đặc biệt là các yêu cầu về đạo đức và liêm chính. Điều này khiến toàn bộ công ty đối mặt với những hậu quả bất lợi, như các khoản tiền phạt và hình phạt dân sự lẫn hình sự, bị cấm tham gia các hoạt động kinh doanh với chính phủ trong tương lai, và/hoặc tổn hại đến hình ảnh công ty. Trong một số trường hợp, điều này cũng có thể tạo ra trách nhiệm cá nhân do hành vi của một cá nhân.</w:t>
      </w:r>
    </w:p>
    <w:p>
      <w:pPr>
        <w:spacing w:after="80"/>
      </w:pPr>
      <w:r>
        <w:rPr>
          <w:b w:val="0"/>
          <w:i w:val="0"/>
        </w:rPr>
        <w:t>Công ty và các công ty con phải thiết lập và ghi lại thành văn bản các chính sách và quy trình để đảm bảo tuân thủ các yếu tố tuân thủ cốt lõi của chính phủ, và chuyển tiếp chúng xuống, khi áp dụng được, cho các nhà thầu phụ và nhà cung cấp. Những điều này bao gồm:</w:t>
      </w:r>
    </w:p>
    <w:p>
      <w:pPr>
        <w:spacing w:after="80"/>
        <w:ind w:left="360"/>
      </w:pPr>
      <w:r>
        <w:t xml:space="preserve">a. </w:t>
      </w:r>
      <w:r>
        <w:rPr>
          <w:b w:val="0"/>
          <w:i w:val="0"/>
        </w:rPr>
        <w:t>Đạo luật Liêm chính trong Mua sắm (Procurement Integrity Act)</w:t>
      </w:r>
    </w:p>
    <w:p>
      <w:pPr>
        <w:spacing w:after="80"/>
        <w:ind w:left="360"/>
      </w:pPr>
      <w:r>
        <w:t xml:space="preserve">b. </w:t>
      </w:r>
      <w:r>
        <w:rPr>
          <w:b w:val="0"/>
          <w:i w:val="0"/>
        </w:rPr>
        <w:t>Đạo luật Không khí và Nước sạch (Clean Air and Water Acts)</w:t>
      </w:r>
    </w:p>
    <w:p>
      <w:pPr>
        <w:spacing w:after="80"/>
        <w:ind w:left="360"/>
      </w:pPr>
      <w:r>
        <w:t xml:space="preserve">c. </w:t>
      </w:r>
      <w:r>
        <w:rPr>
          <w:b w:val="0"/>
          <w:i w:val="0"/>
        </w:rPr>
        <w:t>Việc tuyển dụng cựu quan chức chính phủ và các hạn chế tuyển dụng khác của Bộ Quốc phòng</w:t>
      </w:r>
    </w:p>
    <w:p>
      <w:pPr>
        <w:spacing w:after="80"/>
        <w:ind w:left="360"/>
      </w:pPr>
      <w:r>
        <w:t xml:space="preserve">d. </w:t>
      </w:r>
      <w:r>
        <w:rPr>
          <w:b w:val="0"/>
          <w:i w:val="0"/>
        </w:rPr>
        <w:t>Tuân thủ Hành động Khẳng định (Affirmative Action) và Cơ hội Việc làm Bình đẳng (Equal Employment Opportunity)</w:t>
      </w:r>
    </w:p>
    <w:p>
      <w:pPr>
        <w:spacing w:after="80"/>
        <w:ind w:left="360"/>
      </w:pPr>
      <w:r>
        <w:t xml:space="preserve">e. </w:t>
      </w:r>
      <w:r>
        <w:rPr>
          <w:b w:val="0"/>
          <w:i w:val="0"/>
        </w:rPr>
        <w:t>Các quy định về kinh tế - xã hội (ví dụ: doanh nghiệp nhỏ/doanh nghiệp của người thiểu số)</w:t>
      </w:r>
    </w:p>
    <w:p>
      <w:pPr>
        <w:spacing w:after="80"/>
        <w:ind w:left="360"/>
      </w:pPr>
      <w:r>
        <w:t xml:space="preserve">f. </w:t>
      </w:r>
      <w:r>
        <w:rPr>
          <w:b w:val="0"/>
          <w:i w:val="0"/>
        </w:rPr>
        <w:t>Các quy định về đạo đức của tiểu bang và địa phương</w:t>
      </w:r>
    </w:p>
    <w:p>
      <w:pPr>
        <w:spacing w:after="80"/>
        <w:ind w:left="360"/>
      </w:pPr>
      <w:r>
        <w:t xml:space="preserve">g. </w:t>
      </w:r>
      <w:r>
        <w:rPr>
          <w:b w:val="0"/>
          <w:i w:val="0"/>
        </w:rPr>
        <w:t>Quy định Mua sắm Liên bang (Federal Acquisition Regulations - FAR)</w:t>
      </w:r>
    </w:p>
    <w:p>
      <w:pPr>
        <w:spacing w:after="80"/>
        <w:ind w:left="360"/>
      </w:pPr>
      <w:r>
        <w:t xml:space="preserve">h. </w:t>
      </w:r>
      <w:r>
        <w:rPr>
          <w:b w:val="0"/>
          <w:i w:val="0"/>
        </w:rPr>
        <w:t>Các quy định về thương mại</w:t>
      </w:r>
    </w:p>
    <w:p>
      <w:pPr>
        <w:spacing w:after="80"/>
        <w:ind w:left="360"/>
      </w:pPr>
      <w:r>
        <w:t xml:space="preserve">i. </w:t>
      </w:r>
      <w:r>
        <w:rPr>
          <w:b w:val="0"/>
          <w:i w:val="0"/>
        </w:rPr>
        <w:t>Các yêu cầu riêng cho từng hợp đồng</w:t>
      </w:r>
    </w:p>
    <w:p>
      <w:pPr>
        <w:spacing w:after="80"/>
      </w:pPr>
      <w:r>
        <w:rPr>
          <w:b w:val="0"/>
          <w:i w:val="0"/>
        </w:rPr>
        <w:t>Mục này áp dụng cho tất cả các đơn vị hoạt động của công ty (Bán hàng, Dịch vụ Toàn cầu, một số phòng ban chức năng bị ảnh hưởng như Nhân sự, EHS&amp;S, Chuỗi Cung ứng và Kế toán) và cho những công ty con, trực tiếp hoặc gián tiếp, cung cấp sản phẩm hoặc dịch vụ cho chính phủ Hoa Kỳ. Công ty và các công ty con sẽ hoạt động tuân thủ đầy đủ mọi yêu cầu luật định và quy định áp dụng cho các nhà thầu chính phủ cũng như các yêu cầu cụ thể của hợp đồng.</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8.1.1</w:t>
            </w:r>
          </w:p>
        </w:tc>
        <w:tc>
          <w:tcPr>
            <w:tcW w:type="dxa" w:w="4680"/>
          </w:tcPr>
          <w:p>
            <w:r/>
            <w:r>
              <w:rPr>
                <w:b w:val="0"/>
                <w:i w:val="0"/>
                <w:sz w:val="19"/>
              </w:rPr>
              <w:t>Tuân thủ. Trách nhiệm chung về việc tuân thủ với các cơ quan chính phủ ở Bắc Mỹ thuộc về cả Giám đốc Hợp đồng và Đấu thầu Bắc Mỹ (Director, Contracts and Bids North America - DCBNA) lẫn Tổng Giám đốc (General Manager) liên quan, với sự hỗ trợ từ Bộ phận Pháp lý Tập đoàn (Corporate Legal). DCBNA phải điều phối mọi hoạt động liên lạc và trao đổi liên quan đến việc tuân thủ cho tất cả các hợp đồng chính phủ của công ty tại Bắc Mỹ. Mỗi đơn vị hoạt động (như đã nêu ở trên) và công ty con phải chỉ định một Điều phối viên Tuân thủ Chính phủ (Government Compliance Coordinator). Người này phải điều phối các hoạt động và trao đổi liên quan đến việc tuân thủ các yêu cầu hợp đồng chính phủ cho đơn vị hoạt động hoặc công ty con đó. Mỗi đơn vị hoạt động và công ty con phải có một Kế hoạch Tuân thủ Hợp đồng Chính phủ (Government Contract Compliance Plan - GCCP). Kế hoạch này phải được phó chủ tịch hoặc tổng giám đốc của đơn vị hoạt động hoặc công ty con phê duyệt và chuyển đến DCBNA. Kế hoạch phải được cập nhật hàng năm, hoặc thường xuyên hơn nếu được yêu cầu. Ngoài các yếu tố Tuân thủ Cốt lõi của Chính phủ áp dụng cho toàn bộ công ty, các đơn vị hoạt động và công ty con phải thiết lập và ghi lại các chính sách và quy trình để đảm bảo tuân thủ các đạo luật liên bang và/hoặc tiểu bang sau đây:</w:t>
            </w:r>
            <w:r>
              <w:br/>
            </w:r>
            <w:r>
              <w:rPr>
                <w:b w:val="0"/>
                <w:i w:val="0"/>
                <w:sz w:val="19"/>
              </w:rPr>
              <w:t>a. Các Đạo luật về Khiếu nại và Tuyên bố Sai (False Claims and Statements Statutes)</w:t>
            </w:r>
            <w:r>
              <w:br/>
            </w:r>
            <w:r>
              <w:rPr>
                <w:b w:val="0"/>
                <w:i w:val="0"/>
                <w:sz w:val="19"/>
              </w:rPr>
              <w:t>b. Các Đạo luật Chống Hối lộ Hoa hồng (Anti-Kickback Statutes)</w:t>
            </w:r>
            <w:r>
              <w:br/>
            </w:r>
            <w:r>
              <w:rPr>
                <w:b w:val="0"/>
                <w:i w:val="0"/>
                <w:sz w:val="19"/>
              </w:rPr>
              <w:t>c. Các Đạo luật về Hối lộ và Quà tặng (Bribery and Gratuities Statutes)</w:t>
            </w:r>
            <w:r>
              <w:br/>
            </w:r>
            <w:r>
              <w:rPr>
                <w:b w:val="0"/>
                <w:i w:val="0"/>
                <w:sz w:val="19"/>
              </w:rPr>
              <w:t>d. Đạo luật Cạnh tranh trong Đấu thầu (Competition in Contracting Act)</w:t>
            </w:r>
            <w:r>
              <w:br/>
            </w:r>
            <w:r>
              <w:rPr>
                <w:b w:val="0"/>
                <w:i w:val="0"/>
                <w:sz w:val="19"/>
              </w:rPr>
              <w:t xml:space="preserve">e. Các Đạo luật Mua hàng Mỹ và Hiệp định Thương mại (Buy America and Trade Agreements Acts). Phải thiết lập các hệ thống, nguồn lực và biện pháp kiểm soát đầy đủ để thực hiện các chính sách và quy trình được nêu trong GCCP. Các chính sách và quy trình bằng văn bản phải ghi lại quy trình chuẩn bị hồ sơ dự thầu, đề xuất và khiếu nại. Việc nộp hợp đồng và hồ sơ dự thầu phải cập nhật, chính xác, đầy đủ, được chứng nhận đúng cách và hỗ trợ cho mọi chứng nhận đã đưa ra. Chỉ những nhân sự được đơn vị hoạt động hoặc công ty con phù hợp chỉ định mới được phép ràng buộc Tập đoàn vào các hợp đồng chính phủ. Các đơn vị hoạt động hoặc công ty con phải thiết lập và thực thi các quy trình kiểm soát việc đàm phán và ký kết hợp đồng. </w:t>
            </w:r>
            <w:r>
              <w:rPr>
                <w:b/>
                <w:i w:val="0"/>
                <w:sz w:val="19"/>
              </w:rPr>
              <w:t>Tham khảo các rủi ro: A-1, A-2, A-3, A-4, A-5, A-6, A-7, A-8, A-9, A-10, A-11</w:t>
            </w:r>
          </w:p>
        </w:tc>
      </w:tr>
      <w:tr>
        <w:tc>
          <w:tcPr>
            <w:tcW w:type="dxa" w:w="4680"/>
          </w:tcPr>
          <w:p>
            <w:r/>
            <w:r>
              <w:rPr>
                <w:b w:val="0"/>
                <w:i w:val="0"/>
                <w:sz w:val="19"/>
              </w:rPr>
              <w:t>8.1.2</w:t>
            </w:r>
          </w:p>
        </w:tc>
        <w:tc>
          <w:tcPr>
            <w:tcW w:type="dxa" w:w="4680"/>
          </w:tcPr>
          <w:p>
            <w:r/>
            <w:r>
              <w:rPr>
                <w:b/>
                <w:i w:val="0"/>
                <w:sz w:val="19"/>
              </w:rPr>
              <w:t>Ứng xử Kinh doanh.</w:t>
            </w:r>
            <w:r>
              <w:rPr>
                <w:b w:val="0"/>
                <w:i w:val="0"/>
                <w:sz w:val="19"/>
              </w:rPr>
              <w:t xml:space="preserve"> Mỗi đơn vị hoạt động và công ty con phải có khả năng chứng minh rằng nhân viên có trách nhiệm liên quan đến hợp đồng chính phủ đã tham gia tất cả các khóa đào tạo theo yêu cầu của pháp luật, quy định hoặc nghĩa vụ hợp đồng; đã đọc và hiểu các hướng dẫn quy tắc ứng xử áp dụng và mọi hướng dẫn bổ sung liên quan đến hợp đồng chính phủ; và khi thích hợp, đã ký chứng nhận. Cụ thể, nhân viên phải tuân thủ các tiêu chuẩn đạo đức cao nhất trong mọi mối quan hệ với nhân viên chính phủ và không được cố gắng gây ảnh hưởng không đúng đắn đến hành động của bất kỳ quan chức công quyền nào. </w:t>
            </w:r>
            <w:r>
              <w:rPr>
                <w:b/>
                <w:i w:val="0"/>
                <w:sz w:val="19"/>
              </w:rPr>
              <w:t>Tham khảo các rủi ro: A-1, A-2, A-3, A-4, A-5, A-6, A-7, A-8, A-9, A-10, A-11</w:t>
            </w:r>
          </w:p>
        </w:tc>
      </w:tr>
      <w:tr>
        <w:tc>
          <w:tcPr>
            <w:tcW w:type="dxa" w:w="4680"/>
          </w:tcPr>
          <w:p>
            <w:r/>
            <w:r>
              <w:rPr>
                <w:b w:val="0"/>
                <w:i w:val="0"/>
                <w:sz w:val="19"/>
              </w:rPr>
              <w:t>8.1.3</w:t>
            </w:r>
          </w:p>
        </w:tc>
        <w:tc>
          <w:tcPr>
            <w:tcW w:type="dxa" w:w="4680"/>
          </w:tcPr>
          <w:p>
            <w:r/>
            <w:r>
              <w:rPr>
                <w:b/>
                <w:i w:val="0"/>
                <w:sz w:val="19"/>
              </w:rPr>
              <w:t>Đào tạo.</w:t>
            </w:r>
            <w:r>
              <w:rPr>
                <w:b w:val="0"/>
                <w:i w:val="0"/>
                <w:sz w:val="19"/>
              </w:rPr>
              <w:t xml:space="preserve"> Mỗi đơn vị hoạt động và công ty con phải đảm bảo tất cả nhân sự thực hiện các chức năng đòi hỏi phải tuân thủ quy định của chính phủ Hoa Kỳ đều được đào tạo đầy đủ. Các yêu cầu đào tạo, bao gồm tần suất, phải được đưa vào FGCCP của đơn vị hoạt động hoặc công ty con. Phải thực hiện các quy trình để giám sát và ghi lại một cách hiệu quả việc hoàn thành các yêu cầu đó. </w:t>
            </w:r>
            <w:r>
              <w:rPr>
                <w:b/>
                <w:i w:val="0"/>
                <w:sz w:val="19"/>
              </w:rPr>
              <w:t>Tham khảo các rủi ro: A-l, A-2, A-4, A-7</w:t>
            </w:r>
          </w:p>
        </w:tc>
      </w:tr>
      <w:tr>
        <w:tc>
          <w:tcPr>
            <w:tcW w:type="dxa" w:w="4680"/>
          </w:tcPr>
          <w:p>
            <w:r/>
            <w:r>
              <w:rPr>
                <w:b w:val="0"/>
                <w:i w:val="0"/>
                <w:sz w:val="19"/>
              </w:rPr>
              <w:t>8.1.4</w:t>
            </w:r>
          </w:p>
        </w:tc>
        <w:tc>
          <w:tcPr>
            <w:tcW w:type="dxa" w:w="4680"/>
          </w:tcPr>
          <w:p>
            <w:r/>
            <w:r>
              <w:rPr>
                <w:b w:val="0"/>
                <w:i w:val="0"/>
                <w:sz w:val="19"/>
              </w:rPr>
              <w:t>Liên doanh. Các đơn vị hoạt động và công ty con của Công ty tham gia vào các liên doanh tìm kiếm cơ hội kinh doanh với chính phủ phải:</w:t>
            </w:r>
            <w:r>
              <w:br/>
            </w:r>
            <w:r>
              <w:rPr>
                <w:b w:val="0"/>
                <w:i w:val="0"/>
                <w:sz w:val="19"/>
              </w:rPr>
              <w:t>a. Đảm bảo rằng mỗi liên doanh có một chính sách kinh doanh với các cơ quan chính phủ.</w:t>
            </w:r>
            <w:r>
              <w:br/>
            </w:r>
            <w:r>
              <w:rPr>
                <w:b w:val="0"/>
                <w:i w:val="0"/>
                <w:sz w:val="19"/>
              </w:rPr>
              <w:t xml:space="preserve">b. Xác định một cá nhân, theo tên hoặc chức danh, trong đơn vị hoạt động hoặc công ty con, người sẽ thực hiện trách nhiệm của đơn vị hoạt động hoặc công ty con về việc tuân thủ hợp đồng trong mỗi liên doanh. </w:t>
            </w:r>
            <w:r>
              <w:rPr>
                <w:b/>
                <w:i w:val="0"/>
                <w:sz w:val="19"/>
              </w:rPr>
              <w:t>Tham khảo các rủi ro: A-1, A-2, A-3, A-4, A-5, A-6, A-10</w:t>
            </w:r>
          </w:p>
        </w:tc>
      </w:tr>
      <w:tr>
        <w:tc>
          <w:tcPr>
            <w:tcW w:type="dxa" w:w="4680"/>
          </w:tcPr>
          <w:p>
            <w:r/>
            <w:r>
              <w:rPr>
                <w:b w:val="0"/>
                <w:i w:val="0"/>
                <w:sz w:val="19"/>
              </w:rPr>
              <w:t>8.1.5</w:t>
            </w:r>
          </w:p>
        </w:tc>
        <w:tc>
          <w:tcPr>
            <w:tcW w:type="dxa" w:w="4680"/>
          </w:tcPr>
          <w:p>
            <w:r/>
            <w:r>
              <w:rPr>
                <w:b/>
                <w:i w:val="0"/>
                <w:sz w:val="19"/>
              </w:rPr>
              <w:t>Biên bản Ghi nhớ.</w:t>
            </w:r>
            <w:r>
              <w:rPr>
                <w:b w:val="0"/>
                <w:i w:val="0"/>
                <w:sz w:val="19"/>
              </w:rPr>
              <w:t xml:space="preserve"> Biên bản Ghi nhớ (Memorandums of Understanding - MOU) phải được thiết lập giữa tất cả các đơn vị hoạt động hoặc công ty con có giao dịch nội bộ liên quan đến hợp đồng chính phủ Hoa Kỳ. Tất cả các MOU phải nêu rõ trách nhiệm tuân thủ cho cả đơn vị hoạt động hoặc công ty con nhận và chuyển giao, và chúng phải được tổng giám đốc của đơn vị hoạt động hoặc công ty con phê duyệt. Tất cả các MOU phải được lưu trữ tại DCBNA. Các yêu cầu bổ sung đặc thù theo hợp đồng nên được ghi lại trong một Lệnh Công việc Liên ban (Interdivisional Work Order - IWO). </w:t>
            </w:r>
            <w:r>
              <w:rPr>
                <w:b/>
                <w:i w:val="0"/>
                <w:sz w:val="19"/>
              </w:rPr>
              <w:t>Tham khảo các rủi ro: A-1, A-2, A-3, A-7</w:t>
            </w:r>
          </w:p>
        </w:tc>
      </w:tr>
      <w:tr>
        <w:tc>
          <w:tcPr>
            <w:tcW w:type="dxa" w:w="4680"/>
          </w:tcPr>
          <w:p>
            <w:r/>
            <w:r>
              <w:rPr>
                <w:b w:val="0"/>
                <w:i w:val="0"/>
                <w:sz w:val="19"/>
              </w:rPr>
              <w:t>8.1.6</w:t>
            </w:r>
          </w:p>
        </w:tc>
        <w:tc>
          <w:tcPr>
            <w:tcW w:type="dxa" w:w="4680"/>
          </w:tcPr>
          <w:p>
            <w:r/>
            <w:r>
              <w:rPr>
                <w:b/>
                <w:i w:val="0"/>
                <w:sz w:val="19"/>
              </w:rPr>
              <w:t>Quản lý Hồ sơ.</w:t>
            </w:r>
            <w:r>
              <w:rPr>
                <w:b w:val="0"/>
                <w:i w:val="0"/>
                <w:sz w:val="19"/>
              </w:rPr>
              <w:t xml:space="preserve"> Các đơn vị hoạt động và công ty con thực hiện hợp đồng chính phủ phải thiết lập và duy trì hệ thống quản lý hồ sơ đầy đủ. Các biện pháp kiểm soát phải đảm bảo hồ sơ hợp đồng được duy trì đầy đủ trong suốt thời gian thực hiện hợp đồng và sau khi hợp đồng kết thúc. Hồ sơ hợp đồng nên bao gồm tài liệu liên quan đến hợp đồng, tối thiểu bao gồm: hồ sơ mời thầu, đề xuất, dữ liệu chi phí và giá cả, tài liệu hợp đồng, lệnh thay đổi (nếu có), và biên bản đàm phán. </w:t>
            </w:r>
            <w:r>
              <w:rPr>
                <w:b/>
                <w:i w:val="0"/>
                <w:sz w:val="19"/>
              </w:rPr>
              <w:t>Tham khảo các rủi ro: A-1, A-2, A-3, A-5, A-6, A-7, A-8, A-9, A-10, A-11</w:t>
            </w:r>
          </w:p>
        </w:tc>
      </w:tr>
      <w:tr>
        <w:tc>
          <w:tcPr>
            <w:tcW w:type="dxa" w:w="4680"/>
          </w:tcPr>
          <w:p>
            <w:r/>
            <w:r>
              <w:rPr>
                <w:b w:val="0"/>
                <w:i w:val="0"/>
                <w:sz w:val="19"/>
              </w:rPr>
              <w:t>8.1.7</w:t>
            </w:r>
          </w:p>
        </w:tc>
        <w:tc>
          <w:tcPr>
            <w:tcW w:type="dxa" w:w="4680"/>
          </w:tcPr>
          <w:p>
            <w:r/>
            <w:r>
              <w:rPr>
                <w:b w:val="0"/>
                <w:i w:val="0"/>
                <w:sz w:val="19"/>
              </w:rPr>
              <w:t>Xử lý Đơn hàng. Các biện pháp kiểm soát xử lý đơn hàng phải bao gồm các quy trình để nhận diện đơn hàng chính phủ và đơn hàng chứa các điều khoản và điều kiện của chính phủ. Phải thiết lập các quy trình để đảm bảo:</w:t>
            </w:r>
            <w:r>
              <w:br/>
            </w:r>
            <w:r>
              <w:rPr>
                <w:b w:val="0"/>
                <w:i w:val="0"/>
                <w:sz w:val="19"/>
              </w:rPr>
              <w:t>a. Tất cả các đơn hàng như vậy được xem xét và phê duyệt trước khi chấp nhận.</w:t>
            </w:r>
            <w:r>
              <w:br/>
            </w:r>
            <w:r>
              <w:rPr>
                <w:b w:val="0"/>
                <w:i w:val="0"/>
                <w:sz w:val="19"/>
              </w:rPr>
              <w:t>b. Đơn vị hoạt động hoặc công ty con có thể đáp ứng các yêu cầu của đơn hàng.</w:t>
            </w:r>
            <w:r>
              <w:br/>
            </w:r>
            <w:r>
              <w:rPr>
                <w:b w:val="0"/>
                <w:i w:val="0"/>
                <w:sz w:val="19"/>
              </w:rPr>
              <w:t xml:space="preserve">c. Các điều khoản và điều kiện hợp đồng được truyền đạt đến các bộ phận phù hợp chịu trách nhiệm tuân thủ. Phải có các biện pháp kiểm soát để: </w:t>
            </w:r>
            <w:r>
              <w:br/>
            </w:r>
            <w:r>
              <w:rPr>
                <w:b w:val="0"/>
                <w:i w:val="0"/>
                <w:sz w:val="19"/>
              </w:rPr>
              <w:t>d. Đảm bảo tuân thủ các điều khoản hợp đồng.</w:t>
            </w:r>
            <w:r>
              <w:br/>
            </w:r>
            <w:r>
              <w:rPr>
                <w:b w:val="0"/>
                <w:i w:val="0"/>
                <w:sz w:val="19"/>
              </w:rPr>
              <w:t xml:space="preserve">e. Nhận diện, đàm phán và xử lý mọi lệnh thay đổi và khiếu nại tiềm ẩn. </w:t>
            </w:r>
            <w:r>
              <w:rPr>
                <w:b/>
                <w:i w:val="0"/>
                <w:sz w:val="19"/>
              </w:rPr>
              <w:t>Tham khảo các rủi ro: A-1, A-2, A-3, A-6, A-7, A-9, A-10, A-11</w:t>
            </w:r>
          </w:p>
        </w:tc>
      </w:tr>
      <w:tr>
        <w:tc>
          <w:tcPr>
            <w:tcW w:type="dxa" w:w="4680"/>
          </w:tcPr>
          <w:p>
            <w:r/>
            <w:r>
              <w:rPr>
                <w:b w:val="0"/>
                <w:i w:val="0"/>
                <w:sz w:val="19"/>
              </w:rPr>
              <w:t>8.1.8</w:t>
            </w:r>
          </w:p>
        </w:tc>
        <w:tc>
          <w:tcPr>
            <w:tcW w:type="dxa" w:w="4680"/>
          </w:tcPr>
          <w:p>
            <w:r/>
            <w:r>
              <w:rPr>
                <w:b/>
                <w:i w:val="0"/>
                <w:sz w:val="19"/>
              </w:rPr>
              <w:t>Yêu cầu Giao hàng.</w:t>
            </w:r>
            <w:r>
              <w:rPr>
                <w:b w:val="0"/>
                <w:i w:val="0"/>
                <w:sz w:val="19"/>
              </w:rPr>
              <w:t xml:space="preserve"> Mỗi đơn vị hoạt động và công ty con phải thiết lập các biện pháp kiểm soát để nhận diện các đơn hàng có yêu cầu giao hàng cụ thể, bao gồm các đơn hàng được xếp hạng ưu tiên quốc phòng, và để đảm bảo tuân thủ tất cả các yêu cầu về thông báo và vận chuyển. </w:t>
            </w:r>
            <w:r>
              <w:rPr>
                <w:b/>
                <w:i w:val="0"/>
                <w:sz w:val="19"/>
              </w:rPr>
              <w:t>Tham khảo các rủi ro: A-1, A-6, A-10</w:t>
            </w:r>
          </w:p>
        </w:tc>
      </w:tr>
      <w:tr>
        <w:tc>
          <w:tcPr>
            <w:tcW w:type="dxa" w:w="4680"/>
          </w:tcPr>
          <w:p>
            <w:r/>
            <w:r>
              <w:rPr>
                <w:b w:val="0"/>
                <w:i w:val="0"/>
                <w:sz w:val="19"/>
              </w:rPr>
              <w:t>8.1.9</w:t>
            </w:r>
          </w:p>
        </w:tc>
        <w:tc>
          <w:tcPr>
            <w:tcW w:type="dxa" w:w="4680"/>
          </w:tcPr>
          <w:p>
            <w:r/>
            <w:r>
              <w:rPr>
                <w:b w:val="0"/>
                <w:i w:val="0"/>
                <w:sz w:val="19"/>
              </w:rPr>
              <w:t>Ghi nhận doanh thu. Ghi nhận doanh thu là một nguyên tắc kế toán quy định các điều kiện cụ thể để doanh thu được ghi nhận. Theo tiêu chí IFRS, để doanh thu được ghi nhận, các điều kiện sau phải được thỏa mãn:</w:t>
            </w:r>
            <w:r>
              <w:br/>
            </w:r>
            <w:r>
              <w:rPr>
                <w:b w:val="0"/>
                <w:i w:val="0"/>
                <w:sz w:val="19"/>
              </w:rPr>
              <w:t>a. Rủi ro và lợi ích đã được chuyển từ người bán sang người mua.</w:t>
            </w:r>
            <w:r>
              <w:br/>
            </w:r>
            <w:r>
              <w:rPr>
                <w:b w:val="0"/>
                <w:i w:val="0"/>
                <w:sz w:val="19"/>
              </w:rPr>
              <w:t>b. Người bán không còn quyền kiểm soát đối với hàng hóa đã bán.</w:t>
            </w:r>
            <w:r>
              <w:br/>
            </w:r>
            <w:r>
              <w:rPr>
                <w:b w:val="0"/>
                <w:i w:val="0"/>
                <w:sz w:val="19"/>
              </w:rPr>
              <w:t>c. Việc thu tiền từ hàng hóa hoặc dịch vụ được đảm bảo một cách hợp lý.</w:t>
            </w:r>
            <w:r>
              <w:br/>
            </w:r>
            <w:r>
              <w:rPr>
                <w:b w:val="0"/>
                <w:i w:val="0"/>
                <w:sz w:val="19"/>
              </w:rPr>
              <w:t>d. Số tiền doanh thu có thể được đo lường một cách hợp lý.</w:t>
            </w:r>
            <w:r>
              <w:br/>
            </w:r>
            <w:r>
              <w:rPr>
                <w:b w:val="0"/>
                <w:i w:val="0"/>
                <w:sz w:val="19"/>
              </w:rPr>
              <w:t xml:space="preserve">e. Chi phí doanh thu có thể được đo lường một cách hợp lý. </w:t>
            </w:r>
            <w:r>
              <w:rPr>
                <w:b/>
                <w:i w:val="0"/>
                <w:sz w:val="19"/>
              </w:rPr>
              <w:t>Tham chiếu rủi ro: A-1, A-2, A-4, A-6</w:t>
            </w:r>
          </w:p>
        </w:tc>
      </w:tr>
      <w:tr>
        <w:tc>
          <w:tcPr>
            <w:tcW w:type="dxa" w:w="4680"/>
          </w:tcPr>
          <w:p>
            <w:r/>
            <w:r>
              <w:rPr>
                <w:b w:val="0"/>
                <w:i w:val="0"/>
                <w:sz w:val="19"/>
              </w:rPr>
              <w:t>8.1.10</w:t>
            </w:r>
          </w:p>
        </w:tc>
        <w:tc>
          <w:tcPr>
            <w:tcW w:type="dxa" w:w="4680"/>
          </w:tcPr>
          <w:p>
            <w:r/>
            <w:r>
              <w:rPr>
                <w:b/>
                <w:i w:val="0"/>
                <w:sz w:val="19"/>
              </w:rPr>
              <w:t>Xuất hóa đơn.</w:t>
            </w:r>
            <w:r>
              <w:rPr>
                <w:b w:val="0"/>
                <w:i w:val="0"/>
                <w:sz w:val="19"/>
              </w:rPr>
              <w:t xml:space="preserve"> Mỗi đơn vị kinh doanh và công ty con phải thiết lập các biện pháp kiểm soát để đảm bảo rằng hóa đơn gửi cho chính phủ được lập chính xác, phù hợp với các điều khoản hợp đồng và dựa trên thông tin chính xác và kịp thời. </w:t>
            </w:r>
            <w:r>
              <w:rPr>
                <w:b/>
                <w:i w:val="0"/>
                <w:sz w:val="19"/>
              </w:rPr>
              <w:t>Tham chiếu rủi ro: A-1, A-2, A-3, A-4, A-5, A-6, A-8, A-10, A-11</w:t>
            </w:r>
          </w:p>
        </w:tc>
      </w:tr>
      <w:tr>
        <w:tc>
          <w:tcPr>
            <w:tcW w:type="dxa" w:w="4680"/>
          </w:tcPr>
          <w:p>
            <w:r/>
            <w:r>
              <w:rPr>
                <w:b w:val="0"/>
                <w:i w:val="0"/>
                <w:sz w:val="19"/>
              </w:rPr>
              <w:t>8.1.11</w:t>
            </w:r>
          </w:p>
        </w:tc>
        <w:tc>
          <w:tcPr>
            <w:tcW w:type="dxa" w:w="4680"/>
          </w:tcPr>
          <w:p>
            <w:r/>
            <w:r>
              <w:rPr>
                <w:b/>
                <w:i w:val="0"/>
                <w:sz w:val="19"/>
              </w:rPr>
              <w:t>Nội dung.</w:t>
            </w:r>
            <w:r>
              <w:rPr>
                <w:b w:val="0"/>
                <w:i w:val="0"/>
                <w:sz w:val="19"/>
              </w:rPr>
              <w:t xml:space="preserve"> Mỗi đơn vị kinh doanh và công ty con phải có các quy trình và biện pháp kiểm soát để phân loại và báo cáo đúng đắn các sản phẩm cuối cùng bán cho chính phủ liên bang là hàng nội địa hay hàng nước ngoài theo quy định trong Buy American Act, Balance of Payments Programs, Trade Agreements Act of 1979, hoặc các quy định tương tự khác. Ngoài ra, các biện pháp kiểm soát này phải đảm bảo thực hiện đầy đủ tất cả các yêu cầu về đảm bảo chất lượng, nguyên vật liệu mới và thay thế sản phẩm trong các hợp đồng với chính phủ Hoa Kỳ. </w:t>
            </w:r>
            <w:r>
              <w:rPr>
                <w:b/>
                <w:i w:val="0"/>
                <w:sz w:val="19"/>
              </w:rPr>
              <w:t>Tham chiếu rủi ro: A-1, A-2, A-3, A-5, A-6, A-7, A-8, A-9, A-10, A-11</w:t>
            </w:r>
          </w:p>
        </w:tc>
      </w:tr>
      <w:tr>
        <w:tc>
          <w:tcPr>
            <w:tcW w:type="dxa" w:w="4680"/>
          </w:tcPr>
          <w:p>
            <w:r/>
            <w:r>
              <w:rPr>
                <w:b w:val="0"/>
                <w:i w:val="0"/>
                <w:sz w:val="19"/>
              </w:rPr>
              <w:t>8.1.12</w:t>
            </w:r>
          </w:p>
        </w:tc>
        <w:tc>
          <w:tcPr>
            <w:tcW w:type="dxa" w:w="4680"/>
          </w:tcPr>
          <w:p>
            <w:r/>
            <w:r>
              <w:rPr>
                <w:b/>
                <w:i w:val="0"/>
                <w:sz w:val="19"/>
              </w:rPr>
              <w:t>Các cơ quan chính phủ ngoài Hoa Kỳ.</w:t>
            </w:r>
            <w:r>
              <w:rPr>
                <w:b w:val="0"/>
                <w:i w:val="0"/>
                <w:sz w:val="19"/>
              </w:rPr>
              <w:t xml:space="preserve"> Các đơn vị chính phủ ngoài Hoa Kỳ phải tuân theo các chính sách và quy trình giống như đối với hoạt động bán hàng trong lãnh thổ Hoa Kỳ. </w:t>
            </w:r>
            <w:r>
              <w:rPr>
                <w:b/>
                <w:i w:val="0"/>
                <w:sz w:val="19"/>
              </w:rPr>
              <w:t>Tham chiếu rủi ro: A-1, A-2, A-3, A-5, A-6, A-7, A-8, A-9, A-10, A-11</w:t>
            </w:r>
          </w:p>
        </w:tc>
      </w:tr>
      <w:tr>
        <w:tc>
          <w:tcPr>
            <w:tcW w:type="dxa" w:w="4680"/>
          </w:tcPr>
          <w:p>
            <w:r/>
            <w:r>
              <w:rPr>
                <w:b w:val="0"/>
                <w:i w:val="0"/>
                <w:sz w:val="19"/>
              </w:rPr>
              <w:t>8.1.13</w:t>
            </w:r>
          </w:p>
        </w:tc>
        <w:tc>
          <w:tcPr>
            <w:tcW w:type="dxa" w:w="4680"/>
          </w:tcPr>
          <w:p>
            <w:r/>
            <w:r>
              <w:rPr>
                <w:b/>
                <w:i w:val="0"/>
                <w:sz w:val="19"/>
              </w:rPr>
              <w:t>Sản phẩm phi thương mại - Hợp đồng với chính phủ Hoa Kỳ.</w:t>
            </w:r>
            <w:r>
              <w:rPr>
                <w:b w:val="0"/>
                <w:i w:val="0"/>
                <w:sz w:val="19"/>
              </w:rPr>
              <w:t xml:space="preserve"> Các đơn vị kinh doanh hoặc công ty con phải xin phê duyệt từ CFO trước khi ký kết hợp đồng sản phẩm phi thương mại với chính phủ Hoa Kỳ. Loại hợp đồng này đòi hỏi các chính sách và quy trình kế toán cụ thể có thể xung đột với các chính sách và quy trình kế toán hiện hành. </w:t>
            </w:r>
            <w:r>
              <w:rPr>
                <w:b/>
                <w:i w:val="0"/>
                <w:sz w:val="19"/>
              </w:rPr>
              <w:t>Tham chiếu rủi ro: A-11</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A-1</w:t>
            </w:r>
          </w:p>
        </w:tc>
        <w:tc>
          <w:tcPr>
            <w:tcW w:type="dxa" w:w="4680"/>
          </w:tcPr>
          <w:p>
            <w:r/>
            <w:r>
              <w:rPr>
                <w:b w:val="0"/>
                <w:i w:val="0"/>
                <w:sz w:val="19"/>
              </w:rPr>
              <w:t>Các quy định báo cáo của chính phủ Hoa Kỳ và SEC có thể bị vi phạm.</w:t>
            </w:r>
          </w:p>
        </w:tc>
      </w:tr>
      <w:tr>
        <w:tc>
          <w:tcPr>
            <w:tcW w:type="dxa" w:w="4680"/>
          </w:tcPr>
          <w:p>
            <w:r/>
            <w:r>
              <w:rPr>
                <w:b w:val="0"/>
                <w:i w:val="0"/>
                <w:sz w:val="19"/>
              </w:rPr>
              <w:t>A-2</w:t>
            </w:r>
          </w:p>
        </w:tc>
        <w:tc>
          <w:tcPr>
            <w:tcW w:type="dxa" w:w="4680"/>
          </w:tcPr>
          <w:p>
            <w:r/>
            <w:r>
              <w:rPr>
                <w:b w:val="0"/>
                <w:i w:val="0"/>
                <w:sz w:val="19"/>
              </w:rPr>
              <w:t>Các khoản tiền phạt dân sự và hình sự có thể được áp dụng đối với công ty và/hoặc từng nhân viên.</w:t>
            </w:r>
          </w:p>
        </w:tc>
      </w:tr>
      <w:tr>
        <w:tc>
          <w:tcPr>
            <w:tcW w:type="dxa" w:w="4680"/>
          </w:tcPr>
          <w:p>
            <w:r/>
            <w:r>
              <w:rPr>
                <w:b w:val="0"/>
                <w:i w:val="0"/>
                <w:sz w:val="19"/>
              </w:rPr>
              <w:t>A-3</w:t>
            </w:r>
          </w:p>
        </w:tc>
        <w:tc>
          <w:tcPr>
            <w:tcW w:type="dxa" w:w="4680"/>
          </w:tcPr>
          <w:p>
            <w:r/>
            <w:r>
              <w:rPr>
                <w:b w:val="0"/>
                <w:i w:val="0"/>
                <w:sz w:val="19"/>
              </w:rPr>
              <w:t>Giá hợp đồng có thể bị giảm và/hoặc chi phí bị từ chối do không tuân thủ, định giá sai và/hoặc tài liệu chứng minh không đầy đủ cho các chi phí đã báo cáo.</w:t>
            </w:r>
          </w:p>
        </w:tc>
      </w:tr>
      <w:tr>
        <w:tc>
          <w:tcPr>
            <w:tcW w:type="dxa" w:w="4680"/>
          </w:tcPr>
          <w:p>
            <w:r/>
            <w:r>
              <w:rPr>
                <w:b w:val="0"/>
                <w:i w:val="0"/>
                <w:sz w:val="19"/>
              </w:rPr>
              <w:t>A-4</w:t>
            </w:r>
          </w:p>
        </w:tc>
        <w:tc>
          <w:tcPr>
            <w:tcW w:type="dxa" w:w="4680"/>
          </w:tcPr>
          <w:p>
            <w:r/>
            <w:r>
              <w:rPr>
                <w:b w:val="0"/>
                <w:i w:val="0"/>
                <w:sz w:val="19"/>
              </w:rPr>
              <w:t>Báo cáo tài chính và hồ sơ có thể bị trình bày sai. Các quyết định quan trọng có thể dựa trên thông tin sai lệch.</w:t>
            </w:r>
          </w:p>
        </w:tc>
      </w:tr>
      <w:tr>
        <w:tc>
          <w:tcPr>
            <w:tcW w:type="dxa" w:w="4680"/>
          </w:tcPr>
          <w:p>
            <w:r/>
            <w:r>
              <w:rPr>
                <w:b w:val="0"/>
                <w:i w:val="0"/>
                <w:sz w:val="19"/>
              </w:rPr>
              <w:t>A-5</w:t>
            </w:r>
          </w:p>
        </w:tc>
        <w:tc>
          <w:tcPr>
            <w:tcW w:type="dxa" w:w="4680"/>
          </w:tcPr>
          <w:p>
            <w:r/>
            <w:r>
              <w:rPr>
                <w:b w:val="0"/>
                <w:i w:val="0"/>
                <w:sz w:val="19"/>
              </w:rPr>
              <w:t>Có thể bị cấm hoặc đình chỉ việc nhận các hợp đồng của chính phủ Hoa Kỳ.</w:t>
            </w:r>
          </w:p>
        </w:tc>
      </w:tr>
      <w:tr>
        <w:tc>
          <w:tcPr>
            <w:tcW w:type="dxa" w:w="4680"/>
          </w:tcPr>
          <w:p>
            <w:r/>
            <w:r>
              <w:rPr>
                <w:b w:val="0"/>
                <w:i w:val="0"/>
                <w:sz w:val="19"/>
              </w:rPr>
              <w:t>A-6</w:t>
            </w:r>
          </w:p>
        </w:tc>
        <w:tc>
          <w:tcPr>
            <w:tcW w:type="dxa" w:w="4680"/>
          </w:tcPr>
          <w:p>
            <w:r/>
            <w:r>
              <w:rPr>
                <w:b w:val="0"/>
                <w:i w:val="0"/>
                <w:sz w:val="19"/>
              </w:rPr>
              <w:t>Nếu các thủ tục rà soát không đầy đủ, các hành động khắc phục phù hợp có thể không được khởi xướng kịp thời.</w:t>
            </w:r>
          </w:p>
        </w:tc>
      </w:tr>
      <w:tr>
        <w:tc>
          <w:tcPr>
            <w:tcW w:type="dxa" w:w="4680"/>
          </w:tcPr>
          <w:p>
            <w:r/>
            <w:r>
              <w:rPr>
                <w:b w:val="0"/>
                <w:i w:val="0"/>
                <w:sz w:val="19"/>
              </w:rPr>
              <w:t>A-7</w:t>
            </w:r>
          </w:p>
        </w:tc>
        <w:tc>
          <w:tcPr>
            <w:tcW w:type="dxa" w:w="4680"/>
          </w:tcPr>
          <w:p>
            <w:r/>
            <w:r>
              <w:rPr>
                <w:b w:val="0"/>
                <w:i w:val="0"/>
                <w:sz w:val="19"/>
              </w:rPr>
              <w:t>Các nghĩa vụ hợp đồng có thể bị chấp nhận nhưng lại nằm ngoài khả năng tuân thủ của công ty.</w:t>
            </w:r>
          </w:p>
        </w:tc>
      </w:tr>
      <w:tr>
        <w:tc>
          <w:tcPr>
            <w:tcW w:type="dxa" w:w="4680"/>
          </w:tcPr>
          <w:p>
            <w:r/>
            <w:r>
              <w:rPr>
                <w:b w:val="0"/>
                <w:i w:val="0"/>
                <w:sz w:val="19"/>
              </w:rPr>
              <w:t>A-8</w:t>
            </w:r>
          </w:p>
        </w:tc>
        <w:tc>
          <w:tcPr>
            <w:tcW w:type="dxa" w:w="4680"/>
          </w:tcPr>
          <w:p>
            <w:r/>
            <w:r>
              <w:rPr>
                <w:b w:val="0"/>
                <w:i w:val="0"/>
                <w:sz w:val="19"/>
              </w:rPr>
              <w:t>Chi phí phát sinh vượt quá giới hạn tài trợ có thể không được hoàn trả nếu thông báo cho chính phủ Hoa Kỳ là không đúng hoặc không kịp thời.</w:t>
            </w:r>
          </w:p>
        </w:tc>
      </w:tr>
      <w:tr>
        <w:tc>
          <w:tcPr>
            <w:tcW w:type="dxa" w:w="4680"/>
          </w:tcPr>
          <w:p>
            <w:r/>
            <w:r>
              <w:rPr>
                <w:b w:val="0"/>
                <w:i w:val="0"/>
                <w:sz w:val="19"/>
              </w:rPr>
              <w:t>A-9</w:t>
            </w:r>
          </w:p>
        </w:tc>
        <w:tc>
          <w:tcPr>
            <w:tcW w:type="dxa" w:w="4680"/>
          </w:tcPr>
          <w:p>
            <w:r/>
            <w:r>
              <w:rPr>
                <w:b w:val="0"/>
                <w:i w:val="0"/>
                <w:sz w:val="19"/>
              </w:rPr>
              <w:t>Hợp đồng có thể bị chấm dứt do vi phạm, và chính phủ Hoa Kỳ có thể yêu cầu bồi thường thiệt hại.</w:t>
            </w:r>
          </w:p>
        </w:tc>
      </w:tr>
      <w:tr>
        <w:tc>
          <w:tcPr>
            <w:tcW w:type="dxa" w:w="4680"/>
          </w:tcPr>
          <w:p>
            <w:r/>
            <w:r>
              <w:rPr>
                <w:b w:val="0"/>
                <w:i w:val="0"/>
                <w:sz w:val="19"/>
              </w:rPr>
              <w:t>A-10</w:t>
            </w:r>
          </w:p>
        </w:tc>
        <w:tc>
          <w:tcPr>
            <w:tcW w:type="dxa" w:w="4680"/>
          </w:tcPr>
          <w:p>
            <w:r/>
            <w:r>
              <w:rPr>
                <w:b w:val="0"/>
                <w:i w:val="0"/>
                <w:sz w:val="19"/>
              </w:rPr>
              <w:t>Sự bẽ mặt trước công chúng và tổn hại đến danh tiếng của công ty có thể xảy ra do việc không tuân thủ đầy đủ tất cả các điều khoản hợp đồng, dù là bị cáo buộc hay thực tế.</w:t>
            </w:r>
          </w:p>
        </w:tc>
      </w:tr>
      <w:tr>
        <w:tc>
          <w:tcPr>
            <w:tcW w:type="dxa" w:w="4680"/>
          </w:tcPr>
          <w:p>
            <w:r/>
            <w:r>
              <w:rPr>
                <w:b w:val="0"/>
                <w:i w:val="0"/>
                <w:sz w:val="19"/>
              </w:rPr>
              <w:t>A-11</w:t>
            </w:r>
          </w:p>
        </w:tc>
        <w:tc>
          <w:tcPr>
            <w:tcW w:type="dxa" w:w="4680"/>
          </w:tcPr>
          <w:p>
            <w:r/>
            <w:r>
              <w:rPr>
                <w:b w:val="0"/>
                <w:i w:val="0"/>
                <w:sz w:val="19"/>
              </w:rPr>
              <w:t>Có thể phát sinh nhiều chi phí pháp lý và các chi phí khác.</w:t>
            </w:r>
          </w:p>
        </w:tc>
      </w:tr>
    </w:tbl>
    <w:p>
      <w:pPr>
        <w:spacing w:after="0"/>
      </w:pPr>
    </w:p>
    <w:p>
      <w:pPr>
        <w:pStyle w:val="Heading2"/>
      </w:pPr>
      <w:r>
        <w:rPr>
          <w:rFonts w:ascii="Calibri" w:hAnsi="Calibri"/>
          <w:b/>
          <w:i w:val="0"/>
          <w:sz w:val="32"/>
        </w:rPr>
        <w:t>8.2 HỢP ĐỒNG CHÍNH PHỦ HOA KỲ—SẢN PHẨM PHI THƯƠNG MẠI</w:t>
      </w:r>
    </w:p>
    <w:p>
      <w:pPr>
        <w:pStyle w:val="Heading3"/>
      </w:pPr>
      <w:r>
        <w:rPr>
          <w:rFonts w:ascii="Calibri" w:hAnsi="Calibri"/>
          <w:b/>
          <w:i w:val="0"/>
          <w:sz w:val="26"/>
        </w:rPr>
        <w:t>Giới thiệu</w:t>
      </w:r>
    </w:p>
    <w:p>
      <w:pPr>
        <w:spacing w:after="80"/>
      </w:pPr>
      <w:r>
        <w:rPr>
          <w:b w:val="0"/>
          <w:i w:val="0"/>
        </w:rPr>
        <w:t>Mục này áp dụng cho tất cả các đơn vị hoạt động của công ty và cho các công ty con, những đơn vị trực tiếp hoặc gián tiếp cung cấp sản phẩm hoặc dịch vụ phi thương mại cho chính phủ Hoa Kỳ. Sản phẩm hoặc dịch vụ phi thương mại được phát triển dựa trên các thông số kỹ thuật và thường không phải là những mặt hàng được bán cho khách hàng khác trong hoạt động kinh doanh thông thường. Chúng được bán dựa trên hợp đồng giá cố định hoặc hợp đồng hoàn trả chi phí. Những loại hợp đồng này không được ký kết nếu không có sự phê duyệt cụ thể của giám đốc tài chính.</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8.2.1</w:t>
            </w:r>
          </w:p>
        </w:tc>
        <w:tc>
          <w:tcPr>
            <w:tcW w:type="dxa" w:w="4680"/>
          </w:tcPr>
          <w:p>
            <w:r/>
            <w:r>
              <w:rPr>
                <w:b/>
                <w:i w:val="0"/>
                <w:sz w:val="19"/>
              </w:rPr>
              <w:t>Tài sản Chính phủ.</w:t>
            </w:r>
            <w:r>
              <w:rPr>
                <w:b w:val="0"/>
                <w:i w:val="0"/>
                <w:sz w:val="19"/>
              </w:rPr>
              <w:t xml:space="preserve"> Các đơn vị hoạt động sở hữu tài sản do chính phủ Hoa Kỳ cung cấp phải sử dụng các chính sách hiện hành của công ty để thiết lập và duy trì các biện pháp kiểm soát đầy đủ đối với việc quản lý trách nhiệm, sử dụng và định đoạt tài sản đó theo yêu cầu của Quy định Mua sắm Liên bang (FAR) và các điều khoản hợp đồng. Các công ty con phải thiết lập chính sách và hệ thống kiểm soát tài sản chính phủ của riêng mình, phù hợp với các yêu cầu của công ty mẹ. </w:t>
            </w:r>
            <w:r>
              <w:rPr>
                <w:b/>
                <w:i w:val="0"/>
                <w:sz w:val="19"/>
              </w:rPr>
              <w:t>Tham khảo rủi ro: B-1, B-2, B-4, B-6</w:t>
            </w:r>
          </w:p>
        </w:tc>
      </w:tr>
      <w:tr>
        <w:tc>
          <w:tcPr>
            <w:tcW w:type="dxa" w:w="4680"/>
          </w:tcPr>
          <w:p>
            <w:r/>
            <w:r>
              <w:rPr>
                <w:b w:val="0"/>
                <w:i w:val="0"/>
                <w:sz w:val="19"/>
              </w:rPr>
              <w:t>8.2.2</w:t>
            </w:r>
          </w:p>
        </w:tc>
        <w:tc>
          <w:tcPr>
            <w:tcW w:type="dxa" w:w="4680"/>
          </w:tcPr>
          <w:p>
            <w:r/>
            <w:r>
              <w:rPr>
                <w:b/>
                <w:i w:val="0"/>
                <w:sz w:val="19"/>
              </w:rPr>
              <w:t>Điều khoản Chuyển tiếp.</w:t>
            </w:r>
            <w:r>
              <w:rPr>
                <w:b w:val="0"/>
                <w:i w:val="0"/>
                <w:sz w:val="19"/>
              </w:rPr>
              <w:t xml:space="preserve"> Các đơn vị hoạt động và công ty con phải thiết lập các biện pháp kiểm soát để đảm bảo rằng các thỏa thuận với nhà thầu phụ bao gồm tất cả các điều khoản chuyển tiếp bắt buộc. </w:t>
            </w:r>
            <w:r>
              <w:rPr>
                <w:b/>
                <w:i w:val="0"/>
                <w:sz w:val="19"/>
              </w:rPr>
              <w:t>Tham khảo rủi ro: B-2, B-3, B-5, B-6</w:t>
            </w:r>
          </w:p>
        </w:tc>
      </w:tr>
      <w:tr>
        <w:tc>
          <w:tcPr>
            <w:tcW w:type="dxa" w:w="4680"/>
          </w:tcPr>
          <w:p>
            <w:r/>
            <w:r>
              <w:rPr>
                <w:b w:val="0"/>
                <w:i w:val="0"/>
                <w:sz w:val="19"/>
              </w:rPr>
              <w:t>8.2.3</w:t>
            </w:r>
          </w:p>
        </w:tc>
        <w:tc>
          <w:tcPr>
            <w:tcW w:type="dxa" w:w="4680"/>
          </w:tcPr>
          <w:p>
            <w:r/>
            <w:r>
              <w:rPr>
                <w:b/>
                <w:i w:val="0"/>
                <w:sz w:val="19"/>
              </w:rPr>
              <w:t>Tỷ lệ Chi phí Gián tiếp.</w:t>
            </w:r>
            <w:r>
              <w:rPr>
                <w:b w:val="0"/>
                <w:i w:val="0"/>
                <w:sz w:val="19"/>
              </w:rPr>
              <w:t xml:space="preserve"> Đối với việc hoàn trả chi phí/xuất hóa theo tiến độ, tỷ lệ chi phí gián tiếp thực tế cần được theo dõi và so sánh với tỷ lệ xuất hóa. Tỷ lệ xuất hóa cần được đàm phán lại với chính phủ Hoa Kỳ khi có sự khác biệt đáng kể. Việc nộp tỷ lệ chi phí gián tiếp phải được chuẩn bị kịp thời và nộp cùng chứng nhận theo yêu cầu của FAR. </w:t>
            </w:r>
            <w:r>
              <w:rPr>
                <w:b/>
                <w:i w:val="0"/>
                <w:sz w:val="19"/>
              </w:rPr>
              <w:t>Tham khảo rủi ro: B-1, B-2, B-3, B-4, B-5, B-6, B-7, B-8, B-9</w:t>
            </w:r>
          </w:p>
        </w:tc>
      </w:tr>
      <w:tr>
        <w:tc>
          <w:tcPr>
            <w:tcW w:type="dxa" w:w="4680"/>
          </w:tcPr>
          <w:p>
            <w:r/>
            <w:r>
              <w:rPr>
                <w:b w:val="0"/>
                <w:i w:val="0"/>
                <w:sz w:val="19"/>
              </w:rPr>
              <w:t>8.2.4</w:t>
            </w:r>
          </w:p>
        </w:tc>
        <w:tc>
          <w:tcPr>
            <w:tcW w:type="dxa" w:w="4680"/>
          </w:tcPr>
          <w:p>
            <w:r/>
            <w:r>
              <w:rPr>
                <w:b w:val="0"/>
                <w:i w:val="0"/>
                <w:sz w:val="19"/>
              </w:rPr>
              <w:t>Hợp đồng phụ. Các đơn vị hoạt động và công ty con phát sinh chi phí thầu phụ đáng kể phải thiết lập quy trình để định kỳ xem xét tiến độ công việc do các nhà thầu phụ chính thực hiện nhằm đảm bảo rằng:</w:t>
            </w:r>
            <w:r>
              <w:br/>
            </w:r>
            <w:r>
              <w:rPr>
                <w:b w:val="0"/>
                <w:i w:val="0"/>
                <w:sz w:val="19"/>
              </w:rPr>
              <w:t>a. Thanh toán cho nhà thầu phụ chỉ được thực hiện trên cơ sở công việc đã hoàn thành và theo các điều khoản hợp đồng.</w:t>
            </w:r>
            <w:r>
              <w:br/>
            </w:r>
            <w:r>
              <w:rPr>
                <w:b w:val="0"/>
                <w:i w:val="0"/>
                <w:sz w:val="19"/>
              </w:rPr>
              <w:t xml:space="preserve">b. Việc giữ lại các khoản thanh toán từ nhà thầu phụ được thực hiện khi thích hợp (ví dụ: thiếu tiến độ hoặc không tuân thủ thông số kỹ thuật) và được ghi nhận, hạch toán đúng đắn. </w:t>
            </w:r>
            <w:r>
              <w:rPr>
                <w:b/>
                <w:i w:val="0"/>
                <w:sz w:val="19"/>
              </w:rPr>
              <w:t>Tham khảo rủi ro: B-1, B-4, B-5, B-7</w:t>
            </w:r>
          </w:p>
        </w:tc>
      </w:tr>
      <w:tr>
        <w:tc>
          <w:tcPr>
            <w:tcW w:type="dxa" w:w="4680"/>
          </w:tcPr>
          <w:p>
            <w:r/>
            <w:r>
              <w:rPr>
                <w:b w:val="0"/>
                <w:i w:val="0"/>
                <w:sz w:val="19"/>
              </w:rPr>
              <w:t>8.2.5</w:t>
            </w:r>
          </w:p>
        </w:tc>
        <w:tc>
          <w:tcPr>
            <w:tcW w:type="dxa" w:w="4680"/>
          </w:tcPr>
          <w:p>
            <w:r/>
            <w:r>
              <w:rPr>
                <w:b/>
                <w:i w:val="0"/>
                <w:sz w:val="19"/>
              </w:rPr>
              <w:t>Tiêu chuẩn Kế toán Chi phí.</w:t>
            </w:r>
            <w:r>
              <w:rPr>
                <w:b w:val="0"/>
                <w:i w:val="0"/>
                <w:sz w:val="19"/>
              </w:rPr>
              <w:t xml:space="preserve"> Các tiêu chuẩn kế toán chi phí (CAS) phải được lập thành văn bản và phải đảm bảo việc xác định, phân loại và tích lũy thông tin chi phí một cách chính xác theo CAS liên bang và các yêu cầu khác của chính phủ Hoa Kỳ. </w:t>
            </w:r>
            <w:r>
              <w:rPr>
                <w:b/>
                <w:i w:val="0"/>
                <w:sz w:val="19"/>
              </w:rPr>
              <w:t>Tham khảo rủi ro: B-1, B-2, B-3, B-4, B-5, B-7, B-8, B-9</w:t>
            </w:r>
          </w:p>
        </w:tc>
      </w:tr>
      <w:tr>
        <w:tc>
          <w:tcPr>
            <w:tcW w:type="dxa" w:w="4680"/>
          </w:tcPr>
          <w:p>
            <w:r/>
            <w:r>
              <w:rPr>
                <w:b w:val="0"/>
                <w:i w:val="0"/>
                <w:sz w:val="19"/>
              </w:rPr>
              <w:t>8.2.6</w:t>
            </w:r>
          </w:p>
        </w:tc>
        <w:tc>
          <w:tcPr>
            <w:tcW w:type="dxa" w:w="4680"/>
          </w:tcPr>
          <w:p>
            <w:r/>
            <w:r>
              <w:rPr>
                <w:b/>
                <w:i w:val="0"/>
                <w:sz w:val="19"/>
              </w:rPr>
              <w:t>Bản Công bố Thông tin.</w:t>
            </w:r>
            <w:r>
              <w:rPr>
                <w:b w:val="0"/>
                <w:i w:val="0"/>
                <w:sz w:val="19"/>
              </w:rPr>
              <w:t xml:space="preserve"> Mỗi đơn vị hoạt động và công ty con nộp bản công bố phải thiết lập các biện pháp kiểm soát nội bộ để phát hiện nhu cầu xây dựng và nộp các bản sửa đổi cho bản công bố thông tin (bao gồm mọi báo cáo tác động chi phí cần thiết) bất cứ khi nào có thay đổi trong thực tiễn kế toán của đơn vị hoạt động hoặc công ty con. Các biện pháp kiểm soát này cần bao gồm việc kiểm soát viên của mỗi đơn vị hoạt động hoặc công ty con thông báo về bất kỳ thay đổi nào đối với việc phân bổ chi phí của công ty mẹ cho các khoản chi phí như lương hưu hoặc hỗ trợ hành chính, những thay đổi có thể yêu cầu công bố sự thay đổi trong thực tiễn kế toán cho chính phủ Hoa Kỳ. </w:t>
            </w:r>
            <w:r>
              <w:rPr>
                <w:b/>
                <w:i w:val="0"/>
                <w:sz w:val="19"/>
              </w:rPr>
              <w:t>Tham khảo rủi ro: B-1, B-2, B-3, B-4, B-6, B-8, B-9</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B-1</w:t>
            </w:r>
          </w:p>
        </w:tc>
        <w:tc>
          <w:tcPr>
            <w:tcW w:type="dxa" w:w="4680"/>
          </w:tcPr>
          <w:p>
            <w:r/>
            <w:r>
              <w:rPr>
                <w:b w:val="0"/>
                <w:i w:val="0"/>
                <w:sz w:val="19"/>
              </w:rPr>
              <w:t>Có thể vi phạm các quy định báo cáo của chính phủ Hoa Kỳ và SEC.</w:t>
            </w:r>
          </w:p>
        </w:tc>
      </w:tr>
      <w:tr>
        <w:tc>
          <w:tcPr>
            <w:tcW w:type="dxa" w:w="4680"/>
          </w:tcPr>
          <w:p>
            <w:r/>
            <w:r>
              <w:rPr>
                <w:b w:val="0"/>
                <w:i w:val="0"/>
                <w:sz w:val="19"/>
              </w:rPr>
              <w:t>B-2</w:t>
            </w:r>
          </w:p>
        </w:tc>
        <w:tc>
          <w:tcPr>
            <w:tcW w:type="dxa" w:w="4680"/>
          </w:tcPr>
          <w:p>
            <w:r/>
            <w:r>
              <w:rPr>
                <w:b w:val="0"/>
                <w:i w:val="0"/>
                <w:sz w:val="19"/>
              </w:rPr>
              <w:t>Có thể xảy ra các khoản tiền phạt dân sự và hình sự đối với công ty và/hoặc từng nhân viên.</w:t>
            </w:r>
          </w:p>
        </w:tc>
      </w:tr>
      <w:tr>
        <w:tc>
          <w:tcPr>
            <w:tcW w:type="dxa" w:w="4680"/>
          </w:tcPr>
          <w:p>
            <w:r/>
            <w:r>
              <w:rPr>
                <w:b w:val="0"/>
                <w:i w:val="0"/>
                <w:sz w:val="19"/>
              </w:rPr>
              <w:t>B-3</w:t>
            </w:r>
          </w:p>
        </w:tc>
        <w:tc>
          <w:tcPr>
            <w:tcW w:type="dxa" w:w="4680"/>
          </w:tcPr>
          <w:p>
            <w:r/>
            <w:r>
              <w:rPr>
                <w:b w:val="0"/>
                <w:i w:val="0"/>
                <w:sz w:val="19"/>
              </w:rPr>
              <w:t>Giá hợp đồng có thể bị giảm và/hoặc chi phí bị từ chối do không tuân thủ, định giá sai lệch và/hoặc tài liệu chứng minh không đầy đủ cho các chi phí đã báo cáo.</w:t>
            </w:r>
          </w:p>
        </w:tc>
      </w:tr>
      <w:tr>
        <w:tc>
          <w:tcPr>
            <w:tcW w:type="dxa" w:w="4680"/>
          </w:tcPr>
          <w:p>
            <w:r/>
            <w:r>
              <w:rPr>
                <w:b w:val="0"/>
                <w:i w:val="0"/>
                <w:sz w:val="19"/>
              </w:rPr>
              <w:t>B-4</w:t>
            </w:r>
          </w:p>
        </w:tc>
        <w:tc>
          <w:tcPr>
            <w:tcW w:type="dxa" w:w="4680"/>
          </w:tcPr>
          <w:p>
            <w:r/>
            <w:r>
              <w:rPr>
                <w:b w:val="0"/>
                <w:i w:val="0"/>
                <w:sz w:val="19"/>
              </w:rPr>
              <w:t>Báo cáo tài chính và hồ sơ sổ sách có thể bị trình bày sai. Các quyết định quan trọng có thể dựa trên thông tin sai lệch.</w:t>
            </w:r>
          </w:p>
        </w:tc>
      </w:tr>
      <w:tr>
        <w:tc>
          <w:tcPr>
            <w:tcW w:type="dxa" w:w="4680"/>
          </w:tcPr>
          <w:p>
            <w:r/>
            <w:r>
              <w:rPr>
                <w:b w:val="0"/>
                <w:i w:val="0"/>
                <w:sz w:val="19"/>
              </w:rPr>
              <w:t>B-5</w:t>
            </w:r>
          </w:p>
        </w:tc>
        <w:tc>
          <w:tcPr>
            <w:tcW w:type="dxa" w:w="4680"/>
          </w:tcPr>
          <w:p>
            <w:r/>
            <w:r>
              <w:rPr>
                <w:b w:val="0"/>
                <w:i w:val="0"/>
                <w:sz w:val="19"/>
              </w:rPr>
              <w:t>Có thể bị cấm hoặc đình chỉ việc nhận hợp đồng từ chính phủ Hoa Kỳ.</w:t>
            </w:r>
          </w:p>
        </w:tc>
      </w:tr>
      <w:tr>
        <w:tc>
          <w:tcPr>
            <w:tcW w:type="dxa" w:w="4680"/>
          </w:tcPr>
          <w:p>
            <w:r/>
            <w:r>
              <w:rPr>
                <w:b w:val="0"/>
                <w:i w:val="0"/>
                <w:sz w:val="19"/>
              </w:rPr>
              <w:t>B-6</w:t>
            </w:r>
          </w:p>
        </w:tc>
        <w:tc>
          <w:tcPr>
            <w:tcW w:type="dxa" w:w="4680"/>
          </w:tcPr>
          <w:p>
            <w:r/>
            <w:r>
              <w:rPr>
                <w:b w:val="0"/>
                <w:i w:val="0"/>
                <w:sz w:val="19"/>
              </w:rPr>
              <w:t>Nếu các thủ tục rà soát không đầy đủ, các hành động khắc phục phù hợp có thể không được khởi động kịp thời.</w:t>
            </w:r>
          </w:p>
        </w:tc>
      </w:tr>
      <w:tr>
        <w:tc>
          <w:tcPr>
            <w:tcW w:type="dxa" w:w="4680"/>
          </w:tcPr>
          <w:p>
            <w:r/>
            <w:r>
              <w:rPr>
                <w:b w:val="0"/>
                <w:i w:val="0"/>
                <w:sz w:val="19"/>
              </w:rPr>
              <w:t>B-7</w:t>
            </w:r>
          </w:p>
        </w:tc>
        <w:tc>
          <w:tcPr>
            <w:tcW w:type="dxa" w:w="4680"/>
          </w:tcPr>
          <w:p>
            <w:r/>
            <w:r>
              <w:rPr>
                <w:b w:val="0"/>
                <w:i w:val="0"/>
                <w:sz w:val="19"/>
              </w:rPr>
              <w:t>Các chi phí phát sinh vượt quá giới hạn nguồn vốn có thể không được hoàn trả nếu thông báo không đúng hoặc không kịp thời cho chính phủ Hoa Kỳ.</w:t>
            </w:r>
          </w:p>
        </w:tc>
      </w:tr>
      <w:tr>
        <w:tc>
          <w:tcPr>
            <w:tcW w:type="dxa" w:w="4680"/>
          </w:tcPr>
          <w:p>
            <w:r/>
            <w:r>
              <w:rPr>
                <w:b w:val="0"/>
                <w:i w:val="0"/>
                <w:sz w:val="19"/>
              </w:rPr>
              <w:t>B-8</w:t>
            </w:r>
          </w:p>
        </w:tc>
        <w:tc>
          <w:tcPr>
            <w:tcW w:type="dxa" w:w="4680"/>
          </w:tcPr>
          <w:p>
            <w:r/>
            <w:r>
              <w:rPr>
                <w:b w:val="0"/>
                <w:i w:val="0"/>
                <w:sz w:val="19"/>
              </w:rPr>
              <w:t>Sự bối rối trước công chúng và tổn hại đến danh tiếng của công ty có thể là hậu quả của việc không tuân thủ đầy đủ tất cả các điều khoản hợp đồng, dù là bị cáo buộc hay thực tế.</w:t>
            </w:r>
          </w:p>
        </w:tc>
      </w:tr>
      <w:tr>
        <w:tc>
          <w:tcPr>
            <w:tcW w:type="dxa" w:w="4680"/>
          </w:tcPr>
          <w:p>
            <w:r/>
            <w:r>
              <w:rPr>
                <w:b w:val="0"/>
                <w:i w:val="0"/>
                <w:sz w:val="19"/>
              </w:rPr>
              <w:t>B-9</w:t>
            </w:r>
          </w:p>
        </w:tc>
        <w:tc>
          <w:tcPr>
            <w:tcW w:type="dxa" w:w="4680"/>
          </w:tcPr>
          <w:p>
            <w:r/>
            <w:r>
              <w:rPr>
                <w:b w:val="0"/>
                <w:i w:val="0"/>
                <w:sz w:val="19"/>
              </w:rPr>
              <w:t>Có thể phát sinh các chi phí pháp lý và chi phí khác đáng kể.</w:t>
            </w:r>
          </w:p>
        </w:tc>
      </w:tr>
    </w:tbl>
    <w:p>
      <w:pPr>
        <w:spacing w:after="0"/>
      </w:pPr>
    </w:p>
    <w:p>
      <w:pPr>
        <w:pStyle w:val="Heading2"/>
      </w:pPr>
      <w:r>
        <w:rPr>
          <w:rFonts w:ascii="Calibri" w:hAnsi="Calibri"/>
          <w:b/>
          <w:i w:val="0"/>
          <w:sz w:val="32"/>
        </w:rPr>
        <w:t>8.3 HỢP ĐỒNG VỚI CHÍNH PHỦ HOA KỲ—SẢN PHẨM THƯƠNG MẠI</w:t>
      </w:r>
    </w:p>
    <w:p>
      <w:pPr>
        <w:pStyle w:val="Heading3"/>
      </w:pPr>
      <w:r>
        <w:rPr>
          <w:rFonts w:ascii="Calibri" w:hAnsi="Calibri"/>
          <w:b/>
          <w:i w:val="0"/>
          <w:sz w:val="26"/>
        </w:rPr>
        <w:t>Giới thiệu</w:t>
      </w:r>
    </w:p>
    <w:p>
      <w:pPr>
        <w:spacing w:after="80"/>
      </w:pPr>
      <w:r>
        <w:rPr>
          <w:b w:val="0"/>
          <w:i w:val="0"/>
        </w:rPr>
        <w:t>Mục này áp dụng cho tất cả các đơn vị hoạt động của công ty (đơn vị kinh doanh, bộ phận sản xuất, và các tổ chức dịch vụ và hỗ trợ) và cho những công ty con mà trực tiếp hoặc gián tiếp cung cấp sản phẩm hoặc dịch vụ thương mại cho chính phủ Hoa Kỳ. Sản phẩm thương mại được coi là các mặt hàng "bán sẵn" (off-the-shelf) được bán cho các khách hàng khác trong quá trình kinh doanh thông thường. Giá của những sản phẩm như vậy thường được thương lượng và thống nhất dựa trên dữ liệu giao dịch thương mại đã được chứng nhận.</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8.3.1</w:t>
            </w:r>
          </w:p>
        </w:tc>
        <w:tc>
          <w:tcPr>
            <w:tcW w:type="dxa" w:w="4680"/>
          </w:tcPr>
          <w:p>
            <w:r/>
            <w:r>
              <w:rPr>
                <w:b/>
                <w:i w:val="0"/>
                <w:sz w:val="19"/>
              </w:rPr>
              <w:t>Chính sách Định giá.</w:t>
            </w:r>
            <w:r>
              <w:rPr>
                <w:b w:val="0"/>
                <w:i w:val="0"/>
                <w:sz w:val="19"/>
              </w:rPr>
              <w:t xml:space="preserve"> Mỗi đơn vị hoạt động hoặc công ty con phải xây dựng và duy trì, lưu trữ trong hồ sơ, các chính sách và thủ tục định giá thương mại quy định cách thức giá cả được thiết lập và phê duyệt. Chính sách này nên đề cập đến việc phân loại khách hàng, chiết khấu và các điều khoản, các trường hợp sai lệch so với chiết khấu và điều khoản, các giao dịch không xuất hóa đơn, và hoạt động kinh doanh với những khách hàng mà chính phủ Hoa Kỳ đặc biệt quan tâm (tức là khách hàng được ưu đãi nhất và khách hàng làm cơ sở trao hợp đồng). </w:t>
            </w:r>
            <w:r>
              <w:rPr>
                <w:b/>
                <w:i w:val="0"/>
                <w:sz w:val="19"/>
              </w:rPr>
              <w:t>Tham chiếu rủi ro: C-1, C-2, C-3, C-5, C-6, C-7, C-8, C-9, C-10, C-11</w:t>
            </w:r>
          </w:p>
        </w:tc>
      </w:tr>
      <w:tr>
        <w:tc>
          <w:tcPr>
            <w:tcW w:type="dxa" w:w="4680"/>
          </w:tcPr>
          <w:p>
            <w:r/>
            <w:r>
              <w:rPr>
                <w:b w:val="0"/>
                <w:i w:val="0"/>
                <w:sz w:val="19"/>
              </w:rPr>
              <w:t>8.3.2</w:t>
            </w:r>
          </w:p>
        </w:tc>
        <w:tc>
          <w:tcPr>
            <w:tcW w:type="dxa" w:w="4680"/>
          </w:tcPr>
          <w:p>
            <w:r/>
            <w:r>
              <w:rPr>
                <w:b/>
                <w:i w:val="0"/>
                <w:sz w:val="19"/>
              </w:rPr>
              <w:t>Quản lý Hồ sơ.</w:t>
            </w:r>
            <w:r>
              <w:rPr>
                <w:b w:val="0"/>
                <w:i w:val="0"/>
                <w:sz w:val="19"/>
              </w:rPr>
              <w:t xml:space="preserve"> Nếu dữ liệu giao dịch thương mại được gửi cho chính phủ Hoa Kỳ trong quá trình đàm phán hoặc thực hiện hợp đồng, hệ thống quản lý hồ sơ của đơn vị hoạt động hoặc công ty con phải đảm bảo rằng dữ liệu liên quan đến tất cả các giao dịch thương mại trong (các) khoảng thời gian liên quan được lưu giữ trong thời hạn ba năm, theo quy định của liên bang. </w:t>
            </w:r>
            <w:r>
              <w:rPr>
                <w:b/>
                <w:i w:val="0"/>
                <w:sz w:val="19"/>
              </w:rPr>
              <w:t>Tham chiếu rủi ro: C-1, C-2, C-3, C-5, C-6, C-7, C-8, C-9, C-10, C-11</w:t>
            </w:r>
          </w:p>
        </w:tc>
      </w:tr>
      <w:tr>
        <w:tc>
          <w:tcPr>
            <w:tcW w:type="dxa" w:w="4680"/>
          </w:tcPr>
          <w:p>
            <w:r/>
            <w:r>
              <w:rPr>
                <w:b w:val="0"/>
                <w:i w:val="0"/>
                <w:sz w:val="19"/>
              </w:rPr>
              <w:t>8.3.3</w:t>
            </w:r>
          </w:p>
        </w:tc>
        <w:tc>
          <w:tcPr>
            <w:tcW w:type="dxa" w:w="4680"/>
          </w:tcPr>
          <w:p>
            <w:r/>
            <w:r>
              <w:rPr>
                <w:b/>
                <w:i w:val="0"/>
                <w:sz w:val="19"/>
              </w:rPr>
              <w:t>Xuất hóa đơn.</w:t>
            </w:r>
            <w:r>
              <w:rPr>
                <w:b w:val="0"/>
                <w:i w:val="0"/>
                <w:sz w:val="19"/>
              </w:rPr>
              <w:t xml:space="preserve"> Các đơn vị hoạt động và công ty con phải thiết lập các biện pháp kiểm soát đầy đủ đối với việc tuân thủ xuất hóa đơn để tuân theo chính sách định giá đã thiết lập và các yêu cầu của hợp đồng. </w:t>
            </w:r>
            <w:r>
              <w:rPr>
                <w:b/>
                <w:i w:val="0"/>
                <w:sz w:val="19"/>
              </w:rPr>
              <w:t>Tham chiếu rủi ro: C-1, C-2, C-3, C-5, C-6, C-7, C-8, C-9, C-10, C-11</w:t>
            </w:r>
          </w:p>
        </w:tc>
      </w:tr>
      <w:tr>
        <w:tc>
          <w:tcPr>
            <w:tcW w:type="dxa" w:w="4680"/>
          </w:tcPr>
          <w:p>
            <w:r/>
            <w:r>
              <w:rPr>
                <w:b w:val="0"/>
                <w:i w:val="0"/>
                <w:sz w:val="19"/>
              </w:rPr>
              <w:t>8.3.4</w:t>
            </w:r>
          </w:p>
        </w:tc>
        <w:tc>
          <w:tcPr>
            <w:tcW w:type="dxa" w:w="4680"/>
          </w:tcPr>
          <w:p>
            <w:r/>
            <w:r>
              <w:rPr>
                <w:b/>
                <w:i w:val="0"/>
                <w:sz w:val="19"/>
              </w:rPr>
              <w:t>Thay đổi Chính sách Định giá.</w:t>
            </w:r>
            <w:r>
              <w:rPr>
                <w:b w:val="0"/>
                <w:i w:val="0"/>
                <w:sz w:val="19"/>
              </w:rPr>
              <w:t xml:space="preserve"> Kế hoạch tuân thủ được đơn vị hoạt động hoặc công ty con xây dựng và triển khai nên bao gồm một quy trình đảm bảo rằng chính phủ nhận được thông báo thích hợp về những thay đổi trong chính sách định giá. </w:t>
            </w:r>
            <w:r>
              <w:rPr>
                <w:b/>
                <w:i w:val="0"/>
                <w:sz w:val="19"/>
              </w:rPr>
              <w:t>Tham chiếu rủi ro: C-1, C-2, C-3, C-5, C-8, C-10, C-11</w:t>
            </w:r>
          </w:p>
        </w:tc>
      </w:tr>
      <w:tr>
        <w:tc>
          <w:tcPr>
            <w:tcW w:type="dxa" w:w="4680"/>
          </w:tcPr>
          <w:p>
            <w:r/>
            <w:r>
              <w:rPr>
                <w:b w:val="0"/>
                <w:i w:val="0"/>
                <w:sz w:val="19"/>
              </w:rPr>
              <w:t>8.3.5</w:t>
            </w:r>
          </w:p>
        </w:tc>
        <w:tc>
          <w:tcPr>
            <w:tcW w:type="dxa" w:w="4680"/>
          </w:tcPr>
          <w:p>
            <w:r/>
            <w:r>
              <w:rPr>
                <w:b/>
                <w:i w:val="0"/>
                <w:sz w:val="19"/>
              </w:rPr>
              <w:t>Các trường hợp miễn trừ.</w:t>
            </w:r>
            <w:r>
              <w:rPr>
                <w:b w:val="0"/>
                <w:i w:val="0"/>
                <w:sz w:val="19"/>
              </w:rPr>
              <w:t xml:space="preserve"> Các đơn vị hoạt động và công ty con xin miễn trừ việc nộp dữ liệu chi phí hoặc giá cả đã được chứng nhận phải có các biện pháp kiểm soát để đảm bảo họ đáp ứng các yêu cầu của FAR đối với trường hợp miễn trừ được yêu cầu và phải duy trì tài liệu đầy đủ để hỗ trợ cơ sở cho việc xin miễn trừ. </w:t>
            </w:r>
            <w:r>
              <w:rPr>
                <w:b/>
                <w:i w:val="0"/>
                <w:sz w:val="19"/>
              </w:rPr>
              <w:t>Tham khảo rủi ro: C-1, C-2, C-3, C-4, C-5, C-8, C-10, C-11</w:t>
            </w:r>
          </w:p>
        </w:tc>
      </w:tr>
      <w:tr>
        <w:tc>
          <w:tcPr>
            <w:tcW w:type="dxa" w:w="4680"/>
          </w:tcPr>
          <w:p>
            <w:r/>
            <w:r>
              <w:rPr>
                <w:b w:val="0"/>
                <w:i w:val="0"/>
                <w:sz w:val="19"/>
              </w:rPr>
              <w:t>8.3.6</w:t>
            </w:r>
          </w:p>
        </w:tc>
        <w:tc>
          <w:tcPr>
            <w:tcW w:type="dxa" w:w="4680"/>
          </w:tcPr>
          <w:p>
            <w:r/>
            <w:r>
              <w:rPr>
                <w:b w:val="0"/>
                <w:i w:val="0"/>
                <w:sz w:val="19"/>
              </w:rPr>
              <w:t>Phân loại doanh số. Các đơn vị hoạt động và công ty con bán sản phẩm thương mại cho chính phủ Hoa Kỳ phải duy trì hệ thống xử lý dữ liệu đầy đủ để cung cấp thông tin chính xác và đầy đủ liên quan đến tất cả doanh số thương mại và doanh số cho chính phủ Hoa Kỳ. Các hệ thống này phải có khả năng:</w:t>
            </w:r>
            <w:r>
              <w:br/>
            </w:r>
            <w:r>
              <w:rPr>
                <w:b w:val="0"/>
                <w:i w:val="0"/>
                <w:sz w:val="19"/>
              </w:rPr>
              <w:t>a. Phân biệt giữa chính phủ liên bang, chính quyền tiểu bang, chính quyền địa phương và các giao dịch, doanh số thương mại, đồng thời nhận diện doanh số theo các hợp đồng GSA (General Services Administration)</w:t>
            </w:r>
            <w:r>
              <w:br/>
            </w:r>
            <w:r>
              <w:rPr>
                <w:b w:val="0"/>
                <w:i w:val="0"/>
                <w:sz w:val="19"/>
              </w:rPr>
              <w:t>b. Phân loại và nhận diện đúng đắn từng khía cạnh của bất kỳ giao dịch hoặc doanh số nào (ví dụ: khoản giảm giá, tín dụng, đổi hàng, hàng miễn phí)</w:t>
            </w:r>
            <w:r>
              <w:br/>
            </w:r>
            <w:r>
              <w:rPr>
                <w:b w:val="0"/>
                <w:i w:val="0"/>
                <w:sz w:val="19"/>
              </w:rPr>
              <w:t xml:space="preserve">c. Báo cáo đúng đắn và chính xác khối lượng doanh số theo sản phẩm, khách hàng, danh mục, v.v. </w:t>
            </w:r>
            <w:r>
              <w:rPr>
                <w:b/>
                <w:i w:val="0"/>
                <w:sz w:val="19"/>
              </w:rPr>
              <w:t>Tham khảo rủi ro: C-1, C-2, C-3, C-4, C-5, C-6, C-7, C-9, C-10, C-11</w:t>
            </w:r>
          </w:p>
        </w:tc>
      </w:tr>
      <w:tr>
        <w:tc>
          <w:tcPr>
            <w:tcW w:type="dxa" w:w="4680"/>
          </w:tcPr>
          <w:p>
            <w:r/>
            <w:r>
              <w:rPr>
                <w:b w:val="0"/>
                <w:i w:val="0"/>
                <w:sz w:val="19"/>
              </w:rPr>
              <w:t>8.3.7</w:t>
            </w:r>
          </w:p>
        </w:tc>
        <w:tc>
          <w:tcPr>
            <w:tcW w:type="dxa" w:w="4680"/>
          </w:tcPr>
          <w:p>
            <w:r/>
            <w:r>
              <w:rPr>
                <w:b/>
                <w:i w:val="0"/>
                <w:sz w:val="19"/>
              </w:rPr>
              <w:t>Kế toán.</w:t>
            </w:r>
            <w:r>
              <w:rPr>
                <w:b w:val="0"/>
                <w:i w:val="0"/>
                <w:sz w:val="19"/>
              </w:rPr>
              <w:t xml:space="preserve"> Các đơn vị hoạt động và công ty con nắm giữ các hợp đồng yêu cầu phí tài trợ công nghiệp, khoản giảm giá hoặc các khoản thù lao khác phải đảm bảo rằng hệ thống kế toán của họ đủ để đảm bảo số tiền thu được từ người sử dụng hợp đồng được nhận diện chính xác, tách riêng, hạch toán và thanh toán cho chính phủ theo đúng hợp đồng. </w:t>
            </w:r>
            <w:r>
              <w:rPr>
                <w:b/>
                <w:i w:val="0"/>
                <w:sz w:val="19"/>
              </w:rPr>
              <w:t>Tham khảo rủi ro: C-2, C-5, C-10, C-11</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C-1</w:t>
            </w:r>
          </w:p>
        </w:tc>
        <w:tc>
          <w:tcPr>
            <w:tcW w:type="dxa" w:w="4680"/>
          </w:tcPr>
          <w:p>
            <w:r/>
            <w:r>
              <w:rPr>
                <w:b w:val="0"/>
                <w:i w:val="0"/>
                <w:sz w:val="19"/>
              </w:rPr>
              <w:t>Các quy định báo cáo của chính phủ Hoa Kỳ và SEC có thể bị vi phạm.</w:t>
            </w:r>
          </w:p>
        </w:tc>
      </w:tr>
      <w:tr>
        <w:tc>
          <w:tcPr>
            <w:tcW w:type="dxa" w:w="4680"/>
          </w:tcPr>
          <w:p>
            <w:r/>
            <w:r>
              <w:rPr>
                <w:b w:val="0"/>
                <w:i w:val="0"/>
                <w:sz w:val="19"/>
              </w:rPr>
              <w:t>C-2</w:t>
            </w:r>
          </w:p>
        </w:tc>
        <w:tc>
          <w:tcPr>
            <w:tcW w:type="dxa" w:w="4680"/>
          </w:tcPr>
          <w:p>
            <w:r/>
            <w:r>
              <w:rPr>
                <w:b w:val="0"/>
                <w:i w:val="0"/>
                <w:sz w:val="19"/>
              </w:rPr>
              <w:t>Các khoản tiền phạt dân sự và hình sự đối với công ty và/hoặc từng nhân viên có thể xảy ra.</w:t>
            </w:r>
          </w:p>
        </w:tc>
      </w:tr>
      <w:tr>
        <w:tc>
          <w:tcPr>
            <w:tcW w:type="dxa" w:w="4680"/>
          </w:tcPr>
          <w:p>
            <w:r/>
            <w:r>
              <w:rPr>
                <w:b w:val="0"/>
                <w:i w:val="0"/>
                <w:sz w:val="19"/>
              </w:rPr>
              <w:t>C-3</w:t>
            </w:r>
          </w:p>
        </w:tc>
        <w:tc>
          <w:tcPr>
            <w:tcW w:type="dxa" w:w="4680"/>
          </w:tcPr>
          <w:p>
            <w:r/>
            <w:r>
              <w:rPr>
                <w:b w:val="0"/>
                <w:i w:val="0"/>
                <w:sz w:val="19"/>
              </w:rPr>
              <w:t>Giá hợp đồng có thể bị giảm và/hoặc chi phí bị từ chối do không tuân thủ, định giá sai lệch và/hoặc tài liệu hỗ trợ không đầy đủ cho các chi phí được báo cáo.</w:t>
            </w:r>
          </w:p>
        </w:tc>
      </w:tr>
      <w:tr>
        <w:tc>
          <w:tcPr>
            <w:tcW w:type="dxa" w:w="4680"/>
          </w:tcPr>
          <w:p>
            <w:r/>
            <w:r>
              <w:rPr>
                <w:b w:val="0"/>
                <w:i w:val="0"/>
                <w:sz w:val="19"/>
              </w:rPr>
              <w:t>C-4</w:t>
            </w:r>
          </w:p>
        </w:tc>
        <w:tc>
          <w:tcPr>
            <w:tcW w:type="dxa" w:w="4680"/>
          </w:tcPr>
          <w:p>
            <w:r/>
            <w:r>
              <w:rPr>
                <w:b w:val="0"/>
                <w:i w:val="0"/>
                <w:sz w:val="19"/>
              </w:rPr>
              <w:t>Báo cáo tài chính và hồ sơ có thể bị trình bày sai. Các quyết định quan trọng có thể dựa trên thông tin sai lệch.</w:t>
            </w:r>
          </w:p>
        </w:tc>
      </w:tr>
      <w:tr>
        <w:tc>
          <w:tcPr>
            <w:tcW w:type="dxa" w:w="4680"/>
          </w:tcPr>
          <w:p>
            <w:r/>
            <w:r>
              <w:rPr>
                <w:b w:val="0"/>
                <w:i w:val="0"/>
                <w:sz w:val="19"/>
              </w:rPr>
              <w:t>C-5</w:t>
            </w:r>
          </w:p>
        </w:tc>
        <w:tc>
          <w:tcPr>
            <w:tcW w:type="dxa" w:w="4680"/>
          </w:tcPr>
          <w:p>
            <w:r/>
            <w:r>
              <w:rPr>
                <w:b w:val="0"/>
                <w:i w:val="0"/>
                <w:sz w:val="19"/>
              </w:rPr>
              <w:t>Việc bị cấm hoặc đình chỉ nhận hợp đồng từ chính phủ Hoa Kỳ có thể xảy ra.</w:t>
            </w:r>
          </w:p>
        </w:tc>
      </w:tr>
      <w:tr>
        <w:tc>
          <w:tcPr>
            <w:tcW w:type="dxa" w:w="4680"/>
          </w:tcPr>
          <w:p>
            <w:r/>
            <w:r>
              <w:rPr>
                <w:b w:val="0"/>
                <w:i w:val="0"/>
                <w:sz w:val="19"/>
              </w:rPr>
              <w:t>C-6</w:t>
            </w:r>
          </w:p>
        </w:tc>
        <w:tc>
          <w:tcPr>
            <w:tcW w:type="dxa" w:w="4680"/>
          </w:tcPr>
          <w:p>
            <w:r/>
            <w:r>
              <w:rPr>
                <w:b w:val="0"/>
                <w:i w:val="0"/>
                <w:sz w:val="19"/>
              </w:rPr>
              <w:t>Nếu các thủ tục rà soát không đầy đủ, các hành động khắc phục phù hợp có thể không được khởi xướng kịp thời.</w:t>
            </w:r>
          </w:p>
        </w:tc>
      </w:tr>
      <w:tr>
        <w:tc>
          <w:tcPr>
            <w:tcW w:type="dxa" w:w="4680"/>
          </w:tcPr>
          <w:p>
            <w:r/>
            <w:r>
              <w:rPr>
                <w:b w:val="0"/>
                <w:i w:val="0"/>
                <w:sz w:val="19"/>
              </w:rPr>
              <w:t>C-7</w:t>
            </w:r>
          </w:p>
        </w:tc>
        <w:tc>
          <w:tcPr>
            <w:tcW w:type="dxa" w:w="4680"/>
          </w:tcPr>
          <w:p>
            <w:r/>
            <w:r>
              <w:rPr>
                <w:b w:val="0"/>
                <w:i w:val="0"/>
                <w:sz w:val="19"/>
              </w:rPr>
              <w:t>Có thể chấp nhận các nghĩa vụ hợp đồng nằm ngoài khả năng tuân thủ của công ty.</w:t>
            </w:r>
          </w:p>
        </w:tc>
      </w:tr>
      <w:tr>
        <w:tc>
          <w:tcPr>
            <w:tcW w:type="dxa" w:w="4680"/>
          </w:tcPr>
          <w:p>
            <w:r/>
            <w:r>
              <w:rPr>
                <w:b w:val="0"/>
                <w:i w:val="0"/>
                <w:sz w:val="19"/>
              </w:rPr>
              <w:t>C-8</w:t>
            </w:r>
          </w:p>
        </w:tc>
        <w:tc>
          <w:tcPr>
            <w:tcW w:type="dxa" w:w="4680"/>
          </w:tcPr>
          <w:p>
            <w:r/>
            <w:r>
              <w:rPr>
                <w:b w:val="0"/>
                <w:i w:val="0"/>
                <w:sz w:val="19"/>
              </w:rPr>
              <w:t>Các chi phí phát sinh vượt quá giới hạn tài trợ có thể không được hoàn trả nếu thông báo không đúng hoặc không kịp thời được gửi đến chính phủ Hoa Kỳ.</w:t>
            </w:r>
          </w:p>
        </w:tc>
      </w:tr>
      <w:tr>
        <w:tc>
          <w:tcPr>
            <w:tcW w:type="dxa" w:w="4680"/>
          </w:tcPr>
          <w:p>
            <w:r/>
            <w:r>
              <w:rPr>
                <w:b w:val="0"/>
                <w:i w:val="0"/>
                <w:sz w:val="19"/>
              </w:rPr>
              <w:t>C-9</w:t>
            </w:r>
          </w:p>
        </w:tc>
        <w:tc>
          <w:tcPr>
            <w:tcW w:type="dxa" w:w="4680"/>
          </w:tcPr>
          <w:p>
            <w:r/>
            <w:r>
              <w:rPr>
                <w:b w:val="0"/>
                <w:i w:val="0"/>
                <w:sz w:val="19"/>
              </w:rPr>
              <w:t>Hợp đồng có thể bị chấm dứt do vi phạm, và chính phủ có thể yêu cầu bồi thường thiệt hại.</w:t>
            </w:r>
          </w:p>
        </w:tc>
      </w:tr>
      <w:tr>
        <w:tc>
          <w:tcPr>
            <w:tcW w:type="dxa" w:w="4680"/>
          </w:tcPr>
          <w:p>
            <w:r/>
            <w:r>
              <w:rPr>
                <w:b w:val="0"/>
                <w:i w:val="0"/>
                <w:sz w:val="19"/>
              </w:rPr>
              <w:t>C-10</w:t>
            </w:r>
          </w:p>
        </w:tc>
        <w:tc>
          <w:tcPr>
            <w:tcW w:type="dxa" w:w="4680"/>
          </w:tcPr>
          <w:p>
            <w:r/>
            <w:r>
              <w:rPr>
                <w:b w:val="0"/>
                <w:i w:val="0"/>
                <w:sz w:val="19"/>
              </w:rPr>
              <w:t>Sự bẽ mặt trước công chúng và tổn hại đến danh tiếng của công ty có thể xảy ra do việc không tuân thủ đầy đủ tất cả các điều khoản hợp đồng, dù là bị cáo buộc hay thực tế.</w:t>
            </w:r>
          </w:p>
        </w:tc>
      </w:tr>
      <w:tr>
        <w:tc>
          <w:tcPr>
            <w:tcW w:type="dxa" w:w="4680"/>
          </w:tcPr>
          <w:p>
            <w:r/>
            <w:r>
              <w:rPr>
                <w:b w:val="0"/>
                <w:i w:val="0"/>
                <w:sz w:val="19"/>
              </w:rPr>
              <w:t>C-11</w:t>
            </w:r>
          </w:p>
        </w:tc>
        <w:tc>
          <w:tcPr>
            <w:tcW w:type="dxa" w:w="4680"/>
          </w:tcPr>
          <w:p>
            <w:r/>
            <w:r>
              <w:rPr>
                <w:b w:val="0"/>
                <w:i w:val="0"/>
                <w:sz w:val="19"/>
              </w:rPr>
              <w:t>Có thể phát sinh nhiều chi phí pháp lý và các chi phí khác.</w:t>
            </w:r>
          </w:p>
        </w:tc>
      </w:tr>
    </w:tbl>
    <w:p>
      <w:pPr>
        <w:spacing w:after="0"/>
      </w:pPr>
    </w:p>
    <w:p>
      <w:pPr>
        <w:pStyle w:val="Heading2"/>
      </w:pPr>
      <w:r>
        <w:rPr>
          <w:rFonts w:ascii="Calibri" w:hAnsi="Calibri"/>
          <w:b/>
          <w:i w:val="0"/>
          <w:sz w:val="32"/>
        </w:rPr>
        <w:t>8.4 HỢP ĐỒNG VỚI CHÍNH QUYỀN TIỂU BANG VÀ ĐỊA PHƯƠNG VÀ CÁC TỔ CHỨC GIÁO DỤC TRONG NƯỚC HOA KỲ</w:t>
      </w:r>
    </w:p>
    <w:p>
      <w:pPr>
        <w:pStyle w:val="Heading3"/>
      </w:pPr>
      <w:r>
        <w:rPr>
          <w:rFonts w:ascii="Calibri" w:hAnsi="Calibri"/>
          <w:b/>
          <w:i w:val="0"/>
          <w:sz w:val="26"/>
        </w:rPr>
        <w:t>Giới thiệu</w:t>
      </w:r>
    </w:p>
    <w:p>
      <w:pPr>
        <w:spacing w:after="80"/>
      </w:pPr>
      <w:r>
        <w:rPr>
          <w:b w:val="0"/>
          <w:i w:val="0"/>
        </w:rPr>
        <w:t>Công ty và các công ty con là nhà cung cấp cho cả chính quyền tiểu bang và địa phương. Giao dịch với các thực thể này đặt ra những yêu cầu, biện pháp khắc phục và hình phạt đặc thù mà không gặp trong hoạt động kinh doanh thương mại thông thường.</w:t>
      </w:r>
    </w:p>
    <w:p>
      <w:pPr>
        <w:pStyle w:val="Heading3"/>
      </w:pPr>
      <w:r>
        <w:rPr>
          <w:rFonts w:ascii="Calibri" w:hAnsi="Calibri"/>
          <w:b/>
          <w:i w:val="0"/>
          <w:sz w:val="26"/>
        </w:rPr>
        <w:t>Chuẩn mực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8.4.1</w:t>
            </w:r>
          </w:p>
        </w:tc>
        <w:tc>
          <w:tcPr>
            <w:tcW w:type="dxa" w:w="4680"/>
          </w:tcPr>
          <w:p>
            <w:r/>
            <w:r>
              <w:rPr>
                <w:b/>
                <w:i w:val="0"/>
                <w:sz w:val="19"/>
              </w:rPr>
              <w:t>Chung.</w:t>
            </w:r>
            <w:r>
              <w:rPr>
                <w:b w:val="0"/>
                <w:i w:val="0"/>
                <w:sz w:val="19"/>
              </w:rPr>
              <w:t xml:space="preserve"> Các tiêu chuẩn kiểm soát nội bộ 8.1.1 đến 8.1.11 liên quan đến hợp đồng chính phủ cũng được áp dụng cho các hợp đồng với chính quyền tiểu bang và địa phương của Hoa Kỳ. </w:t>
            </w:r>
            <w:r>
              <w:rPr>
                <w:b/>
                <w:i w:val="0"/>
                <w:sz w:val="19"/>
              </w:rPr>
              <w:t>Tham khảo rủi ro: D-1, D-2, D-3, D-4, D-5, D-6, D-7, D-8, D-9, D-10</w:t>
            </w:r>
          </w:p>
        </w:tc>
      </w:tr>
      <w:tr>
        <w:tc>
          <w:tcPr>
            <w:tcW w:type="dxa" w:w="4680"/>
          </w:tcPr>
          <w:p>
            <w:r/>
            <w:r>
              <w:rPr>
                <w:b w:val="0"/>
                <w:i w:val="0"/>
                <w:sz w:val="19"/>
              </w:rPr>
              <w:t>8.4.2</w:t>
            </w:r>
          </w:p>
        </w:tc>
        <w:tc>
          <w:tcPr>
            <w:tcW w:type="dxa" w:w="4680"/>
          </w:tcPr>
          <w:p>
            <w:r/>
            <w:r>
              <w:rPr>
                <w:b/>
                <w:i w:val="0"/>
                <w:sz w:val="19"/>
              </w:rPr>
              <w:t>Luật và Quy định Áp dụng.</w:t>
            </w:r>
            <w:r>
              <w:rPr>
                <w:b w:val="0"/>
                <w:i w:val="0"/>
                <w:sz w:val="19"/>
              </w:rPr>
              <w:t xml:space="preserve"> Mỗi đơn vị vận hành và công ty con phải thiết lập các trách nhiệm, kế hoạch, chính sách và quy trình phù hợp để đề xuất, đàm phán và ký kết hợp đồng với chính quyền tiểu bang và địa phương của Hoa Kỳ. Các yêu cầu luật định và quy định của từng cơ quan chính quyền tiểu bang và địa phương phải được nghiên cứu và hiểu rõ để đảm bảo tuân thủ trước khi công ty cam kết thực hiện các hợp đồng đó. </w:t>
            </w:r>
            <w:r>
              <w:rPr>
                <w:b/>
                <w:i w:val="0"/>
                <w:sz w:val="19"/>
              </w:rPr>
              <w:t>Tham khảo rủi ro: D-1, D-2, D-3, D-4, D-5, D-6, D-7, D-8, D-9, D-10</w:t>
            </w:r>
          </w:p>
        </w:tc>
      </w:tr>
      <w:tr>
        <w:tc>
          <w:tcPr>
            <w:tcW w:type="dxa" w:w="4680"/>
          </w:tcPr>
          <w:p>
            <w:r/>
            <w:r>
              <w:rPr>
                <w:b w:val="0"/>
                <w:i w:val="0"/>
                <w:sz w:val="19"/>
              </w:rPr>
              <w:t>8.4.3</w:t>
            </w:r>
          </w:p>
        </w:tc>
        <w:tc>
          <w:tcPr>
            <w:tcW w:type="dxa" w:w="4680"/>
          </w:tcPr>
          <w:p>
            <w:r/>
            <w:r>
              <w:rPr>
                <w:b/>
                <w:i w:val="0"/>
                <w:sz w:val="19"/>
              </w:rPr>
              <w:t>Kế toán.</w:t>
            </w:r>
            <w:r>
              <w:rPr>
                <w:b w:val="0"/>
                <w:i w:val="0"/>
                <w:sz w:val="19"/>
              </w:rPr>
              <w:t xml:space="preserve"> Các đơn vị vận hành và công ty con có hợp đồng yêu cầu phí tài trợ công nghiệp, khoản hoàn trả hoặc thù lao khác phải đảm bảo rằng hệ thống kế toán của họ đủ để đảm bảo số tiền thu được từ người sử dụng hợp đồng được xác định chính xác, tách riêng, hạch toán và nộp lại cho chính phủ theo đúng hợp đồng. </w:t>
            </w:r>
            <w:r>
              <w:rPr>
                <w:b/>
                <w:i w:val="0"/>
                <w:sz w:val="19"/>
              </w:rPr>
              <w:t>Tham khảo rủi ro: D-2, D-5, D-10</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D-1</w:t>
            </w:r>
          </w:p>
        </w:tc>
        <w:tc>
          <w:tcPr>
            <w:tcW w:type="dxa" w:w="4680"/>
          </w:tcPr>
          <w:p>
            <w:r/>
            <w:r>
              <w:rPr>
                <w:b w:val="0"/>
                <w:i w:val="0"/>
                <w:sz w:val="19"/>
              </w:rPr>
              <w:t>Các quy định báo cáo của chính quyền tiểu bang và địa phương có thể bị vi phạm.</w:t>
            </w:r>
          </w:p>
        </w:tc>
      </w:tr>
      <w:tr>
        <w:tc>
          <w:tcPr>
            <w:tcW w:type="dxa" w:w="4680"/>
          </w:tcPr>
          <w:p>
            <w:r/>
            <w:r>
              <w:rPr>
                <w:b w:val="0"/>
                <w:i w:val="0"/>
                <w:sz w:val="19"/>
              </w:rPr>
              <w:t>D-2</w:t>
            </w:r>
          </w:p>
        </w:tc>
        <w:tc>
          <w:tcPr>
            <w:tcW w:type="dxa" w:w="4680"/>
          </w:tcPr>
          <w:p>
            <w:r/>
            <w:r>
              <w:rPr>
                <w:b w:val="0"/>
                <w:i w:val="0"/>
                <w:sz w:val="19"/>
              </w:rPr>
              <w:t>Các khoản tiền phạt dân sự và hình sự đối với công ty và/hoặc từng nhân viên có thể xảy ra.</w:t>
            </w:r>
          </w:p>
        </w:tc>
      </w:tr>
      <w:tr>
        <w:tc>
          <w:tcPr>
            <w:tcW w:type="dxa" w:w="4680"/>
          </w:tcPr>
          <w:p>
            <w:r/>
            <w:r>
              <w:rPr>
                <w:b w:val="0"/>
                <w:i w:val="0"/>
                <w:sz w:val="19"/>
              </w:rPr>
              <w:t>D-3</w:t>
            </w:r>
          </w:p>
        </w:tc>
        <w:tc>
          <w:tcPr>
            <w:tcW w:type="dxa" w:w="4680"/>
          </w:tcPr>
          <w:p>
            <w:r/>
            <w:r>
              <w:rPr>
                <w:b w:val="0"/>
                <w:i w:val="0"/>
                <w:sz w:val="19"/>
              </w:rPr>
              <w:t>Giá hợp đồng sau đó có thể bị giảm do không tuân thủ và/hoặc tài liệu hỗ trợ không đầy đủ cho các chi phí đã báo cáo.</w:t>
            </w:r>
          </w:p>
        </w:tc>
      </w:tr>
      <w:tr>
        <w:tc>
          <w:tcPr>
            <w:tcW w:type="dxa" w:w="4680"/>
          </w:tcPr>
          <w:p>
            <w:r/>
            <w:r>
              <w:rPr>
                <w:b w:val="0"/>
                <w:i w:val="0"/>
                <w:sz w:val="19"/>
              </w:rPr>
              <w:t>D-4</w:t>
            </w:r>
          </w:p>
        </w:tc>
        <w:tc>
          <w:tcPr>
            <w:tcW w:type="dxa" w:w="4680"/>
          </w:tcPr>
          <w:p>
            <w:r/>
            <w:r>
              <w:rPr>
                <w:b w:val="0"/>
                <w:i w:val="0"/>
                <w:sz w:val="19"/>
              </w:rPr>
              <w:t>Báo cáo tài chính và hồ sơ có thể dựa trên thông tin sai lệch.</w:t>
            </w:r>
          </w:p>
        </w:tc>
      </w:tr>
      <w:tr>
        <w:tc>
          <w:tcPr>
            <w:tcW w:type="dxa" w:w="4680"/>
          </w:tcPr>
          <w:p>
            <w:r/>
            <w:r>
              <w:rPr>
                <w:b w:val="0"/>
                <w:i w:val="0"/>
                <w:sz w:val="19"/>
              </w:rPr>
              <w:t>D-5</w:t>
            </w:r>
          </w:p>
        </w:tc>
        <w:tc>
          <w:tcPr>
            <w:tcW w:type="dxa" w:w="4680"/>
          </w:tcPr>
          <w:p>
            <w:r/>
            <w:r>
              <w:rPr>
                <w:b w:val="0"/>
                <w:i w:val="0"/>
                <w:sz w:val="19"/>
              </w:rPr>
              <w:t>Việc bị cấm hoặc bị đình chỉ nhận hợp đồng từ chính quyền tiểu bang hoặc địa phương có thể xảy ra.</w:t>
            </w:r>
          </w:p>
        </w:tc>
      </w:tr>
      <w:tr>
        <w:tc>
          <w:tcPr>
            <w:tcW w:type="dxa" w:w="4680"/>
          </w:tcPr>
          <w:p>
            <w:r/>
            <w:r>
              <w:rPr>
                <w:b w:val="0"/>
                <w:i w:val="0"/>
                <w:sz w:val="19"/>
              </w:rPr>
              <w:t>D-6</w:t>
            </w:r>
          </w:p>
        </w:tc>
        <w:tc>
          <w:tcPr>
            <w:tcW w:type="dxa" w:w="4680"/>
          </w:tcPr>
          <w:p>
            <w:r/>
            <w:r>
              <w:rPr>
                <w:b w:val="0"/>
                <w:i w:val="0"/>
                <w:sz w:val="19"/>
              </w:rPr>
              <w:t>Nếu việc rà soát các quy trình không đầy đủ, các hành động khắc phục phù hợp có thể không được khởi xướng kịp thời.</w:t>
            </w:r>
          </w:p>
        </w:tc>
      </w:tr>
      <w:tr>
        <w:tc>
          <w:tcPr>
            <w:tcW w:type="dxa" w:w="4680"/>
          </w:tcPr>
          <w:p>
            <w:r/>
            <w:r>
              <w:rPr>
                <w:b w:val="0"/>
                <w:i w:val="0"/>
                <w:sz w:val="19"/>
              </w:rPr>
              <w:t>D-7</w:t>
            </w:r>
          </w:p>
        </w:tc>
        <w:tc>
          <w:tcPr>
            <w:tcW w:type="dxa" w:w="4680"/>
          </w:tcPr>
          <w:p>
            <w:r/>
            <w:r>
              <w:rPr>
                <w:b w:val="0"/>
                <w:i w:val="0"/>
                <w:sz w:val="19"/>
              </w:rPr>
              <w:t>Các nghĩa vụ hợp đồng có thể bị chấp nhận nhưng lại nằm ngoài khả năng tuân thủ của đơn vị vận hành hoặc công ty con.</w:t>
            </w:r>
          </w:p>
        </w:tc>
      </w:tr>
      <w:tr>
        <w:tc>
          <w:tcPr>
            <w:tcW w:type="dxa" w:w="4680"/>
          </w:tcPr>
          <w:p>
            <w:r/>
            <w:r>
              <w:rPr>
                <w:b w:val="0"/>
                <w:i w:val="0"/>
                <w:sz w:val="19"/>
              </w:rPr>
              <w:t>D-8</w:t>
            </w:r>
          </w:p>
        </w:tc>
        <w:tc>
          <w:tcPr>
            <w:tcW w:type="dxa" w:w="4680"/>
          </w:tcPr>
          <w:p>
            <w:r/>
            <w:r>
              <w:rPr>
                <w:b w:val="0"/>
                <w:i w:val="0"/>
                <w:sz w:val="19"/>
              </w:rPr>
              <w:t>Hợp đồng có thể bị chấm dứt do vi phạm, và chính quyền tiểu bang hoặc địa phương có thể yêu cầu bồi thường thiệt hại.</w:t>
            </w:r>
          </w:p>
        </w:tc>
      </w:tr>
      <w:tr>
        <w:tc>
          <w:tcPr>
            <w:tcW w:type="dxa" w:w="4680"/>
          </w:tcPr>
          <w:p>
            <w:r/>
            <w:r>
              <w:rPr>
                <w:b w:val="0"/>
                <w:i w:val="0"/>
                <w:sz w:val="19"/>
              </w:rPr>
              <w:t>D-9</w:t>
            </w:r>
          </w:p>
        </w:tc>
        <w:tc>
          <w:tcPr>
            <w:tcW w:type="dxa" w:w="4680"/>
          </w:tcPr>
          <w:p>
            <w:r/>
            <w:r>
              <w:rPr>
                <w:b w:val="0"/>
                <w:i w:val="0"/>
                <w:sz w:val="19"/>
              </w:rPr>
              <w:t>Sự bẽ mặt trước công chúng và tổn hại đến danh tiếng của công ty có thể phát sinh do việc không tuân thủ đầy đủ tất cả các điều khoản của hợp đồng với chính quyền tiểu bang hoặc địa phương, dù là bị cáo buộc hay thực tế.</w:t>
            </w:r>
          </w:p>
        </w:tc>
      </w:tr>
      <w:tr>
        <w:tc>
          <w:tcPr>
            <w:tcW w:type="dxa" w:w="4680"/>
          </w:tcPr>
          <w:p>
            <w:r/>
            <w:r>
              <w:rPr>
                <w:b w:val="0"/>
                <w:i w:val="0"/>
                <w:sz w:val="19"/>
              </w:rPr>
              <w:t>D-10</w:t>
            </w:r>
          </w:p>
        </w:tc>
        <w:tc>
          <w:tcPr>
            <w:tcW w:type="dxa" w:w="4680"/>
          </w:tcPr>
          <w:p>
            <w:r/>
            <w:r>
              <w:rPr>
                <w:b w:val="0"/>
                <w:i w:val="0"/>
                <w:sz w:val="19"/>
              </w:rPr>
              <w:t>Có thể phát sinh nhiều chi phí pháp lý và các chi phí khác.</w:t>
            </w:r>
          </w:p>
        </w:tc>
      </w:tr>
    </w:tbl>
    <w:p>
      <w:pPr>
        <w:spacing w:after="0"/>
      </w:pPr>
    </w:p>
    <w:p>
      <w:pPr>
        <w:pStyle w:val="Heading2"/>
      </w:pPr>
      <w:r>
        <w:rPr>
          <w:rFonts w:ascii="Calibri" w:hAnsi="Calibri"/>
          <w:b/>
          <w:i w:val="0"/>
          <w:sz w:val="32"/>
        </w:rPr>
        <w:t>8.5 HỢP ĐỒNG VỚI CÁC CHÍNH PHỦ NGOÀI HOA KỲ</w:t>
      </w:r>
    </w:p>
    <w:p>
      <w:pPr>
        <w:pStyle w:val="Heading3"/>
      </w:pPr>
      <w:r>
        <w:rPr>
          <w:rFonts w:ascii="Calibri" w:hAnsi="Calibri"/>
          <w:b/>
          <w:i w:val="0"/>
          <w:sz w:val="26"/>
        </w:rPr>
        <w:t>Giới thiệu</w:t>
      </w:r>
    </w:p>
    <w:p>
      <w:pPr>
        <w:spacing w:after="80"/>
      </w:pPr>
      <w:r>
        <w:rPr>
          <w:b w:val="0"/>
          <w:i w:val="0"/>
        </w:rPr>
        <w:t>Công ty và các công ty con ký kết hợp đồng với các thực thể chính phủ ngoài Hoa Kỳ, bao gồm cả các khách hàng bán chính phủ (tức là ngành công nghiệp do chính phủ sở hữu hoặc các cơ quan được nhiều chính phủ tài trợ), trên khắp thế giới.</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8.5.1</w:t>
            </w:r>
          </w:p>
        </w:tc>
        <w:tc>
          <w:tcPr>
            <w:tcW w:type="dxa" w:w="4680"/>
          </w:tcPr>
          <w:p>
            <w:r/>
            <w:r>
              <w:rPr>
                <w:b/>
                <w:i w:val="0"/>
                <w:sz w:val="19"/>
              </w:rPr>
              <w:t>Trách nhiệm.</w:t>
            </w:r>
            <w:r>
              <w:rPr>
                <w:b w:val="0"/>
                <w:i w:val="0"/>
                <w:sz w:val="19"/>
              </w:rPr>
              <w:t xml:space="preserve"> Trách nhiệm tổng thể về việc tuân thủ các hợp đồng với chính phủ ngoài Hoa Kỳ thuộc về Tổng Giám đốc Quốc gia (Country General Manager) với sự hỗ trợ từ bộ phận pháp lý phù hợp. Những cá nhân này phải điều phối mọi hoạt động liên lạc và hoạt động liên quan đến việc tuân thủ tất cả các hợp đồng chính phủ trong quốc gia đó cho công ty. </w:t>
            </w:r>
            <w:r>
              <w:rPr>
                <w:b/>
                <w:i w:val="0"/>
                <w:sz w:val="19"/>
              </w:rPr>
              <w:t>Tham khảo các rủi ro: E-1, E-2, E-3</w:t>
            </w:r>
          </w:p>
        </w:tc>
      </w:tr>
      <w:tr>
        <w:tc>
          <w:tcPr>
            <w:tcW w:type="dxa" w:w="4680"/>
          </w:tcPr>
          <w:p>
            <w:r/>
            <w:r>
              <w:rPr>
                <w:b w:val="0"/>
                <w:i w:val="0"/>
                <w:sz w:val="19"/>
              </w:rPr>
              <w:t>8.5.2</w:t>
            </w:r>
          </w:p>
        </w:tc>
        <w:tc>
          <w:tcPr>
            <w:tcW w:type="dxa" w:w="4680"/>
          </w:tcPr>
          <w:p>
            <w:r/>
            <w:r>
              <w:rPr>
                <w:b/>
                <w:i w:val="0"/>
                <w:sz w:val="19"/>
              </w:rPr>
              <w:t>Thẩm quyền Ký kết Hợp đồng.</w:t>
            </w:r>
            <w:r>
              <w:rPr>
                <w:b w:val="0"/>
                <w:i w:val="0"/>
                <w:sz w:val="19"/>
              </w:rPr>
              <w:t xml:space="preserve"> Chỉ những nhân sự cụ thể, được xác định trong các nghị quyết ủy quyền đã được hội đồng quản trị phù hợp phê duyệt, mới được phép ràng buộc công ty hoặc bất kỳ công ty con nào của công ty vào các hợp đồng với chính phủ ngoài Hoa Kỳ. </w:t>
            </w:r>
            <w:r>
              <w:rPr>
                <w:b/>
                <w:i w:val="0"/>
                <w:sz w:val="19"/>
              </w:rPr>
              <w:t>Tham khảo các rủi ro: E-1, E-2, E-3</w:t>
            </w:r>
          </w:p>
        </w:tc>
      </w:tr>
      <w:tr>
        <w:tc>
          <w:tcPr>
            <w:tcW w:type="dxa" w:w="4680"/>
          </w:tcPr>
          <w:p>
            <w:r/>
            <w:r>
              <w:rPr>
                <w:b w:val="0"/>
                <w:i w:val="0"/>
                <w:sz w:val="19"/>
              </w:rPr>
              <w:t>8.5.3</w:t>
            </w:r>
          </w:p>
        </w:tc>
        <w:tc>
          <w:tcPr>
            <w:tcW w:type="dxa" w:w="4680"/>
          </w:tcPr>
          <w:p>
            <w:r/>
            <w:r>
              <w:rPr>
                <w:b/>
                <w:i w:val="0"/>
                <w:sz w:val="19"/>
              </w:rPr>
              <w:t>Pháp nhân Ký kết Hợp đồng.</w:t>
            </w:r>
            <w:r>
              <w:rPr>
                <w:b w:val="0"/>
                <w:i w:val="0"/>
                <w:sz w:val="19"/>
              </w:rPr>
              <w:t xml:space="preserve"> Theo nguyên tắc chung, các hợp đồng với chính phủ ngoài Hoa Kỳ phải được ký kết bởi công ty con của công ty đặt tại quốc gia đó. Phải có sự phê duyệt của bộ phận Thuế và Pháp lý trước khi công ty ký kết bất kỳ hợp đồng nào không được thực hiện hoàn toàn trong lãnh thổ Hoa Kỳ. </w:t>
            </w:r>
            <w:r>
              <w:rPr>
                <w:b/>
                <w:i w:val="0"/>
                <w:sz w:val="19"/>
              </w:rPr>
              <w:t>Tham khảo các rủi ro: E-1, E-2, E-3</w:t>
            </w:r>
          </w:p>
        </w:tc>
      </w:tr>
      <w:tr>
        <w:tc>
          <w:tcPr>
            <w:tcW w:type="dxa" w:w="4680"/>
          </w:tcPr>
          <w:p>
            <w:r/>
            <w:r>
              <w:rPr>
                <w:b w:val="0"/>
                <w:i w:val="0"/>
                <w:sz w:val="19"/>
              </w:rPr>
              <w:t>8.5.4</w:t>
            </w:r>
          </w:p>
        </w:tc>
        <w:tc>
          <w:tcPr>
            <w:tcW w:type="dxa" w:w="4680"/>
          </w:tcPr>
          <w:p>
            <w:r/>
            <w:r>
              <w:rPr>
                <w:b/>
                <w:i w:val="0"/>
                <w:sz w:val="19"/>
              </w:rPr>
              <w:t>Năng lực Ký kết Hợp đồng.</w:t>
            </w:r>
            <w:r>
              <w:rPr>
                <w:b w:val="0"/>
                <w:i w:val="0"/>
                <w:sz w:val="19"/>
              </w:rPr>
              <w:t xml:space="preserve"> Mỗi đơn vị kinh doanh hoặc công ty con khởi tạo các hợp đồng với chính phủ ngoài Hoa Kỳ phải có một chương trình để xác định và thực hiện các hợp đồng và đơn đặt hàng đó, đồng thời đảm bảo các đơn đặt hàng này được thực hiện bởi đơn vị kinh doanh hoặc công ty con phù hợp theo đúng các yêu cầu của hợp đồng. Các điều khoản và điều kiện phải được các chuyên gia đã qua đào tạo xem xét trong quá trình hình thành hợp đồng. </w:t>
            </w:r>
            <w:r>
              <w:rPr>
                <w:b/>
                <w:i w:val="0"/>
                <w:sz w:val="19"/>
              </w:rPr>
              <w:t>Tham khảo các rủi ro: E-1, E-2, E-3</w:t>
            </w:r>
          </w:p>
        </w:tc>
      </w:tr>
      <w:tr>
        <w:tc>
          <w:tcPr>
            <w:tcW w:type="dxa" w:w="4680"/>
          </w:tcPr>
          <w:p>
            <w:r/>
            <w:r>
              <w:rPr>
                <w:b w:val="0"/>
                <w:i w:val="0"/>
                <w:sz w:val="19"/>
              </w:rPr>
              <w:t>8.5.5</w:t>
            </w:r>
          </w:p>
        </w:tc>
        <w:tc>
          <w:tcPr>
            <w:tcW w:type="dxa" w:w="4680"/>
          </w:tcPr>
          <w:p>
            <w:r/>
            <w:r>
              <w:rPr>
                <w:b/>
                <w:i w:val="0"/>
                <w:sz w:val="19"/>
              </w:rPr>
              <w:t>Giảm thiểu Rủi ro.</w:t>
            </w:r>
            <w:r>
              <w:rPr>
                <w:b w:val="0"/>
                <w:i w:val="0"/>
                <w:sz w:val="19"/>
              </w:rPr>
              <w:t xml:space="preserve"> Một đơn vị kinh doanh hoặc công ty con làm ăn với chính phủ ngoài quốc gia của mình phải điều tra đầy đủ, với sự hỗ trợ của các chuyên gia, về môi trường kinh doanh tại địa điểm đó nhằm giảm thiểu mọi rủi ro liên quan đến việc làm ăn tại quốc gia đó (ví dụ: bất ổn chính trị, kênh phân phối) và đảm bảo mọi nghĩa vụ và quy định đều được đáp ứng. </w:t>
            </w:r>
            <w:r>
              <w:rPr>
                <w:b/>
                <w:i w:val="0"/>
                <w:sz w:val="19"/>
              </w:rPr>
              <w:t>Tham khảo các rủi ro: E-1, E-2, E-3</w:t>
            </w:r>
          </w:p>
        </w:tc>
      </w:tr>
      <w:tr>
        <w:tc>
          <w:tcPr>
            <w:tcW w:type="dxa" w:w="4680"/>
          </w:tcPr>
          <w:p>
            <w:r/>
            <w:r>
              <w:rPr>
                <w:b w:val="0"/>
                <w:i w:val="0"/>
                <w:sz w:val="19"/>
              </w:rPr>
              <w:t>8.5.6</w:t>
            </w:r>
          </w:p>
        </w:tc>
        <w:tc>
          <w:tcPr>
            <w:tcW w:type="dxa" w:w="4680"/>
          </w:tcPr>
          <w:p>
            <w:r/>
            <w:r>
              <w:rPr>
                <w:b/>
                <w:i w:val="0"/>
                <w:sz w:val="19"/>
              </w:rPr>
              <w:t>Ứng xử Kinh doanh.</w:t>
            </w:r>
            <w:r>
              <w:rPr>
                <w:b w:val="0"/>
                <w:i w:val="0"/>
                <w:sz w:val="19"/>
              </w:rPr>
              <w:t xml:space="preserve"> Các đơn vị kinh doanh và công ty con phải có khả năng chứng minh rằng những nhân viên có trách nhiệm liên quan đến việc ký kết hợp đồng với chính phủ đã đọc và hiểu quy tắc ứng xử của công ty cũng như bất kỳ hướng dẫn bổ sung nào liên quan đến quan hệ với chính phủ, và khi thích hợp, đã ký một bản cam kết (affidavit). Đặc biệt, nhân viên phải tuân thủ các tiêu chuẩn đạo đức cao nhất trong mọi mối quan hệ với nhân viên chính phủ và không được cố gắng gây ảnh hưởng một cách không đúng đắn đến hành động của bất kỳ quan chức công quyền nào. Ngoài ra, việc tặng quà không được thực hiện trực tiếp hoặc gián tiếp cho bất kỳ quan chức hoặc nhân viên chính phủ nào nếu món quà đó là bất hợp pháp theo luật của quốc gia đó hoặc của Hoa Kỳ (Đạo luật Chống Tham nhũng Nước ngoài - Foreign Corrupt Practices Act). </w:t>
            </w:r>
            <w:r>
              <w:rPr>
                <w:b/>
                <w:i w:val="0"/>
                <w:sz w:val="19"/>
              </w:rPr>
              <w:t>Tham khảo các rủi ro: E-1, E-2, E-3</w:t>
            </w:r>
          </w:p>
        </w:tc>
      </w:tr>
      <w:tr>
        <w:tc>
          <w:tcPr>
            <w:tcW w:type="dxa" w:w="4680"/>
          </w:tcPr>
          <w:p>
            <w:r/>
            <w:r>
              <w:rPr>
                <w:b w:val="0"/>
                <w:i w:val="0"/>
                <w:sz w:val="19"/>
              </w:rPr>
              <w:t>8.5.7</w:t>
            </w:r>
          </w:p>
        </w:tc>
        <w:tc>
          <w:tcPr>
            <w:tcW w:type="dxa" w:w="4680"/>
          </w:tcPr>
          <w:p>
            <w:r/>
            <w:r>
              <w:rPr>
                <w:b/>
                <w:i w:val="0"/>
                <w:sz w:val="19"/>
              </w:rPr>
              <w:t>Đào tạo.</w:t>
            </w:r>
            <w:r>
              <w:rPr>
                <w:b w:val="0"/>
                <w:i w:val="0"/>
                <w:sz w:val="19"/>
              </w:rPr>
              <w:t xml:space="preserve"> Mỗi đơn vị kinh doanh và công ty con thực hiện hoạt động kinh doanh với chính phủ ngoài Hoa Kỳ phải đảm bảo tất cả nhân sự tham gia vào hoạt động kinh doanh này đều được đào tạo phù hợp. Nên có một kế hoạch đào tạo, cùng với tài liệu chứng minh rằng việc đào tạo đã được hoàn thành. </w:t>
            </w:r>
            <w:r>
              <w:rPr>
                <w:b/>
                <w:i w:val="0"/>
                <w:sz w:val="19"/>
              </w:rPr>
              <w:t>Tham khảo các rủi ro: E-1, E-2, E-3</w:t>
            </w:r>
          </w:p>
        </w:tc>
      </w:tr>
      <w:tr>
        <w:tc>
          <w:tcPr>
            <w:tcW w:type="dxa" w:w="4680"/>
          </w:tcPr>
          <w:p>
            <w:r/>
            <w:r>
              <w:rPr>
                <w:b w:val="0"/>
                <w:i w:val="0"/>
                <w:sz w:val="19"/>
              </w:rPr>
              <w:t>8.5.8</w:t>
            </w:r>
          </w:p>
        </w:tc>
        <w:tc>
          <w:tcPr>
            <w:tcW w:type="dxa" w:w="4680"/>
          </w:tcPr>
          <w:p>
            <w:r/>
            <w:r>
              <w:rPr>
                <w:b/>
                <w:i w:val="0"/>
                <w:sz w:val="19"/>
              </w:rPr>
              <w:t>Tự Kiểm toán.</w:t>
            </w:r>
            <w:r>
              <w:rPr>
                <w:b w:val="0"/>
                <w:i w:val="0"/>
                <w:sz w:val="19"/>
              </w:rPr>
              <w:t xml:space="preserve"> Các đơn vị kinh doanh và công ty con thực hiện hoạt động kinh doanh với chính phủ ngoài Hoa Kỳ sẽ tiến hành tự kiểm toán định kỳ đối với hoạt động kinh doanh này. </w:t>
            </w:r>
            <w:r>
              <w:rPr>
                <w:b/>
                <w:i w:val="0"/>
                <w:sz w:val="19"/>
              </w:rPr>
              <w:t>Tham khảo các rủi ro: E-1, E-2, E-3</w:t>
            </w:r>
          </w:p>
        </w:tc>
      </w:tr>
      <w:tr>
        <w:tc>
          <w:tcPr>
            <w:tcW w:type="dxa" w:w="4680"/>
          </w:tcPr>
          <w:p>
            <w:r/>
            <w:r>
              <w:rPr>
                <w:b w:val="0"/>
                <w:i w:val="0"/>
                <w:sz w:val="19"/>
              </w:rPr>
              <w:t>8.5.9</w:t>
            </w:r>
          </w:p>
        </w:tc>
        <w:tc>
          <w:tcPr>
            <w:tcW w:type="dxa" w:w="4680"/>
          </w:tcPr>
          <w:p>
            <w:r/>
            <w:r>
              <w:rPr>
                <w:b/>
                <w:i w:val="0"/>
                <w:sz w:val="19"/>
              </w:rPr>
              <w:t>Quy định về Nhập khẩu/Xuất khẩu.</w:t>
            </w:r>
            <w:r>
              <w:rPr>
                <w:b w:val="0"/>
                <w:i w:val="0"/>
                <w:sz w:val="19"/>
              </w:rPr>
              <w:t xml:space="preserve"> Các đơn vị hoạt động và công ty con thực hiện giao dịch với các chính phủ ngoài Hoa Kỳ phải hiểu đầy đủ và tuân thủ tất cả các luật nhập khẩu và xuất khẩu hiện hành. Tham khảo Mục 2.2, Kiểm soát Xuất khẩu, và Mục 4.3, Kiểm soát Nhập khẩu. </w:t>
            </w:r>
            <w:r>
              <w:rPr>
                <w:b/>
                <w:i w:val="0"/>
                <w:sz w:val="19"/>
              </w:rPr>
              <w:t>Tham khảo các rủi ro: E-1, E-2, E-3</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E-1</w:t>
            </w:r>
          </w:p>
        </w:tc>
        <w:tc>
          <w:tcPr>
            <w:tcW w:type="dxa" w:w="4680"/>
          </w:tcPr>
          <w:p>
            <w:r/>
            <w:r>
              <w:rPr>
                <w:b w:val="0"/>
                <w:i w:val="0"/>
                <w:sz w:val="19"/>
              </w:rPr>
              <w:t>Luật hoặc quy định của chính phủ Hoa Kỳ và/hoặc ngoài Hoa Kỳ có thể bị vi phạm.</w:t>
            </w:r>
          </w:p>
        </w:tc>
      </w:tr>
      <w:tr>
        <w:tc>
          <w:tcPr>
            <w:tcW w:type="dxa" w:w="4680"/>
          </w:tcPr>
          <w:p>
            <w:r/>
            <w:r>
              <w:rPr>
                <w:b w:val="0"/>
                <w:i w:val="0"/>
                <w:sz w:val="19"/>
              </w:rPr>
              <w:t>E-2</w:t>
            </w:r>
          </w:p>
        </w:tc>
        <w:tc>
          <w:tcPr>
            <w:tcW w:type="dxa" w:w="4680"/>
          </w:tcPr>
          <w:p>
            <w:r/>
            <w:r>
              <w:rPr>
                <w:b w:val="0"/>
                <w:i w:val="0"/>
                <w:sz w:val="19"/>
              </w:rPr>
              <w:t>Hành động pháp lý chống lại công ty và/hoặc từng nhân viên có thể được khởi xướng, dẫn đến các khoản tiền phạt mà công ty phải trả.</w:t>
            </w:r>
          </w:p>
        </w:tc>
      </w:tr>
      <w:tr>
        <w:tc>
          <w:tcPr>
            <w:tcW w:type="dxa" w:w="4680"/>
          </w:tcPr>
          <w:p>
            <w:r/>
            <w:r>
              <w:rPr>
                <w:b w:val="0"/>
                <w:i w:val="0"/>
                <w:sz w:val="19"/>
              </w:rPr>
              <w:t>E-3</w:t>
            </w:r>
          </w:p>
        </w:tc>
        <w:tc>
          <w:tcPr>
            <w:tcW w:type="dxa" w:w="4680"/>
          </w:tcPr>
          <w:p>
            <w:r/>
            <w:r>
              <w:rPr>
                <w:b w:val="0"/>
                <w:i w:val="0"/>
                <w:sz w:val="19"/>
              </w:rPr>
              <w:t>Sự bẽ mặt trước công chúng và tổn hại đến danh tiếng của công ty có thể xảy ra do việc không tuân thủ đầy đủ tất cả các điều khoản của hợp đồng với chính phủ ngoài Hoa Kỳ, dù là bị cáo buộc hay thực tế.</w:t>
            </w:r>
          </w:p>
        </w:tc>
      </w:tr>
    </w:tbl>
    <w:p>
      <w:pPr>
        <w:spacing w:after="0"/>
      </w:pPr>
    </w:p>
    <w:p>
      <w:pPr>
        <w:pStyle w:val="Heading1"/>
      </w:pPr>
      <w:r>
        <w:rPr>
          <w:rFonts w:ascii="Calibri" w:hAnsi="Calibri"/>
          <w:b/>
          <w:i w:val="0"/>
          <w:sz w:val="40"/>
        </w:rPr>
        <w:t xml:space="preserve">CHƯƠNG 9 </w:t>
      </w:r>
      <w:r>
        <w:br/>
      </w:r>
      <w:r>
        <w:rPr>
          <w:rFonts w:ascii="Calibri" w:hAnsi="Calibri"/>
          <w:b/>
          <w:i w:val="0"/>
          <w:sz w:val="40"/>
        </w:rPr>
        <w:t xml:space="preserve"> Quản lý Hồ sơ và Thông tin</w:t>
      </w:r>
    </w:p>
    <w:p>
      <w:pPr>
        <w:pStyle w:val="Heading2"/>
      </w:pPr>
      <w:r>
        <w:rPr>
          <w:rFonts w:ascii="Calibri" w:hAnsi="Calibri"/>
          <w:b/>
          <w:i w:val="0"/>
          <w:sz w:val="32"/>
        </w:rPr>
        <w:t>GIỚI THIỆU</w:t>
      </w:r>
    </w:p>
    <w:p>
      <w:pPr>
        <w:spacing w:after="80"/>
      </w:pPr>
      <w:r>
        <w:rPr>
          <w:b w:val="0"/>
          <w:i w:val="0"/>
        </w:rPr>
        <w:t>Quản lý hồ sơ và thông tin bao gồm tổng quan về các biện pháp kiểm soát cần thiết để bảo vệ đầy đủ thông tin của công ty và duy trì các hồ sơ kinh doanh quan trọng. Chính sách của công ty là chỉ tạo ra những hồ sơ cần thiết cho hoạt động kinh doanh của công ty, và những hồ sơ đó chỉ được lưu giữ chừng nào còn có nhu cầu kinh doanh được công nhận hoặc yêu cầu pháp lý về việc lưu giữ chúng. Khi nhu cầu kinh doanh hoặc yêu cầu pháp lý không còn nữa, các hồ sơ sẽ được lưu giữ theo quy định của lịch trình lưu giữ hồ sơ toàn cầu của công ty và sẽ tuân thủ Quy định Bảo vệ Dữ liệu Chung (GPDR) và quy tắc bảo mật HIPAA.</w:t>
      </w:r>
    </w:p>
    <w:p>
      <w:pPr>
        <w:pStyle w:val="Heading2"/>
      </w:pPr>
      <w:r>
        <w:rPr>
          <w:rFonts w:ascii="Calibri" w:hAnsi="Calibri"/>
          <w:b/>
          <w:i w:val="0"/>
          <w:sz w:val="32"/>
        </w:rPr>
        <w:t>TỔNG QUAN QUY TRÌNH</w:t>
      </w:r>
    </w:p>
    <w:p>
      <w:pPr>
        <w:spacing w:after="80"/>
      </w:pPr>
      <w:r>
        <w:rPr>
          <w:b w:val="0"/>
          <w:i w:val="0"/>
        </w:rPr>
        <w:t>Sơ đồ dưới đây cho thấy các yếu tố nền tảng hỗ trợ quy trình quản lý hồ sơ và thông tin là Kiểm soát Nội bộ và Tuân thủ, Tiêu chuẩn Quản lý và Phân loại Hồ sơ, và Quy tắc Ứng xử cùng "Tông giọng từ Trên xuống" (Tone at the Top).</w:t>
      </w:r>
    </w:p>
    <w:p>
      <w:pPr>
        <w:jc w:val="center"/>
      </w:pPr>
      <w:r>
        <w:drawing>
          <wp:inline xmlns:a="http://schemas.openxmlformats.org/drawingml/2006/main" xmlns:pic="http://schemas.openxmlformats.org/drawingml/2006/picture">
            <wp:extent cx="5486400" cy="2400958"/>
            <wp:docPr id="11" name="Picture 11"/>
            <wp:cNvGraphicFramePr>
              <a:graphicFrameLocks noChangeAspect="1"/>
            </wp:cNvGraphicFramePr>
            <a:graphic>
              <a:graphicData uri="http://schemas.openxmlformats.org/drawingml/2006/picture">
                <pic:pic>
                  <pic:nvPicPr>
                    <pic:cNvPr id="0" name="Image00012.jpg"/>
                    <pic:cNvPicPr/>
                  </pic:nvPicPr>
                  <pic:blipFill>
                    <a:blip r:embed="rId19"/>
                    <a:stretch>
                      <a:fillRect/>
                    </a:stretch>
                  </pic:blipFill>
                  <pic:spPr>
                    <a:xfrm>
                      <a:off x="0" y="0"/>
                      <a:ext cx="5486400" cy="2400958"/>
                    </a:xfrm>
                    <a:prstGeom prst="rect"/>
                  </pic:spPr>
                </pic:pic>
              </a:graphicData>
            </a:graphic>
          </wp:inline>
        </w:drawing>
      </w:r>
    </w:p>
    <w:p>
      <w:pPr>
        <w:pStyle w:val="Heading2"/>
      </w:pPr>
      <w:r>
        <w:rPr>
          <w:rFonts w:ascii="Calibri" w:hAnsi="Calibri"/>
          <w:b/>
          <w:i w:val="0"/>
          <w:sz w:val="32"/>
        </w:rPr>
        <w:t>CÁC CHỈ SỐ ĐO LƯỜNG</w:t>
      </w:r>
    </w:p>
    <w:tbl>
      <w:tblPr>
        <w:tblStyle w:val="TableGrid"/>
        <w:tblW w:type="auto" w:w="0"/>
        <w:tblLook w:firstColumn="1" w:firstRow="1" w:lastColumn="0" w:lastRow="0" w:noHBand="0" w:noVBand="1" w:val="04A0"/>
      </w:tblPr>
      <w:tblGrid>
        <w:gridCol w:w="9360"/>
      </w:tblGrid>
      <w:tr>
        <w:tc>
          <w:tcPr>
            <w:tcW w:type="dxa" w:w="9360"/>
          </w:tcPr>
          <w:p>
            <w:r/>
            <w:r>
              <w:rPr>
                <w:b/>
                <w:i w:val="0"/>
                <w:sz w:val="19"/>
              </w:rPr>
              <w:t>Bảng Chỉ số Đo lường</w:t>
            </w:r>
          </w:p>
        </w:tc>
      </w:tr>
      <w:tr>
        <w:tc>
          <w:tcPr>
            <w:tcW w:type="dxa" w:w="9360"/>
          </w:tcPr>
          <w:p>
            <w:r/>
            <w:r>
              <w:rPr>
                <w:b w:val="0"/>
                <w:i w:val="0"/>
                <w:sz w:val="19"/>
              </w:rPr>
              <w:t>• Tỷ lệ phần trăm Tuân thủ Chính sách và Quy trình</w:t>
            </w:r>
            <w:r>
              <w:br/>
            </w:r>
            <w:r>
              <w:rPr>
                <w:b w:val="0"/>
                <w:i w:val="0"/>
                <w:sz w:val="19"/>
              </w:rPr>
              <w:t>• Số lượng Khóa đào tạo được cung cấp</w:t>
            </w:r>
            <w:r>
              <w:br/>
            </w:r>
            <w:r>
              <w:rPr>
                <w:b w:val="0"/>
                <w:i w:val="0"/>
                <w:sz w:val="19"/>
              </w:rPr>
              <w:t>• Tỷ lệ phần trăm Nhân viên tham gia các Khóa đào tạo</w:t>
            </w:r>
            <w:r>
              <w:br/>
            </w:r>
            <w:r>
              <w:rPr>
                <w:b w:val="0"/>
                <w:i w:val="0"/>
                <w:sz w:val="19"/>
              </w:rPr>
              <w:t>• Số lượng Đánh giá Tuân thủ được thực hiện hàng năm</w:t>
            </w:r>
            <w:r>
              <w:br/>
            </w:r>
            <w:r>
              <w:rPr>
                <w:b w:val="0"/>
                <w:i w:val="0"/>
                <w:sz w:val="19"/>
              </w:rPr>
              <w:t>• Số lượng Vấn đề được phát hiện trong các Chương trình Tự kiểm tra</w:t>
            </w:r>
            <w:r>
              <w:br/>
            </w:r>
            <w:r>
              <w:rPr>
                <w:b w:val="0"/>
                <w:i w:val="0"/>
                <w:sz w:val="19"/>
              </w:rPr>
              <w:t>• Số lượng Cải tiến Quy trình được xác định mỗi Kỳ tài chính</w:t>
            </w:r>
            <w:r>
              <w:br/>
            </w:r>
            <w:r>
              <w:rPr>
                <w:b w:val="0"/>
                <w:i w:val="0"/>
                <w:sz w:val="19"/>
              </w:rPr>
              <w:t>• Giá trị các Vấn đề Tuân thủ được xác định mỗi Kỳ tài chính</w:t>
            </w:r>
            <w:r>
              <w:br/>
            </w:r>
            <w:r>
              <w:rPr>
                <w:b w:val="0"/>
                <w:i w:val="0"/>
                <w:sz w:val="19"/>
              </w:rPr>
              <w:t>• Giá trị các Khoản tiền phạt do Không tuân thủ đã trả mỗi Kỳ tài chính</w:t>
            </w:r>
          </w:p>
        </w:tc>
      </w:tr>
    </w:tbl>
    <w:p>
      <w:pPr>
        <w:spacing w:after="0"/>
      </w:pPr>
    </w:p>
    <w:p>
      <w:pPr>
        <w:pStyle w:val="Heading2"/>
      </w:pPr>
      <w:r>
        <w:rPr>
          <w:rFonts w:ascii="Calibri" w:hAnsi="Calibri"/>
          <w:b/>
          <w:i w:val="0"/>
          <w:sz w:val="32"/>
        </w:rPr>
        <w:t>ỨNG DỤNG KIỂM SOÁT NỘI BỘ VÀ CÁC ĐỊNH NGHĨA</w:t>
      </w:r>
    </w:p>
    <w:p>
      <w:pPr>
        <w:spacing w:after="80"/>
        <w:ind w:left="360"/>
      </w:pPr>
      <w:r>
        <w:t xml:space="preserve">• </w:t>
      </w:r>
      <w:r>
        <w:rPr>
          <w:b/>
          <w:i w:val="0"/>
        </w:rPr>
        <w:t>Bảo mật Nội bộ Công ty (CC)</w:t>
      </w:r>
      <w:r>
        <w:rPr>
          <w:b w:val="0"/>
          <w:i w:val="0"/>
        </w:rPr>
        <w:t xml:space="preserve"> —Phân loại này áp dụng cho thông tin dành cho việc sử dụng trong nội bộ công ty hoặc để thúc đẩy các hoạt động kinh doanh của công ty. Tài liệu cần được bảo vệ vì tính nhạy cảm về nhân sự, kỹ thuật hoặc kinh doanh. Việc tiết lộ hoặc mất mát thông tin này mà không được phép có thể được cho là sẽ gây tổn hại đến hoạt động kinh doanh hoặc vận hành nội bộ của công ty.</w:t>
      </w:r>
    </w:p>
    <w:p>
      <w:pPr>
        <w:spacing w:after="80"/>
        <w:ind w:left="360"/>
      </w:pPr>
      <w:r>
        <w:t xml:space="preserve">• </w:t>
      </w:r>
      <w:r>
        <w:rPr>
          <w:b/>
          <w:i w:val="0"/>
        </w:rPr>
        <w:t>Hạn chế Nội bộ Công ty</w:t>
      </w:r>
      <w:r>
        <w:rPr>
          <w:b w:val="0"/>
          <w:i w:val="0"/>
        </w:rPr>
        <w:t xml:space="preserve"> —Phân loại này áp dụng cho thông tin chiến lược, cấp độ công ty, mang lại cho công ty lợi thế cạnh tranh đáng kể trong tương lai hoặc gây tổn hại nghiêm trọng đến hình ảnh, giá cổ phiếu hoặc thị phần của công ty nếu bị tiết lộ.</w:t>
      </w:r>
    </w:p>
    <w:p>
      <w:pPr>
        <w:spacing w:after="80"/>
        <w:ind w:left="360"/>
      </w:pPr>
      <w:r>
        <w:t xml:space="preserve">• </w:t>
      </w:r>
      <w:r>
        <w:rPr>
          <w:b/>
          <w:i w:val="0"/>
        </w:rPr>
        <w:t>Bản sao</w:t>
      </w:r>
      <w:r>
        <w:rPr>
          <w:b w:val="0"/>
          <w:i w:val="0"/>
        </w:rPr>
        <w:t xml:space="preserve"> —Bất kỳ thông tin nào được nhân bản và chỉ dùng cho mục đích tham khảo. Các bản sao thường được lưu giữ trong thời gian ngắn và không bao giờ được gửi đến nơi lưu trữ ngoài văn phòng. Mỗi nhân viên/nhà thầu và đơn vị kinh doanh có trách nhiệm tiêu hủy các bản sao của mình trong khung thời gian được quy định tại cột “Thời hạn Lưu giữ Bản sao Tối đa” như được nêu trong lịch trình lưu giữ hồ sơ.</w:t>
      </w:r>
    </w:p>
    <w:p>
      <w:pPr>
        <w:spacing w:after="80"/>
        <w:ind w:left="360"/>
      </w:pPr>
      <w:r>
        <w:t xml:space="preserve">• </w:t>
      </w:r>
      <w:r>
        <w:rPr>
          <w:b/>
          <w:i w:val="0"/>
        </w:rPr>
        <w:t>Phi Hồ sơ</w:t>
      </w:r>
      <w:r>
        <w:rPr>
          <w:b w:val="0"/>
          <w:i w:val="0"/>
        </w:rPr>
        <w:t xml:space="preserve"> —Bất kỳ thông tin hữu hình nào thường không chứa dữ liệu liên quan đến hoặc bắt nguồn từ công ty. Các tài liệu này thường được nhân viên sử dụng làm công cụ tham khảo hoặc nghiên cứu và bao gồm các mục như báo, tạp chí định kỳ, tài liệu quảng cáo, thông tin công khai và Internet, và các bộ công cụ.</w:t>
      </w:r>
    </w:p>
    <w:p>
      <w:pPr>
        <w:spacing w:after="80"/>
        <w:ind w:left="360"/>
      </w:pPr>
      <w:r>
        <w:t xml:space="preserve">• </w:t>
      </w:r>
      <w:r>
        <w:rPr>
          <w:b/>
          <w:i w:val="0"/>
        </w:rPr>
        <w:t>Văn phòng Lưu trữ Hồ sơ</w:t>
      </w:r>
      <w:r>
        <w:rPr>
          <w:b w:val="0"/>
          <w:i w:val="0"/>
        </w:rPr>
        <w:t xml:space="preserve"> —Bất kỳ đơn vị kinh doanh nào được giao trách nhiệm duy trì hồ sơ “chính thức” của công ty.</w:t>
      </w:r>
    </w:p>
    <w:p>
      <w:pPr>
        <w:spacing w:after="80"/>
        <w:ind w:left="360"/>
      </w:pPr>
      <w:r>
        <w:t xml:space="preserve">• </w:t>
      </w:r>
      <w:r>
        <w:rPr>
          <w:b/>
          <w:i w:val="0"/>
        </w:rPr>
        <w:t>Hồ sơ Chính thức</w:t>
      </w:r>
      <w:r>
        <w:rPr>
          <w:b w:val="0"/>
          <w:i w:val="0"/>
        </w:rPr>
        <w:t xml:space="preserve"> —Đây là những hồ sơ được yêu cầu phải lưu giữ để đáp ứng các yêu cầu luật định, quy định hoặc hợp đồng, và những hồ sơ được lưu giữ theo thông lệ kinh doanh tốt trong các khoảng thời gian được quy định trong lịch trình lưu giữ hồ sơ toàn cầu.</w:t>
      </w:r>
    </w:p>
    <w:p>
      <w:pPr>
        <w:spacing w:after="80"/>
        <w:ind w:left="360"/>
      </w:pPr>
      <w:r>
        <w:t xml:space="preserve">• </w:t>
      </w:r>
      <w:r>
        <w:rPr>
          <w:b/>
          <w:i w:val="0"/>
        </w:rPr>
        <w:t>Chủ sở hữu</w:t>
      </w:r>
      <w:r>
        <w:rPr>
          <w:b w:val="0"/>
          <w:i w:val="0"/>
        </w:rPr>
        <w:t xml:space="preserve"> —Thuật ngữ </w:t>
      </w:r>
      <w:r>
        <w:rPr>
          <w:b w:val="0"/>
          <w:i/>
        </w:rPr>
        <w:t>chủ sở hữu</w:t>
      </w:r>
      <w:r>
        <w:rPr>
          <w:b w:val="0"/>
          <w:i w:val="0"/>
        </w:rPr>
        <w:t xml:space="preserve"> được sử dụng trong tài liệu này như một quy ước để xác định một cá nhân hoặc đơn vị kinh doanh đã được phê duyệt trách nhiệm quản lý đối với việc thu thập, duy trì và kiểm soát hồ sơ “chính thức” của công ty. Tất cả hồ sơ của công ty phải có một “chủ sở hữu” hoặc “Văn phòng Lưu trữ Hồ sơ” được xác định rõ ràng.</w:t>
      </w:r>
    </w:p>
    <w:p>
      <w:pPr>
        <w:spacing w:after="80"/>
        <w:ind w:left="360"/>
      </w:pPr>
      <w:r>
        <w:t xml:space="preserve">• </w:t>
      </w:r>
      <w:r>
        <w:rPr>
          <w:b/>
          <w:i w:val="0"/>
        </w:rPr>
        <w:t>Quyền sở hữu</w:t>
      </w:r>
      <w:r>
        <w:rPr>
          <w:b w:val="0"/>
          <w:i w:val="0"/>
        </w:rPr>
        <w:t xml:space="preserve"> —Hồ sơ là tài sản của công ty chứ không phải tài sản của cá nhân người tạo ra, tạo lập hoặc nhận được chúng.</w:t>
      </w:r>
    </w:p>
    <w:p>
      <w:pPr>
        <w:spacing w:after="80"/>
        <w:ind w:left="360"/>
      </w:pPr>
      <w:r>
        <w:t xml:space="preserve">• </w:t>
      </w:r>
      <w:r>
        <w:rPr>
          <w:b/>
          <w:i w:val="0"/>
        </w:rPr>
        <w:t>Hồ sơ</w:t>
      </w:r>
      <w:r>
        <w:rPr>
          <w:b w:val="0"/>
          <w:i w:val="0"/>
        </w:rPr>
        <w:t xml:space="preserve"> —Trong ngữ cảnh của tài liệu này, thuật ngữ </w:t>
      </w:r>
      <w:r>
        <w:rPr>
          <w:b w:val="0"/>
          <w:i/>
        </w:rPr>
        <w:t>hồ sơ</w:t>
      </w:r>
      <w:r>
        <w:rPr>
          <w:b w:val="0"/>
          <w:i w:val="0"/>
        </w:rPr>
        <w:t xml:space="preserve"> bao gồm tất cả thông tin liên quan đến hoạt động kinh doanh của công ty, bất kể thông tin đó ở dạng giấy, ảnh, điện tử (bao gồm PC cá nhân, tệp mạng và hệ thống cũ), video hay âm thanh. Thông tin như vậy có thể được sử dụng hoặc lưu trữ trong hoặc ngoài khuôn viên công ty.</w:t>
      </w:r>
    </w:p>
    <w:p>
      <w:pPr>
        <w:pStyle w:val="Heading2"/>
      </w:pPr>
      <w:r>
        <w:rPr>
          <w:rFonts w:ascii="Calibri" w:hAnsi="Calibri"/>
          <w:b/>
          <w:i w:val="0"/>
          <w:sz w:val="32"/>
        </w:rPr>
        <w:t>QUY ĐỊNH CHUNG VỀ BẢO VỆ DỮ LIỆU (GDPR)</w:t>
      </w:r>
    </w:p>
    <w:p>
      <w:pPr>
        <w:spacing w:after="80"/>
      </w:pPr>
      <w:r>
        <w:rPr>
          <w:b w:val="0"/>
          <w:i w:val="0"/>
        </w:rPr>
        <w:t>GDPR đã được Nghị viện Liên minh Châu Âu (EU) phê duyệt và thông qua vào tháng 4 năm 2016. Quy định này có hiệu lực sau giai đoạn chuyển tiếp hai năm và, không giống như một chỉ thị, không yêu cầu bất kỳ luật nào phải được chính phủ thông qua. GDPR có hiệu lực vào ngày 25 tháng 5 năm 2018. GDPR không chỉ áp dụng cho các tổ chức nằm trong EU mà còn áp dụng cho các tổ chức nằm ngoài EU nếu họ cung cấp hàng hóa hoặc dịch vụ cho, hoặc giám sát hành vi của, các chủ thể dữ liệu EU. Nó áp dụng cho tất cả các công ty xử lý và nắm giữ dữ liệu cá nhân của các chủ thể dữ liệu cư trú tại EU, bất kể vị trí của công ty.</w:t>
      </w:r>
    </w:p>
    <w:p>
      <w:pPr>
        <w:spacing w:after="80"/>
      </w:pPr>
      <w:r>
        <w:rPr>
          <w:b w:val="0"/>
          <w:i w:val="0"/>
        </w:rPr>
        <w:t xml:space="preserve">GDPR áp dụng cho </w:t>
      </w:r>
      <w:r>
        <w:rPr>
          <w:b w:val="0"/>
          <w:i/>
        </w:rPr>
        <w:t>dữ liệu cá nhân</w:t>
      </w:r>
      <w:r>
        <w:rPr>
          <w:b w:val="0"/>
          <w:i w:val="0"/>
        </w:rPr>
        <w:t xml:space="preserve"> , nghĩa là bất kỳ thông tin nào liên quan đến một người có thể nhận dạng được, người có thể được nhận dạng trực tiếp hoặc gián tiếp, đặc biệt là bằng cách tham chiếu đến một mã định danh. Định nghĩa này bao gồm một loạt các mã định danh cá nhân tạo thành dữ liệu cá nhân, bao gồm tên, số nhận dạng, dữ liệu vị trí hoặc mã định danh trực tuyến, phản ánh những thay đổi trong công nghệ và cách các tổ chức thu thập thông tin về con người.</w:t>
      </w:r>
    </w:p>
    <w:p>
      <w:pPr>
        <w:pStyle w:val="Heading2"/>
      </w:pPr>
      <w:r>
        <w:rPr>
          <w:rFonts w:ascii="Calibri" w:hAnsi="Calibri"/>
          <w:b/>
          <w:i w:val="0"/>
          <w:sz w:val="32"/>
        </w:rPr>
        <w:t>ĐẠO LUẬT VỀ KHẢ NĂNG CHUYỂN NHƯỢNG VÀ TRÁCH NHIỆM GIẢI TRÌNH BẢO HIỂM Y TẾ (HIPAA)</w:t>
      </w:r>
    </w:p>
    <w:p>
      <w:pPr>
        <w:spacing w:after="80"/>
      </w:pPr>
      <w:r>
        <w:rPr>
          <w:b w:val="0"/>
          <w:i w:val="0"/>
        </w:rPr>
        <w:t>Đạo luật về Khả năng Chuyển nhượng và Trách nhiệm Giải trình Bảo hiểm Y tế năm 1996 (HIPAA) yêu cầu Bộ trưởng Bộ Y tế và Dịch vụ Nhân sinh Hoa Kỳ (HHS) xây dựng các quy định bảo vệ quyền riêng tư và bảo mật của một số thông tin y tế nhất định. Để thực hiện yêu cầu này, HHS đã công bố những gì thường được gọi là Quy tắc Riêng tư HIPAA và Quy tắc Bảo mật HIPAA. Quy tắc Riêng tư, hay Tiêu chuẩn về Quyền Riêng tư của Thông tin Y tế Có thể Nhận dạng Cá nhân, thiết lập các tiêu chuẩn quốc gia để bảo vệ một số thông tin y tế nhất định. Tiêu chuẩn Bảo mật để Bảo vệ Thông tin Y tế Được Bảo vệ Điện tử (Quy tắc Bảo mật) thiết lập một bộ tiêu chuẩn bảo mật quốc gia để bảo vệ một số thông tin y tế nhất định được lưu giữ hoặc truyền tải dưới dạng điện tử. Quy tắc Bảo mật cụ thể hóa các biện pháp bảo vệ contained trong Quy tắc Riêng tư bằng cách giải quyết các biện pháp bảo vệ kỹ thuật và phi kỹ thuật mà các tổ chức được gọi là “thực thể được bảo hiểm” phải áp dụng để bảo vệ “thông tin y tế được bảo vệ điện tử” (e-PHI) của cá nhân. Trong HHS, Văn phòng Quyền Dân sự (OCR) có trách nhiệm thực thi Quy tắc Riêng tư và Bảo mật thông qua các hoạt động tuân thủ tự nguyện và các hình phạt tiền dân sự.</w:t>
      </w:r>
    </w:p>
    <w:p>
      <w:pPr>
        <w:pStyle w:val="Heading2"/>
      </w:pPr>
      <w:r>
        <w:rPr>
          <w:rFonts w:ascii="Calibri" w:hAnsi="Calibri"/>
          <w:b/>
          <w:i w:val="0"/>
          <w:sz w:val="32"/>
        </w:rPr>
        <w:t>CÁC QUY TRÌNH PHỤ</w:t>
      </w:r>
    </w:p>
    <w:p>
      <w:pPr>
        <w:spacing w:after="80"/>
      </w:pPr>
      <w:r>
        <w:rPr>
          <w:b w:val="0"/>
          <w:i w:val="0"/>
        </w:rPr>
        <w:t>Các quy trình con cụ thể nằm trong quy trình quản lý hồ sơ và thông tin bao gồm:</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9.1</w:t>
            </w:r>
          </w:p>
        </w:tc>
        <w:tc>
          <w:tcPr>
            <w:tcW w:type="dxa" w:w="4680"/>
          </w:tcPr>
          <w:p>
            <w:r/>
            <w:r>
              <w:rPr>
                <w:b w:val="0"/>
                <w:i w:val="0"/>
                <w:sz w:val="19"/>
              </w:rPr>
              <w:t>Các chuẩn mực về Trách nhiệm Kiểm soát Nội bộ</w:t>
            </w:r>
          </w:p>
        </w:tc>
      </w:tr>
      <w:tr>
        <w:tc>
          <w:tcPr>
            <w:tcW w:type="dxa" w:w="4680"/>
          </w:tcPr>
          <w:p>
            <w:r/>
            <w:r>
              <w:rPr>
                <w:b w:val="0"/>
                <w:i w:val="0"/>
                <w:sz w:val="19"/>
              </w:rPr>
              <w:t>9.2</w:t>
            </w:r>
          </w:p>
        </w:tc>
        <w:tc>
          <w:tcPr>
            <w:tcW w:type="dxa" w:w="4680"/>
          </w:tcPr>
          <w:p>
            <w:r/>
            <w:r>
              <w:rPr>
                <w:b w:val="0"/>
                <w:i w:val="0"/>
                <w:sz w:val="19"/>
              </w:rPr>
              <w:t>Các chuẩn mực về Yêu cầu Lưu trữ Hồ sơ Nội bộ</w:t>
            </w:r>
          </w:p>
        </w:tc>
      </w:tr>
    </w:tbl>
    <w:p>
      <w:pPr>
        <w:spacing w:after="0"/>
      </w:pPr>
    </w:p>
    <w:p>
      <w:pPr>
        <w:pStyle w:val="Heading2"/>
      </w:pPr>
      <w:r>
        <w:rPr>
          <w:rFonts w:ascii="Calibri" w:hAnsi="Calibri"/>
          <w:b/>
          <w:i w:val="0"/>
          <w:sz w:val="32"/>
        </w:rPr>
        <w:t>9.1 CÁC CHUẨN MỰC VỀ TRÁCH NHIỆM KIỂM SOÁT NỘI BỘ</w:t>
      </w:r>
    </w:p>
    <w:p>
      <w:pPr>
        <w:pStyle w:val="Heading3"/>
      </w:pPr>
      <w:r>
        <w:rPr>
          <w:rFonts w:ascii="Calibri" w:hAnsi="Calibri"/>
          <w:b/>
          <w:i w:val="0"/>
          <w:sz w:val="26"/>
        </w:rPr>
        <w:t>Chuẩn mực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9.1.1</w:t>
            </w:r>
          </w:p>
        </w:tc>
        <w:tc>
          <w:tcPr>
            <w:tcW w:type="dxa" w:w="4680"/>
          </w:tcPr>
          <w:p>
            <w:r/>
            <w:r>
              <w:rPr>
                <w:b w:val="0"/>
                <w:i w:val="0"/>
                <w:sz w:val="19"/>
              </w:rPr>
              <w:t>Trách nhiệm của Bộ phận Quản lý Hồ sơ Toàn cầu. Trách nhiệm đối với quy trình quản lý hồ sơ toàn cầu bao gồm:</w:t>
            </w:r>
            <w:r>
              <w:br/>
            </w:r>
            <w:r>
              <w:rPr>
                <w:b w:val="0"/>
                <w:i w:val="0"/>
                <w:sz w:val="19"/>
              </w:rPr>
              <w:t>a. Xây dựng và duy trì các lịch trình lưu trữ hồ sơ toàn cầu để quản lý việc lưu trữ và thanh lý hồ sơ theo các yêu cầu của GPDR</w:t>
            </w:r>
            <w:r>
              <w:br/>
            </w:r>
            <w:r>
              <w:rPr>
                <w:b w:val="0"/>
                <w:i w:val="0"/>
                <w:sz w:val="19"/>
              </w:rPr>
              <w:t>b. Truyền đạt các yêu cầu lưu trữ này đến các đơn vị vận hành và cung cấp đào tạo để triển khai hiệu quả chương trình lưu trữ</w:t>
            </w:r>
            <w:r>
              <w:br/>
            </w:r>
            <w:r>
              <w:rPr>
                <w:b w:val="0"/>
                <w:i w:val="0"/>
                <w:sz w:val="19"/>
              </w:rPr>
              <w:t>c. Thiết lập và duy trì các chính sách, chuẩn mực và quy trình chất lượng trên toàn thế giới để đảm bảo tính xác thực, toàn vẹn và khả năng truy cập của tất cả các hệ thống quản lý hồ sơ và thông tin</w:t>
            </w:r>
            <w:r>
              <w:br/>
            </w:r>
            <w:r>
              <w:rPr>
                <w:b w:val="0"/>
                <w:i w:val="0"/>
                <w:sz w:val="19"/>
              </w:rPr>
              <w:t>d. Duy trì chương trình hồ sơ quan trọng và hồ sơ phục hồi sau thảm họa để bảo vệ các hồ sơ có giá trị và, trong trường hợp xảy ra thảm họa, đảm bảo sự sẵn có của các hồ sơ trọng yếu cho hoạt động kinh doanh</w:t>
            </w:r>
            <w:r>
              <w:br/>
            </w:r>
            <w:r>
              <w:rPr>
                <w:b w:val="0"/>
                <w:i w:val="0"/>
                <w:sz w:val="19"/>
              </w:rPr>
              <w:t xml:space="preserve">e. Thực hiện các đợt đánh giá tuân thủ hàng năm để khuyến khích các thực hành quản lý hồ sơ tốt </w:t>
            </w:r>
            <w:r>
              <w:rPr>
                <w:b/>
                <w:i w:val="0"/>
                <w:sz w:val="19"/>
              </w:rPr>
              <w:t>Tham khảo các rủi ro: A-1, A-2, A-3, A-4, A-5, A-6</w:t>
            </w:r>
          </w:p>
        </w:tc>
      </w:tr>
      <w:tr>
        <w:tc>
          <w:tcPr>
            <w:tcW w:type="dxa" w:w="4680"/>
          </w:tcPr>
          <w:p>
            <w:r/>
            <w:r>
              <w:rPr>
                <w:b w:val="0"/>
                <w:i w:val="0"/>
                <w:sz w:val="19"/>
              </w:rPr>
              <w:t>9.1.2</w:t>
            </w:r>
          </w:p>
        </w:tc>
        <w:tc>
          <w:tcPr>
            <w:tcW w:type="dxa" w:w="4680"/>
          </w:tcPr>
          <w:p>
            <w:r/>
            <w:r>
              <w:rPr>
                <w:b w:val="0"/>
                <w:i w:val="0"/>
                <w:sz w:val="19"/>
              </w:rPr>
              <w:t>Trách nhiệm của Ủy ban Đánh giá Lưu trữ Hồ sơ Toàn cầu. Ủy ban Đánh giá Lưu trữ Hồ sơ Toàn cầu (GRRRC) bao gồm một nhóm đại diện đa dạng trong công ty, trong đó có ít nhất một đại diện từ các tổ chức pháp lý và tài chính. Trách nhiệm của các thành viên GRRRC bao gồm:</w:t>
            </w:r>
            <w:r>
              <w:br/>
            </w:r>
            <w:r>
              <w:rPr>
                <w:b w:val="0"/>
                <w:i w:val="0"/>
                <w:sz w:val="19"/>
              </w:rPr>
              <w:t>a. Xem xét các thay đổi hoặc bổ sung được đề xuất đối với tất cả các lịch trình lưu trữ hồ sơ toàn cầu để đảm bảo tất cả các yêu cầu vận hành, kinh doanh và báo cáo của tổ chức họ được phản ánh chính xác trong thời gian lưu trữ được đề xuất</w:t>
            </w:r>
            <w:r>
              <w:br/>
            </w:r>
            <w:r>
              <w:rPr>
                <w:b w:val="0"/>
                <w:i w:val="0"/>
                <w:sz w:val="19"/>
              </w:rPr>
              <w:t xml:space="preserve">b. Phê duyệt các thay đổi hoặc bổ sung được đề xuất đối với tất cả các lịch trình lưu trữ hồ sơ toàn cầu do người quản lý bộ phận quản lý hồ sơ toàn cầu trình lên </w:t>
            </w:r>
            <w:r>
              <w:rPr>
                <w:b/>
                <w:i w:val="0"/>
                <w:sz w:val="19"/>
              </w:rPr>
              <w:t>Tham khảo các rủi ro: A-1, A-2, A-5</w:t>
            </w:r>
          </w:p>
        </w:tc>
      </w:tr>
      <w:tr>
        <w:tc>
          <w:tcPr>
            <w:tcW w:type="dxa" w:w="4680"/>
          </w:tcPr>
          <w:p>
            <w:r/>
            <w:r>
              <w:rPr>
                <w:b w:val="0"/>
                <w:i w:val="0"/>
                <w:sz w:val="19"/>
              </w:rPr>
              <w:t>9.1.3</w:t>
            </w:r>
          </w:p>
        </w:tc>
        <w:tc>
          <w:tcPr>
            <w:tcW w:type="dxa" w:w="4680"/>
          </w:tcPr>
          <w:p>
            <w:r/>
            <w:r>
              <w:rPr>
                <w:b w:val="0"/>
                <w:i w:val="0"/>
                <w:sz w:val="19"/>
              </w:rPr>
              <w:t>Trách nhiệm của các Điều phối viên Quản lý Hồ sơ Toàn cầu. Các Điều phối viên Quản lý Hồ sơ Toàn cầu (GEO-RMC) là những cá nhân được chỉ định ở cấp GEO để làm đầu mối cho một số hoạt động quản lý hồ sơ toàn cầu nhất định. Trách nhiệm của các GEO-RMC bao gồm:</w:t>
            </w:r>
            <w:r>
              <w:br/>
            </w:r>
            <w:r>
              <w:rPr>
                <w:b w:val="0"/>
                <w:i w:val="0"/>
                <w:sz w:val="19"/>
              </w:rPr>
              <w:t>a. Xác định các cơ sở lưu trữ được các địa điểm của công ty sử dụng để lưu trữ hồ sơ</w:t>
            </w:r>
            <w:r>
              <w:br/>
            </w:r>
            <w:r>
              <w:rPr>
                <w:b w:val="0"/>
                <w:i w:val="0"/>
                <w:sz w:val="19"/>
              </w:rPr>
              <w:t>b. Duy trì một kho lưu trữ GEO gồm các bảng kiểm kê lưu trữ ngoài địa điểm</w:t>
            </w:r>
            <w:r>
              <w:br/>
            </w:r>
            <w:r>
              <w:rPr>
                <w:b w:val="0"/>
                <w:i w:val="0"/>
                <w:sz w:val="19"/>
              </w:rPr>
              <w:t xml:space="preserve">c. Khởi xướng các hoạt động thanh lý hồ sơ theo các quy trình Quản lý Hồ sơ Toàn cầu đã được phê duyệt </w:t>
            </w:r>
            <w:r>
              <w:rPr>
                <w:b/>
                <w:i w:val="0"/>
                <w:sz w:val="19"/>
              </w:rPr>
              <w:t>Tham khảo các rủi ro: A-1, A-2, A-3, A-4, A-6</w:t>
            </w:r>
          </w:p>
        </w:tc>
      </w:tr>
      <w:tr>
        <w:tc>
          <w:tcPr>
            <w:tcW w:type="dxa" w:w="4680"/>
          </w:tcPr>
          <w:p>
            <w:r/>
            <w:r>
              <w:rPr>
                <w:b w:val="0"/>
                <w:i w:val="0"/>
                <w:sz w:val="19"/>
              </w:rPr>
              <w:t>9.1.4</w:t>
            </w:r>
          </w:p>
        </w:tc>
        <w:tc>
          <w:tcPr>
            <w:tcW w:type="dxa" w:w="4680"/>
          </w:tcPr>
          <w:p>
            <w:r/>
            <w:r>
              <w:rPr>
                <w:b w:val="0"/>
                <w:i w:val="0"/>
                <w:sz w:val="19"/>
              </w:rPr>
              <w:t>Trách nhiệm của các Đơn vị Vận hành. Mỗi đơn vị vận hành có trách nhiệm:</w:t>
            </w:r>
            <w:r>
              <w:br/>
            </w:r>
            <w:r>
              <w:rPr>
                <w:b w:val="0"/>
                <w:i w:val="0"/>
                <w:sz w:val="19"/>
              </w:rPr>
              <w:t>a. Cung cấp sự bảo vệ thích hợp cho những hồ sơ được xác định là hồ sơ quan trọng</w:t>
            </w:r>
            <w:r>
              <w:br/>
            </w:r>
            <w:r>
              <w:rPr>
                <w:b w:val="0"/>
                <w:i w:val="0"/>
                <w:sz w:val="19"/>
              </w:rPr>
              <w:t xml:space="preserve">b. Thực hiện các cuộc kiểm toán tuân thủ hàng năm đối với các thực hành lưu trữ hồ sơ của mình </w:t>
            </w:r>
            <w:r>
              <w:rPr>
                <w:b/>
                <w:i w:val="0"/>
                <w:sz w:val="19"/>
              </w:rPr>
              <w:t>Tham khảo các rủi ro: A-1, A-3, A-4, A-6</w:t>
            </w:r>
          </w:p>
        </w:tc>
      </w:tr>
      <w:tr>
        <w:tc>
          <w:tcPr>
            <w:tcW w:type="dxa" w:w="4680"/>
          </w:tcPr>
          <w:p>
            <w:r/>
            <w:r>
              <w:rPr>
                <w:b w:val="0"/>
                <w:i w:val="0"/>
                <w:sz w:val="19"/>
              </w:rPr>
              <w:t>9.1.5</w:t>
            </w:r>
          </w:p>
        </w:tc>
        <w:tc>
          <w:tcPr>
            <w:tcW w:type="dxa" w:w="4680"/>
          </w:tcPr>
          <w:p>
            <w:r/>
            <w:r>
              <w:rPr>
                <w:b w:val="0"/>
                <w:i w:val="0"/>
                <w:sz w:val="19"/>
              </w:rPr>
              <w:t>Trách nhiệm của các Trưởng bộ phận chi phí. Trưởng bộ phận chi phí có trách nhiệm:</w:t>
            </w:r>
            <w:r>
              <w:br/>
            </w:r>
            <w:r>
              <w:rPr>
                <w:b w:val="0"/>
                <w:i w:val="0"/>
                <w:sz w:val="19"/>
              </w:rPr>
              <w:t>a. Đảm bảo rằng bộ phận của họ tuân thủ chính sách quản lý hồ sơ của công ty.</w:t>
            </w:r>
            <w:r>
              <w:br/>
            </w:r>
            <w:r>
              <w:rPr>
                <w:b w:val="0"/>
                <w:i w:val="0"/>
                <w:sz w:val="19"/>
              </w:rPr>
              <w:t>b. Tuân theo các tiêu chuẩn và hướng dẫn đã được thiết lập.</w:t>
            </w:r>
            <w:r>
              <w:br/>
            </w:r>
            <w:r>
              <w:rPr>
                <w:b w:val="0"/>
                <w:i w:val="0"/>
                <w:sz w:val="19"/>
              </w:rPr>
              <w:t xml:space="preserve">c. Thông báo cho nhân viên về chính sách này. </w:t>
            </w:r>
            <w:r>
              <w:rPr>
                <w:b/>
                <w:i w:val="0"/>
                <w:sz w:val="19"/>
              </w:rPr>
              <w:t>Tham khảo các rủi ro: A-1, A-2, A-3, A-4, A-5, A-6</w:t>
            </w:r>
          </w:p>
        </w:tc>
      </w:tr>
      <w:tr>
        <w:tc>
          <w:tcPr>
            <w:tcW w:type="dxa" w:w="4680"/>
          </w:tcPr>
          <w:p>
            <w:r/>
            <w:r>
              <w:rPr>
                <w:b w:val="0"/>
                <w:i w:val="0"/>
                <w:sz w:val="19"/>
              </w:rPr>
              <w:t>9.1.6</w:t>
            </w:r>
          </w:p>
        </w:tc>
        <w:tc>
          <w:tcPr>
            <w:tcW w:type="dxa" w:w="4680"/>
          </w:tcPr>
          <w:p>
            <w:r/>
            <w:r>
              <w:rPr>
                <w:b/>
                <w:i w:val="0"/>
                <w:sz w:val="19"/>
              </w:rPr>
              <w:t>Trách nhiệm của Nhân viên.</w:t>
            </w:r>
            <w:r>
              <w:rPr>
                <w:b w:val="0"/>
                <w:i w:val="0"/>
                <w:sz w:val="19"/>
              </w:rPr>
              <w:t xml:space="preserve"> Mỗi nhân viên có trách nhiệm tuân thủ chính sách quản lý hồ sơ của công ty và tuân theo các tiêu chuẩn và hướng dẫn đã được thiết lập. </w:t>
            </w:r>
            <w:r>
              <w:rPr>
                <w:b/>
                <w:i w:val="0"/>
                <w:sz w:val="19"/>
              </w:rPr>
              <w:t>Tham khảo các rủi ro: A-1, A-2, A-3, A-4, A-5, A-6</w:t>
            </w:r>
          </w:p>
        </w:tc>
      </w:tr>
      <w:tr>
        <w:tc>
          <w:tcPr>
            <w:tcW w:type="dxa" w:w="4680"/>
          </w:tcPr>
          <w:p>
            <w:r/>
            <w:r>
              <w:rPr>
                <w:b w:val="0"/>
                <w:i w:val="0"/>
                <w:sz w:val="19"/>
              </w:rPr>
              <w:t>9.1.7</w:t>
            </w:r>
          </w:p>
        </w:tc>
        <w:tc>
          <w:tcPr>
            <w:tcW w:type="dxa" w:w="4680"/>
          </w:tcPr>
          <w:p>
            <w:r/>
            <w:r>
              <w:rPr>
                <w:b/>
                <w:i w:val="0"/>
                <w:sz w:val="19"/>
              </w:rPr>
              <w:t>Trách nhiệm của Kiểm toán Nội bộ.</w:t>
            </w:r>
            <w:r>
              <w:rPr>
                <w:b w:val="0"/>
                <w:i w:val="0"/>
                <w:sz w:val="19"/>
              </w:rPr>
              <w:t xml:space="preserve"> Kiểm toán Nội bộ có trách nhiệm xem xét việc tuân thủ của các bộ phận đối với các lịch trình lưu trữ hồ sơ toàn cầu đã được phê duyệt như một phần của các phát hiện kiểm toán bộ phận. </w:t>
            </w:r>
            <w:r>
              <w:rPr>
                <w:b/>
                <w:i w:val="0"/>
                <w:sz w:val="19"/>
              </w:rPr>
              <w:t>Tham khảo các rủi ro: A-3, A-4, A-6</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A-1</w:t>
            </w:r>
          </w:p>
        </w:tc>
        <w:tc>
          <w:tcPr>
            <w:tcW w:type="dxa" w:w="4680"/>
          </w:tcPr>
          <w:p>
            <w:r/>
            <w:r>
              <w:rPr>
                <w:b w:val="0"/>
                <w:i w:val="0"/>
                <w:sz w:val="19"/>
              </w:rPr>
              <w:t>Việc không tuân thủ quy định của chính phủ có thể dẫn đến các khoản tiền phạt đáng kể, các hình phạt và/hoặc mất hoạt động kinh doanh.</w:t>
            </w:r>
          </w:p>
        </w:tc>
      </w:tr>
      <w:tr>
        <w:tc>
          <w:tcPr>
            <w:tcW w:type="dxa" w:w="4680"/>
          </w:tcPr>
          <w:p>
            <w:r/>
            <w:r>
              <w:rPr>
                <w:b w:val="0"/>
                <w:i w:val="0"/>
                <w:sz w:val="19"/>
              </w:rPr>
              <w:t>A-2</w:t>
            </w:r>
          </w:p>
        </w:tc>
        <w:tc>
          <w:tcPr>
            <w:tcW w:type="dxa" w:w="4680"/>
          </w:tcPr>
          <w:p>
            <w:r/>
            <w:r>
              <w:rPr>
                <w:b w:val="0"/>
                <w:i w:val="0"/>
                <w:sz w:val="19"/>
              </w:rPr>
              <w:t>Công ty có thể phải chịu trách nhiệm về sự cẩu thả, sai sót hoặc thiếu sót dẫn đến tổn thất tài chính cho các cổ đông của mình.</w:t>
            </w:r>
          </w:p>
        </w:tc>
      </w:tr>
      <w:tr>
        <w:tc>
          <w:tcPr>
            <w:tcW w:type="dxa" w:w="4680"/>
          </w:tcPr>
          <w:p>
            <w:r/>
            <w:r>
              <w:rPr>
                <w:b w:val="0"/>
                <w:i w:val="0"/>
                <w:sz w:val="19"/>
              </w:rPr>
              <w:t>A-3</w:t>
            </w:r>
          </w:p>
        </w:tc>
        <w:tc>
          <w:tcPr>
            <w:tcW w:type="dxa" w:w="4680"/>
          </w:tcPr>
          <w:p>
            <w:r/>
            <w:r>
              <w:rPr>
                <w:b w:val="0"/>
                <w:i w:val="0"/>
                <w:sz w:val="19"/>
              </w:rPr>
              <w:t>Các sai sót cố ý hoặc việc biển thủ tài sản có thể không bị phát hiện.</w:t>
            </w:r>
          </w:p>
        </w:tc>
      </w:tr>
      <w:tr>
        <w:tc>
          <w:tcPr>
            <w:tcW w:type="dxa" w:w="4680"/>
          </w:tcPr>
          <w:p>
            <w:r/>
            <w:r>
              <w:rPr>
                <w:b w:val="0"/>
                <w:i w:val="0"/>
                <w:sz w:val="19"/>
              </w:rPr>
              <w:t>A-4</w:t>
            </w:r>
          </w:p>
        </w:tc>
        <w:tc>
          <w:tcPr>
            <w:tcW w:type="dxa" w:w="4680"/>
          </w:tcPr>
          <w:p>
            <w:r/>
            <w:r>
              <w:rPr>
                <w:b w:val="0"/>
                <w:i w:val="0"/>
                <w:sz w:val="19"/>
              </w:rPr>
              <w:t>Vị thế cạnh tranh hoặc danh tiếng của công ty có thể bị ảnh hưởng tiêu cực.</w:t>
            </w:r>
          </w:p>
        </w:tc>
      </w:tr>
      <w:tr>
        <w:tc>
          <w:tcPr>
            <w:tcW w:type="dxa" w:w="4680"/>
          </w:tcPr>
          <w:p>
            <w:r/>
            <w:r>
              <w:rPr>
                <w:b w:val="0"/>
                <w:i w:val="0"/>
                <w:sz w:val="19"/>
              </w:rPr>
              <w:t>A-5</w:t>
            </w:r>
          </w:p>
        </w:tc>
        <w:tc>
          <w:tcPr>
            <w:tcW w:type="dxa" w:w="4680"/>
          </w:tcPr>
          <w:p>
            <w:r/>
            <w:r>
              <w:rPr>
                <w:b w:val="0"/>
                <w:i w:val="0"/>
                <w:sz w:val="19"/>
              </w:rPr>
              <w:t>Các hạn chế pháp lý và điều khoản ràng buộc có thể bị vi phạm.</w:t>
            </w:r>
          </w:p>
        </w:tc>
      </w:tr>
      <w:tr>
        <w:tc>
          <w:tcPr>
            <w:tcW w:type="dxa" w:w="4680"/>
          </w:tcPr>
          <w:p>
            <w:r/>
            <w:r>
              <w:rPr>
                <w:b w:val="0"/>
                <w:i w:val="0"/>
                <w:sz w:val="19"/>
              </w:rPr>
              <w:t>A-6</w:t>
            </w:r>
          </w:p>
        </w:tc>
        <w:tc>
          <w:tcPr>
            <w:tcW w:type="dxa" w:w="4680"/>
          </w:tcPr>
          <w:p>
            <w:r/>
            <w:r>
              <w:rPr>
                <w:b w:val="0"/>
                <w:i w:val="0"/>
                <w:sz w:val="19"/>
              </w:rPr>
              <w:t>Hiệu quả vận hành và độ tin cậy có thể bị suy giảm và gây gián đoạn đáng kể cho quy trình sản xuất/kinh doanh.</w:t>
            </w:r>
          </w:p>
        </w:tc>
      </w:tr>
    </w:tbl>
    <w:p>
      <w:pPr>
        <w:spacing w:after="0"/>
      </w:pPr>
    </w:p>
    <w:p>
      <w:pPr>
        <w:pStyle w:val="Heading2"/>
      </w:pPr>
      <w:r>
        <w:rPr>
          <w:rFonts w:ascii="Calibri" w:hAnsi="Calibri"/>
          <w:b/>
          <w:i w:val="0"/>
          <w:sz w:val="32"/>
        </w:rPr>
        <w:t>9.2 CÁC TIÊU CHUẨN VỀ YÊU CẦU LƯU TRỮ HỒ SƠ NỘI BỘ</w:t>
      </w:r>
    </w:p>
    <w:p>
      <w:pPr>
        <w:pStyle w:val="Heading3"/>
      </w:pPr>
      <w:r>
        <w:rPr>
          <w:rFonts w:ascii="Calibri" w:hAnsi="Calibri"/>
          <w:b/>
          <w:i w:val="0"/>
          <w:sz w:val="26"/>
        </w:rPr>
        <w:t>Giới thiệu</w:t>
      </w:r>
    </w:p>
    <w:p>
      <w:pPr>
        <w:spacing w:after="80"/>
      </w:pPr>
      <w:r>
        <w:rPr>
          <w:b w:val="0"/>
          <w:i w:val="0"/>
        </w:rPr>
        <w:t>Mục này đề xuất các yêu cầu và phân loại lưu trữ hồ sơ nội bộ mà công ty nên cân nhắc cho quy trình quản lý dữ liệu và hồ sơ.</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9.2.1</w:t>
            </w:r>
          </w:p>
        </w:tc>
        <w:tc>
          <w:tcPr>
            <w:tcW w:type="dxa" w:w="4680"/>
          </w:tcPr>
          <w:p>
            <w:r/>
            <w:r>
              <w:rPr>
                <w:b w:val="0"/>
                <w:i w:val="0"/>
                <w:sz w:val="19"/>
              </w:rPr>
              <w:t>Hồ sơ Thông tin. Mỗi đơn vị kinh doanh phải duy trì chi tiết hồ sơ thông tin cho các hồ sơ được lưu giữ trong phòng ban. Hồ sơ thông tin nên bao gồm các thông tin sau:</w:t>
            </w:r>
            <w:r>
              <w:br/>
            </w:r>
            <w:r>
              <w:rPr>
                <w:b w:val="0"/>
                <w:i w:val="0"/>
                <w:sz w:val="19"/>
              </w:rPr>
              <w:t>a. Tên tệp</w:t>
            </w:r>
            <w:r>
              <w:br/>
            </w:r>
            <w:r>
              <w:rPr>
                <w:b w:val="0"/>
                <w:i w:val="0"/>
                <w:sz w:val="19"/>
              </w:rPr>
              <w:t>b. Loại hồ sơ (chính thức, quan trọng, lịch sử)</w:t>
            </w:r>
            <w:r>
              <w:br/>
            </w:r>
            <w:r>
              <w:rPr>
                <w:b w:val="0"/>
                <w:i w:val="0"/>
                <w:sz w:val="19"/>
              </w:rPr>
              <w:t>c. Mô tả/tiêu đề hồ sơ</w:t>
            </w:r>
            <w:r>
              <w:br/>
            </w:r>
            <w:r>
              <w:rPr>
                <w:b w:val="0"/>
                <w:i w:val="0"/>
                <w:sz w:val="19"/>
              </w:rPr>
              <w:t>d. Định dạng (giấy, điện tử, v.v.)</w:t>
            </w:r>
            <w:r>
              <w:br/>
            </w:r>
            <w:r>
              <w:rPr>
                <w:b w:val="0"/>
                <w:i w:val="0"/>
                <w:sz w:val="19"/>
              </w:rPr>
              <w:t>e. Mã chuỗi hồ sơ (mã chữ và số được sử dụng để chỉ định chuỗi hồ sơ phù hợp mà một hồ sơ thuộc về theo lịch trình đã thiết lập)</w:t>
            </w:r>
            <w:r>
              <w:br/>
            </w:r>
            <w:r>
              <w:rPr>
                <w:b w:val="0"/>
                <w:i w:val="0"/>
                <w:sz w:val="19"/>
              </w:rPr>
              <w:t>f. Phân loại bảo mật</w:t>
            </w:r>
            <w:r>
              <w:br/>
            </w:r>
            <w:r>
              <w:rPr>
                <w:b w:val="0"/>
                <w:i w:val="0"/>
                <w:sz w:val="19"/>
              </w:rPr>
              <w:t xml:space="preserve">g. Vị trí/địa điểm </w:t>
            </w:r>
            <w:r>
              <w:rPr>
                <w:b/>
                <w:i w:val="0"/>
                <w:sz w:val="19"/>
              </w:rPr>
              <w:t>Tham khảo các rủi ro: B-1, B-2, B-3, B-4, B-5, B-6</w:t>
            </w:r>
          </w:p>
        </w:tc>
      </w:tr>
      <w:tr>
        <w:tc>
          <w:tcPr>
            <w:tcW w:type="dxa" w:w="4680"/>
          </w:tcPr>
          <w:p>
            <w:r/>
            <w:r>
              <w:rPr>
                <w:b w:val="0"/>
                <w:i w:val="0"/>
                <w:sz w:val="19"/>
              </w:rPr>
              <w:t>9.2.2</w:t>
            </w:r>
          </w:p>
        </w:tc>
        <w:tc>
          <w:tcPr>
            <w:tcW w:type="dxa" w:w="4680"/>
          </w:tcPr>
          <w:p>
            <w:r/>
            <w:r>
              <w:rPr>
                <w:b/>
                <w:i w:val="0"/>
                <w:sz w:val="19"/>
              </w:rPr>
              <w:t>Phân loại.</w:t>
            </w:r>
            <w:r>
              <w:rPr>
                <w:b w:val="0"/>
                <w:i w:val="0"/>
                <w:sz w:val="19"/>
              </w:rPr>
              <w:t xml:space="preserve"> Hồ sơ phải được sắp xếp và lập chỉ mục theo cách tối đa hóa tính hữu ích của chúng đối với công ty và nhân viên, đồng thời ngăn ngừa mất mát hoặc tiết lộ không phù hợp. Thông tin nên được phân loại: (i) là hồ sơ chính thức hoặc bản sao và (ii) với phân loại bảo mật phù hợp. </w:t>
            </w:r>
            <w:r>
              <w:rPr>
                <w:b/>
                <w:i w:val="0"/>
                <w:sz w:val="19"/>
              </w:rPr>
              <w:t>Tham khảo các rủi ro: B-1, B-2, B-3, B-4, B-5, B-6</w:t>
            </w:r>
          </w:p>
        </w:tc>
      </w:tr>
      <w:tr>
        <w:tc>
          <w:tcPr>
            <w:tcW w:type="dxa" w:w="4680"/>
          </w:tcPr>
          <w:p>
            <w:r/>
            <w:r>
              <w:rPr>
                <w:b w:val="0"/>
                <w:i w:val="0"/>
                <w:sz w:val="19"/>
              </w:rPr>
              <w:t>9.2.3</w:t>
            </w:r>
          </w:p>
        </w:tc>
        <w:tc>
          <w:tcPr>
            <w:tcW w:type="dxa" w:w="4680"/>
          </w:tcPr>
          <w:p>
            <w:r/>
            <w:r>
              <w:rPr>
                <w:b/>
                <w:i w:val="0"/>
                <w:sz w:val="19"/>
              </w:rPr>
              <w:t>Miễn trừ.</w:t>
            </w:r>
            <w:r>
              <w:rPr>
                <w:b w:val="0"/>
                <w:i w:val="0"/>
                <w:sz w:val="19"/>
              </w:rPr>
              <w:t xml:space="preserve"> Các miễn trừ khỏi chính sách lưu trữ thông thường có thể được cấp thông qua yêu cầu và phê duyệt. </w:t>
            </w:r>
            <w:r>
              <w:rPr>
                <w:b/>
                <w:i w:val="0"/>
                <w:sz w:val="19"/>
              </w:rPr>
              <w:t>Tham khảo các rủi ro: B-1, B-2, B-3, B-5, B-6</w:t>
            </w:r>
          </w:p>
        </w:tc>
      </w:tr>
      <w:tr>
        <w:tc>
          <w:tcPr>
            <w:tcW w:type="dxa" w:w="4680"/>
          </w:tcPr>
          <w:p>
            <w:r/>
            <w:r>
              <w:rPr>
                <w:b w:val="0"/>
                <w:i w:val="0"/>
                <w:sz w:val="19"/>
              </w:rPr>
              <w:t>9.2.4</w:t>
            </w:r>
          </w:p>
        </w:tc>
        <w:tc>
          <w:tcPr>
            <w:tcW w:type="dxa" w:w="4680"/>
          </w:tcPr>
          <w:p>
            <w:r/>
            <w:r>
              <w:rPr>
                <w:b w:val="0"/>
                <w:i w:val="0"/>
                <w:sz w:val="19"/>
              </w:rPr>
              <w:t>Đánh giá Tuân thủ. Mỗi đơn vị vận hành nên thực hiện đánh giá tuân thủ hàng năm để:</w:t>
            </w:r>
            <w:r>
              <w:br/>
            </w:r>
            <w:r>
              <w:rPr>
                <w:b w:val="0"/>
                <w:i w:val="0"/>
                <w:sz w:val="19"/>
              </w:rPr>
              <w:t>a. Xác định mức độ hiểu biết của nhân viên về chính sách và thực tiễn quản lý hồ sơ.</w:t>
            </w:r>
            <w:r>
              <w:br/>
            </w:r>
            <w:r>
              <w:rPr>
                <w:b w:val="0"/>
                <w:i w:val="0"/>
                <w:sz w:val="19"/>
              </w:rPr>
              <w:t>b. Đảm bảo phân loại và xử lý thông tin phù hợp.</w:t>
            </w:r>
            <w:r>
              <w:br/>
            </w:r>
            <w:r>
              <w:rPr>
                <w:b w:val="0"/>
                <w:i w:val="0"/>
                <w:sz w:val="19"/>
              </w:rPr>
              <w:t xml:space="preserve">c. Xác định bất kỳ vấn đề nào tồn tại liên quan đến hoạt động tổng thể của đơn vị. </w:t>
            </w:r>
            <w:r>
              <w:rPr>
                <w:b/>
                <w:i w:val="0"/>
                <w:sz w:val="19"/>
              </w:rPr>
              <w:t>Tham khảo các rủi ro: B-1, B-2, B-3, B-5, B-6</w:t>
            </w:r>
          </w:p>
        </w:tc>
      </w:tr>
      <w:tr>
        <w:tc>
          <w:tcPr>
            <w:tcW w:type="dxa" w:w="4680"/>
          </w:tcPr>
          <w:p>
            <w:r/>
            <w:r>
              <w:rPr>
                <w:b w:val="0"/>
                <w:i w:val="0"/>
                <w:sz w:val="19"/>
              </w:rPr>
              <w:t>9.2.5</w:t>
            </w:r>
          </w:p>
        </w:tc>
        <w:tc>
          <w:tcPr>
            <w:tcW w:type="dxa" w:w="4680"/>
          </w:tcPr>
          <w:p>
            <w:r/>
            <w:r>
              <w:rPr>
                <w:b/>
                <w:i w:val="0"/>
                <w:sz w:val="19"/>
              </w:rPr>
              <w:t>Phân loại lại. “</w:t>
            </w:r>
            <w:r>
              <w:rPr>
                <w:b w:val="0"/>
                <w:i w:val="0"/>
                <w:sz w:val="19"/>
              </w:rPr>
              <w:t xml:space="preserve"> Thông tin Mật của Công ty” và “Hạn chế của Công ty” cũng có thể được đánh dấu bằng ngày phân loại lại. Khi ngày phân loại lại được chỉ định, thông tin sẽ được phân loại lại vào ngày đó thành Sử dụng Nội bộ Không hạn chế. Nếu không có ngày phân loại lại nào được chỉ định, thông tin giữ nguyên phân loại như đã đánh dấu trừ khi được chủ sở hữu thay đổi. </w:t>
            </w:r>
            <w:r>
              <w:rPr>
                <w:b/>
                <w:i w:val="0"/>
                <w:sz w:val="19"/>
              </w:rPr>
              <w:t>Tham khảo rủi ro: B-6</w:t>
            </w:r>
          </w:p>
        </w:tc>
      </w:tr>
      <w:tr>
        <w:tc>
          <w:tcPr>
            <w:tcW w:type="dxa" w:w="4680"/>
          </w:tcPr>
          <w:p>
            <w:r/>
            <w:r>
              <w:rPr>
                <w:b w:val="0"/>
                <w:i w:val="0"/>
                <w:sz w:val="19"/>
              </w:rPr>
              <w:t>9.2.6</w:t>
            </w:r>
          </w:p>
        </w:tc>
        <w:tc>
          <w:tcPr>
            <w:tcW w:type="dxa" w:w="4680"/>
          </w:tcPr>
          <w:p>
            <w:r/>
            <w:r>
              <w:rPr>
                <w:b w:val="0"/>
                <w:i w:val="0"/>
                <w:sz w:val="19"/>
              </w:rPr>
              <w:t>Tài liệu công bố ra bên ngoài của công ty. Các tài liệu công bố ra bên ngoài của công ty (ví dụ: bài phát biểu, bài viết, ấn phẩm, bài thuyết trình) dự kiến phát hành ra bên ngoài phải được xem xét dựa trên:</w:t>
            </w:r>
            <w:r>
              <w:br/>
            </w:r>
            <w:r>
              <w:rPr>
                <w:b w:val="0"/>
                <w:i w:val="0"/>
                <w:sz w:val="19"/>
              </w:rPr>
              <w:t>a. Giá trị độc quyền của tài liệu đối với công ty,</w:t>
            </w:r>
            <w:r>
              <w:br/>
            </w:r>
            <w:r>
              <w:rPr>
                <w:b w:val="0"/>
                <w:i w:val="0"/>
                <w:sz w:val="19"/>
              </w:rPr>
              <w:t>b. Khả năng đối thủ cạnh tranh sử dụng tài liệu đó,</w:t>
            </w:r>
            <w:r>
              <w:br/>
            </w:r>
            <w:r>
              <w:rPr>
                <w:b w:val="0"/>
                <w:i w:val="0"/>
                <w:sz w:val="19"/>
              </w:rPr>
              <w:t>c. Thời điểm phát hành,</w:t>
            </w:r>
            <w:r>
              <w:br/>
            </w:r>
            <w:r>
              <w:rPr>
                <w:b w:val="0"/>
                <w:i w:val="0"/>
                <w:sz w:val="19"/>
              </w:rPr>
              <w:t>d. Tính cập nhật của thông tin, và</w:t>
            </w:r>
            <w:r>
              <w:br/>
            </w:r>
            <w:r>
              <w:rPr>
                <w:b w:val="0"/>
                <w:i w:val="0"/>
                <w:sz w:val="19"/>
              </w:rPr>
              <w:t xml:space="preserve">e. Tính nhất quán của thông tin với các thông báo của công ty. Quá trình xem xét và phê duyệt này do bộ phận truyền thông công ty điều phối. </w:t>
            </w:r>
            <w:r>
              <w:rPr>
                <w:b/>
                <w:i w:val="0"/>
                <w:sz w:val="19"/>
              </w:rPr>
              <w:t>Tham khảo các rủi ro: B-2, B-3, B-4, B-5, B-6</w:t>
            </w:r>
          </w:p>
        </w:tc>
      </w:tr>
      <w:tr>
        <w:tc>
          <w:tcPr>
            <w:tcW w:type="dxa" w:w="4680"/>
          </w:tcPr>
          <w:p>
            <w:r/>
            <w:r>
              <w:rPr>
                <w:b w:val="0"/>
                <w:i w:val="0"/>
                <w:sz w:val="19"/>
              </w:rPr>
              <w:t>9.2.7</w:t>
            </w:r>
          </w:p>
        </w:tc>
        <w:tc>
          <w:tcPr>
            <w:tcW w:type="dxa" w:w="4680"/>
          </w:tcPr>
          <w:p>
            <w:r/>
            <w:r>
              <w:rPr>
                <w:b/>
                <w:i w:val="0"/>
                <w:sz w:val="19"/>
              </w:rPr>
              <w:t>Bảo vệ thông tin.</w:t>
            </w:r>
            <w:r>
              <w:rPr>
                <w:b w:val="0"/>
                <w:i w:val="0"/>
                <w:sz w:val="19"/>
              </w:rPr>
              <w:t xml:space="preserve"> Người sử dụng thông tin phải đảm bảo rằng họ đang bảo vệ thông tin theo tất cả các tiêu chuẩn kiểm soát nội bộ hiện hành và tất cả các thông lệ liên quan của công ty. Cần thực hiện các biện pháp phù hợp để đảm bảo rằng bất kỳ thông tin nào được chỉ định là quan trọng đều được bảo vệ khỏi mất mát và thiệt hại cho công ty. </w:t>
            </w:r>
            <w:r>
              <w:rPr>
                <w:b/>
                <w:i w:val="0"/>
                <w:sz w:val="19"/>
              </w:rPr>
              <w:t>Tham khảo các rủi ro: B-1, B-2, B-3, B-4, B-5, B-6</w:t>
            </w:r>
          </w:p>
        </w:tc>
      </w:tr>
      <w:tr>
        <w:tc>
          <w:tcPr>
            <w:tcW w:type="dxa" w:w="4680"/>
          </w:tcPr>
          <w:p>
            <w:r/>
            <w:r>
              <w:rPr>
                <w:b w:val="0"/>
                <w:i w:val="0"/>
                <w:sz w:val="19"/>
              </w:rPr>
              <w:t>9.2.8</w:t>
            </w:r>
          </w:p>
        </w:tc>
        <w:tc>
          <w:tcPr>
            <w:tcW w:type="dxa" w:w="4680"/>
          </w:tcPr>
          <w:p>
            <w:r/>
            <w:r>
              <w:rPr>
                <w:b/>
                <w:i w:val="0"/>
                <w:sz w:val="19"/>
              </w:rPr>
              <w:t>Nhân viên đã nghỉ việc.</w:t>
            </w:r>
            <w:r>
              <w:rPr>
                <w:b w:val="0"/>
                <w:i w:val="0"/>
                <w:sz w:val="19"/>
              </w:rPr>
              <w:t xml:space="preserve"> Quản lý của những cá nhân không còn làm việc cho công ty nên thực hiện các bước cần thiết để đảm bảo rằng bất kỳ hồ sơ nào do nhân viên đó tạo ra, duy trì hoặc sử dụng đều được xử lý một cách phù hợp và kịp thời. </w:t>
            </w:r>
            <w:r>
              <w:rPr>
                <w:b/>
                <w:i w:val="0"/>
                <w:sz w:val="19"/>
              </w:rPr>
              <w:t>Tham khảo các rủi ro: B-3, B-4, B-6</w:t>
            </w:r>
          </w:p>
        </w:tc>
      </w:tr>
      <w:tr>
        <w:tc>
          <w:tcPr>
            <w:tcW w:type="dxa" w:w="4680"/>
          </w:tcPr>
          <w:p>
            <w:r/>
            <w:r>
              <w:rPr>
                <w:b w:val="0"/>
                <w:i w:val="0"/>
                <w:sz w:val="19"/>
              </w:rPr>
              <w:t>9.2.9</w:t>
            </w:r>
          </w:p>
        </w:tc>
        <w:tc>
          <w:tcPr>
            <w:tcW w:type="dxa" w:w="4680"/>
          </w:tcPr>
          <w:p>
            <w:r/>
            <w:r>
              <w:rPr>
                <w:b/>
                <w:i w:val="0"/>
                <w:sz w:val="19"/>
              </w:rPr>
              <w:t>Sử dụng phương tiện thay thế.</w:t>
            </w:r>
            <w:r>
              <w:rPr>
                <w:b w:val="0"/>
                <w:i w:val="0"/>
                <w:sz w:val="19"/>
              </w:rPr>
              <w:t xml:space="preserve"> Việc sử dụng các phương tiện thay thế để lưu trữ hồ sơ chính thức phải được phê duyệt trước khi triển khai. </w:t>
            </w:r>
            <w:r>
              <w:rPr>
                <w:b/>
                <w:i w:val="0"/>
                <w:sz w:val="19"/>
              </w:rPr>
              <w:t>Tham khảo các rủi ro: B-1, B-2, B-5, và B-6</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B-1</w:t>
            </w:r>
          </w:p>
        </w:tc>
        <w:tc>
          <w:tcPr>
            <w:tcW w:type="dxa" w:w="4680"/>
          </w:tcPr>
          <w:p>
            <w:r/>
            <w:r>
              <w:rPr>
                <w:b w:val="0"/>
                <w:i w:val="0"/>
                <w:sz w:val="19"/>
              </w:rPr>
              <w:t>Việc không tuân thủ quy định của chính phủ có thể dẫn đến các khoản tiền phạt đáng kể, các hình phạt, và/hoặc mất hoạt động kinh doanh.</w:t>
            </w:r>
          </w:p>
        </w:tc>
      </w:tr>
      <w:tr>
        <w:tc>
          <w:tcPr>
            <w:tcW w:type="dxa" w:w="4680"/>
          </w:tcPr>
          <w:p>
            <w:r/>
            <w:r>
              <w:rPr>
                <w:b w:val="0"/>
                <w:i w:val="0"/>
                <w:sz w:val="19"/>
              </w:rPr>
              <w:t>B-2</w:t>
            </w:r>
          </w:p>
        </w:tc>
        <w:tc>
          <w:tcPr>
            <w:tcW w:type="dxa" w:w="4680"/>
          </w:tcPr>
          <w:p>
            <w:r/>
            <w:r>
              <w:rPr>
                <w:b w:val="0"/>
                <w:i w:val="0"/>
                <w:sz w:val="19"/>
              </w:rPr>
              <w:t>Công ty có thể phải chịu trách nhiệm về sự sơ suất, sai sót hoặc thiếu sót dẫn đến tổn thất tài chính cho các cổ đông của mình.</w:t>
            </w:r>
          </w:p>
        </w:tc>
      </w:tr>
      <w:tr>
        <w:tc>
          <w:tcPr>
            <w:tcW w:type="dxa" w:w="4680"/>
          </w:tcPr>
          <w:p>
            <w:r/>
            <w:r>
              <w:rPr>
                <w:b w:val="0"/>
                <w:i w:val="0"/>
                <w:sz w:val="19"/>
              </w:rPr>
              <w:t>B-3</w:t>
            </w:r>
          </w:p>
        </w:tc>
        <w:tc>
          <w:tcPr>
            <w:tcW w:type="dxa" w:w="4680"/>
          </w:tcPr>
          <w:p>
            <w:r/>
            <w:r>
              <w:rPr>
                <w:b w:val="0"/>
                <w:i w:val="0"/>
                <w:sz w:val="19"/>
              </w:rPr>
              <w:t>Các sai sót cố ý hoặc hành vi biển thủ tài sản có thể không bị phát hiện.</w:t>
            </w:r>
          </w:p>
        </w:tc>
      </w:tr>
      <w:tr>
        <w:tc>
          <w:tcPr>
            <w:tcW w:type="dxa" w:w="4680"/>
          </w:tcPr>
          <w:p>
            <w:r/>
            <w:r>
              <w:rPr>
                <w:b w:val="0"/>
                <w:i w:val="0"/>
                <w:sz w:val="19"/>
              </w:rPr>
              <w:t>B-4</w:t>
            </w:r>
          </w:p>
        </w:tc>
        <w:tc>
          <w:tcPr>
            <w:tcW w:type="dxa" w:w="4680"/>
          </w:tcPr>
          <w:p>
            <w:r/>
            <w:r>
              <w:rPr>
                <w:b w:val="0"/>
                <w:i w:val="0"/>
                <w:sz w:val="19"/>
              </w:rPr>
              <w:t>Vị thế cạnh tranh hoặc danh tiếng của công ty có thể bị ảnh hưởng tiêu cực.</w:t>
            </w:r>
          </w:p>
        </w:tc>
      </w:tr>
      <w:tr>
        <w:tc>
          <w:tcPr>
            <w:tcW w:type="dxa" w:w="4680"/>
          </w:tcPr>
          <w:p>
            <w:r/>
            <w:r>
              <w:rPr>
                <w:b w:val="0"/>
                <w:i w:val="0"/>
                <w:sz w:val="19"/>
              </w:rPr>
              <w:t>B-5</w:t>
            </w:r>
          </w:p>
        </w:tc>
        <w:tc>
          <w:tcPr>
            <w:tcW w:type="dxa" w:w="4680"/>
          </w:tcPr>
          <w:p>
            <w:r/>
            <w:r>
              <w:rPr>
                <w:b w:val="0"/>
                <w:i w:val="0"/>
                <w:sz w:val="19"/>
              </w:rPr>
              <w:t>Các hạn chế pháp lý và cam kết ràng buộc có thể bị vi phạm.</w:t>
            </w:r>
          </w:p>
        </w:tc>
      </w:tr>
      <w:tr>
        <w:tc>
          <w:tcPr>
            <w:tcW w:type="dxa" w:w="4680"/>
          </w:tcPr>
          <w:p>
            <w:r/>
            <w:r>
              <w:rPr>
                <w:b w:val="0"/>
                <w:i w:val="0"/>
                <w:sz w:val="19"/>
              </w:rPr>
              <w:t>B-6</w:t>
            </w:r>
          </w:p>
        </w:tc>
        <w:tc>
          <w:tcPr>
            <w:tcW w:type="dxa" w:w="4680"/>
          </w:tcPr>
          <w:p>
            <w:r/>
            <w:r>
              <w:rPr>
                <w:b w:val="0"/>
                <w:i w:val="0"/>
                <w:sz w:val="19"/>
              </w:rPr>
              <w:t>Hiệu quả vận hành và độ tin cậy có thể bị suy giảm và làm gián đoạn đáng kể quy trình sản xuất/kinh doanh.</w:t>
            </w:r>
          </w:p>
        </w:tc>
      </w:tr>
    </w:tbl>
    <w:p>
      <w:pPr>
        <w:spacing w:after="0"/>
      </w:pPr>
    </w:p>
    <w:p>
      <w:pPr>
        <w:spacing w:after="80"/>
      </w:pPr>
      <w:r>
        <w:rPr>
          <w:b w:val="0"/>
          <w:i w:val="0"/>
        </w:rPr>
        <w:t>Xem Bảng 9.1 để biết ví dụ về phân loại theo loại thông tin và Bảng 9.2 để biết yêu cầu bảo vệ đối với hồ sơ vật lý và điện tử.</w:t>
      </w:r>
    </w:p>
    <w:p>
      <w:pPr>
        <w:spacing w:after="160"/>
        <w:jc w:val="center"/>
      </w:pPr>
      <w:r>
        <w:rPr>
          <w:rFonts w:ascii="Calibri" w:hAnsi="Calibri"/>
          <w:b/>
          <w:i/>
          <w:sz w:val="19"/>
        </w:rPr>
        <w:t>BẢNG 9.1</w:t>
      </w:r>
      <w:r>
        <w:rPr>
          <w:rFonts w:ascii="Calibri" w:hAnsi="Calibri"/>
          <w:b w:val="0"/>
          <w:i/>
          <w:sz w:val="19"/>
        </w:rPr>
        <w:t xml:space="preserve"> Ví dụ về Danh mục Phân loại theo Loại Thông tin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Công ty Hạn chế</w:t>
            </w:r>
          </w:p>
        </w:tc>
        <w:tc>
          <w:tcPr>
            <w:tcW w:type="dxa" w:w="4680"/>
          </w:tcPr>
          <w:p>
            <w:r/>
            <w:r>
              <w:rPr>
                <w:b/>
                <w:i w:val="0"/>
                <w:sz w:val="19"/>
              </w:rPr>
              <w:t>Công ty Mật</w:t>
            </w:r>
          </w:p>
        </w:tc>
      </w:tr>
      <w:tr>
        <w:tc>
          <w:tcPr>
            <w:tcW w:type="dxa" w:w="4680"/>
          </w:tcPr>
          <w:p>
            <w:r/>
            <w:r>
              <w:rPr>
                <w:b w:val="0"/>
                <w:i w:val="0"/>
                <w:sz w:val="19"/>
              </w:rPr>
              <w:t>Lộ trình sản phẩm</w:t>
            </w:r>
          </w:p>
        </w:tc>
        <w:tc>
          <w:tcPr>
            <w:tcW w:type="dxa" w:w="4680"/>
          </w:tcPr>
          <w:p>
            <w:r/>
            <w:r>
              <w:rPr>
                <w:b w:val="0"/>
                <w:i w:val="0"/>
                <w:sz w:val="19"/>
              </w:rPr>
              <w:t>Thông tin nhân viên: đánh giá hiệu suất, dữ liệu lương, hồ sơ và dữ liệu trường hợp nhân sự cụ thể, danh sách điện thoại, danh sách nhân viên</w:t>
            </w:r>
          </w:p>
        </w:tc>
      </w:tr>
      <w:tr>
        <w:tc>
          <w:tcPr>
            <w:tcW w:type="dxa" w:w="4680"/>
          </w:tcPr>
          <w:p>
            <w:r/>
            <w:r>
              <w:rPr>
                <w:b w:val="0"/>
                <w:i w:val="0"/>
                <w:sz w:val="19"/>
              </w:rPr>
              <w:t>Kế hoạch hoặc dự báo chiến lược</w:t>
            </w:r>
          </w:p>
        </w:tc>
        <w:tc>
          <w:tcPr>
            <w:tcW w:type="dxa" w:w="4680"/>
          </w:tcPr>
          <w:p>
            <w:r/>
            <w:r>
              <w:rPr>
                <w:b w:val="0"/>
                <w:i w:val="0"/>
                <w:sz w:val="19"/>
              </w:rPr>
              <w:t>Chính sách nội bộ</w:t>
            </w:r>
          </w:p>
        </w:tc>
      </w:tr>
      <w:tr>
        <w:tc>
          <w:tcPr>
            <w:tcW w:type="dxa" w:w="4680"/>
          </w:tcPr>
          <w:p>
            <w:r/>
            <w:r>
              <w:rPr>
                <w:b w:val="0"/>
                <w:i w:val="0"/>
                <w:sz w:val="19"/>
              </w:rPr>
              <w:t>Kế hoạch kinh doanh cấp tập đoàn/nhóm</w:t>
            </w:r>
          </w:p>
        </w:tc>
        <w:tc>
          <w:tcPr>
            <w:tcW w:type="dxa" w:w="4680"/>
          </w:tcPr>
          <w:p>
            <w:r/>
            <w:r>
              <w:rPr>
                <w:b w:val="0"/>
                <w:i w:val="0"/>
                <w:sz w:val="19"/>
              </w:rPr>
              <w:t>Quy trình sản xuất độc đáo, thông số kỹ thuật sản xuất, phương pháp định giá/dữ liệu</w:t>
            </w:r>
          </w:p>
        </w:tc>
      </w:tr>
      <w:tr>
        <w:tc>
          <w:tcPr>
            <w:tcW w:type="dxa" w:w="4680"/>
          </w:tcPr>
          <w:p>
            <w:r/>
            <w:r>
              <w:rPr>
                <w:b w:val="0"/>
                <w:i w:val="0"/>
                <w:sz w:val="19"/>
              </w:rPr>
              <w:t>Dữ liệu về sáp nhập và các thương vụ mua lại tiềm năng</w:t>
            </w:r>
          </w:p>
        </w:tc>
        <w:tc>
          <w:tcPr>
            <w:tcW w:type="dxa" w:w="4680"/>
          </w:tcPr>
          <w:p>
            <w:r/>
            <w:r>
              <w:rPr>
                <w:b w:val="0"/>
                <w:i w:val="0"/>
                <w:sz w:val="19"/>
              </w:rPr>
              <w:t>Dữ liệu tài chính trước khi công bố công khai</w:t>
            </w:r>
          </w:p>
        </w:tc>
      </w:tr>
      <w:tr>
        <w:tc>
          <w:tcPr>
            <w:tcW w:type="dxa" w:w="4680"/>
          </w:tcPr>
          <w:p>
            <w:r/>
            <w:r>
              <w:rPr>
                <w:b w:val="0"/>
                <w:i w:val="0"/>
                <w:sz w:val="19"/>
              </w:rPr>
              <w:t>Tái cơ cấu tổ chức</w:t>
            </w:r>
          </w:p>
        </w:tc>
        <w:tc>
          <w:tcPr>
            <w:tcW w:type="dxa" w:w="4680"/>
          </w:tcPr>
          <w:p>
            <w:r/>
            <w:r>
              <w:rPr>
                <w:b w:val="0"/>
                <w:i w:val="0"/>
                <w:sz w:val="19"/>
              </w:rPr>
              <w:t>Danh sách khách hàng, báo cáo bán hàng, báo cáo khách hàng tiềm năng lớn, báo cáo sản phẩm</w:t>
            </w:r>
          </w:p>
        </w:tc>
      </w:tr>
      <w:tr>
        <w:tc>
          <w:tcPr>
            <w:tcW w:type="dxa" w:w="4680"/>
          </w:tcPr>
          <w:p>
            <w:r/>
            <w:r>
              <w:rPr>
                <w:b w:val="0"/>
                <w:i w:val="0"/>
                <w:sz w:val="19"/>
              </w:rPr>
              <w:t>Thay đổi mục tiêu kinh doanh</w:t>
            </w:r>
          </w:p>
        </w:tc>
        <w:tc>
          <w:tcPr>
            <w:tcW w:type="dxa" w:w="4680"/>
          </w:tcPr>
          <w:p>
            <w:r/>
            <w:r>
              <w:rPr>
                <w:b w:val="0"/>
                <w:i w:val="0"/>
                <w:sz w:val="19"/>
              </w:rPr>
              <w:t>Bí mật thương mại, lộ trình cấp bộ phận</w:t>
            </w:r>
          </w:p>
        </w:tc>
      </w:tr>
      <w:tr>
        <w:tc>
          <w:tcPr>
            <w:tcW w:type="dxa" w:w="4680"/>
          </w:tcPr>
          <w:p>
            <w:r/>
            <w:r>
              <w:rPr>
                <w:b w:val="0"/>
                <w:i w:val="0"/>
                <w:sz w:val="19"/>
              </w:rPr>
              <w:t>Bản vẽ sản xuất chủ chốt hoặc dữ liệu thiết kế/kỹ thuật quan trọng khác</w:t>
            </w:r>
          </w:p>
        </w:tc>
        <w:tc>
          <w:tcPr>
            <w:tcW w:type="dxa" w:w="4680"/>
          </w:tcPr>
          <w:p/>
        </w:tc>
      </w:tr>
      <w:tr>
        <w:tc>
          <w:tcPr>
            <w:tcW w:type="dxa" w:w="4680"/>
          </w:tcPr>
          <w:p>
            <w:r/>
            <w:r>
              <w:rPr>
                <w:b w:val="0"/>
                <w:i w:val="0"/>
                <w:sz w:val="19"/>
              </w:rPr>
              <w:t>Báo cáo tình báo cạnh tranh</w:t>
            </w:r>
          </w:p>
        </w:tc>
        <w:tc>
          <w:tcPr>
            <w:tcW w:type="dxa" w:w="4680"/>
          </w:tcPr>
          <w:p/>
        </w:tc>
      </w:tr>
    </w:tbl>
    <w:p>
      <w:pPr>
        <w:spacing w:after="0"/>
      </w:pPr>
    </w:p>
    <w:p>
      <w:pPr>
        <w:spacing w:after="160"/>
        <w:jc w:val="center"/>
      </w:pPr>
      <w:r>
        <w:rPr>
          <w:rFonts w:ascii="Calibri" w:hAnsi="Calibri"/>
          <w:b/>
          <w:i/>
          <w:sz w:val="19"/>
        </w:rPr>
        <w:t>BẢNG 9.2</w:t>
      </w:r>
      <w:r>
        <w:rPr>
          <w:rFonts w:ascii="Calibri" w:hAnsi="Calibri"/>
          <w:b w:val="0"/>
          <w:i/>
          <w:sz w:val="19"/>
        </w:rPr>
        <w:t xml:space="preserve"> Yêu cầu bảo vệ đối với hồ sơ vật lý và điện tử</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Hành động cần thực hiện hoặc kiểm soát</w:t>
            </w:r>
          </w:p>
        </w:tc>
        <w:tc>
          <w:tcPr>
            <w:tcW w:type="dxa" w:w="6240"/>
            <w:gridSpan w:val="2"/>
          </w:tcPr>
          <w:p>
            <w:r/>
            <w:r>
              <w:rPr>
                <w:b/>
                <w:i w:val="0"/>
                <w:sz w:val="19"/>
              </w:rPr>
              <w:t>Danh mục phân loại</w:t>
            </w:r>
          </w:p>
        </w:tc>
      </w:tr>
      <w:tr>
        <w:tc>
          <w:tcPr>
            <w:tcW w:type="dxa" w:w="3120"/>
          </w:tcPr>
          <w:p>
            <w:r/>
            <w:r>
              <w:rPr>
                <w:b/>
                <w:i w:val="0"/>
                <w:sz w:val="19"/>
              </w:rPr>
              <w:t>Công ty hạn chế</w:t>
            </w:r>
          </w:p>
        </w:tc>
        <w:tc>
          <w:tcPr>
            <w:tcW w:type="dxa" w:w="3120"/>
          </w:tcPr>
          <w:p>
            <w:r/>
            <w:r>
              <w:rPr>
                <w:b/>
                <w:i w:val="0"/>
                <w:sz w:val="19"/>
              </w:rPr>
              <w:t>Công ty mật</w:t>
            </w:r>
          </w:p>
        </w:tc>
        <w:tc>
          <w:tcPr>
            <w:tcW w:type="dxa" w:w="3120"/>
          </w:tcPr>
          <w:p/>
        </w:tc>
      </w:tr>
      <w:tr>
        <w:tc>
          <w:tcPr>
            <w:tcW w:type="dxa" w:w="3120"/>
          </w:tcPr>
          <w:p>
            <w:r/>
            <w:r>
              <w:rPr>
                <w:b w:val="0"/>
                <w:i w:val="0"/>
                <w:sz w:val="19"/>
              </w:rPr>
              <w:t>Nhận diện hồ sơ</w:t>
            </w:r>
          </w:p>
        </w:tc>
        <w:tc>
          <w:tcPr>
            <w:tcW w:type="dxa" w:w="3120"/>
          </w:tcPr>
          <w:p>
            <w:r/>
            <w:r>
              <w:rPr>
                <w:b w:val="0"/>
                <w:i w:val="0"/>
                <w:sz w:val="19"/>
              </w:rPr>
              <w:t>Phân loại được ghi rõ trên trang bìa. Ngày phân loại lại được ghi chú khi thích hợp.</w:t>
            </w:r>
          </w:p>
        </w:tc>
        <w:tc>
          <w:tcPr>
            <w:tcW w:type="dxa" w:w="3120"/>
          </w:tcPr>
          <w:p>
            <w:r/>
            <w:r>
              <w:rPr>
                <w:b w:val="0"/>
                <w:i w:val="0"/>
                <w:sz w:val="19"/>
              </w:rPr>
              <w:t>Phân loại được ghi rõ trên tất cả các trang, trừ khi kích thước vật lý của hồ sơ hoặc hoàn cảnh khác khiến việc này khó khăn, trong trường hợp đó chỉ đánh dấu trang đầu tiên của hồ sơ. Ngày phân loại lại được ghi chú khi thích hợp.</w:t>
            </w:r>
          </w:p>
        </w:tc>
      </w:tr>
      <w:tr>
        <w:tc>
          <w:tcPr>
            <w:tcW w:type="dxa" w:w="3120"/>
          </w:tcPr>
          <w:p>
            <w:r/>
            <w:r>
              <w:rPr>
                <w:b w:val="0"/>
                <w:i w:val="0"/>
                <w:sz w:val="19"/>
              </w:rPr>
              <w:t>a. Nhãn tệp điện tử</w:t>
            </w:r>
          </w:p>
        </w:tc>
        <w:tc>
          <w:tcPr>
            <w:tcW w:type="dxa" w:w="3120"/>
          </w:tcPr>
          <w:p>
            <w:r/>
            <w:r>
              <w:rPr>
                <w:b w:val="0"/>
                <w:i w:val="0"/>
                <w:sz w:val="19"/>
              </w:rPr>
              <w:t>Phân loại được nhận diện trên nhãn tập tin.</w:t>
            </w:r>
          </w:p>
        </w:tc>
        <w:tc>
          <w:tcPr>
            <w:tcW w:type="dxa" w:w="3120"/>
          </w:tcPr>
          <w:p>
            <w:r/>
            <w:r>
              <w:rPr>
                <w:b w:val="0"/>
                <w:i w:val="0"/>
                <w:sz w:val="19"/>
              </w:rPr>
              <w:t>Phân loại được nhận diện trên nhãn tập tin.</w:t>
            </w:r>
          </w:p>
        </w:tc>
      </w:tr>
      <w:tr>
        <w:tc>
          <w:tcPr>
            <w:tcW w:type="dxa" w:w="3120"/>
          </w:tcPr>
          <w:p>
            <w:r/>
            <w:r>
              <w:rPr>
                <w:b w:val="0"/>
                <w:i w:val="0"/>
                <w:sz w:val="19"/>
              </w:rPr>
              <w:t>b. Nhãn bên ngoài (phương tiện lưu trữ di động)</w:t>
            </w:r>
          </w:p>
        </w:tc>
        <w:tc>
          <w:tcPr>
            <w:tcW w:type="dxa" w:w="3120"/>
          </w:tcPr>
          <w:p>
            <w:r/>
            <w:r>
              <w:rPr>
                <w:b w:val="0"/>
                <w:i w:val="0"/>
                <w:sz w:val="19"/>
              </w:rPr>
              <w:t>Phân loại được nhận diện trên nhãn bên ngoài (tùy chọn trong trung tâm dữ liệu được kiểm soát quyền truy cập).</w:t>
            </w:r>
          </w:p>
        </w:tc>
        <w:tc>
          <w:tcPr>
            <w:tcW w:type="dxa" w:w="3120"/>
          </w:tcPr>
          <w:p>
            <w:r/>
            <w:r>
              <w:rPr>
                <w:b w:val="0"/>
                <w:i w:val="0"/>
                <w:sz w:val="19"/>
              </w:rPr>
              <w:t>Phân loại được nhận diện trên nhãn bên ngoài.</w:t>
            </w:r>
          </w:p>
        </w:tc>
      </w:tr>
      <w:tr>
        <w:tc>
          <w:tcPr>
            <w:tcW w:type="dxa" w:w="3120"/>
          </w:tcPr>
          <w:p>
            <w:r/>
            <w:r>
              <w:rPr>
                <w:b w:val="0"/>
                <w:i w:val="0"/>
                <w:sz w:val="19"/>
              </w:rPr>
              <w:t>c. Màn hình hiển thị video (CRT)</w:t>
            </w:r>
          </w:p>
        </w:tc>
        <w:tc>
          <w:tcPr>
            <w:tcW w:type="dxa" w:w="3120"/>
          </w:tcPr>
          <w:p>
            <w:r/>
            <w:r>
              <w:rPr>
                <w:b w:val="0"/>
                <w:i w:val="0"/>
                <w:sz w:val="19"/>
              </w:rPr>
              <w:t>Phân loại được nhận diện trên màn hình ứng dụng đầu tiên.</w:t>
            </w:r>
          </w:p>
        </w:tc>
        <w:tc>
          <w:tcPr>
            <w:tcW w:type="dxa" w:w="3120"/>
          </w:tcPr>
          <w:p>
            <w:r/>
            <w:r>
              <w:rPr>
                <w:b w:val="0"/>
                <w:i w:val="0"/>
                <w:sz w:val="19"/>
              </w:rPr>
              <w:t>Phân loại được nhận diện trên từng màn hình.</w:t>
            </w:r>
          </w:p>
        </w:tc>
      </w:tr>
      <w:tr>
        <w:tc>
          <w:tcPr>
            <w:tcW w:type="dxa" w:w="3120"/>
          </w:tcPr>
          <w:p>
            <w:r/>
            <w:r>
              <w:rPr>
                <w:b w:val="0"/>
                <w:i w:val="0"/>
                <w:sz w:val="19"/>
              </w:rPr>
              <w:t>Hạn chế tiết lộ</w:t>
            </w:r>
          </w:p>
        </w:tc>
        <w:tc>
          <w:tcPr>
            <w:tcW w:type="dxa" w:w="3120"/>
          </w:tcPr>
          <w:p>
            <w:r/>
            <w:r>
              <w:rPr>
                <w:b w:val="0"/>
                <w:i w:val="0"/>
                <w:sz w:val="19"/>
              </w:rPr>
              <w:t>Theo quyết định của người nắm giữ dựa trên nhu cầu cần biết.</w:t>
            </w:r>
          </w:p>
        </w:tc>
        <w:tc>
          <w:tcPr>
            <w:tcW w:type="dxa" w:w="3120"/>
          </w:tcPr>
          <w:p>
            <w:r/>
            <w:r>
              <w:rPr>
                <w:b w:val="0"/>
                <w:i w:val="0"/>
                <w:sz w:val="19"/>
              </w:rPr>
              <w:t>Không tiết lộ cho người khác ngoài cộng đồng thông tin trừ khi đã được sự cho phép của chủ sở hữu.</w:t>
            </w:r>
          </w:p>
        </w:tc>
      </w:tr>
      <w:tr>
        <w:tc>
          <w:tcPr>
            <w:tcW w:type="dxa" w:w="3120"/>
          </w:tcPr>
          <w:p>
            <w:r/>
            <w:r>
              <w:rPr>
                <w:b w:val="0"/>
                <w:i w:val="0"/>
                <w:sz w:val="19"/>
              </w:rPr>
              <w:t>Kiểm soát truy cập</w:t>
            </w:r>
          </w:p>
        </w:tc>
        <w:tc>
          <w:tcPr>
            <w:tcW w:type="dxa" w:w="3120"/>
          </w:tcPr>
          <w:p>
            <w:r/>
            <w:r>
              <w:rPr>
                <w:b w:val="0"/>
                <w:i w:val="0"/>
                <w:sz w:val="19"/>
              </w:rPr>
              <w:t>Truy cập giới hạn cho những cá nhân được người nắm giữ ủy quyền.</w:t>
            </w:r>
          </w:p>
        </w:tc>
        <w:tc>
          <w:tcPr>
            <w:tcW w:type="dxa" w:w="3120"/>
          </w:tcPr>
          <w:p>
            <w:r/>
            <w:r>
              <w:rPr>
                <w:b w:val="0"/>
                <w:i w:val="0"/>
                <w:sz w:val="19"/>
              </w:rPr>
              <w:t>Truy cập giới hạn cho những cá nhân được chủ sở hữu ủy quyền. Mỗi lần truy cập đều phải được ghi nhật ký.</w:t>
            </w:r>
          </w:p>
        </w:tc>
      </w:tr>
      <w:tr>
        <w:tc>
          <w:tcPr>
            <w:tcW w:type="dxa" w:w="3120"/>
          </w:tcPr>
          <w:p>
            <w:r/>
            <w:r>
              <w:rPr>
                <w:b w:val="0"/>
                <w:i w:val="0"/>
                <w:sz w:val="19"/>
              </w:rPr>
              <w:t>d. Xem xét các ủy quyền</w:t>
            </w:r>
          </w:p>
        </w:tc>
        <w:tc>
          <w:tcPr>
            <w:tcW w:type="dxa" w:w="3120"/>
          </w:tcPr>
          <w:p>
            <w:r/>
            <w:r>
              <w:rPr>
                <w:b w:val="0"/>
                <w:i w:val="0"/>
                <w:sz w:val="19"/>
              </w:rPr>
              <w:t>12 tháng</w:t>
            </w:r>
          </w:p>
        </w:tc>
        <w:tc>
          <w:tcPr>
            <w:tcW w:type="dxa" w:w="3120"/>
          </w:tcPr>
          <w:p>
            <w:r/>
            <w:r>
              <w:rPr>
                <w:b w:val="0"/>
                <w:i w:val="0"/>
                <w:sz w:val="19"/>
              </w:rPr>
              <w:t>6 tháng</w:t>
            </w:r>
          </w:p>
        </w:tc>
      </w:tr>
      <w:tr>
        <w:tc>
          <w:tcPr>
            <w:tcW w:type="dxa" w:w="3120"/>
          </w:tcPr>
          <w:p>
            <w:r/>
            <w:r>
              <w:rPr>
                <w:b w:val="0"/>
                <w:i w:val="0"/>
                <w:sz w:val="19"/>
              </w:rPr>
              <w:t>e. Đổi mật khẩu</w:t>
            </w:r>
          </w:p>
        </w:tc>
        <w:tc>
          <w:tcPr>
            <w:tcW w:type="dxa" w:w="3120"/>
          </w:tcPr>
          <w:p>
            <w:r/>
            <w:r>
              <w:rPr>
                <w:b w:val="0"/>
                <w:i w:val="0"/>
                <w:sz w:val="19"/>
              </w:rPr>
              <w:t>3 tháng</w:t>
            </w:r>
          </w:p>
        </w:tc>
        <w:tc>
          <w:tcPr>
            <w:tcW w:type="dxa" w:w="3120"/>
          </w:tcPr>
          <w:p>
            <w:r/>
            <w:r>
              <w:rPr>
                <w:b w:val="0"/>
                <w:i w:val="0"/>
                <w:sz w:val="19"/>
              </w:rPr>
              <w:t>3 tháng</w:t>
            </w:r>
          </w:p>
        </w:tc>
      </w:tr>
      <w:tr>
        <w:tc>
          <w:tcPr>
            <w:tcW w:type="dxa" w:w="3120"/>
          </w:tcPr>
          <w:p>
            <w:r/>
            <w:r>
              <w:rPr>
                <w:b w:val="0"/>
                <w:i w:val="0"/>
                <w:sz w:val="19"/>
              </w:rPr>
              <w:t>Sao chép</w:t>
            </w:r>
          </w:p>
        </w:tc>
        <w:tc>
          <w:tcPr>
            <w:tcW w:type="dxa" w:w="3120"/>
          </w:tcPr>
          <w:p>
            <w:r/>
            <w:r>
              <w:rPr>
                <w:b w:val="0"/>
                <w:i w:val="0"/>
                <w:sz w:val="19"/>
              </w:rPr>
              <w:t>Không được phép sao chép.</w:t>
            </w:r>
          </w:p>
        </w:tc>
        <w:tc>
          <w:tcPr>
            <w:tcW w:type="dxa" w:w="3120"/>
          </w:tcPr>
          <w:p>
            <w:r/>
            <w:r>
              <w:rPr>
                <w:b w:val="0"/>
                <w:i w:val="0"/>
                <w:sz w:val="19"/>
              </w:rPr>
              <w:t>Chỉ khi có sự cho phép của chủ sở hữu. Chủ sở hữu có thể chọn cung cấp bản sao.</w:t>
            </w:r>
          </w:p>
        </w:tc>
      </w:tr>
      <w:tr>
        <w:tc>
          <w:tcPr>
            <w:tcW w:type="dxa" w:w="3120"/>
          </w:tcPr>
          <w:p>
            <w:r/>
            <w:r>
              <w:rPr>
                <w:b w:val="0"/>
                <w:i w:val="0"/>
                <w:sz w:val="19"/>
              </w:rPr>
              <w:t>Thư</w:t>
            </w:r>
            <w:r>
              <w:br/>
            </w:r>
            <w:r>
              <w:rPr>
                <w:b w:val="0"/>
                <w:i w:val="0"/>
                <w:sz w:val="19"/>
              </w:rPr>
              <w:t>a. Thư nội bộ công ty</w:t>
            </w:r>
            <w:r>
              <w:br/>
            </w:r>
            <w:r>
              <w:rPr>
                <w:b w:val="0"/>
                <w:i w:val="0"/>
                <w:sz w:val="19"/>
              </w:rPr>
              <w:t>b. Thư bên ngoài</w:t>
            </w:r>
          </w:p>
        </w:tc>
        <w:tc>
          <w:tcPr>
            <w:tcW w:type="dxa" w:w="3120"/>
          </w:tcPr>
          <w:p>
            <w:r/>
            <w:r>
              <w:rPr>
                <w:b w:val="0"/>
                <w:i w:val="0"/>
                <w:sz w:val="19"/>
              </w:rPr>
              <w:t>Tùy theo quyết định của người nắm giữ.</w:t>
            </w:r>
          </w:p>
        </w:tc>
        <w:tc>
          <w:tcPr>
            <w:tcW w:type="dxa" w:w="3120"/>
          </w:tcPr>
          <w:p>
            <w:r/>
            <w:r>
              <w:rPr>
                <w:b w:val="0"/>
                <w:i w:val="0"/>
                <w:sz w:val="19"/>
              </w:rPr>
              <w:t>Chỉ khi có sự cho phép của chủ sở hữu. Chủ sở hữu có thể chọn cung cấp bản sao.</w:t>
            </w:r>
          </w:p>
        </w:tc>
      </w:tr>
      <w:tr>
        <w:tc>
          <w:tcPr>
            <w:tcW w:type="dxa" w:w="3120"/>
          </w:tcPr>
          <w:p>
            <w:r/>
          </w:p>
        </w:tc>
        <w:tc>
          <w:tcPr>
            <w:tcW w:type="dxa" w:w="3120"/>
          </w:tcPr>
          <w:p>
            <w:r/>
            <w:r>
              <w:rPr>
                <w:b w:val="0"/>
                <w:i w:val="0"/>
                <w:sz w:val="19"/>
              </w:rPr>
              <w:t>Bọc hai lớp nếu gửi qua U.S. Mail hoặc dịch vụ thư bên ngoài khác.</w:t>
            </w:r>
          </w:p>
        </w:tc>
        <w:tc>
          <w:tcPr>
            <w:tcW w:type="dxa" w:w="3120"/>
          </w:tcPr>
          <w:p>
            <w:r/>
            <w:r>
              <w:rPr>
                <w:b w:val="0"/>
                <w:i w:val="0"/>
                <w:sz w:val="19"/>
              </w:rPr>
              <w:t>Bọc hai lớp nếu gửi qua U.S. Mail hoặc dịch vụ thư bên ngoài khác.</w:t>
            </w:r>
          </w:p>
        </w:tc>
      </w:tr>
      <w:tr>
        <w:tc>
          <w:tcPr>
            <w:tcW w:type="dxa" w:w="3120"/>
          </w:tcPr>
          <w:p>
            <w:r/>
            <w:r>
              <w:rPr>
                <w:b w:val="0"/>
                <w:i w:val="0"/>
                <w:sz w:val="19"/>
              </w:rPr>
              <w:t>Liên lạc điện tử (Nội bộ/Bên ngoài)</w:t>
            </w:r>
          </w:p>
        </w:tc>
        <w:tc>
          <w:tcPr>
            <w:tcW w:type="dxa" w:w="3120"/>
          </w:tcPr>
          <w:p>
            <w:r/>
            <w:r>
              <w:rPr>
                <w:b w:val="0"/>
                <w:i w:val="0"/>
                <w:sz w:val="19"/>
              </w:rPr>
              <w:t>Chỉ đến hoặc từ các thiết bị đầu cuối được bảo mật. Sử dụng liên kết liên lạc bảo mật hoặc mã hóa dữ liệu. Kỹ thuật mã hóa phải được Information Security Services, Information Systems phê duyệt.</w:t>
            </w:r>
          </w:p>
        </w:tc>
        <w:tc>
          <w:tcPr>
            <w:tcW w:type="dxa" w:w="3120"/>
          </w:tcPr>
          <w:p>
            <w:r/>
            <w:r>
              <w:rPr>
                <w:b w:val="0"/>
                <w:i w:val="0"/>
                <w:sz w:val="19"/>
              </w:rPr>
              <w:t>Chỉ đến hoặc từ các thiết bị đầu cuối được bảo mật. Sử dụng liên kết liên lạc bảo mật hoặc mã hóa dữ liệu. Kỹ thuật mã hóa phải được Information Security Services, Information Systems phê duyệt.</w:t>
            </w:r>
          </w:p>
        </w:tc>
      </w:tr>
      <w:tr>
        <w:tc>
          <w:tcPr>
            <w:tcW w:type="dxa" w:w="3120"/>
          </w:tcPr>
          <w:p>
            <w:r/>
            <w:r>
              <w:rPr>
                <w:b w:val="0"/>
                <w:i w:val="0"/>
                <w:sz w:val="19"/>
              </w:rPr>
              <w:t>Lưu trữ</w:t>
            </w:r>
          </w:p>
        </w:tc>
        <w:tc>
          <w:tcPr>
            <w:tcW w:type="dxa" w:w="3120"/>
          </w:tcPr>
          <w:p>
            <w:r/>
            <w:r>
              <w:rPr>
                <w:b w:val="0"/>
                <w:i w:val="0"/>
                <w:sz w:val="19"/>
              </w:rPr>
              <w:t>Lưu trữ bị khóa.</w:t>
            </w:r>
          </w:p>
        </w:tc>
        <w:tc>
          <w:tcPr>
            <w:tcW w:type="dxa" w:w="3120"/>
          </w:tcPr>
          <w:p>
            <w:r/>
            <w:r>
              <w:rPr>
                <w:b w:val="0"/>
                <w:i w:val="0"/>
                <w:sz w:val="19"/>
              </w:rPr>
              <w:t>Lưu trữ bị khóa.</w:t>
            </w:r>
          </w:p>
        </w:tc>
      </w:tr>
      <w:tr>
        <w:tc>
          <w:tcPr>
            <w:tcW w:type="dxa" w:w="3120"/>
          </w:tcPr>
          <w:p>
            <w:r/>
            <w:r>
              <w:rPr>
                <w:b w:val="0"/>
                <w:i w:val="0"/>
                <w:sz w:val="19"/>
              </w:rPr>
              <w:t>Di chuyển</w:t>
            </w:r>
          </w:p>
        </w:tc>
        <w:tc>
          <w:tcPr>
            <w:tcW w:type="dxa" w:w="3120"/>
          </w:tcPr>
          <w:p>
            <w:r/>
            <w:r>
              <w:rPr>
                <w:b w:val="0"/>
                <w:i w:val="0"/>
                <w:sz w:val="19"/>
              </w:rPr>
              <w:t>Được mang theo trong thiết bị bị khóa.</w:t>
            </w:r>
          </w:p>
        </w:tc>
        <w:tc>
          <w:tcPr>
            <w:tcW w:type="dxa" w:w="3120"/>
          </w:tcPr>
          <w:p>
            <w:r/>
            <w:r>
              <w:rPr>
                <w:b w:val="0"/>
                <w:i w:val="0"/>
                <w:sz w:val="19"/>
              </w:rPr>
              <w:t>Được mang theo trong thiết bị bị khóa. (Hạn chế di chuyển khi có thể.)</w:t>
            </w:r>
          </w:p>
        </w:tc>
      </w:tr>
      <w:tr>
        <w:tc>
          <w:tcPr>
            <w:tcW w:type="dxa" w:w="3120"/>
          </w:tcPr>
          <w:p>
            <w:r/>
            <w:r>
              <w:rPr>
                <w:b w:val="0"/>
                <w:i w:val="0"/>
                <w:sz w:val="19"/>
              </w:rPr>
              <w:t>Xử lý/Tiêu hủy</w:t>
            </w:r>
          </w:p>
        </w:tc>
        <w:tc>
          <w:tcPr>
            <w:tcW w:type="dxa" w:w="3120"/>
          </w:tcPr>
          <w:p>
            <w:r/>
            <w:r>
              <w:rPr>
                <w:b w:val="0"/>
                <w:i w:val="0"/>
                <w:sz w:val="19"/>
              </w:rPr>
              <w:t>Đốt, cắt nhỏ hoặc nghiền thành bột.</w:t>
            </w:r>
          </w:p>
        </w:tc>
        <w:tc>
          <w:tcPr>
            <w:tcW w:type="dxa" w:w="3120"/>
          </w:tcPr>
          <w:p>
            <w:r/>
            <w:r>
              <w:rPr>
                <w:b w:val="0"/>
                <w:i w:val="0"/>
                <w:sz w:val="19"/>
              </w:rPr>
              <w:t>Đốt, cắt nhỏ hoặc nghiền thành bột.</w:t>
            </w:r>
          </w:p>
        </w:tc>
      </w:tr>
    </w:tbl>
    <w:p>
      <w:pPr>
        <w:spacing w:after="0"/>
      </w:pPr>
    </w:p>
    <w:p>
      <w:pPr>
        <w:pStyle w:val="Heading2"/>
      </w:pPr>
      <w:r>
        <w:rPr>
          <w:rFonts w:ascii="Calibri" w:hAnsi="Calibri"/>
          <w:b/>
          <w:i w:val="0"/>
          <w:sz w:val="32"/>
        </w:rPr>
        <w:t>GHI CHÚ</w:t>
      </w:r>
    </w:p>
    <w:p>
      <w:pPr>
        <w:pStyle w:val="Heading1"/>
      </w:pPr>
      <w:r>
        <w:rPr>
          <w:rFonts w:ascii="Calibri" w:hAnsi="Calibri"/>
          <w:b/>
          <w:i w:val="0"/>
          <w:sz w:val="40"/>
        </w:rPr>
        <w:t xml:space="preserve">CHƯƠNG 10 </w:t>
      </w:r>
      <w:r>
        <w:br/>
      </w:r>
      <w:r>
        <w:rPr>
          <w:rFonts w:ascii="Calibri" w:hAnsi="Calibri"/>
          <w:b/>
          <w:i w:val="0"/>
          <w:sz w:val="40"/>
        </w:rPr>
        <w:t xml:space="preserve"> Kiểm soát Máy tính, Viễn thông và Hệ thống</w:t>
      </w:r>
    </w:p>
    <w:p>
      <w:pPr>
        <w:pStyle w:val="Heading2"/>
      </w:pPr>
      <w:r>
        <w:rPr>
          <w:rFonts w:ascii="Calibri" w:hAnsi="Calibri"/>
          <w:b/>
          <w:i w:val="0"/>
          <w:sz w:val="32"/>
        </w:rPr>
        <w:t>GIỚI THIỆU</w:t>
      </w:r>
    </w:p>
    <w:p>
      <w:pPr>
        <w:spacing w:after="80"/>
      </w:pPr>
      <w:r>
        <w:rPr>
          <w:b w:val="0"/>
          <w:i w:val="0"/>
        </w:rPr>
        <w:t>Các kiểm soát máy tính và viễn thông là một phần không thể tách rời trong cấu trúc kiểm soát nội bộ của công ty. Trách nhiệm triển khai và thực thi các kiểm soát này thuộc về chủ sở hữu ứng dụng và hệ thống, người dùng và nhà cung cấp dịch vụ. Những tiêu chuẩn này áp dụng phổ quát cho tất cả môi trường máy tính và viễn thông của công ty trên toàn thế giới, bao gồm máy tính cá nhân, máy trạm, trung tâm máy tính, và mạng cục bộ lẫn mạng diện rộng.</w:t>
      </w:r>
    </w:p>
    <w:p>
      <w:pPr>
        <w:spacing w:after="80"/>
      </w:pPr>
      <w:r>
        <w:rPr>
          <w:b w:val="0"/>
          <w:i w:val="0"/>
        </w:rPr>
        <w:t>Các kiểm soát nội bộ được mô tả ở đây nên được thảo luận sớm trong quá trình lập kế hoạch IT và đạt đến đỉnh điểm là việc triển khai các chính sách và quy trình IT vững chắc, cho phép tổ chức có một môi trường IT an toàn.</w:t>
      </w:r>
    </w:p>
    <w:p>
      <w:pPr>
        <w:spacing w:after="80"/>
      </w:pPr>
      <w:r>
        <w:rPr>
          <w:b w:val="0"/>
          <w:i w:val="0"/>
        </w:rPr>
        <w:t>Việc thiết lập các kiểm soát nội bộ là một phần của chính sách và quy trình IT mang lại lợi ích cho các tổ chức ở mọi quy mô theo nhiều cách khác nhau. Thứ nhất, kiểm soát nội bộ giúp tạo ra một môi trường IT được kiểm soát, tuân thủ các chính sách của công ty và yêu cầu pháp lý. Thứ hai, kiểm soát nội bộ được thiết lập như một phần của quá trình lập kế hoạch giúp các phòng ban IT đáp ứng nhu cầu công nghệ của tổ chức hiệu quả hơn và kịp thời hơn. Cuối cùng, chính sách và quy trình IT giúp các nhà quản lý điều hành biết được vai trò của IT trong tổ chức và cách các kiểm soát nội bộ sẽ được triển khai để đạt được các mục tiêu chiến lược của công ty. Sau khi được thiết lập, kiểm toán viên nội bộ có thể sử dụng các chính sách và quy trình này làm hướng dẫn để xem xét tính hiệu quả của hoạt động IT và đánh giá liệu các hoạt động của họ có tuân thủ các quy định nội bộ trong các đợt đánh giá kiểm toán hay không.</w:t>
      </w:r>
    </w:p>
    <w:p>
      <w:pPr>
        <w:jc w:val="center"/>
      </w:pPr>
      <w:r>
        <w:drawing>
          <wp:inline xmlns:a="http://schemas.openxmlformats.org/drawingml/2006/main" xmlns:pic="http://schemas.openxmlformats.org/drawingml/2006/picture">
            <wp:extent cx="5486400" cy="2385162"/>
            <wp:docPr id="12" name="Picture 12"/>
            <wp:cNvGraphicFramePr>
              <a:graphicFrameLocks noChangeAspect="1"/>
            </wp:cNvGraphicFramePr>
            <a:graphic>
              <a:graphicData uri="http://schemas.openxmlformats.org/drawingml/2006/picture">
                <pic:pic>
                  <pic:nvPicPr>
                    <pic:cNvPr id="0" name="Image00013.jpg"/>
                    <pic:cNvPicPr/>
                  </pic:nvPicPr>
                  <pic:blipFill>
                    <a:blip r:embed="rId20"/>
                    <a:stretch>
                      <a:fillRect/>
                    </a:stretch>
                  </pic:blipFill>
                  <pic:spPr>
                    <a:xfrm>
                      <a:off x="0" y="0"/>
                      <a:ext cx="5486400" cy="2385162"/>
                    </a:xfrm>
                    <a:prstGeom prst="rect"/>
                  </pic:spPr>
                </pic:pic>
              </a:graphicData>
            </a:graphic>
          </wp:inline>
        </w:drawing>
      </w:r>
    </w:p>
    <w:p>
      <w:pPr>
        <w:spacing w:after="80"/>
      </w:pPr>
      <w:r>
        <w:rPr>
          <w:b w:val="0"/>
          <w:i w:val="0"/>
        </w:rPr>
        <w:t>Chính sách của công ty là tất cả nhân viên đều có quyền truy cập vào các nguồn thông tin cần thiết để thực hiện công việc của mình. Đây cũng là chính sách của công ty rằng các nguồn lực này phải được kiểm soát đầy đủ để đảm bảo tính toàn vẹn cao, đảm bảo tính sẵn sàng, và giảm thiểu rủi ro tiết lộ, lạm dụng hoặc mất mát do các hành động vô ý hoặc cố ý.</w:t>
      </w:r>
    </w:p>
    <w:p>
      <w:pPr>
        <w:pStyle w:val="Heading2"/>
      </w:pPr>
      <w:r>
        <w:rPr>
          <w:rFonts w:ascii="Calibri" w:hAnsi="Calibri"/>
          <w:b/>
          <w:i w:val="0"/>
          <w:sz w:val="32"/>
        </w:rPr>
        <w:t>TỔNG QUAN QUY TRÌNH</w:t>
      </w:r>
    </w:p>
    <w:p>
      <w:pPr>
        <w:spacing w:after="80"/>
      </w:pPr>
      <w:r>
        <w:rPr>
          <w:b w:val="0"/>
          <w:i w:val="0"/>
        </w:rPr>
        <w:t>Sơ đồ dưới đây cho thấy rằng các yếu tố nền tảng của những quy trình hỗ trợ máy tính, viễn thông và kiểm soát hệ thống chính là Kiểm soát nội bộ và Tuân thủ, các Kiểm soát, cùng Quy tắc ứng xử và "Tông giọng từ trên xuống" (Tone at the Top).</w:t>
      </w:r>
    </w:p>
    <w:p>
      <w:pPr>
        <w:pStyle w:val="Heading2"/>
      </w:pPr>
      <w:r>
        <w:rPr>
          <w:rFonts w:ascii="Calibri" w:hAnsi="Calibri"/>
          <w:b/>
          <w:i w:val="0"/>
          <w:sz w:val="32"/>
        </w:rPr>
        <w:t>CÁC CHỈ SỐ ĐO LƯỜNG</w:t>
      </w:r>
    </w:p>
    <w:tbl>
      <w:tblPr>
        <w:tblStyle w:val="TableGrid"/>
        <w:tblW w:type="auto" w:w="0"/>
        <w:tblLook w:firstColumn="1" w:firstRow="1" w:lastColumn="0" w:lastRow="0" w:noHBand="0" w:noVBand="1" w:val="04A0"/>
      </w:tblPr>
      <w:tblGrid>
        <w:gridCol w:w="9360"/>
      </w:tblGrid>
      <w:tr>
        <w:tc>
          <w:tcPr>
            <w:tcW w:type="dxa" w:w="9360"/>
          </w:tcPr>
          <w:p>
            <w:r/>
            <w:r>
              <w:rPr>
                <w:b/>
                <w:i w:val="0"/>
                <w:sz w:val="19"/>
              </w:rPr>
              <w:t>Bảng các Chỉ số Đo lường</w:t>
            </w:r>
          </w:p>
        </w:tc>
      </w:tr>
      <w:tr>
        <w:tc>
          <w:tcPr>
            <w:tcW w:type="dxa" w:w="9360"/>
          </w:tcPr>
          <w:p>
            <w:r/>
            <w:r>
              <w:rPr>
                <w:b w:val="0"/>
                <w:i w:val="0"/>
                <w:sz w:val="19"/>
              </w:rPr>
              <w:t>Chỉ số Hệ thống</w:t>
            </w:r>
            <w:r>
              <w:br/>
            </w:r>
            <w:r>
              <w:rPr>
                <w:b w:val="0"/>
                <w:i w:val="0"/>
                <w:sz w:val="19"/>
              </w:rPr>
              <w:t xml:space="preserve">•  </w:t>
            </w:r>
            <w:r>
              <w:rPr>
                <w:b/>
                <w:i w:val="0"/>
                <w:sz w:val="19"/>
              </w:rPr>
              <w:t>Số lượng Hệ thống có Lỗ hổng Đã biết</w:t>
            </w:r>
            <w:r>
              <w:rPr>
                <w:b w:val="0"/>
                <w:i w:val="0"/>
                <w:sz w:val="19"/>
              </w:rPr>
              <w:t xml:space="preserve"> —Các hệ thống dễ bị tổn thương trước các mối đe dọa và tấn công.</w:t>
            </w:r>
            <w:r>
              <w:br/>
            </w:r>
            <w:r>
              <w:rPr>
                <w:b w:val="0"/>
                <w:i w:val="0"/>
                <w:sz w:val="19"/>
              </w:rPr>
              <w:t xml:space="preserve">•  </w:t>
            </w:r>
            <w:r>
              <w:rPr>
                <w:b/>
                <w:i w:val="0"/>
                <w:sz w:val="19"/>
              </w:rPr>
              <w:t>Số lượng Chứng chỉ SSL được Cấu hình Sai</w:t>
            </w:r>
            <w:r>
              <w:rPr>
                <w:b w:val="0"/>
                <w:i w:val="0"/>
                <w:sz w:val="19"/>
              </w:rPr>
              <w:t xml:space="preserve"> —Chứng chỉ SSL cung cấp liên lạc an toàn, được mã hóa giữa một trang web và trình duyệt Internet. Chứng chỉ SSL thường được cài đặt trên các trang yêu cầu người dùng cuối gửi thông tin nhạy cảm qua Internet như chi tiết thẻ tín dụng hoặc mật khẩu.</w:t>
            </w:r>
            <w:r>
              <w:br/>
            </w:r>
            <w:r>
              <w:rPr>
                <w:b w:val="0"/>
                <w:i w:val="0"/>
                <w:sz w:val="19"/>
              </w:rPr>
              <w:t xml:space="preserve">•  </w:t>
            </w:r>
            <w:r>
              <w:rPr>
                <w:b/>
                <w:i w:val="0"/>
                <w:sz w:val="19"/>
              </w:rPr>
              <w:t>Khối lượng Dữ liệu được Truyền qua Mạng Doanh nghiệp</w:t>
            </w:r>
            <w:r>
              <w:rPr>
                <w:b w:val="0"/>
                <w:i w:val="0"/>
                <w:sz w:val="19"/>
              </w:rPr>
              <w:t xml:space="preserve"> —Mức độ sử dụng mạng doanh nghiệp.</w:t>
            </w:r>
            <w:r>
              <w:br/>
            </w:r>
            <w:r>
              <w:rPr>
                <w:b w:val="0"/>
                <w:i w:val="0"/>
                <w:sz w:val="19"/>
              </w:rPr>
              <w:t xml:space="preserve">•  </w:t>
            </w:r>
            <w:r>
              <w:rPr>
                <w:b/>
                <w:i w:val="0"/>
                <w:sz w:val="19"/>
              </w:rPr>
              <w:t>Số lượng Người dùng có Mức Truy cập "Siêu người dùng"</w:t>
            </w:r>
            <w:r>
              <w:rPr>
                <w:b w:val="0"/>
                <w:i w:val="0"/>
                <w:sz w:val="19"/>
              </w:rPr>
              <w:t xml:space="preserve"> —Số lượng người dùng có thể có quyền truy cập quá mức, gây rủi ro cho công ty.</w:t>
            </w:r>
            <w:r>
              <w:br/>
            </w:r>
            <w:r>
              <w:rPr>
                <w:b w:val="0"/>
                <w:i w:val="0"/>
                <w:sz w:val="19"/>
              </w:rPr>
              <w:t xml:space="preserve">•  </w:t>
            </w:r>
            <w:r>
              <w:rPr>
                <w:b/>
                <w:i w:val="0"/>
                <w:sz w:val="19"/>
              </w:rPr>
              <w:t>Số ngày để Vô hiệu hóa Thông tin đăng nhập của Cựu nhân viên</w:t>
            </w:r>
            <w:r>
              <w:rPr>
                <w:b w:val="0"/>
                <w:i w:val="0"/>
                <w:sz w:val="19"/>
              </w:rPr>
              <w:t xml:space="preserve"> —Thời gian để vô hiệu hóa quyền truy cập hệ thống của một cựu nhân viên.</w:t>
            </w:r>
            <w:r>
              <w:br/>
            </w:r>
            <w:r>
              <w:rPr>
                <w:b w:val="0"/>
                <w:i w:val="0"/>
                <w:sz w:val="19"/>
              </w:rPr>
              <w:t xml:space="preserve">•  </w:t>
            </w:r>
            <w:r>
              <w:rPr>
                <w:b/>
                <w:i w:val="0"/>
                <w:sz w:val="19"/>
              </w:rPr>
              <w:t>Số lượng Cổng Giao tiếp Mở trong một Khoảng Thời gian</w:t>
            </w:r>
            <w:r>
              <w:rPr>
                <w:b w:val="0"/>
                <w:i w:val="0"/>
                <w:sz w:val="19"/>
              </w:rPr>
              <w:t xml:space="preserve"> —Số lượng cổng giao tiếp mở phải tương quan với số lượng người dùng.</w:t>
            </w:r>
            <w:r>
              <w:br/>
            </w:r>
            <w:r>
              <w:rPr>
                <w:b w:val="0"/>
                <w:i w:val="0"/>
                <w:sz w:val="19"/>
              </w:rPr>
              <w:t xml:space="preserve">•  </w:t>
            </w:r>
            <w:r>
              <w:rPr>
                <w:b/>
                <w:i w:val="0"/>
                <w:sz w:val="19"/>
              </w:rPr>
              <w:t>Tần suất Xem xét các Truy cập của Bên thứ ba</w:t>
            </w:r>
            <w:r>
              <w:rPr>
                <w:b w:val="0"/>
                <w:i w:val="0"/>
                <w:sz w:val="19"/>
              </w:rPr>
              <w:t xml:space="preserve"> —Xác định có bao nhiêu bên thứ ba (không phải nhân viên) đang truy cập vào hệ thống công ty.</w:t>
            </w:r>
            <w:r>
              <w:br/>
            </w:r>
            <w:r>
              <w:rPr>
                <w:b w:val="0"/>
                <w:i w:val="0"/>
                <w:sz w:val="19"/>
              </w:rPr>
              <w:t xml:space="preserve">•  </w:t>
            </w:r>
            <w:r>
              <w:rPr>
                <w:b/>
                <w:i w:val="0"/>
                <w:sz w:val="19"/>
              </w:rPr>
              <w:t>Tần suất Truy cập vào các Hệ thống Doanh nghiệp Trọng yếu của Bên thứ ba</w:t>
            </w:r>
            <w:r>
              <w:rPr>
                <w:b w:val="0"/>
                <w:i w:val="0"/>
                <w:sz w:val="19"/>
              </w:rPr>
              <w:t xml:space="preserve"> —Xác định có bao nhiêu bên thứ ba (không phải nhân viên) đang truy cập vào hệ thống doanh nghiệp hoặc hệ thống ERP của công ty.</w:t>
            </w:r>
            <w:r>
              <w:br/>
            </w:r>
            <w:r>
              <w:rPr>
                <w:b w:val="0"/>
                <w:i w:val="0"/>
                <w:sz w:val="19"/>
              </w:rPr>
              <w:t xml:space="preserve">•  </w:t>
            </w:r>
            <w:r>
              <w:rPr>
                <w:b/>
                <w:i w:val="0"/>
                <w:sz w:val="19"/>
              </w:rPr>
              <w:t>Tỷ lệ phần trăm Đối tác Kinh doanh có Chính sách An ninh mạng Hiệu quả</w:t>
            </w:r>
            <w:r>
              <w:rPr>
                <w:b w:val="0"/>
                <w:i w:val="0"/>
                <w:sz w:val="19"/>
              </w:rPr>
              <w:t xml:space="preserve"> —Xác định mức độ tuân thủ chính sách an ninh mạng.</w:t>
            </w:r>
            <w:r>
              <w:br/>
            </w:r>
            <w:r>
              <w:rPr>
                <w:b w:val="0"/>
                <w:i w:val="0"/>
                <w:sz w:val="19"/>
              </w:rPr>
              <w:t xml:space="preserve">•  </w:t>
            </w:r>
            <w:r>
              <w:rPr>
                <w:b/>
                <w:i w:val="0"/>
                <w:sz w:val="19"/>
              </w:rPr>
              <w:t>Số lượng Ứng dụng Đám mây được Sử dụng</w:t>
            </w:r>
            <w:r>
              <w:rPr>
                <w:b w:val="0"/>
                <w:i w:val="0"/>
                <w:sz w:val="19"/>
              </w:rPr>
              <w:t xml:space="preserve"> —Xác định có bao nhiêu ứng dụng đám mây được công ty sử dụng.</w:t>
            </w:r>
            <w:r>
              <w:br/>
            </w:r>
            <w:r>
              <w:rPr>
                <w:b w:val="0"/>
                <w:i w:val="0"/>
                <w:sz w:val="19"/>
              </w:rPr>
              <w:t xml:space="preserve">•  </w:t>
            </w:r>
            <w:r>
              <w:rPr>
                <w:b/>
                <w:i w:val="0"/>
                <w:sz w:val="19"/>
              </w:rPr>
              <w:t>Số lượng Đánh giá SAE được Thực hiện/Thu thập</w:t>
            </w:r>
            <w:r>
              <w:rPr>
                <w:b w:val="0"/>
                <w:i w:val="0"/>
                <w:sz w:val="19"/>
              </w:rPr>
              <w:t xml:space="preserve"> —Nêu bật số lượng đánh giá SAE 18 được thực hiện hoặc kết quả thu được cho các dịch vụ bên thứ ba được cung cấp. </w:t>
            </w:r>
            <w:r>
              <w:rPr>
                <w:b/>
                <w:i w:val="0"/>
                <w:sz w:val="19"/>
              </w:rPr>
              <w:t>Chỉ số Quy trình</w:t>
            </w:r>
            <w:r>
              <w:rPr>
                <w:b w:val="0"/>
                <w:i w:val="0"/>
                <w:sz w:val="19"/>
              </w:rPr>
              <w:t xml:space="preserve"> </w:t>
            </w:r>
            <w:r>
              <w:br/>
            </w:r>
            <w:r>
              <w:rPr>
                <w:b w:val="0"/>
                <w:i w:val="0"/>
                <w:sz w:val="19"/>
              </w:rPr>
              <w:t xml:space="preserve">•  </w:t>
            </w:r>
            <w:r>
              <w:rPr>
                <w:b/>
                <w:i w:val="0"/>
                <w:sz w:val="19"/>
              </w:rPr>
              <w:t>Tính khả dụng của Ứng dụng Trực tuyến</w:t>
            </w:r>
            <w:r>
              <w:rPr>
                <w:b w:val="0"/>
                <w:i w:val="0"/>
                <w:sz w:val="19"/>
              </w:rPr>
              <w:t xml:space="preserve"> —Tỷ lệ phần trăm thời gian ứng dụng hoạt động bình thường.</w:t>
            </w:r>
            <w:r>
              <w:br/>
            </w:r>
            <w:r>
              <w:rPr>
                <w:b w:val="0"/>
                <w:i w:val="0"/>
                <w:sz w:val="19"/>
              </w:rPr>
              <w:t xml:space="preserve">•  </w:t>
            </w:r>
            <w:r>
              <w:rPr>
                <w:b/>
                <w:i w:val="0"/>
                <w:sz w:val="19"/>
              </w:rPr>
              <w:t>Các SLA Lô đạt được</w:t>
            </w:r>
            <w:r>
              <w:rPr>
                <w:b w:val="0"/>
                <w:i w:val="0"/>
                <w:sz w:val="19"/>
              </w:rPr>
              <w:t xml:space="preserve"> —Tỷ lệ phần trăm các công việc lô quan trọng hoàn thành đúng hạn.</w:t>
            </w:r>
            <w:r>
              <w:br/>
            </w:r>
            <w:r>
              <w:rPr>
                <w:b w:val="0"/>
                <w:i w:val="0"/>
                <w:sz w:val="19"/>
              </w:rPr>
              <w:t xml:space="preserve">•  </w:t>
            </w:r>
            <w:r>
              <w:rPr>
                <w:b/>
                <w:i w:val="0"/>
                <w:sz w:val="19"/>
              </w:rPr>
              <w:t>Sự cố Sản xuất</w:t>
            </w:r>
            <w:r>
              <w:rPr>
                <w:b w:val="0"/>
                <w:i w:val="0"/>
                <w:sz w:val="19"/>
              </w:rPr>
              <w:t xml:space="preserve"> —Số lượng vấn đề sản xuất theo mức độ nghiêm trọng. </w:t>
            </w:r>
            <w:r>
              <w:rPr>
                <w:b/>
                <w:i w:val="0"/>
                <w:sz w:val="19"/>
              </w:rPr>
              <w:t>Chỉ số Phân phối</w:t>
            </w:r>
            <w:r>
              <w:rPr>
                <w:b w:val="0"/>
                <w:i w:val="0"/>
                <w:sz w:val="19"/>
              </w:rPr>
              <w:t xml:space="preserve"> </w:t>
            </w:r>
            <w:r>
              <w:br/>
            </w:r>
            <w:r>
              <w:rPr>
                <w:b w:val="0"/>
                <w:i w:val="0"/>
                <w:sz w:val="19"/>
              </w:rPr>
              <w:t xml:space="preserve">•  </w:t>
            </w:r>
            <w:r>
              <w:rPr>
                <w:b/>
                <w:i w:val="0"/>
                <w:sz w:val="19"/>
              </w:rPr>
              <w:t>Mức độ Hài lòng với Dự án</w:t>
            </w:r>
            <w:r>
              <w:rPr>
                <w:b w:val="0"/>
                <w:i w:val="0"/>
                <w:sz w:val="19"/>
              </w:rPr>
              <w:t xml:space="preserve"> —Điểm trung bình từ các khảo sát sau dự án do đối tác kinh doanh thực hiện.</w:t>
            </w:r>
            <w:r>
              <w:br/>
            </w:r>
            <w:r>
              <w:rPr>
                <w:b w:val="0"/>
                <w:i w:val="0"/>
                <w:sz w:val="19"/>
              </w:rPr>
              <w:t xml:space="preserve">•  </w:t>
            </w:r>
            <w:r>
              <w:rPr>
                <w:b/>
                <w:i w:val="0"/>
                <w:sz w:val="19"/>
              </w:rPr>
              <w:t>Phân phối Dự án</w:t>
            </w:r>
            <w:r>
              <w:rPr>
                <w:b w:val="0"/>
                <w:i w:val="0"/>
                <w:sz w:val="19"/>
              </w:rPr>
              <w:t xml:space="preserve"> —Tỷ lệ phần trăm các dự án được phân phối đúng hạn.</w:t>
            </w:r>
            <w:r>
              <w:br/>
            </w:r>
            <w:r>
              <w:rPr>
                <w:b w:val="0"/>
                <w:i w:val="0"/>
                <w:sz w:val="19"/>
              </w:rPr>
              <w:t xml:space="preserve">•  </w:t>
            </w:r>
            <w:r>
              <w:rPr>
                <w:b/>
                <w:i w:val="0"/>
                <w:sz w:val="19"/>
              </w:rPr>
              <w:t>Chi phí Dự án</w:t>
            </w:r>
            <w:r>
              <w:rPr>
                <w:b w:val="0"/>
                <w:i w:val="0"/>
                <w:sz w:val="19"/>
              </w:rPr>
              <w:t xml:space="preserve"> —Tỷ lệ phần trăm các dự án được phân phối trong phạm vi ước tính chi phí.</w:t>
            </w:r>
            <w:r>
              <w:br/>
            </w:r>
            <w:r>
              <w:rPr>
                <w:b w:val="0"/>
                <w:i w:val="0"/>
                <w:sz w:val="19"/>
              </w:rPr>
              <w:t xml:space="preserve">•  </w:t>
            </w:r>
            <w:r>
              <w:rPr>
                <w:b/>
                <w:i w:val="0"/>
                <w:sz w:val="19"/>
              </w:rPr>
              <w:t>Kiểm soát Lỗi</w:t>
            </w:r>
            <w:r>
              <w:rPr>
                <w:b w:val="0"/>
                <w:i w:val="0"/>
                <w:sz w:val="19"/>
              </w:rPr>
              <w:t xml:space="preserve"> —Tỷ lệ phần trăm các lỗi được kiểm soát trong môi trường kiểm thử.</w:t>
            </w:r>
            <w:r>
              <w:br/>
            </w:r>
            <w:r>
              <w:rPr>
                <w:b w:val="0"/>
                <w:i w:val="0"/>
                <w:sz w:val="19"/>
              </w:rPr>
              <w:t xml:space="preserve">•  </w:t>
            </w:r>
            <w:r>
              <w:rPr>
                <w:b/>
                <w:i w:val="0"/>
                <w:sz w:val="19"/>
              </w:rPr>
              <w:t>Giá trị và Số lượng các Vấn đề Tuân thủ</w:t>
            </w:r>
            <w:r>
              <w:rPr>
                <w:b w:val="0"/>
                <w:i w:val="0"/>
                <w:sz w:val="19"/>
              </w:rPr>
              <w:t xml:space="preserve"> —Các vấn đề được báo cáo theo kỳ tài chính và tác động tài chính đối với công ty. </w:t>
            </w:r>
            <w:r>
              <w:rPr>
                <w:b/>
                <w:i w:val="0"/>
                <w:sz w:val="19"/>
              </w:rPr>
              <w:t>Chỉ số Tổ chức</w:t>
            </w:r>
            <w:r>
              <w:rPr>
                <w:b w:val="0"/>
                <w:i w:val="0"/>
                <w:sz w:val="19"/>
              </w:rPr>
              <w:t xml:space="preserve"> </w:t>
            </w:r>
            <w:r>
              <w:br/>
            </w:r>
            <w:r>
              <w:rPr>
                <w:b w:val="0"/>
                <w:i w:val="0"/>
                <w:sz w:val="19"/>
              </w:rPr>
              <w:t xml:space="preserve">•  </w:t>
            </w:r>
            <w:r>
              <w:rPr>
                <w:b/>
                <w:i w:val="0"/>
                <w:sz w:val="19"/>
              </w:rPr>
              <w:t>Tỷ lệ Nghỉ việc</w:t>
            </w:r>
            <w:r>
              <w:rPr>
                <w:b w:val="0"/>
                <w:i w:val="0"/>
                <w:sz w:val="19"/>
              </w:rPr>
              <w:t xml:space="preserve"> —Tỷ lệ phần trăm nhân viên chuyển sang công việc khác.</w:t>
            </w:r>
            <w:r>
              <w:br/>
            </w:r>
            <w:r>
              <w:rPr>
                <w:b w:val="0"/>
                <w:i w:val="0"/>
                <w:sz w:val="19"/>
              </w:rPr>
              <w:t xml:space="preserve">•  </w:t>
            </w:r>
            <w:r>
              <w:rPr>
                <w:b/>
                <w:i w:val="0"/>
                <w:sz w:val="19"/>
              </w:rPr>
              <w:t>Đánh giá Hiệu suất</w:t>
            </w:r>
            <w:r>
              <w:rPr>
                <w:b w:val="0"/>
                <w:i w:val="0"/>
                <w:sz w:val="19"/>
              </w:rPr>
              <w:t xml:space="preserve"> —Tỷ lệ phần trăm nhân viên có đánh giá bằng văn bản hiện hành. </w:t>
            </w:r>
            <w:r>
              <w:rPr>
                <w:b/>
                <w:i w:val="0"/>
                <w:sz w:val="19"/>
              </w:rPr>
              <w:t>Tài chính</w:t>
            </w:r>
            <w:r>
              <w:rPr>
                <w:b w:val="0"/>
                <w:i w:val="0"/>
                <w:sz w:val="19"/>
              </w:rPr>
              <w:t xml:space="preserve"> </w:t>
            </w:r>
            <w:r>
              <w:br/>
            </w:r>
            <w:r>
              <w:rPr>
                <w:b w:val="0"/>
                <w:i w:val="0"/>
                <w:sz w:val="19"/>
              </w:rPr>
              <w:t xml:space="preserve">•  </w:t>
            </w:r>
            <w:r>
              <w:rPr>
                <w:b/>
                <w:i w:val="0"/>
                <w:sz w:val="19"/>
              </w:rPr>
              <w:t>Chênh lệch Ngân sách CNTT</w:t>
            </w:r>
            <w:r>
              <w:rPr>
                <w:b w:val="0"/>
                <w:i w:val="0"/>
                <w:sz w:val="19"/>
              </w:rPr>
              <w:t xml:space="preserve"> —Chi phí thực tế so với chi phí dự toán.</w:t>
            </w:r>
            <w:r>
              <w:br/>
            </w:r>
            <w:r>
              <w:rPr>
                <w:b w:val="0"/>
                <w:i w:val="0"/>
                <w:sz w:val="19"/>
              </w:rPr>
              <w:t xml:space="preserve">•  </w:t>
            </w:r>
            <w:r>
              <w:rPr>
                <w:b/>
                <w:i w:val="0"/>
                <w:sz w:val="19"/>
              </w:rPr>
              <w:t>Chi phí Nguồn lực CNTT</w:t>
            </w:r>
            <w:r>
              <w:rPr>
                <w:b w:val="0"/>
                <w:i w:val="0"/>
                <w:sz w:val="19"/>
              </w:rPr>
              <w:t xml:space="preserve"> —Chi phí trung bình của một nguồn lực công nghệ. </w:t>
            </w:r>
            <w:r>
              <w:rPr>
                <w:b/>
                <w:i w:val="0"/>
                <w:sz w:val="19"/>
              </w:rPr>
              <w:t>Chỉ số Liên tục Kinh doanh</w:t>
            </w:r>
            <w:r>
              <w:rPr>
                <w:b w:val="0"/>
                <w:i w:val="0"/>
                <w:sz w:val="19"/>
              </w:rPr>
              <w:t xml:space="preserve"> </w:t>
            </w:r>
            <w:r>
              <w:br/>
            </w:r>
            <w:r>
              <w:rPr>
                <w:b w:val="0"/>
                <w:i w:val="0"/>
                <w:sz w:val="19"/>
              </w:rPr>
              <w:t xml:space="preserve">•  </w:t>
            </w:r>
            <w:r>
              <w:rPr>
                <w:b/>
                <w:i w:val="0"/>
                <w:sz w:val="19"/>
              </w:rPr>
              <w:t>Tỷ lệ phần trăm Thời gian Ngừng hoạt động</w:t>
            </w:r>
            <w:r>
              <w:rPr>
                <w:b w:val="0"/>
                <w:i w:val="0"/>
                <w:sz w:val="19"/>
              </w:rPr>
              <w:t xml:space="preserve"> —Phần trăm hệ thống và ứng dụng không khả dụng.</w:t>
            </w:r>
            <w:r>
              <w:br/>
            </w:r>
            <w:r>
              <w:rPr>
                <w:b w:val="0"/>
                <w:i w:val="0"/>
                <w:sz w:val="19"/>
              </w:rPr>
              <w:t xml:space="preserve">•  </w:t>
            </w:r>
            <w:r>
              <w:rPr>
                <w:b/>
                <w:i w:val="0"/>
                <w:sz w:val="19"/>
              </w:rPr>
              <w:t>Số ngày để Phục hồi</w:t>
            </w:r>
            <w:r>
              <w:rPr>
                <w:b w:val="0"/>
                <w:i w:val="0"/>
                <w:sz w:val="19"/>
              </w:rPr>
              <w:t xml:space="preserve"> —Số ngày để phục hồi ứng dụng và đảm bảo ứng dụng khả dụng cho người dùng.</w:t>
            </w:r>
            <w:r>
              <w:br/>
            </w:r>
            <w:r>
              <w:rPr>
                <w:b w:val="0"/>
                <w:i w:val="0"/>
                <w:sz w:val="19"/>
              </w:rPr>
              <w:t xml:space="preserve">•  </w:t>
            </w:r>
            <w:r>
              <w:rPr>
                <w:b/>
                <w:i w:val="0"/>
                <w:sz w:val="19"/>
              </w:rPr>
              <w:t>Tần suất Thực hiện Kiểm tra Kế hoạch Liên tục Kinh doanh</w:t>
            </w:r>
            <w:r>
              <w:rPr>
                <w:b w:val="0"/>
                <w:i w:val="0"/>
                <w:sz w:val="19"/>
              </w:rPr>
              <w:t xml:space="preserve"> —Tần suất các kế hoạch liên tục kinh doanh được kiểm tra trong một kỳ tài chính xác định.</w:t>
            </w:r>
            <w:r>
              <w:br/>
            </w:r>
            <w:r>
              <w:rPr>
                <w:b w:val="0"/>
                <w:i w:val="0"/>
                <w:sz w:val="19"/>
              </w:rPr>
              <w:t xml:space="preserve">•  </w:t>
            </w:r>
            <w:r>
              <w:rPr>
                <w:b/>
                <w:i w:val="0"/>
                <w:sz w:val="19"/>
              </w:rPr>
              <w:t>Hiệu suất Thỏa thuận Mức dịch vụ (SLA)</w:t>
            </w:r>
            <w:r>
              <w:rPr>
                <w:b w:val="0"/>
                <w:i w:val="0"/>
                <w:sz w:val="19"/>
              </w:rPr>
              <w:t xml:space="preserve"> —Mức độ hoạt động tốt của bên thứ ba và việc đáp ứng các mục tiêu SLA sau khi phục hồi.</w:t>
            </w:r>
            <w:r>
              <w:br/>
            </w:r>
            <w:r>
              <w:rPr>
                <w:b w:val="0"/>
                <w:i w:val="0"/>
                <w:sz w:val="19"/>
              </w:rPr>
              <w:t xml:space="preserve">•  </w:t>
            </w:r>
            <w:r>
              <w:rPr>
                <w:b/>
                <w:i w:val="0"/>
                <w:sz w:val="19"/>
              </w:rPr>
              <w:t>Hiệu suất Thỏa thuận Mức vận hành (OLA)</w:t>
            </w:r>
            <w:r>
              <w:rPr>
                <w:b w:val="0"/>
                <w:i w:val="0"/>
                <w:sz w:val="19"/>
              </w:rPr>
              <w:t xml:space="preserve"> —Xác định mức độ hoạt động tốt của một bộ phận nội bộ sau khi phục hồi.</w:t>
            </w:r>
            <w:r>
              <w:br/>
            </w:r>
            <w:r>
              <w:rPr>
                <w:b w:val="0"/>
                <w:i w:val="0"/>
                <w:sz w:val="19"/>
              </w:rPr>
              <w:t xml:space="preserve">•  </w:t>
            </w:r>
            <w:r>
              <w:rPr>
                <w:b/>
                <w:i w:val="0"/>
                <w:sz w:val="19"/>
              </w:rPr>
              <w:t>Ngày Cập nhật Kế hoạch Lần cuối</w:t>
            </w:r>
            <w:r>
              <w:rPr>
                <w:b w:val="0"/>
                <w:i w:val="0"/>
                <w:sz w:val="19"/>
              </w:rPr>
              <w:t xml:space="preserve"> —Ngày cập nhật lần cuối của một kế hoạch liên tục kinh doanh.</w:t>
            </w:r>
            <w:r>
              <w:br/>
            </w:r>
            <w:r>
              <w:rPr>
                <w:b w:val="0"/>
                <w:i w:val="0"/>
                <w:sz w:val="19"/>
              </w:rPr>
              <w:t xml:space="preserve">•  </w:t>
            </w:r>
            <w:r>
              <w:rPr>
                <w:b/>
                <w:i w:val="0"/>
                <w:sz w:val="19"/>
              </w:rPr>
              <w:t>Số lượng Kế hoạch Điện toán Đám mây được Xem xét/Thu thập</w:t>
            </w:r>
            <w:r>
              <w:rPr>
                <w:b w:val="0"/>
                <w:i w:val="0"/>
                <w:sz w:val="19"/>
              </w:rPr>
              <w:t xml:space="preserve"> —Số lượng kế hoạch điện toán đám mây được xem xét trong một kỳ tài chính xác định.</w:t>
            </w:r>
          </w:p>
        </w:tc>
      </w:tr>
    </w:tbl>
    <w:p>
      <w:pPr>
        <w:spacing w:after="0"/>
      </w:pPr>
    </w:p>
    <w:p>
      <w:pPr>
        <w:pStyle w:val="Heading2"/>
      </w:pPr>
      <w:r>
        <w:rPr>
          <w:rFonts w:ascii="Calibri" w:hAnsi="Calibri"/>
          <w:b/>
          <w:i w:val="0"/>
          <w:sz w:val="32"/>
        </w:rPr>
        <w:t>ÁP DỤNG KIỂM SOÁT NỘI BỘ</w:t>
      </w:r>
    </w:p>
    <w:p>
      <w:pPr>
        <w:spacing w:after="80"/>
      </w:pPr>
      <w:r>
        <w:rPr>
          <w:b w:val="0"/>
          <w:i w:val="0"/>
        </w:rPr>
        <w:t>Việc duy trì các kiểm soát nội bộ hiệu quả trong các thiết kế quy trình kinh doanh chính, quy trình kinh doanh, thủ tục và báo cáo tài chính là trách nhiệm chung của tất cả nhân viên. Mục này đưa ra những kỳ vọng cụ thể đối với các quản lý và nhân viên công ty. Những tiêu chuẩn này nhằm giúp đảm bảo rằng một môi trường kiểm soát nội bộ vững mạnh tồn tại xuyên suốt công ty. Chúng mô tả các hoạt động mà khi được triển khai có thể đảm bảo tài sản công ty được bảo vệ, các báo cáo tài chính và quản lý khác được chính xác, và có sự tuân thủ với các chính sách công ty cùng các yêu cầu khác.</w:t>
      </w:r>
    </w:p>
    <w:p>
      <w:pPr>
        <w:spacing w:after="80"/>
      </w:pPr>
      <w:r>
        <w:rPr>
          <w:b w:val="0"/>
          <w:i w:val="0"/>
        </w:rPr>
        <w:t>Những tiêu chuẩn này nên được sử dụng để tự đánh giá thường xuyên các quy trình, thiết kế hệ thống và kế hoạch hiện tại nhằm đảm bảo chúng có các kiểm soát phù hợp và đầy đủ. Các nhóm Kiểm toán Nội bộ và Kiểm soát Nội bộ sẽ đánh giá việc tuân thủ những tiêu chuẩn này trong các đợt đánh giá kiểm soát nội bộ trong tương lai.</w:t>
      </w:r>
    </w:p>
    <w:p>
      <w:pPr>
        <w:pStyle w:val="Heading2"/>
      </w:pPr>
      <w:r>
        <w:rPr>
          <w:rFonts w:ascii="Calibri" w:hAnsi="Calibri"/>
          <w:b/>
          <w:i w:val="0"/>
          <w:sz w:val="32"/>
        </w:rPr>
        <w:t>SAE 18</w:t>
      </w:r>
    </w:p>
    <w:p>
      <w:pPr>
        <w:spacing w:after="80"/>
      </w:pPr>
      <w:r>
        <w:rPr>
          <w:b w:val="0"/>
          <w:i w:val="0"/>
        </w:rPr>
        <w:t>Nếu công ty của bạn là một tổ chức dịch vụ thực hiện các dịch vụ thuê ngoài có ảnh hưởng đến báo cáo tài chính của một công ty khác, tổ chức của bạn rất có thể sẽ được yêu cầu cung cấp Báo cáo SOC 1 Type II, đặc biệt nếu người sử dụng dịch vụ của bạn là công ty đại chúng.</w:t>
      </w:r>
    </w:p>
    <w:p>
      <w:pPr>
        <w:spacing w:after="80"/>
      </w:pPr>
      <w:r>
        <w:rPr>
          <w:b w:val="0"/>
          <w:i w:val="0"/>
        </w:rPr>
        <w:t>Một số dịch vụ ví dụ sẽ yêu cầu báo cáo SAE 18 bao gồm:</w:t>
      </w:r>
    </w:p>
    <w:p>
      <w:pPr>
        <w:spacing w:after="80"/>
        <w:ind w:left="360"/>
      </w:pPr>
      <w:r>
        <w:t xml:space="preserve">• </w:t>
      </w:r>
      <w:r>
        <w:rPr>
          <w:b w:val="0"/>
          <w:i w:val="0"/>
        </w:rPr>
        <w:t>Xử lý Bảng lương</w:t>
      </w:r>
    </w:p>
    <w:p>
      <w:pPr>
        <w:spacing w:after="80"/>
        <w:ind w:left="360"/>
      </w:pPr>
      <w:r>
        <w:t xml:space="preserve">• </w:t>
      </w:r>
      <w:r>
        <w:rPr>
          <w:b w:val="0"/>
          <w:i w:val="0"/>
        </w:rPr>
        <w:t>Dịch vụ Cho vay</w:t>
      </w:r>
    </w:p>
    <w:p>
      <w:pPr>
        <w:spacing w:after="80"/>
        <w:ind w:left="360"/>
      </w:pPr>
      <w:r>
        <w:t xml:space="preserve">• </w:t>
      </w:r>
      <w:r>
        <w:rPr>
          <w:b w:val="0"/>
          <w:i w:val="0"/>
        </w:rPr>
        <w:t>Dịch vụ Trung tâm Dữ liệu/Đồng đặt vị trí/Giám sát Mạng</w:t>
      </w:r>
    </w:p>
    <w:p>
      <w:pPr>
        <w:spacing w:after="80"/>
        <w:ind w:left="360"/>
      </w:pPr>
      <w:r>
        <w:t xml:space="preserve">• </w:t>
      </w:r>
      <w:r>
        <w:rPr>
          <w:b w:val="0"/>
          <w:i w:val="0"/>
        </w:rPr>
        <w:t>Phần mềm dưới dạng Dịch vụ (SaaS)</w:t>
      </w:r>
    </w:p>
    <w:p>
      <w:pPr>
        <w:spacing w:after="80"/>
        <w:ind w:left="360"/>
      </w:pPr>
      <w:r>
        <w:t xml:space="preserve">• </w:t>
      </w:r>
      <w:r>
        <w:rPr>
          <w:b w:val="0"/>
          <w:i w:val="0"/>
        </w:rPr>
        <w:t>Bộ xử lý Yêu cầu Bảo hiểm Y tế</w:t>
      </w:r>
    </w:p>
    <w:p>
      <w:pPr>
        <w:pStyle w:val="Heading2"/>
      </w:pPr>
      <w:r>
        <w:rPr>
          <w:rFonts w:ascii="Calibri" w:hAnsi="Calibri"/>
          <w:b/>
          <w:i w:val="0"/>
          <w:sz w:val="32"/>
        </w:rPr>
        <w:t>CÁC QUY TRÌNH CON</w:t>
      </w:r>
    </w:p>
    <w:p>
      <w:pPr>
        <w:spacing w:after="80"/>
      </w:pPr>
      <w:r>
        <w:rPr>
          <w:b w:val="0"/>
          <w:i w:val="0"/>
        </w:rPr>
        <w:t>Các quy trình con cụ thể nằm trong quy trình kiểm soát hệ thống máy tính bao gồm:</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10.1</w:t>
            </w:r>
          </w:p>
        </w:tc>
        <w:tc>
          <w:tcPr>
            <w:tcW w:type="dxa" w:w="4680"/>
          </w:tcPr>
          <w:p>
            <w:r/>
            <w:r>
              <w:rPr>
                <w:b w:val="0"/>
                <w:i w:val="0"/>
                <w:sz w:val="19"/>
              </w:rPr>
              <w:t>Chủ sở hữu, Người dùng và Nhà cung cấp dịch vụ</w:t>
            </w:r>
          </w:p>
        </w:tc>
      </w:tr>
      <w:tr>
        <w:tc>
          <w:tcPr>
            <w:tcW w:type="dxa" w:w="4680"/>
          </w:tcPr>
          <w:p>
            <w:r/>
            <w:r>
              <w:rPr>
                <w:b w:val="0"/>
                <w:i w:val="0"/>
                <w:sz w:val="19"/>
              </w:rPr>
              <w:t>10.2</w:t>
            </w:r>
          </w:p>
        </w:tc>
        <w:tc>
          <w:tcPr>
            <w:tcW w:type="dxa" w:w="4680"/>
          </w:tcPr>
          <w:p>
            <w:r/>
            <w:r>
              <w:rPr>
                <w:b w:val="0"/>
                <w:i w:val="0"/>
                <w:sz w:val="19"/>
              </w:rPr>
              <w:t>An ninh vật lý và các kiểm soát môi trường</w:t>
            </w:r>
          </w:p>
        </w:tc>
      </w:tr>
      <w:tr>
        <w:tc>
          <w:tcPr>
            <w:tcW w:type="dxa" w:w="4680"/>
          </w:tcPr>
          <w:p>
            <w:r/>
            <w:r>
              <w:rPr>
                <w:b w:val="0"/>
                <w:i w:val="0"/>
                <w:sz w:val="19"/>
              </w:rPr>
              <w:t>10.3</w:t>
            </w:r>
          </w:p>
        </w:tc>
        <w:tc>
          <w:tcPr>
            <w:tcW w:type="dxa" w:w="4680"/>
          </w:tcPr>
          <w:p>
            <w:r/>
            <w:r>
              <w:rPr>
                <w:b w:val="0"/>
                <w:i w:val="0"/>
                <w:sz w:val="19"/>
              </w:rPr>
              <w:t>Kiểm soát truy cập máy tính</w:t>
            </w:r>
          </w:p>
        </w:tc>
      </w:tr>
      <w:tr>
        <w:tc>
          <w:tcPr>
            <w:tcW w:type="dxa" w:w="4680"/>
          </w:tcPr>
          <w:p>
            <w:r/>
            <w:r>
              <w:rPr>
                <w:b w:val="0"/>
                <w:i w:val="0"/>
                <w:sz w:val="19"/>
              </w:rPr>
              <w:t>10.4</w:t>
            </w:r>
          </w:p>
        </w:tc>
        <w:tc>
          <w:tcPr>
            <w:tcW w:type="dxa" w:w="4680"/>
          </w:tcPr>
          <w:p>
            <w:r/>
            <w:r>
              <w:rPr>
                <w:b w:val="0"/>
                <w:i w:val="0"/>
                <w:sz w:val="19"/>
              </w:rPr>
              <w:t>Vận hành mạng và các kiểm soát an ninh</w:t>
            </w:r>
          </w:p>
        </w:tc>
      </w:tr>
      <w:tr>
        <w:tc>
          <w:tcPr>
            <w:tcW w:type="dxa" w:w="4680"/>
          </w:tcPr>
          <w:p>
            <w:r/>
            <w:r>
              <w:rPr>
                <w:b w:val="0"/>
                <w:i w:val="0"/>
                <w:sz w:val="19"/>
              </w:rPr>
              <w:t>10.5</w:t>
            </w:r>
          </w:p>
        </w:tc>
        <w:tc>
          <w:tcPr>
            <w:tcW w:type="dxa" w:w="4680"/>
          </w:tcPr>
          <w:p>
            <w:r/>
            <w:r>
              <w:rPr>
                <w:b w:val="0"/>
                <w:i w:val="0"/>
                <w:sz w:val="19"/>
              </w:rPr>
              <w:t>Phương pháp luận phát triển hệ thống</w:t>
            </w:r>
          </w:p>
        </w:tc>
      </w:tr>
      <w:tr>
        <w:tc>
          <w:tcPr>
            <w:tcW w:type="dxa" w:w="4680"/>
          </w:tcPr>
          <w:p>
            <w:r/>
            <w:r>
              <w:rPr>
                <w:b w:val="0"/>
                <w:i w:val="0"/>
                <w:sz w:val="19"/>
              </w:rPr>
              <w:t>10.6</w:t>
            </w:r>
          </w:p>
        </w:tc>
        <w:tc>
          <w:tcPr>
            <w:tcW w:type="dxa" w:w="4680"/>
          </w:tcPr>
          <w:p>
            <w:r/>
            <w:r>
              <w:rPr>
                <w:b w:val="0"/>
                <w:i w:val="0"/>
                <w:sz w:val="19"/>
              </w:rPr>
              <w:t>Quản lý thay đổi</w:t>
            </w:r>
          </w:p>
        </w:tc>
      </w:tr>
      <w:tr>
        <w:tc>
          <w:tcPr>
            <w:tcW w:type="dxa" w:w="4680"/>
          </w:tcPr>
          <w:p>
            <w:r/>
            <w:r>
              <w:rPr>
                <w:b w:val="0"/>
                <w:i w:val="0"/>
                <w:sz w:val="19"/>
              </w:rPr>
              <w:t>10.7</w:t>
            </w:r>
          </w:p>
        </w:tc>
        <w:tc>
          <w:tcPr>
            <w:tcW w:type="dxa" w:w="4680"/>
          </w:tcPr>
          <w:p>
            <w:r/>
            <w:r>
              <w:rPr>
                <w:b w:val="0"/>
                <w:i w:val="0"/>
                <w:sz w:val="19"/>
              </w:rPr>
              <w:t>Sao lưu máy tính và viễn thông để khởi động lại/phục hồi sản xuất</w:t>
            </w:r>
          </w:p>
        </w:tc>
      </w:tr>
      <w:tr>
        <w:tc>
          <w:tcPr>
            <w:tcW w:type="dxa" w:w="4680"/>
          </w:tcPr>
          <w:p>
            <w:r/>
            <w:r>
              <w:rPr>
                <w:b w:val="0"/>
                <w:i w:val="0"/>
                <w:sz w:val="19"/>
              </w:rPr>
              <w:t>10.8</w:t>
            </w:r>
          </w:p>
        </w:tc>
        <w:tc>
          <w:tcPr>
            <w:tcW w:type="dxa" w:w="4680"/>
          </w:tcPr>
          <w:p>
            <w:r/>
            <w:r>
              <w:rPr>
                <w:b w:val="0"/>
                <w:i w:val="0"/>
                <w:sz w:val="19"/>
              </w:rPr>
              <w:t>Kế hoạch Khôi phục Thảm họa và Dự phòng Kinh doanh</w:t>
            </w:r>
          </w:p>
        </w:tc>
      </w:tr>
      <w:tr>
        <w:tc>
          <w:tcPr>
            <w:tcW w:type="dxa" w:w="4680"/>
          </w:tcPr>
          <w:p>
            <w:r/>
            <w:r>
              <w:rPr>
                <w:b w:val="0"/>
                <w:i w:val="0"/>
                <w:sz w:val="19"/>
              </w:rPr>
              <w:t>10.9</w:t>
            </w:r>
          </w:p>
        </w:tc>
        <w:tc>
          <w:tcPr>
            <w:tcW w:type="dxa" w:w="4680"/>
          </w:tcPr>
          <w:p>
            <w:r/>
            <w:r>
              <w:rPr>
                <w:b w:val="0"/>
                <w:i w:val="0"/>
                <w:sz w:val="19"/>
              </w:rPr>
              <w:t>Kiểm soát Đầu vào</w:t>
            </w:r>
          </w:p>
        </w:tc>
      </w:tr>
      <w:tr>
        <w:tc>
          <w:tcPr>
            <w:tcW w:type="dxa" w:w="4680"/>
          </w:tcPr>
          <w:p>
            <w:r/>
            <w:r>
              <w:rPr>
                <w:b w:val="0"/>
                <w:i w:val="0"/>
                <w:sz w:val="19"/>
              </w:rPr>
              <w:t>10.10</w:t>
            </w:r>
          </w:p>
        </w:tc>
        <w:tc>
          <w:tcPr>
            <w:tcW w:type="dxa" w:w="4680"/>
          </w:tcPr>
          <w:p>
            <w:r/>
            <w:r>
              <w:rPr>
                <w:b w:val="0"/>
                <w:i w:val="0"/>
                <w:sz w:val="19"/>
              </w:rPr>
              <w:t>Kiểm soát Đầu ra</w:t>
            </w:r>
          </w:p>
        </w:tc>
      </w:tr>
      <w:tr>
        <w:tc>
          <w:tcPr>
            <w:tcW w:type="dxa" w:w="4680"/>
          </w:tcPr>
          <w:p>
            <w:r/>
            <w:r>
              <w:rPr>
                <w:b w:val="0"/>
                <w:i w:val="0"/>
                <w:sz w:val="19"/>
              </w:rPr>
              <w:t>10.11</w:t>
            </w:r>
          </w:p>
        </w:tc>
        <w:tc>
          <w:tcPr>
            <w:tcW w:type="dxa" w:w="4680"/>
          </w:tcPr>
          <w:p>
            <w:r/>
            <w:r>
              <w:rPr>
                <w:b w:val="0"/>
                <w:i w:val="0"/>
                <w:sz w:val="19"/>
              </w:rPr>
              <w:t>Giao dịch Không giấy tờ, Thương mại Điện tử và EDI</w:t>
            </w:r>
          </w:p>
        </w:tc>
      </w:tr>
      <w:tr>
        <w:tc>
          <w:tcPr>
            <w:tcW w:type="dxa" w:w="4680"/>
          </w:tcPr>
          <w:p>
            <w:r/>
            <w:r>
              <w:rPr>
                <w:b w:val="0"/>
                <w:i w:val="0"/>
                <w:sz w:val="19"/>
              </w:rPr>
              <w:t>10.12</w:t>
            </w:r>
          </w:p>
        </w:tc>
        <w:tc>
          <w:tcPr>
            <w:tcW w:type="dxa" w:w="4680"/>
          </w:tcPr>
          <w:p>
            <w:r/>
            <w:r>
              <w:rPr>
                <w:b w:val="0"/>
                <w:i w:val="0"/>
                <w:sz w:val="19"/>
              </w:rPr>
              <w:t>Mạng lưới Ngoài Công ty và Bảng Tin</w:t>
            </w:r>
          </w:p>
        </w:tc>
      </w:tr>
    </w:tbl>
    <w:p>
      <w:pPr>
        <w:spacing w:after="0"/>
      </w:pPr>
    </w:p>
    <w:p>
      <w:pPr>
        <w:pStyle w:val="Heading2"/>
      </w:pPr>
      <w:r>
        <w:rPr>
          <w:rFonts w:ascii="Calibri" w:hAnsi="Calibri"/>
          <w:b/>
          <w:i w:val="0"/>
          <w:sz w:val="32"/>
        </w:rPr>
        <w:t>10.1 CHỦ SỞ HỮU, NGƯỜI DÙNG VÀ NHÀ CUNG CẤP DỊCH VỤ</w:t>
      </w:r>
    </w:p>
    <w:p>
      <w:pPr>
        <w:pStyle w:val="Heading3"/>
      </w:pPr>
      <w:r>
        <w:rPr>
          <w:rFonts w:ascii="Calibri" w:hAnsi="Calibri"/>
          <w:b/>
          <w:i w:val="0"/>
          <w:sz w:val="26"/>
        </w:rPr>
        <w:t>Giới thiệu</w:t>
      </w:r>
    </w:p>
    <w:p>
      <w:pPr>
        <w:spacing w:after="80"/>
      </w:pPr>
      <w:r>
        <w:rPr>
          <w:b w:val="0"/>
          <w:i w:val="0"/>
        </w:rPr>
        <w:t>Ba trách nhiệm riêng biệt—chủ sở hữu, người dùng và nhà cung cấp dịch vụ—đã được xác định để đảm bảo rằng các chính sách bảo vệ thông tin cơ bản được thực thi. Mặc dù các vai trò này có thể tách biệt, nhưng đôi khi chúng được thực hiện bởi cùng một cá nhân.</w:t>
      </w:r>
    </w:p>
    <w:p>
      <w:pPr>
        <w:pStyle w:val="Heading3"/>
      </w:pPr>
      <w:r>
        <w:rPr>
          <w:rFonts w:ascii="Calibri" w:hAnsi="Calibri"/>
          <w:b/>
          <w:i w:val="0"/>
          <w:sz w:val="26"/>
        </w:rPr>
        <w:t>Định nghĩa</w:t>
      </w:r>
    </w:p>
    <w:p>
      <w:pPr>
        <w:spacing w:after="80"/>
        <w:ind w:left="360"/>
      </w:pPr>
      <w:r>
        <w:rPr>
          <w:b/>
          <w:i w:val="0"/>
        </w:rPr>
        <w:t>Chủ sở hữu</w:t>
      </w:r>
      <w:r>
        <w:rPr>
          <w:b w:val="0"/>
          <w:i w:val="0"/>
        </w:rPr>
        <w:t xml:space="preserve"> —Công ty là chủ sở hữu duy nhất của các nguồn lực thông tin cũng như các tài sản khác của công ty. Thuật ngữ </w:t>
      </w:r>
      <w:r>
        <w:rPr>
          <w:b w:val="0"/>
          <w:i/>
        </w:rPr>
        <w:t>chủ sở hữu</w:t>
      </w:r>
      <w:r>
        <w:rPr>
          <w:b w:val="0"/>
          <w:i w:val="0"/>
        </w:rPr>
        <w:t xml:space="preserve"> là một quy ước dùng để chỉ một cá nhân đã được phê duyệt trách nhiệm quản lý trong việc mua sắm và kiểm soát việc sử dụng cũng như định đoạt một nguồn lực thông tin. Mỗi nguồn lực hệ thống thông tin phải có một chủ sở hữu được xác định. Nếu có nhiều hơn một cá nhân có thể được coi là chủ sở hữu của một nguồn lực thông tin, thì một cá nhân phải được chỉ định làm đầu mối liên hệ chính.</w:t>
      </w:r>
    </w:p>
    <w:p>
      <w:pPr>
        <w:spacing w:after="80"/>
        <w:ind w:left="360"/>
      </w:pPr>
      <w:r>
        <w:rPr>
          <w:b/>
          <w:i w:val="0"/>
        </w:rPr>
        <w:t>Chủ sở hữu hệ thống</w:t>
      </w:r>
      <w:r>
        <w:rPr>
          <w:b w:val="0"/>
          <w:i w:val="0"/>
        </w:rPr>
        <w:t xml:space="preserve"> —Một cá nhân có trách nhiệm quản lý đã được phê duyệt đối với một máy tính vật lý hoặc hệ thống viễn thông. Chủ sở hữu hệ thống cũng có thể là nhà cung cấp dịch vụ hoặc có thể ký hợp đồng giao trách nhiệm vận hành và quản lý hệ thống cho một đơn vị khác trong công ty hoặc một nhà cung cấp bên ngoài.</w:t>
      </w:r>
    </w:p>
    <w:p>
      <w:pPr>
        <w:spacing w:after="80"/>
        <w:ind w:left="360"/>
      </w:pPr>
      <w:r>
        <w:rPr>
          <w:b/>
          <w:i w:val="0"/>
        </w:rPr>
        <w:t>Chủ sở hữu ứng dụng</w:t>
      </w:r>
      <w:r>
        <w:rPr>
          <w:b w:val="0"/>
          <w:i w:val="0"/>
        </w:rPr>
        <w:t xml:space="preserve"> —Một cá nhân có trách nhiệm quản lý đã được phê duyệt đối với một ứng dụng cụ thể, bao gồm các chương trình ứng dụng và dữ liệu. Nếu có nhiều hơn một cá nhân có thể được coi là chủ sở hữu ứng dụng, thì một cá nhân phải được chỉ định làm đầu mối liên hệ chính.</w:t>
      </w:r>
    </w:p>
    <w:p>
      <w:pPr>
        <w:spacing w:after="80"/>
        <w:ind w:left="360"/>
      </w:pPr>
      <w:r>
        <w:rPr>
          <w:b/>
          <w:i w:val="0"/>
        </w:rPr>
        <w:t>Người dùng</w:t>
      </w:r>
      <w:r>
        <w:rPr>
          <w:b w:val="0"/>
          <w:i w:val="0"/>
        </w:rPr>
        <w:t xml:space="preserve"> — Cá nhân hoặc nhóm cá nhân được cấp quyền sử dụng một tài nguyên thông tin.</w:t>
      </w:r>
    </w:p>
    <w:p>
      <w:pPr>
        <w:spacing w:after="80"/>
        <w:ind w:left="360"/>
      </w:pPr>
      <w:r>
        <w:rPr>
          <w:b/>
          <w:i w:val="0"/>
        </w:rPr>
        <w:t>Nhà cung cấp dịch vụ</w:t>
      </w:r>
      <w:r>
        <w:rPr>
          <w:b w:val="0"/>
          <w:i w:val="0"/>
        </w:rPr>
        <w:t xml:space="preserve"> — Cá nhân, phòng ban hoặc nhà cung cấp cung cấp dịch vụ hệ thống thông tin cho chủ sở hữu và người dùng, đồng thời chịu trách nhiệm vận hành, bảo trì và bảo mật phần cứng lẫn phần mềm máy tính và viễn thông.</w:t>
      </w:r>
    </w:p>
    <w:p>
      <w:pPr>
        <w:spacing w:after="80"/>
        <w:ind w:left="360"/>
      </w:pPr>
      <w:r>
        <w:rPr>
          <w:b/>
          <w:i w:val="0"/>
        </w:rPr>
        <w:t>Không giám sát</w:t>
      </w:r>
      <w:r>
        <w:rPr>
          <w:b w:val="0"/>
          <w:i w:val="0"/>
        </w:rPr>
        <w:t xml:space="preserve"> — Ngoài tầm nhìn của người dùng.</w:t>
      </w:r>
    </w:p>
    <w:p>
      <w:pPr>
        <w:spacing w:after="80"/>
      </w:pPr>
      <w:r>
        <w:rPr>
          <w:b w:val="0"/>
          <w:i w:val="0"/>
        </w:rPr>
        <w:t>Các quản lý đơn vị hoặc phòng ban của công ty chịu trách nhiệm đảm bảo chỉ định một chủ sở hữu hệ thống cho tất cả thiết bị máy tính và viễn thông, bao gồm trung tâm máy tính, địa điểm xử lý từ xa, mạng cục bộ, máy trạm, máy tính phòng ban và máy tính cá nhân, cùng các địa điểm lưu trữ dữ liệu.</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10.1.1</w:t>
            </w:r>
          </w:p>
        </w:tc>
        <w:tc>
          <w:tcPr>
            <w:tcW w:type="dxa" w:w="4680"/>
          </w:tcPr>
          <w:p>
            <w:r/>
            <w:r>
              <w:rPr>
                <w:b/>
                <w:i w:val="0"/>
                <w:sz w:val="19"/>
              </w:rPr>
              <w:t>Chỉ định Chủ sở hữu Hệ thống và Ứng dụng.</w:t>
            </w:r>
            <w:r>
              <w:rPr>
                <w:b w:val="0"/>
                <w:i w:val="0"/>
                <w:sz w:val="19"/>
              </w:rPr>
              <w:t xml:space="preserve"> Các đơn vị của công ty chịu trách nhiệm đảm bảo chỉ định một chủ sở hữu cho mỗi ứng dụng. Các hệ thống được chia sẻ giữa nhiều phòng ban hoặc nhóm kinh doanh có thể có nhiều chủ sở hữu ứng dụng nhưng phải có một đầu mối liên hệ chính. Các quản lý đơn vị hoặc phòng ban của công ty phải duy trì danh sách chủ sở hữu ứng dụng và chủ sở hữu hệ thống luôn được cập nhật. </w:t>
            </w:r>
            <w:r>
              <w:rPr>
                <w:b/>
                <w:i w:val="0"/>
                <w:sz w:val="19"/>
              </w:rPr>
              <w:t>Tham khảo các rủi ro: A-1, A-3, A-4, A-5</w:t>
            </w:r>
          </w:p>
        </w:tc>
      </w:tr>
      <w:tr>
        <w:tc>
          <w:tcPr>
            <w:tcW w:type="dxa" w:w="4680"/>
          </w:tcPr>
          <w:p>
            <w:r/>
            <w:r>
              <w:rPr>
                <w:b w:val="0"/>
                <w:i w:val="0"/>
                <w:sz w:val="19"/>
              </w:rPr>
              <w:t>10.1.2</w:t>
            </w:r>
          </w:p>
        </w:tc>
        <w:tc>
          <w:tcPr>
            <w:tcW w:type="dxa" w:w="4680"/>
          </w:tcPr>
          <w:p>
            <w:r/>
            <w:r>
              <w:rPr>
                <w:b w:val="0"/>
                <w:i w:val="0"/>
                <w:sz w:val="19"/>
              </w:rPr>
              <w:t>Trách nhiệm của Chủ sở hữu Ứng dụng. Chủ sở hữu ứng dụng có trách nhiệm:</w:t>
            </w:r>
            <w:r>
              <w:br/>
            </w:r>
            <w:r>
              <w:rPr>
                <w:b w:val="0"/>
                <w:i w:val="0"/>
                <w:sz w:val="19"/>
              </w:rPr>
              <w:t>a. Phê duyệt yêu cầu/thiết kế ứng dụng hoặc các thay đổi ứng dụng.</w:t>
            </w:r>
            <w:r>
              <w:br/>
            </w:r>
            <w:r>
              <w:rPr>
                <w:b w:val="0"/>
                <w:i w:val="0"/>
                <w:sz w:val="19"/>
              </w:rPr>
              <w:t>b. Chỉ định phân loại bảo mật.</w:t>
            </w:r>
            <w:r>
              <w:br/>
            </w:r>
            <w:r>
              <w:rPr>
                <w:b w:val="0"/>
                <w:i w:val="0"/>
                <w:sz w:val="19"/>
              </w:rPr>
              <w:t>c. Cấp quyền truy cập vào các tệp dữ liệu ứng dụng hoặc chính thức phê duyệt người khác cấp quyền truy cập thay mình.</w:t>
            </w:r>
            <w:r>
              <w:br/>
            </w:r>
            <w:r>
              <w:rPr>
                <w:b w:val="0"/>
                <w:i w:val="0"/>
                <w:sz w:val="19"/>
              </w:rPr>
              <w:t>d. Xác nhận chấp thuận các bổ sung hoặc thay đổi đối với ứng dụng.</w:t>
            </w:r>
            <w:r>
              <w:br/>
            </w:r>
            <w:r>
              <w:rPr>
                <w:b w:val="0"/>
                <w:i w:val="0"/>
                <w:sz w:val="19"/>
              </w:rPr>
              <w:t>e.  Đảm bảo rằng các kế hoạch khôi phục kinh doanh được lập, bao gồm xác định tất cả các tệp sao lưu cần thiết cho cả ứng dụng nội bộ công ty lẫn ứng dụng của bên thứ ba.</w:t>
            </w:r>
            <w:r>
              <w:br/>
            </w:r>
            <w:r>
              <w:rPr>
                <w:b w:val="0"/>
                <w:i w:val="0"/>
                <w:sz w:val="19"/>
              </w:rPr>
              <w:t>f. Đảm bảo tuân thủ mọi yêu cầu luật định tại địa phương.</w:t>
            </w:r>
            <w:r>
              <w:br/>
            </w:r>
            <w:r>
              <w:rPr>
                <w:b w:val="0"/>
                <w:i w:val="0"/>
                <w:sz w:val="19"/>
              </w:rPr>
              <w:t xml:space="preserve">g. Đảm bảo rằng các phiên bản phần mềm hệ thống phân tán được hỗ trợ đều được cài đặt và sử dụng. </w:t>
            </w:r>
            <w:r>
              <w:rPr>
                <w:b/>
                <w:i w:val="0"/>
                <w:sz w:val="19"/>
              </w:rPr>
              <w:t>Tham khảo các rủi ro: A-2, A-7, A-8, A-10, A-21</w:t>
            </w:r>
          </w:p>
        </w:tc>
      </w:tr>
      <w:tr>
        <w:tc>
          <w:tcPr>
            <w:tcW w:type="dxa" w:w="4680"/>
          </w:tcPr>
          <w:p>
            <w:r/>
            <w:r>
              <w:rPr>
                <w:b w:val="0"/>
                <w:i w:val="0"/>
                <w:sz w:val="19"/>
              </w:rPr>
              <w:t>10.1.3</w:t>
            </w:r>
          </w:p>
        </w:tc>
        <w:tc>
          <w:tcPr>
            <w:tcW w:type="dxa" w:w="4680"/>
          </w:tcPr>
          <w:p>
            <w:r/>
            <w:r>
              <w:rPr>
                <w:b w:val="0"/>
                <w:i w:val="0"/>
                <w:sz w:val="19"/>
              </w:rPr>
              <w:t>Trách nhiệm của Chủ sở hữu Hệ thống/Nhà cung cấp Dịch vụ. Chủ sở hữu hệ thống/nhà cung cấp dịch vụ có trách nhiệm:</w:t>
            </w:r>
            <w:r>
              <w:br/>
            </w:r>
            <w:r>
              <w:rPr>
                <w:b w:val="0"/>
                <w:i w:val="0"/>
                <w:sz w:val="19"/>
              </w:rPr>
              <w:t>a. Cung cấp môi trường vật lý với các biện pháp bảo vệ chống lại việc di chuyển hoặc phá hủy dữ liệu hay thiết bị xử lý dữ liệu trái phép.</w:t>
            </w:r>
            <w:r>
              <w:br/>
            </w:r>
            <w:r>
              <w:rPr>
                <w:b w:val="0"/>
                <w:i w:val="0"/>
                <w:sz w:val="19"/>
              </w:rPr>
              <w:t>b. Cung cấp các kiểm soát quản lý hệ thống để duy trì tính toàn vẹn và bảo mật trong vận hành.</w:t>
            </w:r>
            <w:r>
              <w:br/>
            </w:r>
            <w:r>
              <w:rPr>
                <w:b w:val="0"/>
                <w:i w:val="0"/>
                <w:sz w:val="19"/>
              </w:rPr>
              <w:t>c. Sắp xếp việc sao lưu và lưu giữ các tệp dữ liệu ứng dụng quan trọng và chương trình tại các địa điểm bên thứ ba an toàn nơi diễn ra xử lý thông thường.</w:t>
            </w:r>
            <w:r>
              <w:br/>
            </w:r>
            <w:r>
              <w:rPr>
                <w:b w:val="0"/>
                <w:i w:val="0"/>
                <w:sz w:val="19"/>
              </w:rPr>
              <w:t>d. Sắp xếp thiết bị và/hoặc cơ sở tính toán thay thế đủ đáp ứng các ưu tiên khôi phục sau thảm họa đã được thiết lập.</w:t>
            </w:r>
            <w:r>
              <w:br/>
            </w:r>
            <w:r>
              <w:rPr>
                <w:b w:val="0"/>
                <w:i w:val="0"/>
                <w:sz w:val="19"/>
              </w:rPr>
              <w:t>e. Cung cấp đủ tài nguyên máy tính để đáp ứng nhu cầu tính toán của người dùng vận hành hệ thống tại cơ sở, phòng ban hoặc mạng cục bộ của họ.</w:t>
            </w:r>
            <w:r>
              <w:br/>
            </w:r>
            <w:r>
              <w:rPr>
                <w:b w:val="0"/>
                <w:i w:val="0"/>
                <w:sz w:val="19"/>
              </w:rPr>
              <w:t>f. Đảm bảo có các quy trình tuân thủ thỏa thuận sử dụng phần mềm có bản quyền.</w:t>
            </w:r>
            <w:r>
              <w:br/>
            </w:r>
            <w:r>
              <w:rPr>
                <w:b w:val="0"/>
                <w:i w:val="0"/>
                <w:sz w:val="19"/>
              </w:rPr>
              <w:t>g. Đảm bảo phần mềm phát hiện virus được cài đặt, hoạt động và cập nhật trên thiết bị khi thiết bị đó được dùng cho kinh doanh, ứng dụng kỹ thuật, kiểm thử sản phẩm và/hoặc xử lý sản xuất.</w:t>
            </w:r>
            <w:r>
              <w:br/>
            </w:r>
            <w:r>
              <w:rPr>
                <w:b w:val="0"/>
                <w:i w:val="0"/>
                <w:sz w:val="19"/>
              </w:rPr>
              <w:t>h. Đảm bảo tuân thủ mọi yêu cầu luật định tại địa phương.</w:t>
            </w:r>
            <w:r>
              <w:br/>
            </w:r>
            <w:r>
              <w:rPr>
                <w:b w:val="0"/>
                <w:i w:val="0"/>
                <w:sz w:val="19"/>
              </w:rPr>
              <w:t>i. Sắp xếp để hiển thị biểu ngữ hệ thống đã được phê duyệt như một phần của quá trình đăng nhập.</w:t>
            </w:r>
            <w:r>
              <w:br/>
            </w:r>
            <w:r>
              <w:rPr>
                <w:b w:val="0"/>
                <w:i w:val="0"/>
                <w:sz w:val="19"/>
              </w:rPr>
              <w:t xml:space="preserve">j. Báo cáo lên cấp quản lý mọi vấn đề liên quan đến việc không tuân thủ các tiêu chuẩn kiểm soát nội bộ nếu không thể giải quyết với chủ sở hữu hệ thống và ứng dụng. </w:t>
            </w:r>
            <w:r>
              <w:rPr>
                <w:b/>
                <w:i w:val="0"/>
                <w:sz w:val="19"/>
              </w:rPr>
              <w:t>Tham khảo các rủi ro: A-2, A-6, A-9, A-10, A-12, A-21</w:t>
            </w:r>
          </w:p>
        </w:tc>
      </w:tr>
      <w:tr>
        <w:tc>
          <w:tcPr>
            <w:tcW w:type="dxa" w:w="4680"/>
          </w:tcPr>
          <w:p>
            <w:r/>
            <w:r>
              <w:rPr>
                <w:b w:val="0"/>
                <w:i w:val="0"/>
                <w:sz w:val="19"/>
              </w:rPr>
              <w:t>10.1.4</w:t>
            </w:r>
          </w:p>
        </w:tc>
        <w:tc>
          <w:tcPr>
            <w:tcW w:type="dxa" w:w="4680"/>
          </w:tcPr>
          <w:p>
            <w:r/>
            <w:r>
              <w:rPr>
                <w:b/>
                <w:i w:val="0"/>
                <w:sz w:val="19"/>
              </w:rPr>
              <w:t>Sản phẩm và Dịch vụ CNTT được Phê duyệt.</w:t>
            </w:r>
            <w:r>
              <w:rPr>
                <w:b w:val="0"/>
                <w:i w:val="0"/>
                <w:sz w:val="19"/>
              </w:rPr>
              <w:t xml:space="preserve"> Khi có hợp đồng toàn cầu hoặc khu vực cho một dịch vụ hay sản phẩm CNTT, hợp đồng đó sẽ được sử dụng trừ khi có ngoại lệ được phê duyệt. </w:t>
            </w:r>
            <w:r>
              <w:rPr>
                <w:b/>
                <w:i w:val="0"/>
                <w:sz w:val="19"/>
              </w:rPr>
              <w:t>Tham khảo các rủi ro: A-9, A-12, A-14, A-15, A-16, A-17</w:t>
            </w:r>
          </w:p>
        </w:tc>
      </w:tr>
      <w:tr>
        <w:tc>
          <w:tcPr>
            <w:tcW w:type="dxa" w:w="4680"/>
          </w:tcPr>
          <w:p>
            <w:r/>
            <w:r>
              <w:rPr>
                <w:b w:val="0"/>
                <w:i w:val="0"/>
                <w:sz w:val="19"/>
              </w:rPr>
              <w:t>10.1.5</w:t>
            </w:r>
          </w:p>
        </w:tc>
        <w:tc>
          <w:tcPr>
            <w:tcW w:type="dxa" w:w="4680"/>
          </w:tcPr>
          <w:p>
            <w:r/>
            <w:r>
              <w:rPr>
                <w:b w:val="0"/>
                <w:i w:val="0"/>
                <w:sz w:val="19"/>
              </w:rPr>
              <w:t>Chính sách và Quy trình được Ghi thành Văn bản. Các đơn vị công ty chịu trách nhiệm phát triển hoặc bảo trì phần mềm có trách nhiệm chuẩn bị và duy trì các chính sách và quy trình xử lý dữ liệu chi tiết áp dụng cho ứng dụng mà họ phụ trách. Các chính sách và quy trình phải bao gồm:</w:t>
            </w:r>
            <w:r>
              <w:br/>
            </w:r>
            <w:r>
              <w:rPr>
                <w:b w:val="0"/>
                <w:i w:val="0"/>
                <w:sz w:val="19"/>
              </w:rPr>
              <w:t>a. Tiêu chí để quản lý phê duyệt các thay đổi hệ thống của bên thứ ba và nội bộ công ty nhằm chuyển phần mềm từ trạng thái kiểm thử sang trạng thái sản xuất</w:t>
            </w:r>
            <w:r>
              <w:br/>
            </w:r>
            <w:r>
              <w:rPr>
                <w:b w:val="0"/>
                <w:i w:val="0"/>
                <w:sz w:val="19"/>
              </w:rPr>
              <w:t>b. Tiêu chuẩn tài liệu cho kiến trúc hệ thống, thiết kế logic và thiết kế vật lý</w:t>
            </w:r>
            <w:r>
              <w:br/>
            </w:r>
            <w:r>
              <w:rPr>
                <w:b w:val="0"/>
                <w:i w:val="0"/>
                <w:sz w:val="19"/>
              </w:rPr>
              <w:t xml:space="preserve">c. Tiêu chuẩn viết mã phần mềm, trong đó định nghĩa cấu trúc chương trình, hướng dẫn về độ phức tạp logic và quy ước đặt tên phần tử dữ liệu </w:t>
            </w:r>
            <w:r>
              <w:rPr>
                <w:b/>
                <w:i w:val="0"/>
                <w:sz w:val="19"/>
              </w:rPr>
              <w:t>Tham khảo rủi ro: A-11</w:t>
            </w:r>
          </w:p>
        </w:tc>
      </w:tr>
      <w:tr>
        <w:tc>
          <w:tcPr>
            <w:tcW w:type="dxa" w:w="4680"/>
          </w:tcPr>
          <w:p>
            <w:r/>
            <w:r>
              <w:rPr>
                <w:b w:val="0"/>
                <w:i w:val="0"/>
                <w:sz w:val="19"/>
              </w:rPr>
              <w:t>10.1.6</w:t>
            </w:r>
          </w:p>
        </w:tc>
        <w:tc>
          <w:tcPr>
            <w:tcW w:type="dxa" w:w="4680"/>
          </w:tcPr>
          <w:p>
            <w:r/>
            <w:r>
              <w:rPr>
                <w:b w:val="0"/>
                <w:i w:val="0"/>
                <w:sz w:val="19"/>
              </w:rPr>
              <w:t>Trách nhiệm của người dùng. Người dùng có trách nhiệm:</w:t>
            </w:r>
            <w:r>
              <w:br/>
            </w:r>
            <w:r>
              <w:rPr>
                <w:b w:val="0"/>
                <w:i w:val="0"/>
                <w:sz w:val="19"/>
              </w:rPr>
              <w:t>a. Chỉ sử dụng tài nguyên thông tin cho các mục đích kinh doanh được công ty cho phép. Việc sử dụng các tài nguyên này cho mục đích phi kinh doanh, chẳng hạn nhưng không giới hạn ở việc phân phát thư dây chuyền và truyện cười, các hoạt động kinh doanh tư nhân, quảng cáo, v.v., đều bị nghiêm cấm. Giống như mọi tài sản của công ty, các tài nguyên này và việc sử dụng chúng có thể bị giám sát và/hoặc kiểm tra bất cứ lúc nào.</w:t>
            </w:r>
            <w:r>
              <w:br/>
            </w:r>
            <w:r>
              <w:rPr>
                <w:b w:val="0"/>
                <w:i w:val="0"/>
                <w:sz w:val="19"/>
              </w:rPr>
              <w:t>b. Bảo vệ mọi tài nguyên trong sự quản lý của mình khỏi bị sửa đổi, tiết lộ hoặc phá hủy ngoài ý muốn hoặc trái phép.</w:t>
            </w:r>
            <w:r>
              <w:br/>
            </w:r>
            <w:r>
              <w:rPr>
                <w:b w:val="0"/>
                <w:i w:val="0"/>
                <w:sz w:val="19"/>
              </w:rPr>
              <w:t>c. Giữ bí mật mật khẩu, thay đổi chúng thường xuyên và tạo những mật khẩu không thể dễ dàng đoán được.</w:t>
            </w:r>
            <w:r>
              <w:br/>
            </w:r>
            <w:r>
              <w:rPr>
                <w:b w:val="0"/>
                <w:i w:val="0"/>
                <w:sz w:val="19"/>
              </w:rPr>
              <w:t>d. Không bao giờ để một phiên làm việc đang hoạt động mà không có người trông coi/không được bảo vệ.</w:t>
            </w:r>
            <w:r>
              <w:br/>
            </w:r>
            <w:r>
              <w:rPr>
                <w:b w:val="0"/>
                <w:i w:val="0"/>
                <w:sz w:val="19"/>
              </w:rPr>
              <w:t>e. Thông báo ngay cho cấp trên nếu có nghi ngờ hoặc khả năng rằng tính bảo mật của thông tin công ty đã bị xâm phạm hoặc đã có nỗ lực như vậy vi phạm các chính sách truy cập hệ thống.</w:t>
            </w:r>
            <w:r>
              <w:br/>
            </w:r>
            <w:r>
              <w:rPr>
                <w:b w:val="0"/>
                <w:i w:val="0"/>
                <w:sz w:val="19"/>
              </w:rPr>
              <w:t>f. Đảm bảo rằng các biện pháp kiểm soát phù hợp được sử dụng khi trở thành chủ sở hữu. Khi các hệ thống được sử dụng trong một môi trường nằm ngoài tầm kiểm soát của chủ sở hữu ban đầu, người dùng sẽ trở thành chủ sở hữu.</w:t>
            </w:r>
            <w:r>
              <w:br/>
            </w:r>
            <w:r>
              <w:rPr>
                <w:b w:val="0"/>
                <w:i w:val="0"/>
                <w:sz w:val="19"/>
              </w:rPr>
              <w:t>g. Xin phê duyệt của ban quản lý trước khi sử dụng các thiết bị và ứng dụng cá nhân để xử lý dữ liệu hoặc thông tin của công ty.</w:t>
            </w:r>
            <w:r>
              <w:br/>
            </w:r>
            <w:r>
              <w:rPr>
                <w:b w:val="0"/>
                <w:i w:val="0"/>
                <w:sz w:val="19"/>
              </w:rPr>
              <w:t>h. Đảm bảo tất cả phần mềm được cài đặt trên máy tính/thiết bị của công ty đều được cấp phép hợp lệ. Không được nhận, tạo, sử dụng hoặc phân phối các bản sao phần mềm bất hợp pháp.</w:t>
            </w:r>
            <w:r>
              <w:br/>
            </w:r>
            <w:r>
              <w:rPr>
                <w:b w:val="0"/>
                <w:i w:val="0"/>
                <w:sz w:val="19"/>
              </w:rPr>
              <w:t>i. Xin phê duyệt của ban quản lý trước khi cài đặt hoặc chạy phần mềm trên máy tính thuộc sở hữu của công ty.</w:t>
            </w:r>
            <w:r>
              <w:br/>
            </w:r>
            <w:r>
              <w:rPr>
                <w:b w:val="0"/>
                <w:i w:val="0"/>
                <w:sz w:val="19"/>
              </w:rPr>
              <w:t>j.  Đảm bảo phần mềm phát hiện vi-rút đã được phê duyệt được cài đặt, đang hoạt động và cập nhật trên tất cả các máy trạm được giao cho mình sử dụng. Tối thiểu mỗi máy trạm phải được kiểm tra hàng ngày, hoặc mỗi lần được sử dụng nếu tần suất ít hơn hàng ngày.</w:t>
            </w:r>
            <w:r>
              <w:br/>
            </w:r>
            <w:r>
              <w:rPr>
                <w:b w:val="0"/>
                <w:i w:val="0"/>
                <w:sz w:val="19"/>
              </w:rPr>
              <w:t>k. Sao lưu định kỳ các tệp dữ liệu, chương trình và phần mềm máy tính để đảm bảo tính liên tục của hoạt động kinh doanh trong trường hợp phần cứng, phần mềm hoặc ứng dụng gặp sự cố hoặc ngừng hoạt động kéo dài.</w:t>
            </w:r>
            <w:r>
              <w:br/>
            </w:r>
            <w:r>
              <w:rPr>
                <w:b w:val="0"/>
                <w:i w:val="0"/>
                <w:sz w:val="19"/>
              </w:rPr>
              <w:t>l. Chỉ sử dụng các quy trình truy cập do các đơn vị hạ tầng hệ thống thông tin của công ty khu vực cung cấp để truy cập vào các máy tính được kết nối với mạng nội bộ của công ty.</w:t>
            </w:r>
            <w:r>
              <w:br/>
            </w:r>
            <w:r>
              <w:rPr>
                <w:b w:val="0"/>
                <w:i w:val="0"/>
                <w:sz w:val="19"/>
              </w:rPr>
              <w:t>m. Nhận diện bản thân trên các tin nhắn e-mail gửi đi. Người dùng không được sử dụng các dịch vụ chuyển tiếp e-mail ẩn danh cho công việc kinh doanh của công ty.</w:t>
            </w:r>
            <w:r>
              <w:br/>
            </w:r>
            <w:r>
              <w:rPr>
                <w:b w:val="0"/>
                <w:i w:val="0"/>
                <w:sz w:val="19"/>
              </w:rPr>
              <w:t xml:space="preserve">n. Xin phép ban quản lý trước khi di chuyển thiết bị máy tính và các tệp dữ liệu (kể cả những thứ được di chuyển để thanh lý) có chứa thông tin của công ty. </w:t>
            </w:r>
            <w:r>
              <w:rPr>
                <w:b/>
                <w:i w:val="0"/>
                <w:sz w:val="19"/>
              </w:rPr>
              <w:t>Tham khảo các rủi ro: A-9, A-10, A-12, A-18, A-19, A-20</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A-1</w:t>
            </w:r>
          </w:p>
        </w:tc>
        <w:tc>
          <w:tcPr>
            <w:tcW w:type="dxa" w:w="4680"/>
          </w:tcPr>
          <w:p>
            <w:r/>
            <w:r>
              <w:rPr>
                <w:b w:val="0"/>
                <w:i w:val="0"/>
                <w:sz w:val="19"/>
              </w:rPr>
              <w:t>Các ứng dụng, hệ thống và thiết bị cá nhân có thể không được duy trì và kiểm soát đúng cách nếu không có sự bảo trợ của chủ sở hữu.</w:t>
            </w:r>
          </w:p>
        </w:tc>
      </w:tr>
      <w:tr>
        <w:tc>
          <w:tcPr>
            <w:tcW w:type="dxa" w:w="4680"/>
          </w:tcPr>
          <w:p>
            <w:r/>
            <w:r>
              <w:rPr>
                <w:b w:val="0"/>
                <w:i w:val="0"/>
                <w:sz w:val="19"/>
              </w:rPr>
              <w:t>A-2</w:t>
            </w:r>
          </w:p>
        </w:tc>
        <w:tc>
          <w:tcPr>
            <w:tcW w:type="dxa" w:w="4680"/>
          </w:tcPr>
          <w:p>
            <w:r/>
            <w:r>
              <w:rPr>
                <w:b w:val="0"/>
                <w:i w:val="0"/>
                <w:sz w:val="19"/>
              </w:rPr>
              <w:t>Các thay đổi và quyền truy cập vào ứng dụng hoặc hệ thống có thể không được cấp phép đúng cách.</w:t>
            </w:r>
          </w:p>
        </w:tc>
      </w:tr>
      <w:tr>
        <w:tc>
          <w:tcPr>
            <w:tcW w:type="dxa" w:w="4680"/>
          </w:tcPr>
          <w:p>
            <w:r/>
            <w:r>
              <w:rPr>
                <w:b w:val="0"/>
                <w:i w:val="0"/>
                <w:sz w:val="19"/>
              </w:rPr>
              <w:t>A-3</w:t>
            </w:r>
          </w:p>
        </w:tc>
        <w:tc>
          <w:tcPr>
            <w:tcW w:type="dxa" w:w="4680"/>
          </w:tcPr>
          <w:p>
            <w:r/>
            <w:r>
              <w:rPr>
                <w:b w:val="0"/>
                <w:i w:val="0"/>
                <w:sz w:val="19"/>
              </w:rPr>
              <w:t>Nhân viên IT có thể xin phê duyệt cho các thay đổi ứng dụng hoặc hệ thống từ một người nào đó không phải là chủ sở hữu quy trình kinh doanh.</w:t>
            </w:r>
          </w:p>
        </w:tc>
      </w:tr>
      <w:tr>
        <w:tc>
          <w:tcPr>
            <w:tcW w:type="dxa" w:w="4680"/>
          </w:tcPr>
          <w:p>
            <w:r/>
            <w:r>
              <w:rPr>
                <w:b w:val="0"/>
                <w:i w:val="0"/>
                <w:sz w:val="19"/>
              </w:rPr>
              <w:t>A-4</w:t>
            </w:r>
          </w:p>
        </w:tc>
        <w:tc>
          <w:tcPr>
            <w:tcW w:type="dxa" w:w="4680"/>
          </w:tcPr>
          <w:p>
            <w:r/>
            <w:r>
              <w:rPr>
                <w:b w:val="0"/>
                <w:i w:val="0"/>
                <w:sz w:val="19"/>
              </w:rPr>
              <w:t>Nhân viên quản lý có thể thay đổi trách nhiệm mà không chuyển giao quyền sở hữu các ứng dụng hoặc hệ thống.</w:t>
            </w:r>
          </w:p>
        </w:tc>
      </w:tr>
      <w:tr>
        <w:tc>
          <w:tcPr>
            <w:tcW w:type="dxa" w:w="4680"/>
          </w:tcPr>
          <w:p>
            <w:r/>
            <w:r>
              <w:rPr>
                <w:b w:val="0"/>
                <w:i w:val="0"/>
                <w:sz w:val="19"/>
              </w:rPr>
              <w:t>A-5</w:t>
            </w:r>
          </w:p>
        </w:tc>
        <w:tc>
          <w:tcPr>
            <w:tcW w:type="dxa" w:w="4680"/>
          </w:tcPr>
          <w:p>
            <w:r/>
            <w:r>
              <w:rPr>
                <w:b w:val="0"/>
                <w:i w:val="0"/>
                <w:sz w:val="19"/>
              </w:rPr>
              <w:t>Các trách nhiệm liên quan đến việc vận hành và/hoặc bảo trì các cơ sở máy tính và viễn thông có thể không được định nghĩa rõ ràng.</w:t>
            </w:r>
          </w:p>
        </w:tc>
      </w:tr>
      <w:tr>
        <w:tc>
          <w:tcPr>
            <w:tcW w:type="dxa" w:w="4680"/>
          </w:tcPr>
          <w:p>
            <w:r/>
            <w:r>
              <w:rPr>
                <w:b w:val="0"/>
                <w:i w:val="0"/>
                <w:sz w:val="19"/>
              </w:rPr>
              <w:t>A-6</w:t>
            </w:r>
          </w:p>
        </w:tc>
        <w:tc>
          <w:tcPr>
            <w:tcW w:type="dxa" w:w="4680"/>
          </w:tcPr>
          <w:p>
            <w:r/>
            <w:r>
              <w:rPr>
                <w:b w:val="0"/>
                <w:i w:val="0"/>
                <w:sz w:val="19"/>
              </w:rPr>
              <w:t>Thiết bị máy tính có thể bị hư hại do hỏa hoạn hoặc nguyên nhân tự nhiên hoặc bị cố ý phá hoại bởi những người không được phép.</w:t>
            </w:r>
          </w:p>
        </w:tc>
      </w:tr>
      <w:tr>
        <w:tc>
          <w:tcPr>
            <w:tcW w:type="dxa" w:w="4680"/>
          </w:tcPr>
          <w:p>
            <w:r/>
            <w:r>
              <w:rPr>
                <w:b w:val="0"/>
                <w:i w:val="0"/>
                <w:sz w:val="19"/>
              </w:rPr>
              <w:t>A-7</w:t>
            </w:r>
          </w:p>
        </w:tc>
        <w:tc>
          <w:tcPr>
            <w:tcW w:type="dxa" w:w="4680"/>
          </w:tcPr>
          <w:p>
            <w:r/>
            <w:r>
              <w:rPr>
                <w:b w:val="0"/>
                <w:i w:val="0"/>
                <w:sz w:val="19"/>
              </w:rPr>
              <w:t>Các tệp sao lưu có thể không sẵn có để xử lý trong trường hợp xảy ra thảm họa.</w:t>
            </w:r>
          </w:p>
        </w:tc>
      </w:tr>
      <w:tr>
        <w:tc>
          <w:tcPr>
            <w:tcW w:type="dxa" w:w="4680"/>
          </w:tcPr>
          <w:p>
            <w:r/>
            <w:r>
              <w:rPr>
                <w:b w:val="0"/>
                <w:i w:val="0"/>
                <w:sz w:val="19"/>
              </w:rPr>
              <w:t>A-8</w:t>
            </w:r>
          </w:p>
        </w:tc>
        <w:tc>
          <w:tcPr>
            <w:tcW w:type="dxa" w:w="4680"/>
          </w:tcPr>
          <w:p>
            <w:r/>
            <w:r>
              <w:rPr>
                <w:b w:val="0"/>
                <w:i w:val="0"/>
                <w:sz w:val="19"/>
              </w:rPr>
              <w:t>Khả năng kinh doanh của công ty có thể bị ảnh hưởng nghiêm trọng nếu xảy ra thảm họa tại một địa điểm máy tính hoặc mạng lưới.</w:t>
            </w:r>
          </w:p>
        </w:tc>
      </w:tr>
      <w:tr>
        <w:tc>
          <w:tcPr>
            <w:tcW w:type="dxa" w:w="4680"/>
          </w:tcPr>
          <w:p>
            <w:r/>
            <w:r>
              <w:rPr>
                <w:b w:val="0"/>
                <w:i w:val="0"/>
                <w:sz w:val="19"/>
              </w:rPr>
              <w:t>A-9</w:t>
            </w:r>
          </w:p>
        </w:tc>
        <w:tc>
          <w:tcPr>
            <w:tcW w:type="dxa" w:w="4680"/>
          </w:tcPr>
          <w:p>
            <w:r/>
            <w:r>
              <w:rPr>
                <w:b w:val="0"/>
                <w:i w:val="0"/>
                <w:sz w:val="19"/>
              </w:rPr>
              <w:t>Có thể không có đủ nguồn lực để đáp ứng các yêu cầu kinh doanh và sự tăng trưởng.</w:t>
            </w:r>
          </w:p>
        </w:tc>
      </w:tr>
      <w:tr>
        <w:tc>
          <w:tcPr>
            <w:tcW w:type="dxa" w:w="4680"/>
          </w:tcPr>
          <w:p>
            <w:r/>
            <w:r>
              <w:rPr>
                <w:b w:val="0"/>
                <w:i w:val="0"/>
                <w:sz w:val="19"/>
              </w:rPr>
              <w:t>A-10</w:t>
            </w:r>
          </w:p>
        </w:tc>
        <w:tc>
          <w:tcPr>
            <w:tcW w:type="dxa" w:w="4680"/>
          </w:tcPr>
          <w:p>
            <w:r/>
            <w:r>
              <w:rPr>
                <w:b w:val="0"/>
                <w:i w:val="0"/>
                <w:sz w:val="19"/>
              </w:rPr>
              <w:t>Công ty có thể phải chịu trách nhiệm pháp lý vì việc sử dụng sai mục đích hoặc sao chép trái phép phần mềm độc quyền.</w:t>
            </w:r>
          </w:p>
        </w:tc>
      </w:tr>
      <w:tr>
        <w:tc>
          <w:tcPr>
            <w:tcW w:type="dxa" w:w="4680"/>
          </w:tcPr>
          <w:p>
            <w:r/>
            <w:r>
              <w:rPr>
                <w:b w:val="0"/>
                <w:i w:val="0"/>
                <w:sz w:val="19"/>
              </w:rPr>
              <w:t>A-11</w:t>
            </w:r>
          </w:p>
        </w:tc>
        <w:tc>
          <w:tcPr>
            <w:tcW w:type="dxa" w:w="4680"/>
          </w:tcPr>
          <w:p>
            <w:r/>
            <w:r>
              <w:rPr>
                <w:b w:val="0"/>
                <w:i w:val="0"/>
                <w:sz w:val="19"/>
              </w:rPr>
              <w:t>Các trách nhiệm liên quan đến việc vận hành và/hoặc duy trì hoạt động của phần mềm hệ thống và tài liệu ứng dụng có thể không được xác định rõ ràng.</w:t>
            </w:r>
          </w:p>
        </w:tc>
      </w:tr>
      <w:tr>
        <w:tc>
          <w:tcPr>
            <w:tcW w:type="dxa" w:w="4680"/>
          </w:tcPr>
          <w:p>
            <w:r/>
            <w:r>
              <w:rPr>
                <w:b w:val="0"/>
                <w:i w:val="0"/>
                <w:sz w:val="19"/>
              </w:rPr>
              <w:t>A-12</w:t>
            </w:r>
          </w:p>
        </w:tc>
        <w:tc>
          <w:tcPr>
            <w:tcW w:type="dxa" w:w="4680"/>
          </w:tcPr>
          <w:p>
            <w:r/>
            <w:r>
              <w:rPr>
                <w:b w:val="0"/>
                <w:i w:val="0"/>
                <w:sz w:val="19"/>
              </w:rPr>
              <w:t>Các hệ thống kinh doanh, sản xuất hoặc kỹ thuật có thể bị trục trặc, dẫn đến tổn thất về năng suất và doanh thu, hoặc dữ liệu quan trọng có thể bị phá hủy.</w:t>
            </w:r>
          </w:p>
        </w:tc>
      </w:tr>
      <w:tr>
        <w:tc>
          <w:tcPr>
            <w:tcW w:type="dxa" w:w="4680"/>
          </w:tcPr>
          <w:p>
            <w:r/>
            <w:r>
              <w:rPr>
                <w:b w:val="0"/>
                <w:i w:val="0"/>
                <w:sz w:val="19"/>
              </w:rPr>
              <w:t>A-14</w:t>
            </w:r>
          </w:p>
        </w:tc>
        <w:tc>
          <w:tcPr>
            <w:tcW w:type="dxa" w:w="4680"/>
          </w:tcPr>
          <w:p>
            <w:r/>
            <w:r>
              <w:rPr>
                <w:b w:val="0"/>
                <w:i w:val="0"/>
                <w:sz w:val="19"/>
              </w:rPr>
              <w:t>Hiệu quả vận hành và độ tin cậy có thể bị suy giảm và gây gián đoạn đáng kể cho quá trình xử lý.</w:t>
            </w:r>
          </w:p>
        </w:tc>
      </w:tr>
      <w:tr>
        <w:tc>
          <w:tcPr>
            <w:tcW w:type="dxa" w:w="4680"/>
          </w:tcPr>
          <w:p>
            <w:r/>
            <w:r>
              <w:rPr>
                <w:b w:val="0"/>
                <w:i w:val="0"/>
                <w:sz w:val="19"/>
              </w:rPr>
              <w:t>A-15</w:t>
            </w:r>
          </w:p>
        </w:tc>
        <w:tc>
          <w:tcPr>
            <w:tcW w:type="dxa" w:w="4680"/>
          </w:tcPr>
          <w:p>
            <w:r/>
            <w:r>
              <w:rPr>
                <w:b w:val="0"/>
                <w:i w:val="0"/>
                <w:sz w:val="19"/>
              </w:rPr>
              <w:t>Các cam kết về khối lượng được thiết lập trong hợp đồng có thể không đạt được.</w:t>
            </w:r>
          </w:p>
        </w:tc>
      </w:tr>
      <w:tr>
        <w:tc>
          <w:tcPr>
            <w:tcW w:type="dxa" w:w="4680"/>
          </w:tcPr>
          <w:p>
            <w:r/>
            <w:r>
              <w:rPr>
                <w:b w:val="0"/>
                <w:i w:val="0"/>
                <w:sz w:val="19"/>
              </w:rPr>
              <w:t>A-16</w:t>
            </w:r>
          </w:p>
        </w:tc>
        <w:tc>
          <w:tcPr>
            <w:tcW w:type="dxa" w:w="4680"/>
          </w:tcPr>
          <w:p>
            <w:r/>
            <w:r>
              <w:rPr>
                <w:b w:val="0"/>
                <w:i w:val="0"/>
                <w:sz w:val="19"/>
              </w:rPr>
              <w:t>Công ty có thể không nhận được mức chiết khấu phù hợp với tổng khối lượng mua sắm công nghệ thông tin của mình.</w:t>
            </w:r>
          </w:p>
        </w:tc>
      </w:tr>
      <w:tr>
        <w:tc>
          <w:tcPr>
            <w:tcW w:type="dxa" w:w="4680"/>
          </w:tcPr>
          <w:p>
            <w:r/>
            <w:r>
              <w:rPr>
                <w:b w:val="0"/>
                <w:i w:val="0"/>
                <w:sz w:val="19"/>
              </w:rPr>
              <w:t>A-17</w:t>
            </w:r>
          </w:p>
        </w:tc>
        <w:tc>
          <w:tcPr>
            <w:tcW w:type="dxa" w:w="4680"/>
          </w:tcPr>
          <w:p>
            <w:r/>
            <w:r>
              <w:rPr>
                <w:b w:val="0"/>
                <w:i w:val="0"/>
                <w:sz w:val="19"/>
              </w:rPr>
              <w:t>Có thể phát triển các hạ tầng trùng lặp, làm tăng chi phí tổng thể của công ty.</w:t>
            </w:r>
          </w:p>
        </w:tc>
      </w:tr>
      <w:tr>
        <w:tc>
          <w:tcPr>
            <w:tcW w:type="dxa" w:w="4680"/>
          </w:tcPr>
          <w:p>
            <w:r/>
            <w:r>
              <w:rPr>
                <w:b w:val="0"/>
                <w:i w:val="0"/>
                <w:sz w:val="19"/>
              </w:rPr>
              <w:t>A-18</w:t>
            </w:r>
          </w:p>
        </w:tc>
        <w:tc>
          <w:tcPr>
            <w:tcW w:type="dxa" w:w="4680"/>
          </w:tcPr>
          <w:p>
            <w:r/>
            <w:r>
              <w:rPr>
                <w:b w:val="0"/>
                <w:i w:val="0"/>
                <w:sz w:val="19"/>
              </w:rPr>
              <w:t>Thông tin của công ty có thể bị tiết lộ, mất mát hoặc bị nhiễm bẩn, điều này có thể ảnh hưởng tiêu cực đến vị thế cạnh tranh của công ty.</w:t>
            </w:r>
          </w:p>
        </w:tc>
      </w:tr>
      <w:tr>
        <w:tc>
          <w:tcPr>
            <w:tcW w:type="dxa" w:w="4680"/>
          </w:tcPr>
          <w:p>
            <w:r/>
            <w:r>
              <w:rPr>
                <w:b w:val="0"/>
                <w:i w:val="0"/>
                <w:sz w:val="19"/>
              </w:rPr>
              <w:t>A-19</w:t>
            </w:r>
          </w:p>
        </w:tc>
        <w:tc>
          <w:tcPr>
            <w:tcW w:type="dxa" w:w="4680"/>
          </w:tcPr>
          <w:p>
            <w:r/>
            <w:r>
              <w:rPr>
                <w:b w:val="0"/>
                <w:i w:val="0"/>
                <w:sz w:val="19"/>
              </w:rPr>
              <w:t>Mật khẩu truy cập vào máy tính người dùng hoặc tài khoản mạng có thể bị tiết lộ và cho phép truy cập trái phép vào dữ liệu và chương trình.</w:t>
            </w:r>
          </w:p>
        </w:tc>
      </w:tr>
      <w:tr>
        <w:tc>
          <w:tcPr>
            <w:tcW w:type="dxa" w:w="4680"/>
          </w:tcPr>
          <w:p>
            <w:r/>
            <w:r>
              <w:rPr>
                <w:b w:val="0"/>
                <w:i w:val="0"/>
                <w:sz w:val="19"/>
              </w:rPr>
              <w:t>A-20</w:t>
            </w:r>
          </w:p>
        </w:tc>
        <w:tc>
          <w:tcPr>
            <w:tcW w:type="dxa" w:w="4680"/>
          </w:tcPr>
          <w:p>
            <w:r/>
            <w:r>
              <w:rPr>
                <w:b w:val="0"/>
                <w:i w:val="0"/>
                <w:sz w:val="19"/>
              </w:rPr>
              <w:t>Trách nhiệm giải trình cá nhân có thể bị mất đi.</w:t>
            </w:r>
          </w:p>
        </w:tc>
      </w:tr>
      <w:tr>
        <w:tc>
          <w:tcPr>
            <w:tcW w:type="dxa" w:w="4680"/>
          </w:tcPr>
          <w:p>
            <w:r/>
            <w:r>
              <w:rPr>
                <w:b w:val="0"/>
                <w:i w:val="0"/>
                <w:sz w:val="19"/>
              </w:rPr>
              <w:t>A-21</w:t>
            </w:r>
          </w:p>
        </w:tc>
        <w:tc>
          <w:tcPr>
            <w:tcW w:type="dxa" w:w="4680"/>
          </w:tcPr>
          <w:p>
            <w:r/>
            <w:r>
              <w:rPr>
                <w:b w:val="0"/>
                <w:i w:val="0"/>
                <w:sz w:val="19"/>
              </w:rPr>
              <w:t>Các trách nhiệm pháp lý tại địa phương có thể không được đáp ứng, khiến công ty phải đối mặt với các nghĩa vụ pháp lý.</w:t>
            </w:r>
          </w:p>
        </w:tc>
      </w:tr>
    </w:tbl>
    <w:p>
      <w:pPr>
        <w:spacing w:after="0"/>
      </w:pPr>
    </w:p>
    <w:p>
      <w:pPr>
        <w:pStyle w:val="Heading2"/>
      </w:pPr>
      <w:r>
        <w:rPr>
          <w:rFonts w:ascii="Calibri" w:hAnsi="Calibri"/>
          <w:b/>
          <w:i w:val="0"/>
          <w:sz w:val="32"/>
        </w:rPr>
        <w:t>10.2 AN NINH VẬT LÝ VÀ CÁC KIỂM SOÁT MÔI TRƯỜNG</w:t>
      </w:r>
    </w:p>
    <w:p>
      <w:pPr>
        <w:pStyle w:val="Heading3"/>
      </w:pPr>
      <w:r>
        <w:rPr>
          <w:rFonts w:ascii="Calibri" w:hAnsi="Calibri"/>
          <w:b/>
          <w:i w:val="0"/>
          <w:sz w:val="26"/>
        </w:rPr>
        <w:t>Giới thiệu</w:t>
      </w:r>
    </w:p>
    <w:p>
      <w:pPr>
        <w:spacing w:after="80"/>
      </w:pPr>
      <w:r>
        <w:rPr>
          <w:b w:val="0"/>
          <w:i w:val="0"/>
        </w:rPr>
        <w:t>Ban quản lý có thể chỉ định một số khu vực máy tính và viễn thông là những khu vực yêu cầu hạn chế truy cập. Việc truy cập vào các khu vực máy tính và viễn thông bị hạn chế phải được giới hạn cho những cá nhân được ủy quyền theo nguyên tắc cần-biết (need-to-know). Ví dụ về các khu vực bị hạn chế bao gồm các phòng thiết kế sản phẩm, trung tâm máy tính, khu vực truy cập viễn thông và phòng chuyển mạch, cùng các vị trí đặt máy chủ tệp mạng (network file server).</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10.2.1</w:t>
            </w:r>
          </w:p>
        </w:tc>
        <w:tc>
          <w:tcPr>
            <w:tcW w:type="dxa" w:w="4680"/>
          </w:tcPr>
          <w:p>
            <w:r/>
            <w:r>
              <w:rPr>
                <w:b w:val="0"/>
                <w:i w:val="0"/>
                <w:sz w:val="19"/>
              </w:rPr>
              <w:t>Truy cập Bị hạn chế. Các kỹ thuật kiểm soát sau đây phải được áp dụng cho những khu vực này:</w:t>
            </w:r>
            <w:r>
              <w:br/>
            </w:r>
            <w:r>
              <w:rPr>
                <w:b w:val="0"/>
                <w:i w:val="0"/>
                <w:sz w:val="19"/>
              </w:rPr>
              <w:t xml:space="preserve">a. Việc truy cập vật lý vào phần cứng máy tính và mạng, phần mềm, dữ liệu và tài liệu phải được ban quản lý ủy quyền cụ thể và chỉ giới hạn cho những nhân sự cần quyền truy cập đó để thực hiện các trách nhiệm chức năng được giao. </w:t>
            </w:r>
            <w:r>
              <w:rPr>
                <w:b/>
                <w:i w:val="0"/>
                <w:sz w:val="19"/>
              </w:rPr>
              <w:t>Tham khảo các rủi ro: B-1, B-2</w:t>
            </w:r>
            <w:r>
              <w:rPr>
                <w:b w:val="0"/>
                <w:i w:val="0"/>
                <w:sz w:val="19"/>
              </w:rPr>
              <w:t xml:space="preserve"> </w:t>
            </w:r>
            <w:r>
              <w:br/>
            </w:r>
            <w:r>
              <w:rPr>
                <w:b w:val="0"/>
                <w:i w:val="0"/>
                <w:sz w:val="19"/>
              </w:rPr>
              <w:t xml:space="preserve">b. Tất cả các lối vào/ra của khu vực máy tính và viễn thông bị hạn chế phải được bảo vệ về mặt vật lý. </w:t>
            </w:r>
            <w:r>
              <w:rPr>
                <w:b/>
                <w:i w:val="0"/>
                <w:sz w:val="19"/>
              </w:rPr>
              <w:t>Tham khảo các rủi ro: B-1, B-2, B-3</w:t>
            </w:r>
            <w:r>
              <w:rPr>
                <w:b w:val="0"/>
                <w:i w:val="0"/>
                <w:sz w:val="19"/>
              </w:rPr>
              <w:t xml:space="preserve"> </w:t>
            </w:r>
            <w:r>
              <w:br/>
            </w:r>
            <w:r>
              <w:rPr>
                <w:b w:val="0"/>
                <w:i w:val="0"/>
                <w:sz w:val="19"/>
              </w:rPr>
              <w:t xml:space="preserve">c. Tất cả chìa khóa, thẻ từ, thẻ đeo và mã kết hợp dùng để hạn chế truy cập vào các khu vực máy tính và viễn thông bị hạn chế phải bị thu hồi và/hoặc bị từ chối truy cập bởi ban quản lý khi nhân viên nghỉ việc hoặc chuyển công tác. Danh sách truy cập vào những khu vực này phải được xem xét ít nhất mỗi năm một lần. </w:t>
            </w:r>
            <w:r>
              <w:rPr>
                <w:b/>
                <w:i w:val="0"/>
                <w:sz w:val="19"/>
              </w:rPr>
              <w:t>Tham khảo các rủi ro: B-1, B-2, B-3</w:t>
            </w:r>
            <w:r>
              <w:rPr>
                <w:b w:val="0"/>
                <w:i w:val="0"/>
                <w:sz w:val="19"/>
              </w:rPr>
              <w:t xml:space="preserve"> </w:t>
            </w:r>
            <w:r>
              <w:br/>
            </w:r>
            <w:r>
              <w:rPr>
                <w:b w:val="0"/>
                <w:i w:val="0"/>
                <w:sz w:val="19"/>
              </w:rPr>
              <w:t xml:space="preserve">d. Tất cả việc truy cập vật lý vào phần cứng máy tính, phần mềm, dữ liệu và tài liệu của các nhà cung cấp và nhà bán hàng phải được ủy quyền cụ thể. Tất cả nhà cung cấp và nhà bán hàng phải được giám sát bởi nhân sự được ủy quyền. </w:t>
            </w:r>
            <w:r>
              <w:rPr>
                <w:b/>
                <w:i w:val="0"/>
                <w:sz w:val="19"/>
              </w:rPr>
              <w:t>Tham khảo các rủi ro: B-1, B-2</w:t>
            </w:r>
            <w:r>
              <w:rPr>
                <w:b w:val="0"/>
                <w:i w:val="0"/>
                <w:sz w:val="19"/>
              </w:rPr>
              <w:t xml:space="preserve"> </w:t>
            </w:r>
            <w:r>
              <w:br/>
            </w:r>
            <w:r>
              <w:rPr>
                <w:b w:val="0"/>
                <w:i w:val="0"/>
                <w:sz w:val="19"/>
              </w:rPr>
              <w:t xml:space="preserve">e. Tất cả việc di chuyển thiết bị máy tính và viễn thông cùng các tệp dữ liệu chứa thông tin độc quyền ra khỏi khu vực phải được ban quản lý ủy quyền cụ thể, được ghi lại và đối chiếu. Tất cả các tệp dữ liệu được di chuyển phải được xử lý theo đúng phân loại của chúng. </w:t>
            </w:r>
            <w:r>
              <w:rPr>
                <w:b/>
                <w:i w:val="0"/>
                <w:sz w:val="19"/>
              </w:rPr>
              <w:t>Tham khảo các rủi ro: B-1, B-2</w:t>
            </w:r>
          </w:p>
        </w:tc>
      </w:tr>
      <w:tr>
        <w:tc>
          <w:tcPr>
            <w:tcW w:type="dxa" w:w="4680"/>
          </w:tcPr>
          <w:p>
            <w:r/>
            <w:r>
              <w:rPr>
                <w:b w:val="0"/>
                <w:i w:val="0"/>
                <w:sz w:val="19"/>
              </w:rPr>
              <w:t>10.2.2</w:t>
            </w:r>
          </w:p>
        </w:tc>
        <w:tc>
          <w:tcPr>
            <w:tcW w:type="dxa" w:w="4680"/>
          </w:tcPr>
          <w:p>
            <w:r/>
            <w:r>
              <w:rPr>
                <w:b/>
                <w:i w:val="0"/>
                <w:sz w:val="19"/>
              </w:rPr>
              <w:t>Việc tháo dỡ tài sản được phép.</w:t>
            </w:r>
            <w:r>
              <w:rPr>
                <w:b w:val="0"/>
                <w:i w:val="0"/>
                <w:sz w:val="19"/>
              </w:rPr>
              <w:t xml:space="preserve"> Mọi việc tháo dỡ thiết bị máy tính, thiết bị viễn thông và các tệp dữ liệu (kể cả những thiết bị được tháo dỡ để thanh lý) có chứa thông tin của công ty đều phải được ban quản lý cho phép cụ thể. Tất cả các tệp dữ liệu bị tháo dỡ phải được xử lý theo đúng mức phân loại bảo mật của chúng. </w:t>
            </w:r>
            <w:r>
              <w:rPr>
                <w:b/>
                <w:i w:val="0"/>
                <w:sz w:val="19"/>
              </w:rPr>
              <w:t>Tham khảo các rủi ro: B-1, B-2</w:t>
            </w:r>
          </w:p>
        </w:tc>
      </w:tr>
      <w:tr>
        <w:tc>
          <w:tcPr>
            <w:tcW w:type="dxa" w:w="4680"/>
          </w:tcPr>
          <w:p>
            <w:r/>
            <w:r>
              <w:rPr>
                <w:b w:val="0"/>
                <w:i w:val="0"/>
                <w:sz w:val="19"/>
              </w:rPr>
              <w:t>10.2.3</w:t>
            </w:r>
          </w:p>
        </w:tc>
        <w:tc>
          <w:tcPr>
            <w:tcW w:type="dxa" w:w="4680"/>
          </w:tcPr>
          <w:p>
            <w:r/>
            <w:r>
              <w:rPr>
                <w:b/>
                <w:i w:val="0"/>
                <w:sz w:val="19"/>
              </w:rPr>
              <w:t>Yêu cầu về môi trường.</w:t>
            </w:r>
            <w:r>
              <w:rPr>
                <w:b w:val="0"/>
                <w:i w:val="0"/>
                <w:sz w:val="19"/>
              </w:rPr>
              <w:t xml:space="preserve"> Các địa điểm đặt máy tính và thiết bị viễn thông phải được chuẩn bị và duy trì theo đúng các yêu cầu về môi trường do nhà cung cấp quy định cho thiết bị đó. </w:t>
            </w:r>
            <w:r>
              <w:rPr>
                <w:b/>
                <w:i w:val="0"/>
                <w:sz w:val="19"/>
              </w:rPr>
              <w:t>Tham khảo các rủi ro: B-4, B-5, B-6, B-7</w:t>
            </w:r>
          </w:p>
        </w:tc>
      </w:tr>
      <w:tr>
        <w:tc>
          <w:tcPr>
            <w:tcW w:type="dxa" w:w="4680"/>
          </w:tcPr>
          <w:p>
            <w:r/>
            <w:r>
              <w:rPr>
                <w:b w:val="0"/>
                <w:i w:val="0"/>
                <w:sz w:val="19"/>
              </w:rPr>
              <w:t>10.2.4</w:t>
            </w:r>
          </w:p>
        </w:tc>
        <w:tc>
          <w:tcPr>
            <w:tcW w:type="dxa" w:w="4680"/>
          </w:tcPr>
          <w:p>
            <w:r/>
            <w:r>
              <w:rPr>
                <w:b/>
                <w:i w:val="0"/>
                <w:sz w:val="19"/>
              </w:rPr>
              <w:t>Kiểm kê định kỳ.</w:t>
            </w:r>
            <w:r>
              <w:rPr>
                <w:b w:val="0"/>
                <w:i w:val="0"/>
                <w:sz w:val="19"/>
              </w:rPr>
              <w:t xml:space="preserve"> Việc kiểm kê định kỳ phần mềm và phần cứng máy tính, viễn thông phải được thực hiện thường xuyên và phải được đối chiếu. </w:t>
            </w:r>
            <w:r>
              <w:rPr>
                <w:b/>
                <w:i w:val="0"/>
                <w:sz w:val="19"/>
              </w:rPr>
              <w:t>Tham khảo các rủi ro: B-1, B-2, B-5</w:t>
            </w:r>
          </w:p>
        </w:tc>
      </w:tr>
      <w:tr>
        <w:tc>
          <w:tcPr>
            <w:tcW w:type="dxa" w:w="4680"/>
          </w:tcPr>
          <w:p>
            <w:r/>
            <w:r>
              <w:rPr>
                <w:b w:val="0"/>
                <w:i w:val="0"/>
                <w:sz w:val="19"/>
              </w:rPr>
              <w:t>10.2.5</w:t>
            </w:r>
          </w:p>
        </w:tc>
        <w:tc>
          <w:tcPr>
            <w:tcW w:type="dxa" w:w="4680"/>
          </w:tcPr>
          <w:p>
            <w:r/>
            <w:r>
              <w:rPr>
                <w:b/>
                <w:i w:val="0"/>
                <w:sz w:val="19"/>
              </w:rPr>
              <w:t>Hạn chế truy cập vào bảng điều khiển.</w:t>
            </w:r>
            <w:r>
              <w:rPr>
                <w:b w:val="0"/>
                <w:i w:val="0"/>
                <w:sz w:val="19"/>
              </w:rPr>
              <w:t xml:space="preserve"> Bảng điều khiển máy tính chính và các thiết bị đầu cuối quản lý mạng/hệ thống chỉ được phép cho nhân viên vận hành được ủy quyền truy cập, và mọi hoạt động trên bảng điều khiển đều phải được ghi lại. </w:t>
            </w:r>
            <w:r>
              <w:rPr>
                <w:b/>
                <w:i w:val="0"/>
                <w:sz w:val="19"/>
              </w:rPr>
              <w:t>Tham khảo các rủi ro: B-2, B-3</w:t>
            </w:r>
          </w:p>
        </w:tc>
      </w:tr>
      <w:tr>
        <w:tc>
          <w:tcPr>
            <w:tcW w:type="dxa" w:w="4680"/>
          </w:tcPr>
          <w:p>
            <w:r/>
            <w:r>
              <w:rPr>
                <w:b w:val="0"/>
                <w:i w:val="0"/>
                <w:sz w:val="19"/>
              </w:rPr>
              <w:t>10.2.6</w:t>
            </w:r>
          </w:p>
        </w:tc>
        <w:tc>
          <w:tcPr>
            <w:tcW w:type="dxa" w:w="4680"/>
          </w:tcPr>
          <w:p>
            <w:r/>
            <w:r>
              <w:rPr>
                <w:b/>
                <w:i w:val="0"/>
                <w:sz w:val="19"/>
              </w:rPr>
              <w:t>Bảo vệ phần cứng.</w:t>
            </w:r>
            <w:r>
              <w:rPr>
                <w:b w:val="0"/>
                <w:i w:val="0"/>
                <w:sz w:val="19"/>
              </w:rPr>
              <w:t xml:space="preserve"> Phần cứng viễn thông và máy tính không được đặt ở những khu vực không được bảo vệ, gây ra rủi ro quá mức. </w:t>
            </w:r>
            <w:r>
              <w:rPr>
                <w:b/>
                <w:i w:val="0"/>
                <w:sz w:val="19"/>
              </w:rPr>
              <w:t>Tham khảo các rủi ro: B-1, B-2</w:t>
            </w:r>
          </w:p>
        </w:tc>
      </w:tr>
      <w:tr>
        <w:tc>
          <w:tcPr>
            <w:tcW w:type="dxa" w:w="4680"/>
          </w:tcPr>
          <w:p>
            <w:r/>
            <w:r>
              <w:rPr>
                <w:b w:val="0"/>
                <w:i w:val="0"/>
                <w:sz w:val="19"/>
              </w:rPr>
              <w:t>10.2.7</w:t>
            </w:r>
          </w:p>
        </w:tc>
        <w:tc>
          <w:tcPr>
            <w:tcW w:type="dxa" w:w="4680"/>
          </w:tcPr>
          <w:p>
            <w:r/>
            <w:r>
              <w:rPr>
                <w:b/>
                <w:i w:val="0"/>
                <w:sz w:val="19"/>
              </w:rPr>
              <w:t>Phòng cháy chữa cháy.</w:t>
            </w:r>
            <w:r>
              <w:rPr>
                <w:b w:val="0"/>
                <w:i w:val="0"/>
                <w:sz w:val="19"/>
              </w:rPr>
              <w:t xml:space="preserve"> Hệ thống và thiết bị phát hiện, phòng ngừa và dập lửa phải được lắp đặt tại các địa điểm đặt phần cứng máy tính và thiết bị viễn thông, phải để nhân viên vận hành đã được đào tạo có thể tiếp cận, và phải được kiểm tra định kỳ theo đúng quy định của công ty và tiêu chuẩn kỹ thuật. </w:t>
            </w:r>
            <w:r>
              <w:rPr>
                <w:b/>
                <w:i w:val="0"/>
                <w:sz w:val="19"/>
              </w:rPr>
              <w:t>Tham khảo các rủi ro: B-1, B-4, B-5, B-7</w:t>
            </w:r>
          </w:p>
        </w:tc>
      </w:tr>
      <w:tr>
        <w:tc>
          <w:tcPr>
            <w:tcW w:type="dxa" w:w="4680"/>
          </w:tcPr>
          <w:p>
            <w:r/>
            <w:r>
              <w:rPr>
                <w:b w:val="0"/>
                <w:i w:val="0"/>
                <w:sz w:val="19"/>
              </w:rPr>
              <w:t>10.2.8</w:t>
            </w:r>
          </w:p>
        </w:tc>
        <w:tc>
          <w:tcPr>
            <w:tcW w:type="dxa" w:w="4680"/>
          </w:tcPr>
          <w:p>
            <w:r/>
            <w:r>
              <w:rPr>
                <w:b/>
                <w:i w:val="0"/>
                <w:sz w:val="19"/>
              </w:rPr>
              <w:t>Bảo vệ khỏi sự cố điện.</w:t>
            </w:r>
            <w:r>
              <w:rPr>
                <w:b w:val="0"/>
                <w:i w:val="0"/>
                <w:sz w:val="19"/>
              </w:rPr>
              <w:t xml:space="preserve"> Tất cả phần cứng máy tính và viễn thông phải được bảo vệ thích hợp trước các sự cố tăng vọt điện áp, hư hại do nước và thiên tai, dựa trên đánh giá rủi ro. </w:t>
            </w:r>
            <w:r>
              <w:rPr>
                <w:b/>
                <w:i w:val="0"/>
                <w:sz w:val="19"/>
              </w:rPr>
              <w:t>Tham khảo các rủi ro: B-1, B-4, B-5, B-7</w:t>
            </w:r>
          </w:p>
        </w:tc>
      </w:tr>
      <w:tr>
        <w:tc>
          <w:tcPr>
            <w:tcW w:type="dxa" w:w="4680"/>
          </w:tcPr>
          <w:p>
            <w:r/>
            <w:r>
              <w:rPr>
                <w:b w:val="0"/>
                <w:i w:val="0"/>
                <w:sz w:val="19"/>
              </w:rPr>
              <w:t>10.2.9</w:t>
            </w:r>
          </w:p>
        </w:tc>
        <w:tc>
          <w:tcPr>
            <w:tcW w:type="dxa" w:w="4680"/>
          </w:tcPr>
          <w:p>
            <w:r/>
            <w:r>
              <w:rPr>
                <w:b/>
                <w:i w:val="0"/>
                <w:sz w:val="19"/>
              </w:rPr>
              <w:t>Vị trí đặt phần cứng.</w:t>
            </w:r>
            <w:r>
              <w:rPr>
                <w:b w:val="0"/>
                <w:i w:val="0"/>
                <w:sz w:val="19"/>
              </w:rPr>
              <w:t xml:space="preserve"> Phần cứng máy tính và các địa điểm viễn thông không được xây dựng hoặc đặt gần bất kỳ khu vực dễ cháy hoặc nguy hiểm nào. </w:t>
            </w:r>
            <w:r>
              <w:rPr>
                <w:b/>
                <w:i w:val="0"/>
                <w:sz w:val="19"/>
              </w:rPr>
              <w:t>Tham khảo các rủi ro: B-1, B-4, B-5, B-7</w:t>
            </w:r>
          </w:p>
        </w:tc>
      </w:tr>
      <w:tr>
        <w:tc>
          <w:tcPr>
            <w:tcW w:type="dxa" w:w="4680"/>
          </w:tcPr>
          <w:p>
            <w:r/>
            <w:r>
              <w:rPr>
                <w:b w:val="0"/>
                <w:i w:val="0"/>
                <w:sz w:val="19"/>
              </w:rPr>
              <w:t>10.2.10</w:t>
            </w:r>
          </w:p>
        </w:tc>
        <w:tc>
          <w:tcPr>
            <w:tcW w:type="dxa" w:w="4680"/>
          </w:tcPr>
          <w:p>
            <w:r/>
            <w:r>
              <w:rPr>
                <w:b/>
                <w:i w:val="0"/>
                <w:sz w:val="19"/>
              </w:rPr>
              <w:t>Vệ sinh khu vực thiết bị.</w:t>
            </w:r>
            <w:r>
              <w:rPr>
                <w:b w:val="0"/>
                <w:i w:val="0"/>
                <w:sz w:val="19"/>
              </w:rPr>
              <w:t xml:space="preserve"> Các khu vực đặt phần cứng máy tính và thiết bị viễn thông phải được giữ sạch sẽ, không có vật liệu dễ cháy và nhân sự chịu trách nhiệm phải tuân thủ các quy tắc vệ sinh được chấp nhận. Các khu vực văn phòng trong những cơ sở này phải được tránh và chỉ được phép đặt trong trường hợp ngoại lệ. </w:t>
            </w:r>
            <w:r>
              <w:rPr>
                <w:b/>
                <w:i w:val="0"/>
                <w:sz w:val="19"/>
              </w:rPr>
              <w:t>Tham khảo các rủi ro: B-1, B-4, B-5, B-7</w:t>
            </w:r>
          </w:p>
        </w:tc>
      </w:tr>
      <w:tr>
        <w:tc>
          <w:tcPr>
            <w:tcW w:type="dxa" w:w="4680"/>
          </w:tcPr>
          <w:p>
            <w:r/>
            <w:r>
              <w:rPr>
                <w:b w:val="0"/>
                <w:i w:val="0"/>
                <w:sz w:val="19"/>
              </w:rPr>
              <w:t>10.2.11</w:t>
            </w:r>
          </w:p>
        </w:tc>
        <w:tc>
          <w:tcPr>
            <w:tcW w:type="dxa" w:w="4680"/>
          </w:tcPr>
          <w:p>
            <w:r/>
            <w:r>
              <w:rPr>
                <w:b/>
                <w:i w:val="0"/>
                <w:sz w:val="19"/>
              </w:rPr>
              <w:t>Nhật ký lỗi.</w:t>
            </w:r>
            <w:r>
              <w:rPr>
                <w:b w:val="0"/>
                <w:i w:val="0"/>
                <w:sz w:val="19"/>
              </w:rPr>
              <w:t xml:space="preserve"> Tất cả các vấn đề/lỗi về phần cứng và phần mềm máy tính, viễn thông phải được ghi lại, giám sát và phân tích để đảm bảo nhận diện và khắc phục kịp thời. </w:t>
            </w:r>
            <w:r>
              <w:rPr>
                <w:b/>
                <w:i w:val="0"/>
                <w:sz w:val="19"/>
              </w:rPr>
              <w:t>Tham khảo rủi ro: B-6</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B-1</w:t>
            </w:r>
          </w:p>
        </w:tc>
        <w:tc>
          <w:tcPr>
            <w:tcW w:type="dxa" w:w="4680"/>
          </w:tcPr>
          <w:p>
            <w:r/>
            <w:r>
              <w:rPr>
                <w:b w:val="0"/>
                <w:i w:val="0"/>
                <w:sz w:val="19"/>
              </w:rPr>
              <w:t>Phần cứng, phần mềm, dữ liệu và tài liệu của máy tính và viễn thông có thể không được bảo vệ đầy đủ khỏi hư hỏng hoặc trộm cắp.</w:t>
            </w:r>
          </w:p>
        </w:tc>
      </w:tr>
      <w:tr>
        <w:tc>
          <w:tcPr>
            <w:tcW w:type="dxa" w:w="4680"/>
          </w:tcPr>
          <w:p>
            <w:r/>
            <w:r>
              <w:rPr>
                <w:b w:val="0"/>
                <w:i w:val="0"/>
                <w:sz w:val="19"/>
              </w:rPr>
              <w:t>B-2</w:t>
            </w:r>
          </w:p>
        </w:tc>
        <w:tc>
          <w:tcPr>
            <w:tcW w:type="dxa" w:w="4680"/>
          </w:tcPr>
          <w:p>
            <w:r/>
            <w:r>
              <w:rPr>
                <w:b w:val="0"/>
                <w:i w:val="0"/>
                <w:sz w:val="19"/>
              </w:rPr>
              <w:t>Việc sử dụng, tiết lộ, sửa đổi, phá hủy hoặc đánh cắp hệ thống và dữ liệu trái phép có thể xảy ra.</w:t>
            </w:r>
          </w:p>
        </w:tc>
      </w:tr>
      <w:tr>
        <w:tc>
          <w:tcPr>
            <w:tcW w:type="dxa" w:w="4680"/>
          </w:tcPr>
          <w:p>
            <w:r/>
            <w:r>
              <w:rPr>
                <w:b w:val="0"/>
                <w:i w:val="0"/>
                <w:sz w:val="19"/>
              </w:rPr>
              <w:t>B-3</w:t>
            </w:r>
          </w:p>
        </w:tc>
        <w:tc>
          <w:tcPr>
            <w:tcW w:type="dxa" w:w="4680"/>
          </w:tcPr>
          <w:p>
            <w:r/>
            <w:r>
              <w:rPr>
                <w:b w:val="0"/>
                <w:i w:val="0"/>
                <w:sz w:val="19"/>
              </w:rPr>
              <w:t>Phần cứng máy tính và viễn thông có thể bị nhân sự không được phép sử dụng để vượt qua các kiểm soát an ninh và vận hành thông thường và truy cập vào các hệ thống và dữ liệu mật.</w:t>
            </w:r>
          </w:p>
        </w:tc>
      </w:tr>
      <w:tr>
        <w:tc>
          <w:tcPr>
            <w:tcW w:type="dxa" w:w="4680"/>
          </w:tcPr>
          <w:p>
            <w:r/>
            <w:r>
              <w:rPr>
                <w:b w:val="0"/>
                <w:i w:val="0"/>
                <w:sz w:val="19"/>
              </w:rPr>
              <w:t>B-4</w:t>
            </w:r>
          </w:p>
        </w:tc>
        <w:tc>
          <w:tcPr>
            <w:tcW w:type="dxa" w:w="4680"/>
          </w:tcPr>
          <w:p>
            <w:r/>
            <w:r>
              <w:rPr>
                <w:b w:val="0"/>
                <w:i w:val="0"/>
                <w:sz w:val="19"/>
              </w:rPr>
              <w:t>Nhân sự có thể gặp rủi ro về thể chất không cần thiết nếu các kiểm soát môi trường không đầy đủ.</w:t>
            </w:r>
          </w:p>
        </w:tc>
      </w:tr>
      <w:tr>
        <w:tc>
          <w:tcPr>
            <w:tcW w:type="dxa" w:w="4680"/>
          </w:tcPr>
          <w:p>
            <w:r/>
            <w:r>
              <w:rPr>
                <w:b w:val="0"/>
                <w:i w:val="0"/>
                <w:sz w:val="19"/>
              </w:rPr>
              <w:t>B-5</w:t>
            </w:r>
          </w:p>
        </w:tc>
        <w:tc>
          <w:tcPr>
            <w:tcW w:type="dxa" w:w="4680"/>
          </w:tcPr>
          <w:p>
            <w:r/>
            <w:r>
              <w:rPr>
                <w:b w:val="0"/>
                <w:i w:val="0"/>
                <w:sz w:val="19"/>
              </w:rPr>
              <w:t>Mất mát dữ liệu quan trọng có thể xảy ra do phần cứng máy tính và phương tiện lưu trữ được cài đặt, bảo trì hoặc lưu trữ không đúng cách.</w:t>
            </w:r>
          </w:p>
        </w:tc>
      </w:tr>
      <w:tr>
        <w:tc>
          <w:tcPr>
            <w:tcW w:type="dxa" w:w="4680"/>
          </w:tcPr>
          <w:p>
            <w:r/>
            <w:r>
              <w:rPr>
                <w:b w:val="0"/>
                <w:i w:val="0"/>
                <w:sz w:val="19"/>
              </w:rPr>
              <w:t>B-6</w:t>
            </w:r>
          </w:p>
        </w:tc>
        <w:tc>
          <w:tcPr>
            <w:tcW w:type="dxa" w:w="4680"/>
          </w:tcPr>
          <w:p>
            <w:r/>
            <w:r>
              <w:rPr>
                <w:b w:val="0"/>
                <w:i w:val="0"/>
                <w:sz w:val="19"/>
              </w:rPr>
              <w:t>Hiệu quả vận hành và độ tin cậy có thể bị suy giảm và làm gián đoạn đáng kể quá trình xử lý.</w:t>
            </w:r>
          </w:p>
        </w:tc>
      </w:tr>
      <w:tr>
        <w:tc>
          <w:tcPr>
            <w:tcW w:type="dxa" w:w="4680"/>
          </w:tcPr>
          <w:p>
            <w:r/>
            <w:r>
              <w:rPr>
                <w:b w:val="0"/>
                <w:i w:val="0"/>
                <w:sz w:val="19"/>
              </w:rPr>
              <w:t>B-7</w:t>
            </w:r>
          </w:p>
        </w:tc>
        <w:tc>
          <w:tcPr>
            <w:tcW w:type="dxa" w:w="4680"/>
          </w:tcPr>
          <w:p>
            <w:r/>
            <w:r>
              <w:rPr>
                <w:b w:val="0"/>
                <w:i w:val="0"/>
                <w:sz w:val="19"/>
              </w:rPr>
              <w:t>Thiệt hại hoặc phá hủy đáng kể đối với phần cứng, phần mềm và dữ liệu của máy tính và viễn thông có thể xảy ra do hệ thống giám sát và kiểm soát môi trường không đầy đủ.</w:t>
            </w:r>
          </w:p>
        </w:tc>
      </w:tr>
    </w:tbl>
    <w:p>
      <w:pPr>
        <w:spacing w:after="0"/>
      </w:pPr>
    </w:p>
    <w:p>
      <w:pPr>
        <w:pStyle w:val="Heading2"/>
      </w:pPr>
      <w:r>
        <w:rPr>
          <w:rFonts w:ascii="Calibri" w:hAnsi="Calibri"/>
          <w:b/>
          <w:i w:val="0"/>
          <w:sz w:val="32"/>
        </w:rPr>
        <w:t>10.3 KIỂM SOÁT TRUY CẬP MÁY TÍNH</w:t>
      </w:r>
    </w:p>
    <w:p>
      <w:pPr>
        <w:pStyle w:val="Heading3"/>
      </w:pPr>
      <w:r>
        <w:rPr>
          <w:rFonts w:ascii="Calibri" w:hAnsi="Calibri"/>
          <w:b/>
          <w:i w:val="0"/>
          <w:sz w:val="26"/>
        </w:rPr>
        <w:t>Giới thiệu</w:t>
      </w:r>
    </w:p>
    <w:p>
      <w:pPr>
        <w:spacing w:after="80"/>
      </w:pPr>
      <w:r>
        <w:rPr>
          <w:b w:val="0"/>
          <w:i w:val="0"/>
        </w:rPr>
        <w:t>Kiểm soát truy cập máy tính áp dụng cho tất cả các nguồn thông tin: máy tính để bàn, máy chủ, máy tính lớn (mainframe), mạng, v.v. Mục tiêu của kiểm soát truy cập máy tính là đảm bảo tính toàn vẹn, tính sẵn sàng và tính bảo mật của thông tin công ty cũng như các cơ sở hạ tầng xử lý, lưu trữ hoặc truyền tải thông tin đó.</w:t>
      </w:r>
    </w:p>
    <w:p>
      <w:pPr>
        <w:spacing w:after="80"/>
      </w:pPr>
      <w:r>
        <w:rPr>
          <w:b w:val="0"/>
          <w:i w:val="0"/>
        </w:rPr>
        <w:t>Các biện pháp kiểm soát truy cập hệ thống giúp giảm rủi ro thông tin bị tiết lộ, bị nhiễm bẩn, bị lạm dụng hoặc bị phá hủy, dù là do vô tình hay cố ý. Nó dựa trên việc cấp quyền hợp lệ và thiết lập nền tảng cho kiểm soát nội bộ bằng cách cho phép phân tách trách nhiệm cả trong nội bộ lẫn giữa các chức năng của chủ sở hữu, người dùng và nhà cung cấp dịch vụ (xem Mục 10.1 để biết chi tiết về vai trò/trách nhiệm của chủ sở hữu, người dùng và nhà cung cấp dịch vụ). Hạn chế quyền truy cập của một cá nhân vào các nguồn lực dựa trên nguyên tắc "cần biết" (need to know) và thiết lập trách nhiệm giải trình cá nhân là những nguyên tắc thiết yếu để đạt được kiểm soát truy cập và kiểm soát nội bộ hiệu quả. Tham khảo các định nghĩa dưới đây để biết thêm chi tiết về kiểm soát truy cập máy tính.</w:t>
      </w:r>
    </w:p>
    <w:p>
      <w:pPr>
        <w:pStyle w:val="Heading3"/>
      </w:pPr>
      <w:r>
        <w:rPr>
          <w:rFonts w:ascii="Calibri" w:hAnsi="Calibri"/>
          <w:b/>
          <w:i w:val="0"/>
          <w:sz w:val="26"/>
        </w:rPr>
        <w:t>Định nghĩa</w:t>
      </w:r>
    </w:p>
    <w:p>
      <w:pPr>
        <w:spacing w:after="80"/>
        <w:ind w:left="360"/>
      </w:pPr>
      <w:r>
        <w:rPr>
          <w:b/>
          <w:i w:val="0"/>
        </w:rPr>
        <w:t>Kiểm soát truy cập (Access Control)</w:t>
      </w:r>
      <w:r>
        <w:rPr>
          <w:b w:val="0"/>
          <w:i w:val="0"/>
        </w:rPr>
        <w:t xml:space="preserve"> —Một trong những biện pháp kiểm soát nội bộ quan trọng nhất mà bất kỳ tổ chức nào, dù lớn hay nhỏ, nên thiết lập là kiểm soát truy cập—cánh cửa dẫn đến mọi hệ thống IT và nguồn lực của doanh nghiệp. Kiểm soát truy cập quy định cách doanh nghiệp sẽ giám sát các nguồn lực IT của mình và cách chúng nên được sử dụng. Các biện pháp kiểm soát truy cập được sử dụng phổ biến nhất bao gồm tài khoản người dùng, bao gồm mật khẩu và tên đăng nhập; quyền đăng nhập và quyền truy cập nguồn lực; và việc thiết lập các tài khoản hệ thống có đặc quyền.</w:t>
      </w:r>
    </w:p>
    <w:p>
      <w:pPr>
        <w:spacing w:after="80"/>
        <w:ind w:left="360"/>
      </w:pPr>
      <w:r>
        <w:rPr>
          <w:b/>
          <w:i w:val="0"/>
        </w:rPr>
        <w:t>Yêu cầu đăng nhập và truy cập (Login and Access Requests)</w:t>
      </w:r>
      <w:r>
        <w:rPr>
          <w:b w:val="0"/>
          <w:i w:val="0"/>
        </w:rPr>
        <w:t xml:space="preserve"> —Tên đăng nhập và mật khẩu cho phép nhân viên truy cập vào các nguồn lực mạng của công ty. Do đó, các công ty phải buộc nhân viên chịu trách nhiệm về mọi hoạt động liên quan đến tài khoản người dùng của họ. Ví dụ, nhân viên không nên chia sẻ mật khẩu của mình với bất kỳ ai, ghi chúng ra giấy, hoặc lưu trữ chúng trong máy tính hay thiết bị cá nhân của họ. Nếu họ tiết lộ mật khẩu cho nhân viên hỗ trợ IT, hệ thống phải được đặt lại để yêu cầu nhân viên đổi mật khẩu khi người dùng đăng nhập vào hệ thống lần nữa. Hơn nữa, tài khoản người dùng nên được thiết lập để chỉ cho phép nhân viên thử đăng nhập ba lần. Sau lần thử đăng nhập thất bại thứ ba, hệ thống nên vô hiệu hóa tài khoản. Để khôi phục tài khoản người dùng, nhân viên phải liên hệ với quản trị viên mạng hoặc bộ phận dịch vụ khách hàng của công ty. Cuối cùng, các yêu cầu truy cập vào nguồn lực mạng nên đến từ người giám sát trực tiếp của nhân viên, và các chính sách và quy trình IT của công ty nên chỉ rõ ai cần thực hiện tất cả các yêu cầu truy cập.</w:t>
      </w:r>
    </w:p>
    <w:p>
      <w:pPr>
        <w:spacing w:after="80"/>
        <w:ind w:left="360"/>
      </w:pPr>
      <w:r>
        <w:rPr>
          <w:b/>
          <w:i w:val="0"/>
        </w:rPr>
        <w:t>Truy cập từ xa (Remote Access)</w:t>
      </w:r>
      <w:r>
        <w:rPr>
          <w:b w:val="0"/>
          <w:i w:val="0"/>
        </w:rPr>
        <w:t xml:space="preserve"> —Truy cập từ xa mở rộng ranh giới của mạng bằng cách cho phép nhân viên sử dụng nguồn lực của công ty khi làm việc bên ngoài văn phòng. Truy cập từ xa nên diễn ra thông qua một máy chủ từ xa cho phép tạo các hồ sơ người dùng (user profile). Ít nhất hai loại hồ sơ phải được tạo: một hồ sơ người dùng bình thường và một hồ sơ người dùng cho mỗi quản trị viên hệ thống. Hồ sơ người dùng bình thường không có quyền thực hiện các thao tác hệ thống và được cấp cho bất kỳ nhân viên không thuộc IT nào yêu cầu truy cập từ xa hoặc làm việc từ một địa điểm từ xa. Mặt khác, hồ sơ người dùng cho quản trị viên hệ thống phải cho phép họ chạy các ứng dụng và công cụ hệ thống từ xa. Tất cả các yêu cầu truy cập từ xa phải đến từ người giám sát của nhân viên và nên chỉ rõ loại truy cập cần thiết và địa điểm nơi truy cập sẽ diễn ra. Ngoài ra, các kết nối truy cập từ xa nên sử dụng mã hóa, cũng như giới hạn thời gian cho các kết nối không hoạt động trong 30 phút hoặc lâu hơn hoặc trong khoảng thời gian do công ty quy định. Hơn nữa, các tài khoản truy cập từ xa nên có sự kết hợp tên đăng nhập và mật khẩu khác nhau, cũng như mật khẩu thay đổi cho mỗi lần đăng nhập—có thể sử dụng thẻ truy cập kỹ thuật số cho việc này. Cuối cùng, bộ phận IT cần theo dõi tất cả các kết nối truy cập từ xa trong một nhật ký hoặc báo cáo. Kiểm toán viên có thể sử dụng các thực hành tốt nhất này làm chuẩn mực khi xem xét liệu hoạt động của bộ phận IT có nhất quán với kế hoạch chiến lược của công ty hay không.</w:t>
      </w:r>
    </w:p>
    <w:p>
      <w:pPr>
        <w:spacing w:after="80"/>
        <w:ind w:left="360"/>
      </w:pPr>
      <w:r>
        <w:rPr>
          <w:b/>
          <w:i w:val="0"/>
        </w:rPr>
        <w:t>Xác thực một yếu tố (Single-Factor Authentication)</w:t>
      </w:r>
      <w:r>
        <w:rPr>
          <w:b w:val="0"/>
          <w:i w:val="0"/>
        </w:rPr>
        <w:t xml:space="preserve"> —Các phương thức xác thực dựa trên "điều bạn biết" trong đó phương thức chính để nhận diện người dùng là mật khẩu.</w:t>
      </w:r>
    </w:p>
    <w:p>
      <w:pPr>
        <w:spacing w:after="80"/>
        <w:ind w:left="360"/>
      </w:pPr>
      <w:r>
        <w:rPr>
          <w:b/>
          <w:i w:val="0"/>
        </w:rPr>
        <w:t>Xác thực hai yếu tố (Two-Factor Authentication)</w:t>
      </w:r>
      <w:r>
        <w:rPr>
          <w:b w:val="0"/>
          <w:i w:val="0"/>
        </w:rPr>
        <w:t xml:space="preserve"> —Các phương thức xác thực hoặc nhận diện mà thông tin của chúng, nếu bị đánh cắp, không thể được sử dụng một mình để những cá nhân trái phép xâm nhập vào hệ thống máy tính hoặc ứng dụng. Xác thực hai yếu tố dựa trên "điều bạn có cộng với điều bạn biết." Nó yêu cầu xử lý một thứ gì đó độc nhất với cá nhân đó và một mã PIN (Personal Identification Number - Số nhận diện cá nhân) để đảm bảo rằng cá nhân đó thực sự đúng là người họ khai báo. Các bộ tạo số ngẫu nhiên phụ thuộc thời gian và các kỹ thuật mật mã là ví dụ về kỹ thuật xác thực như vậy.</w:t>
      </w:r>
    </w:p>
    <w:p>
      <w:pPr>
        <w:spacing w:after="80"/>
      </w:pPr>
      <w:r>
        <w:rPr>
          <w:b w:val="0"/>
          <w:i w:val="0"/>
        </w:rPr>
        <w:t>Chủ sở hữu/nhà cung cấp dịch vụ của thiết bị máy tính mainframe, tầm trung (midrange) và máy chủ phải đảm bảo phần mềm kiểm soát truy cập được cài đặt trên thiết bị khi thiết bị đó được sử dụng cho các ứng dụng kinh doanh, kỹ thuật hoặc nghiên cứu, kiểm thử sản phẩm và/hoặc xử lý sản xuất. Phần mềm kiểm soát truy cập có thể là một phần của hệ điều hành máy tính.</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10.3.1</w:t>
            </w:r>
          </w:p>
        </w:tc>
        <w:tc>
          <w:tcPr>
            <w:tcW w:type="dxa" w:w="4680"/>
          </w:tcPr>
          <w:p>
            <w:r/>
            <w:r>
              <w:rPr>
                <w:b w:val="0"/>
                <w:i w:val="0"/>
                <w:sz w:val="19"/>
              </w:rPr>
              <w:t>Phần mềm kiểm soát truy cập. Ở mức tối thiểu, phần mềm kiểm soát truy cập phải thực hiện các chức năng sau:</w:t>
            </w:r>
            <w:r>
              <w:br/>
            </w:r>
            <w:r>
              <w:rPr>
                <w:b w:val="0"/>
                <w:i w:val="0"/>
                <w:sz w:val="19"/>
              </w:rPr>
              <w:t xml:space="preserve">a. Các tệp dữ liệu và chương trình phải được bảo vệ khỏi truy cập trái phép và/hoặc sửa đổi, đánh cắp hoặc phá hủy; </w:t>
            </w:r>
            <w:r>
              <w:rPr>
                <w:b/>
                <w:i w:val="0"/>
                <w:sz w:val="19"/>
              </w:rPr>
              <w:t>Tham chiếu rủi ro: C-l, C-2, C-3, C-4, C-9</w:t>
            </w:r>
            <w:r>
              <w:rPr>
                <w:b w:val="0"/>
                <w:i w:val="0"/>
                <w:sz w:val="19"/>
              </w:rPr>
              <w:t xml:space="preserve"> </w:t>
            </w:r>
            <w:r>
              <w:br/>
            </w:r>
            <w:r>
              <w:rPr>
                <w:b w:val="0"/>
                <w:i w:val="0"/>
                <w:sz w:val="19"/>
              </w:rPr>
              <w:t xml:space="preserve">b. Phải cung cấp việc xác minh ID người dùng/mật khẩu duy nhất để thiết lập trách nhiệm giải trình cá nhân. </w:t>
            </w:r>
            <w:r>
              <w:rPr>
                <w:b/>
                <w:i w:val="0"/>
                <w:sz w:val="19"/>
              </w:rPr>
              <w:t>Tham chiếu rủi ro: C-l, C-2, C-3, C-4, C-5, C-9, C-12, C-17</w:t>
            </w:r>
            <w:r>
              <w:rPr>
                <w:b w:val="0"/>
                <w:i w:val="0"/>
                <w:sz w:val="19"/>
              </w:rPr>
              <w:t xml:space="preserve"> </w:t>
            </w:r>
            <w:r>
              <w:br/>
            </w:r>
            <w:r>
              <w:rPr>
                <w:b w:val="0"/>
                <w:i w:val="0"/>
                <w:sz w:val="19"/>
              </w:rPr>
              <w:t xml:space="preserve">c. Các phương tiện kiểm soát truy cập phải cung cấp cách thức để tách biệt các chức năng kinh doanh. Việc tách biệt các chức năng kinh doanh nên được thực hiện bằng cách truy cập phần mềm kiểm soát thông qua việc sử dụng các nhóm và hồ sơ. </w:t>
            </w:r>
            <w:r>
              <w:rPr>
                <w:b/>
                <w:i w:val="0"/>
                <w:sz w:val="19"/>
              </w:rPr>
              <w:t>Tham chiếu rủi ro: C-l, C-2, C-3, C-4, C-5, C-11</w:t>
            </w:r>
            <w:r>
              <w:rPr>
                <w:b w:val="0"/>
                <w:i w:val="0"/>
                <w:sz w:val="19"/>
              </w:rPr>
              <w:t xml:space="preserve"> </w:t>
            </w:r>
            <w:r>
              <w:br/>
            </w:r>
            <w:r>
              <w:rPr>
                <w:b w:val="0"/>
                <w:i w:val="0"/>
                <w:sz w:val="19"/>
              </w:rPr>
              <w:t xml:space="preserve">d. Xác thực hai yếu tố phải được sử dụng để kiểm soát truy cập đối với tất cả thông tin lưu trữ trên máy tính được phân loại là Bảo mật Công ty hoặc Hạn chế Công ty, và đối với truy cập từ xa vào mạng của công ty. Trong một số trường hợp, xác thực một yếu tố là tất cả những gì cần thiết. Độ mạnh của xác thực nên được thúc đẩy bởi tính nhạy cảm của thông tin và rủi ro phơi bày của nó. Khi triển khai xác thực một yếu tố, mật khẩu nên được mã hóa một chiều. Ngoài ra, phần mềm phải tự động yêu cầu thiết lập và thay đổi mật khẩu theo các tiêu chuẩn sau: </w:t>
            </w:r>
            <w:r>
              <w:rPr>
                <w:b/>
                <w:i w:val="0"/>
                <w:sz w:val="19"/>
              </w:rPr>
              <w:t>Tham chiếu rủi ro: C-1, C-2, C-3, C-4, C-9, C-10, C-12</w:t>
            </w:r>
            <w:r>
              <w:rPr>
                <w:b w:val="0"/>
                <w:i w:val="0"/>
                <w:sz w:val="19"/>
              </w:rPr>
              <w:t xml:space="preserve"> </w:t>
            </w:r>
            <w:r>
              <w:br/>
            </w:r>
            <w:r>
              <w:rPr>
                <w:b w:val="0"/>
                <w:i w:val="0"/>
                <w:sz w:val="19"/>
              </w:rPr>
              <w:t>• Mật khẩu phải bao gồm ít nhất ba trong bốn loại ký tự sau: (i) ít nhất một ký tự số; (ii) ít nhất một ký tự đặc biệt (/, [,-,+,=,!,#, v.v.); (iii) ít nhất một ký tự chữ thường; và (iv) ít nhất một ký tự chữ hoa.</w:t>
            </w:r>
            <w:r>
              <w:br/>
            </w:r>
            <w:r>
              <w:rPr>
                <w:b w:val="0"/>
                <w:i w:val="0"/>
                <w:sz w:val="19"/>
              </w:rPr>
              <w:t>• Mật khẩu phải có độ dài tối thiểu tám ký tự.</w:t>
            </w:r>
            <w:r>
              <w:br/>
            </w:r>
            <w:r>
              <w:rPr>
                <w:b w:val="0"/>
                <w:i w:val="0"/>
                <w:sz w:val="19"/>
              </w:rPr>
              <w:t>• Mật khẩu phải được thay đổi ít nhất 60 ngày một lần đối với người dùng thông thường, và 45 ngày đối với người dùng có đặc quyền hoặc "siêu người dùng" (những người có khả năng vượt qua các kiểm soát bảo mật của hệ thống).</w:t>
            </w:r>
            <w:r>
              <w:br/>
            </w:r>
            <w:r>
              <w:rPr>
                <w:b w:val="0"/>
                <w:i w:val="0"/>
                <w:sz w:val="19"/>
              </w:rPr>
              <w:t>• Sau ba lần nhập mật khẩu không thành công, ID người dùng phải bị vô hiệu hóa cho đến khi được kích hoạt lại bởi quản trị viên bảo mật hoặc các quy trình tự động do quản trị viên bảo mật thiết lập và một báo cáo được tạo cho quản trị viên bảo mật.</w:t>
            </w:r>
            <w:r>
              <w:br/>
            </w:r>
            <w:r>
              <w:rPr>
                <w:b w:val="0"/>
                <w:i w:val="0"/>
                <w:sz w:val="19"/>
              </w:rPr>
              <w:t>• Mật khẩu không được tái sử dụng trong một khoảng thời gian nhất định (hai mật khẩu trước đó).</w:t>
            </w:r>
            <w:r>
              <w:br/>
            </w:r>
            <w:r>
              <w:rPr>
                <w:b w:val="0"/>
                <w:i w:val="0"/>
                <w:sz w:val="19"/>
              </w:rPr>
              <w:t xml:space="preserve">e. Phần mềm kiểm soát truy cập phải có khả năng tự động tạo các giao dịch nhật ký kiểm toán hiển thị các sự kiện bảo mật quan trọng như các nỗ lực truy cập trái phép (thành công và không thành công) vào tài nguyên thông tin, tất cả các truy cập vào dữ liệu/chương trình được Kiểm soát Bảo mật, và tất cả việc sử dụng ID người dùng có đặc quyền hoặc khẩn cấp. </w:t>
            </w:r>
            <w:r>
              <w:rPr>
                <w:b/>
                <w:i w:val="0"/>
                <w:sz w:val="19"/>
              </w:rPr>
              <w:t>Tham chiếu rủi ro: C-1, C-2, C-3, C-4, C-9, C-10</w:t>
            </w:r>
            <w:r>
              <w:rPr>
                <w:b w:val="0"/>
                <w:i w:val="0"/>
                <w:sz w:val="19"/>
              </w:rPr>
              <w:t xml:space="preserve"> </w:t>
            </w:r>
            <w:r>
              <w:br/>
            </w:r>
            <w:r>
              <w:rPr>
                <w:b w:val="0"/>
                <w:i w:val="0"/>
                <w:sz w:val="19"/>
              </w:rPr>
              <w:t xml:space="preserve">f. Phải cung cấp khả năng bảo vệ các bản ghi kiểm toán khỏi bị vô hiệu hóa, sửa đổi hoặc xóa. </w:t>
            </w:r>
            <w:r>
              <w:rPr>
                <w:b/>
                <w:i w:val="0"/>
                <w:sz w:val="19"/>
              </w:rPr>
              <w:t>Tham chiếu rủi ro: C-1, C-2, C-3, C-4, C-9, C-10, C-12</w:t>
            </w:r>
            <w:r>
              <w:rPr>
                <w:b w:val="0"/>
                <w:i w:val="0"/>
                <w:sz w:val="19"/>
              </w:rPr>
              <w:t xml:space="preserve"> </w:t>
            </w:r>
            <w:r>
              <w:rPr>
                <w:b/>
                <w:i w:val="0"/>
                <w:sz w:val="19"/>
              </w:rPr>
              <w:t xml:space="preserve"> </w:t>
            </w:r>
            <w:r>
              <w:rPr>
                <w:b/>
                <w:i/>
                <w:sz w:val="19"/>
              </w:rPr>
              <w:t>Lưu ý:</w:t>
            </w:r>
            <w:r>
              <w:rPr>
                <w:b/>
                <w:i w:val="0"/>
                <w:sz w:val="19"/>
              </w:rPr>
              <w:t xml:space="preserve"> </w:t>
            </w:r>
            <w:r>
              <w:rPr>
                <w:b w:val="0"/>
                <w:i w:val="0"/>
                <w:sz w:val="19"/>
              </w:rPr>
              <w:t xml:space="preserve"> Các kiểm soát mật khẩu liên quan đến định dạng, độ dài và thời hạn chỉ phù hợp cho các ứng dụng nội bộ và ứng dụng bên ngoài có quyền truy cập vào thông tin độc quyền. Điều này không áp dụng cho các ứng dụng bên ngoài chứa thông tin có sẵn công khai. </w:t>
            </w:r>
            <w:r>
              <w:br/>
            </w:r>
            <w:r>
              <w:rPr>
                <w:b w:val="0"/>
                <w:i w:val="0"/>
                <w:sz w:val="19"/>
              </w:rPr>
              <w:t xml:space="preserve">g.  Khả năng tự động đăng xuất các thiết bị đầu cuối không hoạt động trong một khoảng thời gian dài (tối đa 45 phút). Ở mức tối thiểu, các thiết bị đầu cuối không hoạt động vẫn đăng nhập sau giờ làm việc theo lịch trình phải được đăng xuất tự động thông qua phần mềm hoặc thủ công. Khi một máy trạm được cấu hình để tự động yêu cầu mật khẩu khi khởi động, việc sử dụng trình bảo vệ màn hình được bảo vệ bằng mật khẩu, khóa màn hình, hoặc các công nghệ bảo mật mới có thể được giới thiệu buộc người dùng xác thực lại trước khi tiếp tục làm việc có thể được sử dụng thay cho việc tự động đăng xuất trong giờ làm việc được phân công của người dùng. </w:t>
            </w:r>
            <w:r>
              <w:rPr>
                <w:b/>
                <w:i w:val="0"/>
                <w:sz w:val="19"/>
              </w:rPr>
              <w:t>Tham chiếu rủi ro: C-1, C-9, C-10, C-12, C-13, C-17</w:t>
            </w:r>
          </w:p>
        </w:tc>
      </w:tr>
      <w:tr>
        <w:tc>
          <w:tcPr>
            <w:tcW w:type="dxa" w:w="4680"/>
          </w:tcPr>
          <w:p>
            <w:r/>
            <w:r>
              <w:rPr>
                <w:b w:val="0"/>
                <w:i w:val="0"/>
                <w:sz w:val="19"/>
              </w:rPr>
              <w:t>10.3.2</w:t>
            </w:r>
          </w:p>
        </w:tc>
        <w:tc>
          <w:tcPr>
            <w:tcW w:type="dxa" w:w="4680"/>
          </w:tcPr>
          <w:p>
            <w:r/>
            <w:r>
              <w:rPr>
                <w:b w:val="0"/>
                <w:i w:val="0"/>
                <w:sz w:val="19"/>
              </w:rPr>
              <w:t>Triển khai Kiểm soát Truy cập. Các chủ sở hữu được chỉ định của thiết bị máy tính để bàn/máy trạm phải đảm bảo rằng các kiểm soát truy cập sau đây được áp dụng:</w:t>
            </w:r>
            <w:r>
              <w:br/>
            </w:r>
            <w:r>
              <w:rPr>
                <w:b w:val="0"/>
                <w:i w:val="0"/>
                <w:sz w:val="19"/>
              </w:rPr>
              <w:t>a. Kiểm soát truy cập vật lý hoặc phần mềm phải được cài đặt trên mọi máy tính để bàn/máy trạm. Đối với các máy chứa dữ liệu được Kiểm soát Bảo mật, phần mềm kiểm soát truy cập phải được sử dụng. Đối với tất cả các loại phân loại khác, khóa vật lý là đủ.</w:t>
            </w:r>
            <w:r>
              <w:br/>
            </w:r>
            <w:r>
              <w:rPr>
                <w:b w:val="0"/>
                <w:i w:val="0"/>
                <w:sz w:val="19"/>
              </w:rPr>
              <w:t>b. Các tệp được Kiểm soát Bảo mật phải được mã hóa trên máy tính để bàn/máy trạm; các tệp Hạn chế Công ty phải được mã hóa nếu chúng rời khỏi cơ sở của công ty (chẳng hạn như trên máy tính xách tay).</w:t>
            </w:r>
            <w:r>
              <w:br/>
            </w:r>
            <w:r>
              <w:rPr>
                <w:b w:val="0"/>
                <w:i w:val="0"/>
                <w:sz w:val="19"/>
              </w:rPr>
              <w:t>c. Chia sẻ tệp phải được kiểm soát với quyền truy cập chỉ được cấp trên cơ sở cần biết.</w:t>
            </w:r>
            <w:r>
              <w:br/>
            </w:r>
            <w:r>
              <w:rPr>
                <w:b w:val="0"/>
                <w:i w:val="0"/>
                <w:sz w:val="19"/>
              </w:rPr>
              <w:t xml:space="preserve">d. Các tài khoản "Khách" phải được kiểm soát sao cho trách nhiệm giải trình cá nhân không bị xâm phạm và phần mềm ghi nhật ký phải được cài đặt để báo cáo tất cả các truy cập cho các máy chứa dữ liệu được Kiểm soát Bảo mật. </w:t>
            </w:r>
            <w:r>
              <w:rPr>
                <w:b/>
                <w:i w:val="0"/>
                <w:sz w:val="19"/>
              </w:rPr>
              <w:t>Tham chiếu rủi ro: C-1, C-2, C-5, C-9, C-10, C-12, C-18</w:t>
            </w:r>
          </w:p>
        </w:tc>
      </w:tr>
      <w:tr>
        <w:tc>
          <w:tcPr>
            <w:tcW w:type="dxa" w:w="4680"/>
          </w:tcPr>
          <w:p>
            <w:r/>
            <w:r>
              <w:rPr>
                <w:b w:val="0"/>
                <w:i w:val="0"/>
                <w:sz w:val="19"/>
              </w:rPr>
              <w:t>10.3.3</w:t>
            </w:r>
          </w:p>
        </w:tc>
        <w:tc>
          <w:tcPr>
            <w:tcW w:type="dxa" w:w="4680"/>
          </w:tcPr>
          <w:p>
            <w:r/>
            <w:r>
              <w:rPr>
                <w:b w:val="0"/>
                <w:i w:val="0"/>
                <w:sz w:val="19"/>
              </w:rPr>
              <w:t>Quy trình Quản trị Bảo mật. Các chủ sở hữu/nhà cung cấp dịch vụ thiết bị máy tính, phối hợp với các quản lý đơn vị và phòng ban, phải chỉ định các quản trị viên bảo mật. Chức năng quản trị viên bảo mật nên được tách biệt khỏi hoạt động máy tính, phát triển hệ thống và hỗ trợ khi thực tế. Trách nhiệm quản lý và kiểm soát chức năng quản trị bảo mật phải thuộc về công ty. Các đánh giá định kỳ về tài khoản và đặc quyền được gán bởi quản trị viên bảo mật phải được thực hiện bởi ban quản lý. Các quy trình này bao gồm:</w:t>
            </w:r>
            <w:r>
              <w:br/>
            </w:r>
            <w:r>
              <w:rPr>
                <w:b w:val="0"/>
                <w:i w:val="0"/>
                <w:sz w:val="19"/>
              </w:rPr>
              <w:t>a. Thiết lập mỗi tài khoản người dùng mới với sự phê duyệt của ban quản lý được ghi lại. Nên sử dụng số nhân viên làm ID người dùng với tiền tố duy nhất được gán cho mỗi quốc gia bất cứ khi nào có thể.</w:t>
            </w:r>
            <w:r>
              <w:br/>
            </w:r>
            <w:r>
              <w:rPr>
                <w:b w:val="0"/>
                <w:i w:val="0"/>
                <w:sz w:val="19"/>
              </w:rPr>
              <w:t>b. Cấp quyền truy cập vào các tệp dữ liệu và chương trình sản xuất với sự phê duyệt của chủ sở hữu được ghi lại.</w:t>
            </w:r>
            <w:r>
              <w:br/>
            </w:r>
            <w:r>
              <w:rPr>
                <w:b w:val="0"/>
                <w:i w:val="0"/>
                <w:sz w:val="19"/>
              </w:rPr>
              <w:t>c. Kiểm soát việc sử dụng các quy trình phần mềm (đặc quyền) vượt qua các kiểm soát bảo mật truy cập thông thường.</w:t>
            </w:r>
            <w:r>
              <w:br/>
            </w:r>
            <w:r>
              <w:rPr>
                <w:b w:val="0"/>
                <w:i w:val="0"/>
                <w:sz w:val="19"/>
              </w:rPr>
              <w:t>d. Xác định, báo cáo và điều tra các nỗ lực truy cập trái phép theo chính sách của công ty/đơn vị/phòng ban.</w:t>
            </w:r>
            <w:r>
              <w:br/>
            </w:r>
            <w:r>
              <w:rPr>
                <w:b w:val="0"/>
                <w:i w:val="0"/>
                <w:sz w:val="19"/>
              </w:rPr>
              <w:t>e. Giám sát việc tuân thủ liên tục các tiêu chuẩn bảo mật bằng các đánh giá/kiểm toán thường xuyên đối với các cơ sở mà họ quản lý.</w:t>
            </w:r>
            <w:r>
              <w:br/>
            </w:r>
            <w:r>
              <w:rPr>
                <w:b w:val="0"/>
                <w:i w:val="0"/>
                <w:sz w:val="19"/>
              </w:rPr>
              <w:t xml:space="preserve">f. Giám sát các tài khoản máy tính để phát hiện bất kỳ tài khoản nào chưa được sử dụng trong một khoảng thời gian dài (tối đa 12 tháng) và xác minh nhu cầu tiếp tục của chúng. </w:t>
            </w:r>
            <w:r>
              <w:rPr>
                <w:b/>
                <w:i w:val="0"/>
                <w:sz w:val="19"/>
              </w:rPr>
              <w:t>Tham chiếu rủi ro: C-7, C-8, C-9, C-10, C-13</w:t>
            </w:r>
          </w:p>
        </w:tc>
      </w:tr>
      <w:tr>
        <w:tc>
          <w:tcPr>
            <w:tcW w:type="dxa" w:w="4680"/>
          </w:tcPr>
          <w:p>
            <w:r/>
            <w:r>
              <w:rPr>
                <w:b w:val="0"/>
                <w:i w:val="0"/>
                <w:sz w:val="19"/>
              </w:rPr>
              <w:t>10.3.4</w:t>
            </w:r>
          </w:p>
        </w:tc>
        <w:tc>
          <w:tcPr>
            <w:tcW w:type="dxa" w:w="4680"/>
          </w:tcPr>
          <w:p>
            <w:r/>
            <w:r>
              <w:rPr>
                <w:b/>
                <w:i w:val="0"/>
                <w:sz w:val="19"/>
              </w:rPr>
              <w:t>Nhân viên được Chuyển công tác hoặc Chấm dứt Hợp đồng.</w:t>
            </w:r>
            <w:r>
              <w:rPr>
                <w:b w:val="0"/>
                <w:i w:val="0"/>
                <w:sz w:val="19"/>
              </w:rPr>
              <w:t xml:space="preserve"> Các quản trị viên bảo mật, phối hợp với Bộ phận Nhân sự, phải thiết lập các quy trình để duy trì tài khoản máy tính cho người dùng được chuyển công tác trong công ty, và để vô hiệu hóa tài khoản máy tính của nhân viên khi nhân viên được chuyển công tác hoặc chấm dứt hợp đồng khỏi công ty một cách kịp thời. Các quản trị viên bảo mật có thẩm quyền xóa hoặc kích hoạt tài khoản của nhân viên bị chấm dứt hợp đồng mà không cần tham chiếu đến chủ sở hữu hoặc quản lý của chủ sở hữu. Các quy trình cũng phải được áp dụng để phát hiện các tài khoản máy tính đang hoạt động được gán cho nhân viên đã bị chấm dứt hợp đồng. </w:t>
            </w:r>
            <w:r>
              <w:rPr>
                <w:b/>
                <w:i w:val="0"/>
                <w:sz w:val="19"/>
              </w:rPr>
              <w:t>Tham chiếu rủi ro: C-14, C-15</w:t>
            </w:r>
          </w:p>
        </w:tc>
      </w:tr>
      <w:tr>
        <w:tc>
          <w:tcPr>
            <w:tcW w:type="dxa" w:w="4680"/>
          </w:tcPr>
          <w:p>
            <w:r/>
            <w:r>
              <w:rPr>
                <w:b w:val="0"/>
                <w:i w:val="0"/>
                <w:sz w:val="19"/>
              </w:rPr>
              <w:t>10.3.5</w:t>
            </w:r>
          </w:p>
        </w:tc>
        <w:tc>
          <w:tcPr>
            <w:tcW w:type="dxa" w:w="4680"/>
          </w:tcPr>
          <w:p>
            <w:r/>
            <w:r>
              <w:rPr>
                <w:b/>
                <w:i w:val="0"/>
                <w:sz w:val="19"/>
              </w:rPr>
              <w:t>Tuyên bố Xác nhận của Người dùng.</w:t>
            </w:r>
            <w:r>
              <w:rPr>
                <w:b w:val="0"/>
                <w:i w:val="0"/>
                <w:sz w:val="19"/>
              </w:rPr>
              <w:t xml:space="preserve"> Các quản trị viên bảo mật, cùng với các giám sát viên, phải đảm bảo rằng mỗi người dùng hệ thống có một tuyên bố xác nhận của người dùng đã ký trong hồ sơ. Tuyên bố phải chỉ ra rằng người dùng đã quen thuộc và hiểu chính sách của công ty về việc sử dụng tài nguyên thông tin và họ thừa nhận trách nhiệm của mình để: sử dụng các cơ sở, dữ liệu và thông tin chỉ cho các mục đích kinh doanh được ủy quyền của công ty; chỉ truy cập thông tin mà họ được ủy quyền; bảo vệ thông tin được truy cập; và bảo vệ mật khẩu của họ dành riêng cho việc sử dụng của chính họ. </w:t>
            </w:r>
            <w:r>
              <w:rPr>
                <w:b/>
                <w:i w:val="0"/>
                <w:sz w:val="19"/>
              </w:rPr>
              <w:t>Tham chiếu rủi ro: C-16</w:t>
            </w:r>
          </w:p>
        </w:tc>
      </w:tr>
      <w:tr>
        <w:tc>
          <w:tcPr>
            <w:tcW w:type="dxa" w:w="4680"/>
          </w:tcPr>
          <w:p>
            <w:r/>
            <w:r>
              <w:rPr>
                <w:b w:val="0"/>
                <w:i w:val="0"/>
                <w:sz w:val="19"/>
              </w:rPr>
              <w:t>10.3.6</w:t>
            </w:r>
          </w:p>
        </w:tc>
        <w:tc>
          <w:tcPr>
            <w:tcW w:type="dxa" w:w="4680"/>
          </w:tcPr>
          <w:p>
            <w:r/>
            <w:r>
              <w:rPr>
                <w:b w:val="0"/>
                <w:i w:val="0"/>
                <w:sz w:val="19"/>
              </w:rPr>
              <w:t>Sử dụng Thiết bị và Thiết bị Cá nhân. Các quản trị viên bảo mật, cùng với các giám sát viên, phải thiết lập các điều kiện, chính sách và quy trình để thiết bị và phần mềm cá nhân có thể được sử dụng cho mục đích kinh doanh của công ty. Ở mức tối thiểu, các chính sách sau đây phải được áp dụng:</w:t>
            </w:r>
            <w:r>
              <w:br/>
            </w:r>
            <w:r>
              <w:rPr>
                <w:b w:val="0"/>
                <w:i w:val="0"/>
                <w:sz w:val="19"/>
              </w:rPr>
              <w:t>a. Tất cả phần mềm được cài đặt trên thiết bị cá nhân của một cá nhân để tạo điều kiện xử lý công việc kinh doanh của công ty vẫn thuộc tài sản của công ty.</w:t>
            </w:r>
            <w:r>
              <w:br/>
            </w:r>
            <w:r>
              <w:rPr>
                <w:b w:val="0"/>
                <w:i w:val="0"/>
                <w:sz w:val="19"/>
              </w:rPr>
              <w:t>b. Cá nhân chịu trách nhiệm cá nhân về việc bảo vệ phần mềm khỏi vi phạm giấy phép, bao gồm sao chép trái phép.</w:t>
            </w:r>
            <w:r>
              <w:br/>
            </w:r>
            <w:r>
              <w:rPr>
                <w:b w:val="0"/>
                <w:i w:val="0"/>
                <w:sz w:val="19"/>
              </w:rPr>
              <w:t>c. Phần mềm chống vi-rút tiêu chuẩn của công ty phải được sử dụng trên thiết bị cá nhân được sử dụng cho mục đích kinh doanh của công ty.</w:t>
            </w:r>
            <w:r>
              <w:br/>
            </w:r>
            <w:r>
              <w:rPr>
                <w:b w:val="0"/>
                <w:i w:val="0"/>
                <w:sz w:val="19"/>
              </w:rPr>
              <w:t xml:space="preserve">d. Trách nhiệm của người dùng là xác minh rằng các điều kiện cấp phép được đáp ứng trước khi cài đặt trên thiết bị cá nhân và các điều kiện đó tiếp tục được đáp ứng miễn là phần mềm còn trên thiết bị cá nhân. </w:t>
            </w:r>
            <w:r>
              <w:rPr>
                <w:b/>
                <w:i w:val="0"/>
                <w:sz w:val="19"/>
              </w:rPr>
              <w:t>Tham chiếu rủi ro: C-1, C-21</w:t>
            </w:r>
          </w:p>
        </w:tc>
      </w:tr>
      <w:tr>
        <w:tc>
          <w:tcPr>
            <w:tcW w:type="dxa" w:w="4680"/>
          </w:tcPr>
          <w:p>
            <w:r/>
            <w:r>
              <w:rPr>
                <w:b w:val="0"/>
                <w:i w:val="0"/>
                <w:sz w:val="19"/>
              </w:rPr>
              <w:t>10.3.7</w:t>
            </w:r>
          </w:p>
        </w:tc>
        <w:tc>
          <w:tcPr>
            <w:tcW w:type="dxa" w:w="4680"/>
          </w:tcPr>
          <w:p>
            <w:r/>
            <w:r>
              <w:rPr>
                <w:b w:val="0"/>
                <w:i w:val="0"/>
                <w:sz w:val="19"/>
              </w:rPr>
              <w:t>Trách nhiệm của Chủ sở hữu Ứng dụng. Trách nhiệm của chủ sở hữu ứng dụng bao gồm:</w:t>
            </w:r>
            <w:r>
              <w:br/>
            </w:r>
            <w:r>
              <w:rPr>
                <w:b w:val="0"/>
                <w:i w:val="0"/>
                <w:sz w:val="19"/>
              </w:rPr>
              <w:t xml:space="preserve">a. Quyền truy cập vào ứng dụng và dữ liệu của nó cho người dùng phù hợp phải được ủy quyền. Quyền truy cập phải luôn được hạn chế trên cơ sở cần biết và được hạn chế trong phạm vi thông tin cần thiết để đáp ứng các nhiệm vụ công việc cụ thể. </w:t>
            </w:r>
            <w:r>
              <w:rPr>
                <w:b/>
                <w:i w:val="0"/>
                <w:sz w:val="19"/>
              </w:rPr>
              <w:t>Tham chiếu rủi ro: C-11, C-17</w:t>
            </w:r>
            <w:r>
              <w:rPr>
                <w:b w:val="0"/>
                <w:i w:val="0"/>
                <w:sz w:val="19"/>
              </w:rPr>
              <w:t xml:space="preserve"> </w:t>
            </w:r>
            <w:r>
              <w:br/>
            </w:r>
            <w:r>
              <w:rPr>
                <w:b w:val="0"/>
                <w:i w:val="0"/>
                <w:sz w:val="19"/>
              </w:rPr>
              <w:t xml:space="preserve">b. Các tệp dữ liệu và chương trình phải được phân loại theo Hệ thống Phân loại Thông tin của công ty (tham khảo phần Phân loại Thông tin). Bảo mật Công ty sẽ hỗ trợ trong các quyết định cuối cùng về phân loại. </w:t>
            </w:r>
            <w:r>
              <w:rPr>
                <w:b/>
                <w:i w:val="0"/>
                <w:sz w:val="19"/>
              </w:rPr>
              <w:t>Tham chiếu rủi ro: C-1, C-12, C-17, C-18</w:t>
            </w:r>
            <w:r>
              <w:rPr>
                <w:b w:val="0"/>
                <w:i w:val="0"/>
                <w:sz w:val="19"/>
              </w:rPr>
              <w:t xml:space="preserve"> </w:t>
            </w:r>
            <w:r>
              <w:br/>
            </w:r>
            <w:r>
              <w:rPr>
                <w:b w:val="0"/>
                <w:i w:val="0"/>
                <w:sz w:val="19"/>
              </w:rPr>
              <w:t xml:space="preserve">c. Các báo cáo do máy tính tạo và màn hình video trực tuyến chứa thông tin bảo mật hoặc nhạy cảm phải được dán nhãn với phân loại thông tin công ty phù hợp. </w:t>
            </w:r>
            <w:r>
              <w:rPr>
                <w:b/>
                <w:i w:val="0"/>
                <w:sz w:val="19"/>
              </w:rPr>
              <w:t>Tham chiếu rủi ro: C-1, C-12, C-18</w:t>
            </w:r>
            <w:r>
              <w:rPr>
                <w:b w:val="0"/>
                <w:i w:val="0"/>
                <w:sz w:val="19"/>
              </w:rPr>
              <w:t xml:space="preserve"> </w:t>
            </w:r>
            <w:r>
              <w:br/>
            </w:r>
            <w:r>
              <w:rPr>
                <w:b w:val="0"/>
                <w:i w:val="0"/>
                <w:sz w:val="19"/>
              </w:rPr>
              <w:t xml:space="preserve">d. Xác nhận phải được thực hiện ít nhất hàng năm với ban quản lý phòng ban người dùng về nhu cầu tiếp tục truy cập của người dùng. Quy trình xác nhận nên được thực hiện với sự hỗ trợ của quản trị viên bảo mật. </w:t>
            </w:r>
            <w:r>
              <w:rPr>
                <w:b/>
                <w:i w:val="0"/>
                <w:sz w:val="19"/>
              </w:rPr>
              <w:t>Tham chiếu rủi ro: C-19</w:t>
            </w:r>
          </w:p>
        </w:tc>
      </w:tr>
      <w:tr>
        <w:tc>
          <w:tcPr>
            <w:tcW w:type="dxa" w:w="4680"/>
          </w:tcPr>
          <w:p>
            <w:r/>
            <w:r>
              <w:rPr>
                <w:b w:val="0"/>
                <w:i w:val="0"/>
                <w:sz w:val="19"/>
              </w:rPr>
              <w:t>10.3.8</w:t>
            </w:r>
          </w:p>
        </w:tc>
        <w:tc>
          <w:tcPr>
            <w:tcW w:type="dxa" w:w="4680"/>
          </w:tcPr>
          <w:p>
            <w:r/>
            <w:r>
              <w:rPr>
                <w:b/>
                <w:i w:val="0"/>
                <w:sz w:val="19"/>
              </w:rPr>
              <w:t>Tuyên bố Không tiết lộ đã Ký.</w:t>
            </w:r>
            <w:r>
              <w:rPr>
                <w:b w:val="0"/>
                <w:i w:val="0"/>
                <w:sz w:val="19"/>
              </w:rPr>
              <w:t xml:space="preserve"> Các nhà cung cấp, lập trình viên hợp đồng và người dùng không thuộc công ty khác phải được thông báo về các chính sách bảo mật thông tin của công ty và phải ký các thỏa thuận không tiết lộ theo yêu cầu từ người dùng công ty trước khi họ được cấp quyền truy cập trực tiếp vào hệ thống máy tính của công ty. </w:t>
            </w:r>
            <w:r>
              <w:rPr>
                <w:b/>
                <w:i w:val="0"/>
                <w:sz w:val="19"/>
              </w:rPr>
              <w:t>Tham chiếu rủi ro: C-1, C-12, C-17, C-18</w:t>
            </w:r>
          </w:p>
        </w:tc>
      </w:tr>
      <w:tr>
        <w:tc>
          <w:tcPr>
            <w:tcW w:type="dxa" w:w="4680"/>
          </w:tcPr>
          <w:p>
            <w:r/>
            <w:r>
              <w:rPr>
                <w:b w:val="0"/>
                <w:i w:val="0"/>
                <w:sz w:val="19"/>
              </w:rPr>
              <w:t>10.3.9</w:t>
            </w:r>
          </w:p>
        </w:tc>
        <w:tc>
          <w:tcPr>
            <w:tcW w:type="dxa" w:w="4680"/>
          </w:tcPr>
          <w:p>
            <w:r/>
            <w:r>
              <w:rPr>
                <w:b w:val="0"/>
                <w:i w:val="0"/>
                <w:sz w:val="19"/>
              </w:rPr>
              <w:t>Phân tách nhiệm vụ. Hệ thống hoặc chương trình máy tính được coi là ở trạng thái vận hành (production) nếu ban quản lý dựa vào chúng để lập kế hoạch, tiến hành, ghi nhận hoặc báo cáo các hoạt động kinh doanh, kỹ thuật hoặc sản xuất. Phần mềm cho hệ thống vận hành có thể được phát triển bởi bộ phận IT, người dùng cuối hoặc nhà cung cấp. Hệ thống vận hành có thể chạy trên máy tính mainframe, máy tính phòng ban, máy tính cá nhân hoặc qua mạng diện rộng/mạng cục bộ. Các kiểm soát sau đây phải tồn tại để bảo vệ phần mềm máy tính vận hành và các tệp dữ liệu:</w:t>
            </w:r>
            <w:r>
              <w:br/>
            </w:r>
            <w:r>
              <w:rPr>
                <w:b w:val="0"/>
                <w:i w:val="0"/>
                <w:sz w:val="19"/>
              </w:rPr>
              <w:t xml:space="preserve">a. Mỗi ứng dụng và hệ thống phải có một chủ sở hữu được xác định, người có trách nhiệm cuối cùng để đáp ứng các yêu cầu kiểm soát và kiểm toán của hệ thống ứng dụng. </w:t>
            </w:r>
            <w:r>
              <w:rPr>
                <w:b/>
                <w:i w:val="0"/>
                <w:sz w:val="19"/>
              </w:rPr>
              <w:t>Tham khảo rủi ro: C-1, C-10</w:t>
            </w:r>
            <w:r>
              <w:rPr>
                <w:b w:val="0"/>
                <w:i w:val="0"/>
                <w:sz w:val="19"/>
              </w:rPr>
              <w:t xml:space="preserve"> </w:t>
            </w:r>
            <w:r>
              <w:br/>
            </w:r>
            <w:r>
              <w:rPr>
                <w:b w:val="0"/>
                <w:i w:val="0"/>
                <w:sz w:val="19"/>
              </w:rPr>
              <w:t xml:space="preserve">b. Khi hệ thống được sử dụng trong một môi trường nằm ngoài tầm kiểm soát của chủ sở hữu ban đầu, người dùng trở thành chủ sở hữu và có trách nhiệm đảm bảo rằng các kiểm soát phù hợp được áp dụng. </w:t>
            </w:r>
            <w:r>
              <w:rPr>
                <w:b/>
                <w:i w:val="0"/>
                <w:sz w:val="19"/>
              </w:rPr>
              <w:t>Tham khảo rủi ro: C-1, C-6, C-9, C-12, C-13, C-17</w:t>
            </w:r>
            <w:r>
              <w:rPr>
                <w:b w:val="0"/>
                <w:i w:val="0"/>
                <w:sz w:val="19"/>
              </w:rPr>
              <w:t xml:space="preserve"> </w:t>
            </w:r>
            <w:r>
              <w:br/>
            </w:r>
            <w:r>
              <w:rPr>
                <w:b w:val="0"/>
                <w:i w:val="0"/>
                <w:sz w:val="19"/>
              </w:rPr>
              <w:t xml:space="preserve">c. Trách nhiệm giải trình cá nhân phải được thiết lập cho tất cả các hoạt động của hệ thống và thông tin được xử lý (ví dụ: nội dung dữ liệu, lập trình và vận hành hệ thống). </w:t>
            </w:r>
            <w:r>
              <w:rPr>
                <w:b/>
                <w:i w:val="0"/>
                <w:sz w:val="19"/>
              </w:rPr>
              <w:t>Tham khảo rủi ro: C-1, C-5, C-9, C-20</w:t>
            </w:r>
            <w:r>
              <w:rPr>
                <w:b w:val="0"/>
                <w:i w:val="0"/>
                <w:sz w:val="19"/>
              </w:rPr>
              <w:t xml:space="preserve"> </w:t>
            </w:r>
            <w:r>
              <w:br/>
            </w:r>
            <w:r>
              <w:rPr>
                <w:b w:val="0"/>
                <w:i w:val="0"/>
                <w:sz w:val="19"/>
              </w:rPr>
              <w:t xml:space="preserve">d. Nhân viên xử lý dữ liệu hỗ trợ trực tiếp cho hệ thống phải được phép truy cập vào các chương trình ứng dụng. </w:t>
            </w:r>
            <w:r>
              <w:rPr>
                <w:b/>
                <w:i w:val="0"/>
                <w:sz w:val="19"/>
              </w:rPr>
              <w:t>Tham khảo rủi ro: C-1, C-6, C-9, C-12, C-17</w:t>
            </w:r>
            <w:r>
              <w:rPr>
                <w:b w:val="0"/>
                <w:i w:val="0"/>
                <w:sz w:val="19"/>
              </w:rPr>
              <w:t xml:space="preserve"> </w:t>
            </w:r>
            <w:r>
              <w:br/>
            </w:r>
            <w:r>
              <w:rPr>
                <w:b w:val="0"/>
                <w:i w:val="0"/>
                <w:sz w:val="19"/>
              </w:rPr>
              <w:t xml:space="preserve">e. Các tính năng kiểm soát và kiểm toán phải được xem xét trước khi mua hoặc cấp phép hoặc, nếu do công ty phát triển, trong giai đoạn yêu cầu của người dùng. Những tính năng này phải được triển khai vào thời điểm hệ thống đi vào vận hành. </w:t>
            </w:r>
            <w:r>
              <w:rPr>
                <w:b/>
                <w:i w:val="0"/>
                <w:sz w:val="19"/>
              </w:rPr>
              <w:t>Tham khảo rủi ro: C-1, C-10</w:t>
            </w:r>
          </w:p>
        </w:tc>
      </w:tr>
      <w:tr>
        <w:tc>
          <w:tcPr>
            <w:tcW w:type="dxa" w:w="4680"/>
          </w:tcPr>
          <w:p>
            <w:r/>
            <w:r>
              <w:rPr>
                <w:b w:val="0"/>
                <w:i w:val="0"/>
                <w:sz w:val="19"/>
              </w:rPr>
              <w:t>10.3.10</w:t>
            </w:r>
          </w:p>
        </w:tc>
        <w:tc>
          <w:tcPr>
            <w:tcW w:type="dxa" w:w="4680"/>
          </w:tcPr>
          <w:p>
            <w:r/>
            <w:r>
              <w:rPr>
                <w:b/>
                <w:i w:val="0"/>
                <w:sz w:val="19"/>
              </w:rPr>
              <w:t>Truy cập nhiều hệ thống.</w:t>
            </w:r>
            <w:r>
              <w:rPr>
                <w:b w:val="0"/>
                <w:i w:val="0"/>
                <w:sz w:val="19"/>
              </w:rPr>
              <w:t xml:space="preserve"> Người giám sát phải đảm bảo rằng quyền truy cập được cấp cho nhiều hệ thống không làm tổn hại đến việc phân tách nhiệm vụ. </w:t>
            </w:r>
            <w:r>
              <w:rPr>
                <w:b/>
                <w:i w:val="0"/>
                <w:sz w:val="19"/>
              </w:rPr>
              <w:t>Tham khảo rủi ro: C-11, C-19</w:t>
            </w:r>
          </w:p>
        </w:tc>
      </w:tr>
      <w:tr>
        <w:tc>
          <w:tcPr>
            <w:tcW w:type="dxa" w:w="4680"/>
          </w:tcPr>
          <w:p>
            <w:r/>
            <w:r>
              <w:rPr>
                <w:b w:val="0"/>
                <w:i w:val="0"/>
                <w:sz w:val="19"/>
              </w:rPr>
              <w:t>10.3.11</w:t>
            </w:r>
          </w:p>
        </w:tc>
        <w:tc>
          <w:tcPr>
            <w:tcW w:type="dxa" w:w="4680"/>
          </w:tcPr>
          <w:p>
            <w:r/>
            <w:r>
              <w:rPr>
                <w:b w:val="0"/>
                <w:i w:val="0"/>
                <w:sz w:val="19"/>
              </w:rPr>
              <w:t>Trách nhiệm về mật khẩu của người dùng. Người dùng chịu trách nhiệm cho tất cả các quyền truy cập và các hành động phát sinh từ việc sử dụng mật khẩu của mình. Người dùng phải:</w:t>
            </w:r>
            <w:r>
              <w:br/>
            </w:r>
            <w:r>
              <w:rPr>
                <w:b w:val="0"/>
                <w:i w:val="0"/>
                <w:sz w:val="19"/>
              </w:rPr>
              <w:t>a. Bảo vệ mật khẩu như tài sản cá nhân.</w:t>
            </w:r>
            <w:r>
              <w:br/>
            </w:r>
            <w:r>
              <w:rPr>
                <w:b w:val="0"/>
                <w:i w:val="0"/>
                <w:sz w:val="19"/>
              </w:rPr>
              <w:t>b. Không chia sẻ mật khẩu trừ trường hợp khẩn cấp. Khi việc chia sẻ đã xảy ra, người dùng phải thiết lập mật khẩu mới trong thời gian sớm nhất.</w:t>
            </w:r>
            <w:r>
              <w:br/>
            </w:r>
            <w:r>
              <w:rPr>
                <w:b w:val="0"/>
                <w:i w:val="0"/>
                <w:sz w:val="19"/>
              </w:rPr>
              <w:t xml:space="preserve">c. Đảm bảo rằng những người khác không có được mật khẩu của mình bằng cách quan sát nhập bàn phím, truy cập bản viết tay, nghe lén, v.v. </w:t>
            </w:r>
            <w:r>
              <w:rPr>
                <w:b/>
                <w:i w:val="0"/>
                <w:sz w:val="19"/>
              </w:rPr>
              <w:t>Tham khảo rủi ro: C-1, C-5, C-9, C-12, C-18</w:t>
            </w:r>
          </w:p>
        </w:tc>
      </w:tr>
      <w:tr>
        <w:tc>
          <w:tcPr>
            <w:tcW w:type="dxa" w:w="4680"/>
          </w:tcPr>
          <w:p>
            <w:r/>
            <w:r>
              <w:rPr>
                <w:b w:val="0"/>
                <w:i w:val="0"/>
                <w:sz w:val="19"/>
              </w:rPr>
              <w:t>10.3.12</w:t>
            </w:r>
          </w:p>
        </w:tc>
        <w:tc>
          <w:tcPr>
            <w:tcW w:type="dxa" w:w="4680"/>
          </w:tcPr>
          <w:p>
            <w:r/>
            <w:r>
              <w:rPr>
                <w:b w:val="0"/>
                <w:i w:val="0"/>
                <w:sz w:val="19"/>
              </w:rPr>
              <w:t>Gán ID người dùng. Trong một số trường hợp đặc biệt, do yêu cầu kinh doanh, có thể phù hợp để gán một ID người dùng cho nhiều hơn một cá nhân. Những việc gán như vậy phải tuân theo các điều sau:</w:t>
            </w:r>
            <w:r>
              <w:br/>
            </w:r>
            <w:r>
              <w:rPr>
                <w:b w:val="0"/>
                <w:i w:val="0"/>
                <w:sz w:val="19"/>
              </w:rPr>
              <w:t>a. Phê duyệt chính thức một hồ sơ kinh doanh bằng văn bản bởi chủ sở hữu ứng dụng/dữ liệu và nhóm quản trị an ninh khu vực.</w:t>
            </w:r>
            <w:r>
              <w:br/>
            </w:r>
            <w:r>
              <w:rPr>
                <w:b w:val="0"/>
                <w:i w:val="0"/>
                <w:sz w:val="19"/>
              </w:rPr>
              <w:t>b. Mỗi ID người dùng có một chủ sở hữu được đặt tên duy nhất, người chấp nhận trách nhiệm cho tất cả việc sử dụng ID người dùng và đảm bảo rằng nó chỉ được sử dụng bởi những người được ủy quyền.</w:t>
            </w:r>
            <w:r>
              <w:br/>
            </w:r>
            <w:r>
              <w:rPr>
                <w:b w:val="0"/>
                <w:i w:val="0"/>
                <w:sz w:val="19"/>
              </w:rPr>
              <w:t>c. ID người dùng được gán ở cấp nhóm mà chủ sở hữu có thể kiểm soát hiệu quả.</w:t>
            </w:r>
            <w:r>
              <w:br/>
            </w:r>
            <w:r>
              <w:rPr>
                <w:b w:val="0"/>
                <w:i w:val="0"/>
                <w:sz w:val="19"/>
              </w:rPr>
              <w:t>d. Chủ sở hữu được yêu cầu duy trì và cập nhật danh sách tất cả các cá nhân chia sẻ ID và có thể xuất trình danh sách này khi được yêu cầu.</w:t>
            </w:r>
            <w:r>
              <w:br/>
            </w:r>
            <w:r>
              <w:rPr>
                <w:b w:val="0"/>
                <w:i w:val="0"/>
                <w:sz w:val="19"/>
              </w:rPr>
              <w:t>e. Chủ sở hữu ID người dùng được chia sẻ đảm bảo rằng một mật khẩu mới được gán khi một trong những người dùng chia sẻ không còn nhu cầu kinh doanh đối với tài khoản.</w:t>
            </w:r>
            <w:r>
              <w:br/>
            </w:r>
            <w:r>
              <w:rPr>
                <w:b w:val="0"/>
                <w:i w:val="0"/>
                <w:sz w:val="19"/>
              </w:rPr>
              <w:t>f. ID người dùng được chia sẻ không phải là ID cá nhân của chủ sở hữu.</w:t>
            </w:r>
            <w:r>
              <w:br/>
            </w:r>
            <w:r>
              <w:rPr>
                <w:b w:val="0"/>
                <w:i w:val="0"/>
                <w:sz w:val="19"/>
              </w:rPr>
              <w:t>g. ID được chia sẻ chỉ được giới hạn để truy cập các ứng dụng đã được chỉ định và phê duyệt trong hồ sơ kinh doanh.</w:t>
            </w:r>
            <w:r>
              <w:br/>
            </w:r>
            <w:r>
              <w:rPr>
                <w:b w:val="0"/>
                <w:i w:val="0"/>
                <w:sz w:val="19"/>
              </w:rPr>
              <w:t xml:space="preserve">h. Xác nhận nhu cầu kinh doanh tiếp tục đối với ID người dùng được chia sẻ được thực hiện ít nhất mỗi năm một lần. </w:t>
            </w:r>
            <w:r>
              <w:rPr>
                <w:b/>
                <w:i w:val="0"/>
                <w:sz w:val="19"/>
              </w:rPr>
              <w:t>Tham khảo rủi ro: C-1, C-5, C-9, C-12, C-18</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C-1</w:t>
            </w:r>
          </w:p>
        </w:tc>
        <w:tc>
          <w:tcPr>
            <w:tcW w:type="dxa" w:w="4680"/>
          </w:tcPr>
          <w:p>
            <w:r/>
            <w:r>
              <w:rPr>
                <w:b w:val="0"/>
                <w:i w:val="0"/>
                <w:sz w:val="19"/>
              </w:rPr>
              <w:t>Thông tin của công ty có thể bị tiết lộ, mất mát hoặc bị nhiễm bẩn, điều này có thể ảnh hưởng tiêu cực đến vị thế cạnh tranh của công ty.</w:t>
            </w:r>
          </w:p>
        </w:tc>
      </w:tr>
      <w:tr>
        <w:tc>
          <w:tcPr>
            <w:tcW w:type="dxa" w:w="4680"/>
          </w:tcPr>
          <w:p>
            <w:r/>
            <w:r>
              <w:rPr>
                <w:b w:val="0"/>
                <w:i w:val="0"/>
                <w:sz w:val="19"/>
              </w:rPr>
              <w:t>C-2</w:t>
            </w:r>
          </w:p>
        </w:tc>
        <w:tc>
          <w:tcPr>
            <w:tcW w:type="dxa" w:w="4680"/>
          </w:tcPr>
          <w:p>
            <w:r/>
            <w:r>
              <w:rPr>
                <w:b w:val="0"/>
                <w:i w:val="0"/>
                <w:sz w:val="19"/>
              </w:rPr>
              <w:t>Các máy tính xử lý giao dịch của hệ thống kinh doanh, sản xuất và kỹ thuật, và thực hiện kiểm thử sản phẩm, có thể không có phần mềm bảo mật truy cập đầy đủ, dẫn đến các vi phạm truy cập.</w:t>
            </w:r>
          </w:p>
        </w:tc>
      </w:tr>
      <w:tr>
        <w:tc>
          <w:tcPr>
            <w:tcW w:type="dxa" w:w="4680"/>
          </w:tcPr>
          <w:p>
            <w:r/>
            <w:r>
              <w:rPr>
                <w:b w:val="0"/>
                <w:i w:val="0"/>
                <w:sz w:val="19"/>
              </w:rPr>
              <w:t>C-3</w:t>
            </w:r>
          </w:p>
        </w:tc>
        <w:tc>
          <w:tcPr>
            <w:tcW w:type="dxa" w:w="4680"/>
          </w:tcPr>
          <w:p>
            <w:r/>
            <w:r>
              <w:rPr>
                <w:b w:val="0"/>
                <w:i w:val="0"/>
                <w:sz w:val="19"/>
              </w:rPr>
              <w:t>Phần mềm bảo mật truy cập máy tính hoặc hệ điều hành có thể không cung cấp các kiểm soát bảo vệ hoặc phát hiện tối thiểu đầy đủ.</w:t>
            </w:r>
          </w:p>
        </w:tc>
      </w:tr>
      <w:tr>
        <w:tc>
          <w:tcPr>
            <w:tcW w:type="dxa" w:w="4680"/>
          </w:tcPr>
          <w:p>
            <w:r/>
            <w:r>
              <w:rPr>
                <w:b w:val="0"/>
                <w:i w:val="0"/>
                <w:sz w:val="19"/>
              </w:rPr>
              <w:t>C-4</w:t>
            </w:r>
          </w:p>
        </w:tc>
        <w:tc>
          <w:tcPr>
            <w:tcW w:type="dxa" w:w="4680"/>
          </w:tcPr>
          <w:p>
            <w:r/>
            <w:r>
              <w:rPr>
                <w:b w:val="0"/>
                <w:i w:val="0"/>
                <w:sz w:val="19"/>
              </w:rPr>
              <w:t>Mật khẩu cho tài khoản máy tính hoặc mạng của người dùng có thể bị tiết lộ và cho phép truy cập trái phép vào dữ liệu và chương trình.</w:t>
            </w:r>
          </w:p>
        </w:tc>
      </w:tr>
      <w:tr>
        <w:tc>
          <w:tcPr>
            <w:tcW w:type="dxa" w:w="4680"/>
          </w:tcPr>
          <w:p>
            <w:r/>
            <w:r>
              <w:rPr>
                <w:b w:val="0"/>
                <w:i w:val="0"/>
                <w:sz w:val="19"/>
              </w:rPr>
              <w:t>C-5</w:t>
            </w:r>
          </w:p>
        </w:tc>
        <w:tc>
          <w:tcPr>
            <w:tcW w:type="dxa" w:w="4680"/>
          </w:tcPr>
          <w:p>
            <w:r/>
            <w:r>
              <w:rPr>
                <w:b w:val="0"/>
                <w:i w:val="0"/>
                <w:sz w:val="19"/>
              </w:rPr>
              <w:t>Trách nhiệm giải trình cá nhân có thể bị mất.</w:t>
            </w:r>
          </w:p>
        </w:tc>
      </w:tr>
      <w:tr>
        <w:tc>
          <w:tcPr>
            <w:tcW w:type="dxa" w:w="4680"/>
          </w:tcPr>
          <w:p>
            <w:r/>
            <w:r>
              <w:rPr>
                <w:b w:val="0"/>
                <w:i w:val="0"/>
                <w:sz w:val="19"/>
              </w:rPr>
              <w:t>C-6</w:t>
            </w:r>
          </w:p>
        </w:tc>
        <w:tc>
          <w:tcPr>
            <w:tcW w:type="dxa" w:w="4680"/>
          </w:tcPr>
          <w:p>
            <w:r/>
            <w:r>
              <w:rPr>
                <w:b w:val="0"/>
                <w:i w:val="0"/>
                <w:sz w:val="19"/>
              </w:rPr>
              <w:t>Việc phân tách nhiệm vụ không đầy đủ có thể phát sinh từ sự kết hợp giữa quyền truy cập hệ thống và các nhiệm vụ thủ công.</w:t>
            </w:r>
          </w:p>
        </w:tc>
      </w:tr>
      <w:tr>
        <w:tc>
          <w:tcPr>
            <w:tcW w:type="dxa" w:w="4680"/>
          </w:tcPr>
          <w:p>
            <w:r/>
            <w:r>
              <w:rPr>
                <w:b w:val="0"/>
                <w:i w:val="0"/>
                <w:sz w:val="19"/>
              </w:rPr>
              <w:t>C-7</w:t>
            </w:r>
          </w:p>
        </w:tc>
        <w:tc>
          <w:tcPr>
            <w:tcW w:type="dxa" w:w="4680"/>
          </w:tcPr>
          <w:p>
            <w:r/>
            <w:r>
              <w:rPr>
                <w:b w:val="0"/>
                <w:i w:val="0"/>
                <w:sz w:val="19"/>
              </w:rPr>
              <w:t>Các kiểm soát bảo mật truy cập máy tính có thể không được triển khai.</w:t>
            </w:r>
          </w:p>
        </w:tc>
      </w:tr>
      <w:tr>
        <w:tc>
          <w:tcPr>
            <w:tcW w:type="dxa" w:w="4680"/>
          </w:tcPr>
          <w:p>
            <w:r/>
            <w:r>
              <w:rPr>
                <w:b w:val="0"/>
                <w:i w:val="0"/>
                <w:sz w:val="19"/>
              </w:rPr>
              <w:t>C-8</w:t>
            </w:r>
          </w:p>
        </w:tc>
        <w:tc>
          <w:tcPr>
            <w:tcW w:type="dxa" w:w="4680"/>
          </w:tcPr>
          <w:p>
            <w:r/>
            <w:r>
              <w:rPr>
                <w:b w:val="0"/>
                <w:i w:val="0"/>
                <w:sz w:val="19"/>
              </w:rPr>
              <w:t>Các quản trị viên bảo mật có thể có những nhiệm vụ xung đột, cho phép họ thay đổi bảo mật truy cập và xử lý hệ thống.</w:t>
            </w:r>
          </w:p>
        </w:tc>
      </w:tr>
      <w:tr>
        <w:tc>
          <w:tcPr>
            <w:tcW w:type="dxa" w:w="4680"/>
          </w:tcPr>
          <w:p>
            <w:r/>
            <w:r>
              <w:rPr>
                <w:b w:val="0"/>
                <w:i w:val="0"/>
                <w:sz w:val="19"/>
              </w:rPr>
              <w:t>C-9</w:t>
            </w:r>
          </w:p>
        </w:tc>
        <w:tc>
          <w:tcPr>
            <w:tcW w:type="dxa" w:w="4680"/>
          </w:tcPr>
          <w:p>
            <w:r/>
            <w:r>
              <w:rPr>
                <w:b w:val="0"/>
                <w:i w:val="0"/>
                <w:sz w:val="19"/>
              </w:rPr>
              <w:t>Quyền truy cập vào các tệp dữ liệu và chương trình sản xuất có thể được cấp mà không có sự ủy quyền hợp lệ.</w:t>
            </w:r>
          </w:p>
        </w:tc>
      </w:tr>
      <w:tr>
        <w:tc>
          <w:tcPr>
            <w:tcW w:type="dxa" w:w="4680"/>
          </w:tcPr>
          <w:p>
            <w:r/>
            <w:r>
              <w:rPr>
                <w:b w:val="0"/>
                <w:i w:val="0"/>
                <w:sz w:val="19"/>
              </w:rPr>
              <w:t>C-10</w:t>
            </w:r>
          </w:p>
        </w:tc>
        <w:tc>
          <w:tcPr>
            <w:tcW w:type="dxa" w:w="4680"/>
          </w:tcPr>
          <w:p>
            <w:r/>
            <w:r>
              <w:rPr>
                <w:b w:val="0"/>
                <w:i w:val="0"/>
                <w:sz w:val="19"/>
              </w:rPr>
              <w:t>Các nỗ lực truy cập trái phép có thể được thực hiện thường xuyên mà không bị phát hiện.</w:t>
            </w:r>
          </w:p>
        </w:tc>
      </w:tr>
      <w:tr>
        <w:tc>
          <w:tcPr>
            <w:tcW w:type="dxa" w:w="4680"/>
          </w:tcPr>
          <w:p>
            <w:r/>
            <w:r>
              <w:rPr>
                <w:b w:val="0"/>
                <w:i w:val="0"/>
                <w:sz w:val="19"/>
              </w:rPr>
              <w:t>C-11</w:t>
            </w:r>
          </w:p>
        </w:tc>
        <w:tc>
          <w:tcPr>
            <w:tcW w:type="dxa" w:w="4680"/>
          </w:tcPr>
          <w:p>
            <w:r/>
            <w:r>
              <w:rPr>
                <w:b w:val="0"/>
                <w:i w:val="0"/>
                <w:sz w:val="19"/>
              </w:rPr>
              <w:t>Việc cùng một người dùng truy cập vào nhiều hệ thống có thể dẫn đến việc thiếu phân tách chức năng.</w:t>
            </w:r>
          </w:p>
        </w:tc>
      </w:tr>
      <w:tr>
        <w:tc>
          <w:tcPr>
            <w:tcW w:type="dxa" w:w="4680"/>
          </w:tcPr>
          <w:p>
            <w:r/>
            <w:r>
              <w:rPr>
                <w:b w:val="0"/>
                <w:i w:val="0"/>
                <w:sz w:val="19"/>
              </w:rPr>
              <w:t>C-12</w:t>
            </w:r>
          </w:p>
        </w:tc>
        <w:tc>
          <w:tcPr>
            <w:tcW w:type="dxa" w:w="4680"/>
          </w:tcPr>
          <w:p>
            <w:r/>
            <w:r>
              <w:rPr>
                <w:b w:val="0"/>
                <w:i w:val="0"/>
                <w:sz w:val="19"/>
              </w:rPr>
              <w:t>Thông tin nhạy cảm có thể bị truy cập và/hoặc bị tiết lộ cho nhân viên không được phép.</w:t>
            </w:r>
          </w:p>
        </w:tc>
      </w:tr>
      <w:tr>
        <w:tc>
          <w:tcPr>
            <w:tcW w:type="dxa" w:w="4680"/>
          </w:tcPr>
          <w:p>
            <w:r/>
            <w:r>
              <w:rPr>
                <w:b w:val="0"/>
                <w:i w:val="0"/>
                <w:sz w:val="19"/>
              </w:rPr>
              <w:t>C-13</w:t>
            </w:r>
          </w:p>
        </w:tc>
        <w:tc>
          <w:tcPr>
            <w:tcW w:type="dxa" w:w="4680"/>
          </w:tcPr>
          <w:p>
            <w:r/>
            <w:r>
              <w:rPr>
                <w:b w:val="0"/>
                <w:i w:val="0"/>
                <w:sz w:val="19"/>
              </w:rPr>
              <w:t>Có thể được cấp các đặc quyền truy cập đặc biệt dẫn đến việc truy cập không cần thiết hoặc trái phép vào các tệp dữ liệu sản xuất.</w:t>
            </w:r>
          </w:p>
        </w:tc>
      </w:tr>
      <w:tr>
        <w:tc>
          <w:tcPr>
            <w:tcW w:type="dxa" w:w="4680"/>
          </w:tcPr>
          <w:p>
            <w:r/>
            <w:r>
              <w:rPr>
                <w:b w:val="0"/>
                <w:i w:val="0"/>
                <w:sz w:val="19"/>
              </w:rPr>
              <w:t>C-14</w:t>
            </w:r>
          </w:p>
        </w:tc>
        <w:tc>
          <w:tcPr>
            <w:tcW w:type="dxa" w:w="4680"/>
          </w:tcPr>
          <w:p>
            <w:r/>
            <w:r>
              <w:rPr>
                <w:b w:val="0"/>
                <w:i w:val="0"/>
                <w:sz w:val="19"/>
              </w:rPr>
              <w:t>Nhân viên đã nghỉ việc/chuyển công tác có thể truy cập và/hoặc phá hoại dữ liệu công ty, làm gián đoạn quy trình xử lý kinh doanh bình thường, hoặc tiết lộ thông tin nhạy cảm cho người ngoài.</w:t>
            </w:r>
          </w:p>
        </w:tc>
      </w:tr>
      <w:tr>
        <w:tc>
          <w:tcPr>
            <w:tcW w:type="dxa" w:w="4680"/>
          </w:tcPr>
          <w:p>
            <w:r/>
            <w:r>
              <w:rPr>
                <w:b w:val="0"/>
                <w:i w:val="0"/>
                <w:sz w:val="19"/>
              </w:rPr>
              <w:t>C-15</w:t>
            </w:r>
          </w:p>
        </w:tc>
        <w:tc>
          <w:tcPr>
            <w:tcW w:type="dxa" w:w="4680"/>
          </w:tcPr>
          <w:p>
            <w:r/>
            <w:r>
              <w:rPr>
                <w:b w:val="0"/>
                <w:i w:val="0"/>
                <w:sz w:val="19"/>
              </w:rPr>
              <w:t>Việc truy cập hệ thống của nhân viên đã nghỉ việc/chuyển công tác hoặc các tài khoản được gán cho nhân viên đã nghỉ việc/chuyển công tác có thể không bị phát hiện.</w:t>
            </w:r>
          </w:p>
        </w:tc>
      </w:tr>
      <w:tr>
        <w:tc>
          <w:tcPr>
            <w:tcW w:type="dxa" w:w="4680"/>
          </w:tcPr>
          <w:p>
            <w:r/>
            <w:r>
              <w:rPr>
                <w:b w:val="0"/>
                <w:i w:val="0"/>
                <w:sz w:val="19"/>
              </w:rPr>
              <w:t>C-16</w:t>
            </w:r>
          </w:p>
        </w:tc>
        <w:tc>
          <w:tcPr>
            <w:tcW w:type="dxa" w:w="4680"/>
          </w:tcPr>
          <w:p>
            <w:r/>
            <w:r>
              <w:rPr>
                <w:b w:val="0"/>
                <w:i w:val="0"/>
                <w:sz w:val="19"/>
              </w:rPr>
              <w:t>Người dùng hệ thống có thể không hiểu rõ trách nhiệm của mình liên quan đến việc sử dụng các hệ thống thông tin.</w:t>
            </w:r>
          </w:p>
        </w:tc>
      </w:tr>
      <w:tr>
        <w:tc>
          <w:tcPr>
            <w:tcW w:type="dxa" w:w="4680"/>
          </w:tcPr>
          <w:p>
            <w:r/>
            <w:r>
              <w:rPr>
                <w:b w:val="0"/>
                <w:i w:val="0"/>
                <w:sz w:val="19"/>
              </w:rPr>
              <w:t>C-17</w:t>
            </w:r>
          </w:p>
        </w:tc>
        <w:tc>
          <w:tcPr>
            <w:tcW w:type="dxa" w:w="4680"/>
          </w:tcPr>
          <w:p>
            <w:r/>
            <w:r>
              <w:rPr>
                <w:b w:val="0"/>
                <w:i w:val="0"/>
                <w:sz w:val="19"/>
              </w:rPr>
              <w:t>Người dùng hệ thống có thể được cấp quyền truy cập vào các tệp dữ liệu và chương trình không cần thiết cho chức năng công việc của họ.</w:t>
            </w:r>
          </w:p>
        </w:tc>
      </w:tr>
      <w:tr>
        <w:tc>
          <w:tcPr>
            <w:tcW w:type="dxa" w:w="4680"/>
          </w:tcPr>
          <w:p>
            <w:r/>
            <w:r>
              <w:rPr>
                <w:b w:val="0"/>
                <w:i w:val="0"/>
                <w:sz w:val="19"/>
              </w:rPr>
              <w:t>C-18</w:t>
            </w:r>
          </w:p>
        </w:tc>
        <w:tc>
          <w:tcPr>
            <w:tcW w:type="dxa" w:w="4680"/>
          </w:tcPr>
          <w:p>
            <w:r/>
            <w:r>
              <w:rPr>
                <w:b w:val="0"/>
                <w:i w:val="0"/>
                <w:sz w:val="19"/>
              </w:rPr>
              <w:t>Thông tin lưu trữ trên các hệ thống máy tính có thể không được bảo vệ đúng cách.</w:t>
            </w:r>
          </w:p>
        </w:tc>
      </w:tr>
      <w:tr>
        <w:tc>
          <w:tcPr>
            <w:tcW w:type="dxa" w:w="4680"/>
          </w:tcPr>
          <w:p>
            <w:r/>
            <w:r>
              <w:rPr>
                <w:b w:val="0"/>
                <w:i w:val="0"/>
                <w:sz w:val="19"/>
              </w:rPr>
              <w:t>C-19</w:t>
            </w:r>
          </w:p>
        </w:tc>
        <w:tc>
          <w:tcPr>
            <w:tcW w:type="dxa" w:w="4680"/>
          </w:tcPr>
          <w:p>
            <w:r/>
            <w:r>
              <w:rPr>
                <w:b w:val="0"/>
                <w:i w:val="0"/>
                <w:sz w:val="19"/>
              </w:rPr>
              <w:t>Người dùng có thể thay đổi trách nhiệm công việc nhưng không thay đổi yêu cầu truy cập hệ thống của mình.</w:t>
            </w:r>
          </w:p>
        </w:tc>
      </w:tr>
      <w:tr>
        <w:tc>
          <w:tcPr>
            <w:tcW w:type="dxa" w:w="4680"/>
          </w:tcPr>
          <w:p>
            <w:r/>
            <w:r>
              <w:rPr>
                <w:b w:val="0"/>
                <w:i w:val="0"/>
                <w:sz w:val="19"/>
              </w:rPr>
              <w:t>C-20</w:t>
            </w:r>
          </w:p>
        </w:tc>
        <w:tc>
          <w:tcPr>
            <w:tcW w:type="dxa" w:w="4680"/>
          </w:tcPr>
          <w:p>
            <w:r/>
            <w:r>
              <w:rPr>
                <w:b w:val="0"/>
                <w:i w:val="0"/>
                <w:sz w:val="19"/>
              </w:rPr>
              <w:t>Các ứng dụng kỹ thuật, sản xuất hoặc kinh doanh có thể bị trục trặc, dẫn đến tổn thất doanh thu và năng suất, hoặc dữ liệu quan trọng có thể bị phá hủy.</w:t>
            </w:r>
          </w:p>
        </w:tc>
      </w:tr>
      <w:tr>
        <w:tc>
          <w:tcPr>
            <w:tcW w:type="dxa" w:w="4680"/>
          </w:tcPr>
          <w:p>
            <w:r/>
            <w:r>
              <w:rPr>
                <w:b w:val="0"/>
                <w:i w:val="0"/>
                <w:sz w:val="19"/>
              </w:rPr>
              <w:t>C-21</w:t>
            </w:r>
          </w:p>
        </w:tc>
        <w:tc>
          <w:tcPr>
            <w:tcW w:type="dxa" w:w="4680"/>
          </w:tcPr>
          <w:p>
            <w:r/>
            <w:r>
              <w:rPr>
                <w:b w:val="0"/>
                <w:i w:val="0"/>
                <w:sz w:val="19"/>
              </w:rPr>
              <w:t>Công ty có thể phải chịu trách nhiệm pháp lý nếu phần mềm độc quyền bị sử dụng sai mục đích hoặc sao chép trái phép.</w:t>
            </w:r>
          </w:p>
        </w:tc>
      </w:tr>
    </w:tbl>
    <w:p>
      <w:pPr>
        <w:spacing w:after="0"/>
      </w:pPr>
    </w:p>
    <w:p>
      <w:pPr>
        <w:pStyle w:val="Heading2"/>
      </w:pPr>
      <w:r>
        <w:rPr>
          <w:rFonts w:ascii="Calibri" w:hAnsi="Calibri"/>
          <w:b/>
          <w:i w:val="0"/>
          <w:sz w:val="32"/>
        </w:rPr>
        <w:t>10.4 KIỂM SOÁT VẬN HÀNH MẠNG VÀ BẢO MẬT</w:t>
      </w:r>
    </w:p>
    <w:p>
      <w:pPr>
        <w:pStyle w:val="Heading3"/>
      </w:pPr>
      <w:r>
        <w:rPr>
          <w:rFonts w:ascii="Calibri" w:hAnsi="Calibri"/>
          <w:b/>
          <w:i w:val="0"/>
          <w:sz w:val="26"/>
        </w:rPr>
        <w:t>Giới thiệu</w:t>
      </w:r>
    </w:p>
    <w:p>
      <w:pPr>
        <w:spacing w:after="80"/>
      </w:pPr>
      <w:r>
        <w:rPr>
          <w:b w:val="0"/>
          <w:i w:val="0"/>
        </w:rPr>
        <w:t>Mục tiêu của các kiểm soát vận hành mạng và bảo mật bao gồm bảo vệ khỏi việc sử dụng mạng trái phép, bảo vệ chống lại sự thay đổi và sử dụng thông tin trái phép trong khi thông tin đang được truyền qua mạng, và duy trì tính toàn vẹn cũng như độ tin cậy của thiết bị và dịch vụ mạng. Phạm vi của mục này bao gồm dịch vụ thoại, dữ liệu, video và các thành phần mạng.</w:t>
      </w:r>
    </w:p>
    <w:p>
      <w:pPr>
        <w:pStyle w:val="Heading3"/>
      </w:pPr>
      <w:r>
        <w:rPr>
          <w:rFonts w:ascii="Calibri" w:hAnsi="Calibri"/>
          <w:b/>
          <w:i w:val="0"/>
          <w:sz w:val="26"/>
        </w:rPr>
        <w:t>Định nghĩa</w:t>
      </w:r>
    </w:p>
    <w:p>
      <w:pPr>
        <w:spacing w:after="80"/>
        <w:ind w:left="360"/>
      </w:pPr>
      <w:r>
        <w:rPr>
          <w:b/>
          <w:i w:val="0"/>
        </w:rPr>
        <w:t>Backbone (mạng trục)—</w:t>
      </w:r>
      <w:r>
        <w:rPr>
          <w:b w:val="0"/>
          <w:i w:val="0"/>
        </w:rPr>
        <w:t xml:space="preserve"> Một cáp chính hoặc phân đoạn mạng được dùng để kết nối các tập hợp mạng nhỏ hơn lại với nhau thành một mạng logic lớn hơn.</w:t>
      </w:r>
    </w:p>
    <w:p>
      <w:pPr>
        <w:spacing w:after="80"/>
        <w:ind w:left="360"/>
      </w:pPr>
      <w:r>
        <w:rPr>
          <w:b/>
          <w:i w:val="0"/>
        </w:rPr>
        <w:t>Truy cập từ bên ngoài</w:t>
      </w:r>
      <w:r>
        <w:rPr>
          <w:b w:val="0"/>
          <w:i w:val="0"/>
        </w:rPr>
        <w:t xml:space="preserve"> —Truy cập vào mạng của công ty từ bên ngoài khuôn viên công ty. Điều này bao gồm việc truy cập vào LAN của công ty hoặc một PC trên mạng nội bộ công ty từ bên ngoài khuôn viên công ty.</w:t>
      </w:r>
    </w:p>
    <w:p>
      <w:pPr>
        <w:spacing w:after="80"/>
        <w:ind w:left="360"/>
      </w:pPr>
      <w:r>
        <w:rPr>
          <w:b/>
          <w:i w:val="0"/>
        </w:rPr>
        <w:t>Nhận dạng cá nhân</w:t>
      </w:r>
      <w:r>
        <w:rPr>
          <w:b w:val="0"/>
          <w:i w:val="0"/>
        </w:rPr>
        <w:t xml:space="preserve"> —Một định danh cá nhân duy nhất, không chia sẻ, sử dụng một hoặc nhiều yếu tố sau:</w:t>
      </w:r>
    </w:p>
    <w:p>
      <w:pPr>
        <w:spacing w:after="80"/>
        <w:ind w:left="720"/>
      </w:pPr>
      <w:r>
        <w:t xml:space="preserve">a. </w:t>
      </w:r>
      <w:r>
        <w:rPr>
          <w:b w:val="0"/>
          <w:i w:val="0"/>
        </w:rPr>
        <w:t>Tổ hợp ID người dùng/mật khẩu truy cập mạng.</w:t>
      </w:r>
    </w:p>
    <w:p>
      <w:pPr>
        <w:spacing w:after="80"/>
        <w:ind w:left="720"/>
      </w:pPr>
      <w:r>
        <w:t xml:space="preserve">b. </w:t>
      </w:r>
      <w:r>
        <w:rPr>
          <w:b w:val="0"/>
          <w:i w:val="0"/>
        </w:rPr>
        <w:t>Các thiết bị do người dùng mang theo, là một phần của hệ thống tự động thay đổi mật khẩu và xác định mật khẩu mạng hiện tại. Những thiết bị như vậy thường được gọi là "thẻ thông minh" (smart card).</w:t>
      </w:r>
    </w:p>
    <w:p>
      <w:pPr>
        <w:spacing w:after="80"/>
        <w:ind w:left="720"/>
      </w:pPr>
      <w:r>
        <w:t xml:space="preserve">c. </w:t>
      </w:r>
      <w:r>
        <w:rPr>
          <w:b w:val="0"/>
          <w:i w:val="0"/>
        </w:rPr>
        <w:t>Định danh sinh trắc học như dấu vân tay, giọng nói, quét võng mạc, v.v.</w:t>
      </w:r>
    </w:p>
    <w:p>
      <w:pPr>
        <w:spacing w:after="80"/>
        <w:ind w:left="360"/>
      </w:pPr>
      <w:r>
        <w:rPr>
          <w:b/>
          <w:i w:val="0"/>
        </w:rPr>
        <w:t>Nhận dạng thiết bị đầu cuối hoặc máy tính</w:t>
      </w:r>
      <w:r>
        <w:rPr>
          <w:b w:val="0"/>
          <w:i w:val="0"/>
        </w:rPr>
        <w:t xml:space="preserve"> —Một ID thiết bị duy nhất (cho máy tính hoặc thiết bị đầu cuối) được cung cấp tự động bằng điện tử theo yêu cầu cho máy chủ hoặc điểm truy cập đang được truy cập. ID này được tạo ra bởi phần cứng đặc biệt trong chính thiết bị đó.</w:t>
      </w:r>
    </w:p>
    <w:p>
      <w:pPr>
        <w:spacing w:after="80"/>
        <w:ind w:left="360"/>
      </w:pPr>
      <w:r>
        <w:rPr>
          <w:b/>
          <w:i w:val="0"/>
        </w:rPr>
        <w:t>Vị trí thiết bị đầu cuối hoặc máy tính</w:t>
      </w:r>
      <w:r>
        <w:rPr>
          <w:b w:val="0"/>
          <w:i w:val="0"/>
        </w:rPr>
        <w:t xml:space="preserve"> —Một vị trí được biết là vị trí được ủy quyền (ví dụ: thông qua một đường truyền thuê riêng với các điểm đầu cuối đã biết nằm ở những vị trí được ủy quyền).</w:t>
      </w:r>
    </w:p>
    <w:p>
      <w:pPr>
        <w:spacing w:after="80"/>
        <w:ind w:left="360"/>
      </w:pPr>
      <w:r>
        <w:rPr>
          <w:b/>
          <w:i w:val="0"/>
        </w:rPr>
        <w:t>WAN</w:t>
      </w:r>
      <w:r>
        <w:rPr>
          <w:b w:val="0"/>
          <w:i w:val="0"/>
        </w:rPr>
        <w:t xml:space="preserve"> —Mạng diện rộng (Wide Area Network). Một phân đoạn mạng bao phủ một khu vực rộng lớn hơn so với Mạng cục bộ (LAN). Thường ngụ ý việc sử dụng các dịch vụ của nhà cung cấp đường truyền công cộng.</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10.4.1</w:t>
            </w:r>
          </w:p>
        </w:tc>
        <w:tc>
          <w:tcPr>
            <w:tcW w:type="dxa" w:w="4680"/>
          </w:tcPr>
          <w:p>
            <w:r/>
            <w:r>
              <w:rPr>
                <w:b/>
                <w:i w:val="0"/>
                <w:sz w:val="19"/>
              </w:rPr>
              <w:t>Cấu trúc liên kết được ghi nhận.</w:t>
            </w:r>
            <w:r>
              <w:rPr>
                <w:b w:val="0"/>
                <w:i w:val="0"/>
                <w:sz w:val="19"/>
              </w:rPr>
              <w:t xml:space="preserve"> Các nhà cung cấp dịch vụ vận hành mạng truyền thông phải ghi nhận và duy trì mô tả về cấu trúc liên kết mạng vật lý và logic của họ. </w:t>
            </w:r>
            <w:r>
              <w:rPr>
                <w:b/>
                <w:i w:val="0"/>
                <w:sz w:val="19"/>
              </w:rPr>
              <w:t>Tham chiếu rủi ro: D- 1</w:t>
            </w:r>
          </w:p>
        </w:tc>
      </w:tr>
      <w:tr>
        <w:tc>
          <w:tcPr>
            <w:tcW w:type="dxa" w:w="4680"/>
          </w:tcPr>
          <w:p>
            <w:r/>
            <w:r>
              <w:rPr>
                <w:b w:val="0"/>
                <w:i w:val="0"/>
                <w:sz w:val="19"/>
              </w:rPr>
              <w:t>10.4.2</w:t>
            </w:r>
          </w:p>
        </w:tc>
        <w:tc>
          <w:tcPr>
            <w:tcW w:type="dxa" w:w="4680"/>
          </w:tcPr>
          <w:p>
            <w:r/>
            <w:r>
              <w:rPr>
                <w:b/>
                <w:i w:val="0"/>
                <w:sz w:val="19"/>
              </w:rPr>
              <w:t>Giao thức và dịch vụ được phê duyệt.</w:t>
            </w:r>
            <w:r>
              <w:rPr>
                <w:b w:val="0"/>
                <w:i w:val="0"/>
                <w:sz w:val="19"/>
              </w:rPr>
              <w:t xml:space="preserve"> Chỉ những giao thức và dịch vụ đã được kiểm thử và phê duyệt mới được phép chạy trên mạng trục của công ty. </w:t>
            </w:r>
            <w:r>
              <w:rPr>
                <w:b/>
                <w:i w:val="0"/>
                <w:sz w:val="19"/>
              </w:rPr>
              <w:t>Tham chiếu rủi ro: D-1, D-2, D-3</w:t>
            </w:r>
          </w:p>
        </w:tc>
      </w:tr>
      <w:tr>
        <w:tc>
          <w:tcPr>
            <w:tcW w:type="dxa" w:w="4680"/>
          </w:tcPr>
          <w:p>
            <w:r/>
            <w:r>
              <w:rPr>
                <w:b w:val="0"/>
                <w:i w:val="0"/>
                <w:sz w:val="19"/>
              </w:rPr>
              <w:t>10.4.3</w:t>
            </w:r>
          </w:p>
        </w:tc>
        <w:tc>
          <w:tcPr>
            <w:tcW w:type="dxa" w:w="4680"/>
          </w:tcPr>
          <w:p>
            <w:r/>
            <w:r>
              <w:rPr>
                <w:b/>
                <w:i w:val="0"/>
                <w:sz w:val="19"/>
              </w:rPr>
              <w:t>Quản lý mạng.</w:t>
            </w:r>
            <w:r>
              <w:rPr>
                <w:b w:val="0"/>
                <w:i w:val="0"/>
                <w:sz w:val="19"/>
              </w:rPr>
              <w:t xml:space="preserve"> Các nhà cung cấp dịch vụ mạng phải sử dụng các công cụ quản lý cấu hình, hiệu năng, lỗi, kế toán và bảo mật để giám sát và quản lý mạng. </w:t>
            </w:r>
            <w:r>
              <w:rPr>
                <w:b/>
                <w:i w:val="0"/>
                <w:sz w:val="19"/>
              </w:rPr>
              <w:t>Tham chiếu rủi ro: D-1, D-2, D-3, D-4, D-6, D-7</w:t>
            </w:r>
          </w:p>
        </w:tc>
      </w:tr>
      <w:tr>
        <w:tc>
          <w:tcPr>
            <w:tcW w:type="dxa" w:w="4680"/>
          </w:tcPr>
          <w:p>
            <w:r/>
            <w:r>
              <w:rPr>
                <w:b w:val="0"/>
                <w:i w:val="0"/>
                <w:sz w:val="19"/>
              </w:rPr>
              <w:t>10.4.4</w:t>
            </w:r>
          </w:p>
        </w:tc>
        <w:tc>
          <w:tcPr>
            <w:tcW w:type="dxa" w:w="4680"/>
          </w:tcPr>
          <w:p>
            <w:r/>
            <w:r>
              <w:rPr>
                <w:b/>
                <w:i w:val="0"/>
                <w:sz w:val="19"/>
              </w:rPr>
              <w:t>Địa chỉ mạng được chuẩn hóa.</w:t>
            </w:r>
            <w:r>
              <w:rPr>
                <w:b w:val="0"/>
                <w:i w:val="0"/>
                <w:sz w:val="19"/>
              </w:rPr>
              <w:t xml:space="preserve"> Địa chỉ mạng phải được lấy và duy trì theo quy định trong tiêu chuẩn mạng của công ty. Nếu chưa có tiêu chuẩn, cần phải xây dựng chúng. </w:t>
            </w:r>
            <w:r>
              <w:rPr>
                <w:b/>
                <w:i w:val="0"/>
                <w:sz w:val="19"/>
              </w:rPr>
              <w:t>Tham chiếu rủi ro: D-2, D-3, D-7</w:t>
            </w:r>
          </w:p>
        </w:tc>
      </w:tr>
      <w:tr>
        <w:tc>
          <w:tcPr>
            <w:tcW w:type="dxa" w:w="4680"/>
          </w:tcPr>
          <w:p>
            <w:r/>
            <w:r>
              <w:rPr>
                <w:b w:val="0"/>
                <w:i w:val="0"/>
                <w:sz w:val="19"/>
              </w:rPr>
              <w:t>10.4.5</w:t>
            </w:r>
          </w:p>
        </w:tc>
        <w:tc>
          <w:tcPr>
            <w:tcW w:type="dxa" w:w="4680"/>
          </w:tcPr>
          <w:p>
            <w:r/>
            <w:r>
              <w:rPr>
                <w:b/>
                <w:i w:val="0"/>
                <w:sz w:val="19"/>
              </w:rPr>
              <w:t>Mã hóa thông tin.</w:t>
            </w:r>
            <w:r>
              <w:rPr>
                <w:b w:val="0"/>
                <w:i w:val="0"/>
                <w:sz w:val="19"/>
              </w:rPr>
              <w:t xml:space="preserve"> Người dùng phải đảm bảo rằng mọi thông tin đều được mã hóa, bao gồm e-mail, fax, thoại, video và dữ liệu được phân loại là Mật của Công ty khi được truyền qua mạng. Nói cách khác, bất kỳ thông tin nào được phân loại là Mật của Công ty đều không được truyền trừ khi đã được mã hóa. Mật khẩu phải được mã hóa trong quá trình truyền qua mạng. </w:t>
            </w:r>
            <w:r>
              <w:rPr>
                <w:b/>
                <w:i w:val="0"/>
                <w:sz w:val="19"/>
              </w:rPr>
              <w:t>Tham chiếu rủi ro: D-l, D-4, D-5</w:t>
            </w:r>
          </w:p>
        </w:tc>
      </w:tr>
      <w:tr>
        <w:tc>
          <w:tcPr>
            <w:tcW w:type="dxa" w:w="4680"/>
          </w:tcPr>
          <w:p>
            <w:r/>
            <w:r>
              <w:rPr>
                <w:b w:val="0"/>
                <w:i w:val="0"/>
                <w:sz w:val="19"/>
              </w:rPr>
              <w:t>10.4.6</w:t>
            </w:r>
          </w:p>
        </w:tc>
        <w:tc>
          <w:tcPr>
            <w:tcW w:type="dxa" w:w="4680"/>
          </w:tcPr>
          <w:p>
            <w:r/>
            <w:r>
              <w:rPr>
                <w:b/>
                <w:i w:val="0"/>
                <w:sz w:val="19"/>
              </w:rPr>
              <w:t>Chủ sở hữu được xác định.</w:t>
            </w:r>
            <w:r>
              <w:rPr>
                <w:b w:val="0"/>
                <w:i w:val="0"/>
                <w:sz w:val="19"/>
              </w:rPr>
              <w:t xml:space="preserve"> Mỗi thành phần hoặc dịch vụ mạng phải có một chủ sở hữu được xác định. </w:t>
            </w:r>
            <w:r>
              <w:rPr>
                <w:b/>
                <w:i w:val="0"/>
                <w:sz w:val="19"/>
              </w:rPr>
              <w:t>Tham chiếu rủi ro: D-8</w:t>
            </w:r>
          </w:p>
        </w:tc>
      </w:tr>
      <w:tr>
        <w:tc>
          <w:tcPr>
            <w:tcW w:type="dxa" w:w="4680"/>
          </w:tcPr>
          <w:p>
            <w:r/>
            <w:r>
              <w:rPr>
                <w:b w:val="0"/>
                <w:i w:val="0"/>
                <w:sz w:val="19"/>
              </w:rPr>
              <w:t>10.4.7</w:t>
            </w:r>
          </w:p>
        </w:tc>
        <w:tc>
          <w:tcPr>
            <w:tcW w:type="dxa" w:w="4680"/>
          </w:tcPr>
          <w:p>
            <w:r/>
            <w:r>
              <w:rPr>
                <w:b/>
                <w:i w:val="0"/>
                <w:sz w:val="19"/>
              </w:rPr>
              <w:t>Ủy quyền kết nối mạng.</w:t>
            </w:r>
            <w:r>
              <w:rPr>
                <w:b w:val="0"/>
                <w:i w:val="0"/>
                <w:sz w:val="19"/>
              </w:rPr>
              <w:t xml:space="preserve"> Mọi kết nối mạng phải được đơn vị công ty yêu cầu kết nối và chủ sở hữu phân đoạn mạng mà kết nối được yêu cầu đến ủy quyền. Mọi kết nối mạng phải được chủ sở hữu/nhà cung cấp dịch vụ ghi nhận. Mọi kết nối mạng phải tuân thủ các tiêu chuẩn và thông lệ bảo mật của Công ty và CNTT. </w:t>
            </w:r>
            <w:r>
              <w:rPr>
                <w:b/>
                <w:i w:val="0"/>
                <w:sz w:val="19"/>
              </w:rPr>
              <w:t>Tham chiếu rủi ro: D-1, D-4, D-5, D-9</w:t>
            </w:r>
          </w:p>
        </w:tc>
      </w:tr>
      <w:tr>
        <w:tc>
          <w:tcPr>
            <w:tcW w:type="dxa" w:w="4680"/>
          </w:tcPr>
          <w:p>
            <w:r/>
            <w:r>
              <w:rPr>
                <w:b w:val="0"/>
                <w:i w:val="0"/>
                <w:sz w:val="19"/>
              </w:rPr>
              <w:t>10.4.8</w:t>
            </w:r>
          </w:p>
        </w:tc>
        <w:tc>
          <w:tcPr>
            <w:tcW w:type="dxa" w:w="4680"/>
          </w:tcPr>
          <w:p>
            <w:r/>
            <w:r>
              <w:rPr>
                <w:b/>
                <w:i w:val="0"/>
                <w:sz w:val="19"/>
              </w:rPr>
              <w:t>Trách nhiệm giải trình đối với truy cập.</w:t>
            </w:r>
            <w:r>
              <w:rPr>
                <w:b w:val="0"/>
                <w:i w:val="0"/>
                <w:sz w:val="19"/>
              </w:rPr>
              <w:t xml:space="preserve"> Việc truy cập hoặc thực hiện hành động qua mạng gây tổn hại đến bảo mật của các đơn vị khác trên mạng sẽ không được bất kỳ đơn vị công ty nào cho phép. Các đơn vị công ty ủy quyền cho người hoặc đơn vị ngoài công ty truy cập vào mạng của công ty phải chịu trách nhiệm về hành động của họ. </w:t>
            </w:r>
            <w:r>
              <w:rPr>
                <w:b/>
                <w:i w:val="0"/>
                <w:sz w:val="19"/>
              </w:rPr>
              <w:t>Tham chiếu rủi ro: D-1, D-4, D-5</w:t>
            </w:r>
          </w:p>
        </w:tc>
      </w:tr>
      <w:tr>
        <w:tc>
          <w:tcPr>
            <w:tcW w:type="dxa" w:w="4680"/>
          </w:tcPr>
          <w:p>
            <w:r/>
            <w:r>
              <w:rPr>
                <w:b w:val="0"/>
                <w:i w:val="0"/>
                <w:sz w:val="19"/>
              </w:rPr>
              <w:t>10.4.9</w:t>
            </w:r>
          </w:p>
        </w:tc>
        <w:tc>
          <w:tcPr>
            <w:tcW w:type="dxa" w:w="4680"/>
          </w:tcPr>
          <w:p>
            <w:r/>
            <w:r>
              <w:rPr>
                <w:b/>
                <w:i w:val="0"/>
                <w:sz w:val="19"/>
              </w:rPr>
              <w:t>Tường lửa/Bộ định tuyến được phê duyệt.</w:t>
            </w:r>
            <w:r>
              <w:rPr>
                <w:b w:val="0"/>
                <w:i w:val="0"/>
                <w:sz w:val="19"/>
              </w:rPr>
              <w:t xml:space="preserve"> Mọi kết nối từ mạng này sang mạng khác giữa công ty và các mạng không thuộc công ty đều phải đi qua tường lửa/bộ định tuyến được phê duyệt. </w:t>
            </w:r>
            <w:r>
              <w:rPr>
                <w:b/>
                <w:i w:val="0"/>
                <w:sz w:val="19"/>
              </w:rPr>
              <w:t>Tham chiếu rủi ro: D-1, D-4, D-5, D-9</w:t>
            </w:r>
          </w:p>
        </w:tc>
      </w:tr>
      <w:tr>
        <w:tc>
          <w:tcPr>
            <w:tcW w:type="dxa" w:w="4680"/>
          </w:tcPr>
          <w:p>
            <w:r/>
            <w:r>
              <w:rPr>
                <w:b w:val="0"/>
                <w:i w:val="0"/>
                <w:sz w:val="19"/>
              </w:rPr>
              <w:t>10.4.10</w:t>
            </w:r>
          </w:p>
        </w:tc>
        <w:tc>
          <w:tcPr>
            <w:tcW w:type="dxa" w:w="4680"/>
          </w:tcPr>
          <w:p>
            <w:r/>
            <w:r>
              <w:rPr>
                <w:b/>
                <w:i w:val="0"/>
                <w:sz w:val="19"/>
              </w:rPr>
              <w:t>Phê duyệt và đăng ký các điểm truy cập bên ngoài.</w:t>
            </w:r>
            <w:r>
              <w:rPr>
                <w:b w:val="0"/>
                <w:i w:val="0"/>
                <w:sz w:val="19"/>
              </w:rPr>
              <w:t xml:space="preserve"> Tất cả các điểm truy cập bên ngoài vào mạng của công ty phải được nhóm Công nghệ Thông tin theo khu vực phê duyệt. Tất cả các điểm truy cập bên ngoài vào mạng của công ty phải được đăng ký với nhóm IT. </w:t>
            </w:r>
            <w:r>
              <w:rPr>
                <w:b/>
                <w:i w:val="0"/>
                <w:sz w:val="19"/>
              </w:rPr>
              <w:t>Tham chiếu rủi ro: D-1, D-4, D-5</w:t>
            </w:r>
          </w:p>
        </w:tc>
      </w:tr>
      <w:tr>
        <w:tc>
          <w:tcPr>
            <w:tcW w:type="dxa" w:w="4680"/>
          </w:tcPr>
          <w:p>
            <w:r/>
            <w:r>
              <w:rPr>
                <w:b w:val="0"/>
                <w:i w:val="0"/>
                <w:sz w:val="19"/>
              </w:rPr>
              <w:t>10.4.11</w:t>
            </w:r>
          </w:p>
        </w:tc>
        <w:tc>
          <w:tcPr>
            <w:tcW w:type="dxa" w:w="4680"/>
          </w:tcPr>
          <w:p>
            <w:r/>
            <w:r>
              <w:rPr>
                <w:b/>
                <w:i w:val="0"/>
                <w:sz w:val="19"/>
              </w:rPr>
              <w:t>Trách nhiệm giải trình về an ninh mạng.</w:t>
            </w:r>
            <w:r>
              <w:rPr>
                <w:b w:val="0"/>
                <w:i w:val="0"/>
                <w:sz w:val="19"/>
              </w:rPr>
              <w:t xml:space="preserve"> Các nhà cung cấp dịch vụ mạng chịu trách nhiệm giám sát việc sử dụng mạng, ngăn chặn mọi thiếu sót về bảo mật, và thông báo cho Dịch vụ An ninh Thông tin nếu phát hiện bất kỳ thiếu sót bảo mật hoặc hành vi sử dụng sai mạng. Ngoài ra, các hành động khắc phục chủ động được thực hiện để khắc phục các thiếu sót hoặc ngăn chặn hành vi sử dụng sai tiếp diễn cũng phải được giám sát. </w:t>
            </w:r>
            <w:r>
              <w:rPr>
                <w:b/>
                <w:i w:val="0"/>
                <w:sz w:val="19"/>
              </w:rPr>
              <w:t>Tham chiếu rủi ro: D-1, D-2, D-3, D-4, D-5, D-6, D-9</w:t>
            </w:r>
          </w:p>
        </w:tc>
      </w:tr>
      <w:tr>
        <w:tc>
          <w:tcPr>
            <w:tcW w:type="dxa" w:w="4680"/>
          </w:tcPr>
          <w:p>
            <w:r/>
            <w:r>
              <w:rPr>
                <w:b w:val="0"/>
                <w:i w:val="0"/>
                <w:sz w:val="19"/>
              </w:rPr>
              <w:t>10.4.12</w:t>
            </w:r>
          </w:p>
        </w:tc>
        <w:tc>
          <w:tcPr>
            <w:tcW w:type="dxa" w:w="4680"/>
          </w:tcPr>
          <w:p>
            <w:r/>
            <w:r>
              <w:rPr>
                <w:b w:val="0"/>
                <w:i w:val="0"/>
                <w:sz w:val="19"/>
              </w:rPr>
              <w:t>Truy cập qua mạng di động hoặc điện thoại (Mang thiết bị của riêng bạn). Bất kỳ hệ thống nào yêu cầu mã truy cập (thường là tổ hợp user ID và mật khẩu) chỉ có thể được truy cập bằng điện thoại di động hoặc điện thoại cầm tay nếu:</w:t>
            </w:r>
            <w:r>
              <w:br/>
            </w:r>
            <w:r>
              <w:rPr>
                <w:b w:val="0"/>
                <w:i w:val="0"/>
                <w:sz w:val="19"/>
              </w:rPr>
              <w:t>a. Việc truyền tải trong mạng di động được mã hóa; và</w:t>
            </w:r>
            <w:r>
              <w:br/>
            </w:r>
            <w:r>
              <w:rPr>
                <w:b w:val="0"/>
                <w:i w:val="0"/>
                <w:sz w:val="19"/>
              </w:rPr>
              <w:t xml:space="preserve">b. Thông tin Mật của Công ty không được truyền đi, trừ trường hợp được quy định tại 10.4.14. </w:t>
            </w:r>
            <w:r>
              <w:rPr>
                <w:b/>
                <w:i w:val="0"/>
                <w:sz w:val="19"/>
              </w:rPr>
              <w:t>Tham chiếu rủi ro: D-1, D-4, D-6</w:t>
            </w:r>
          </w:p>
        </w:tc>
      </w:tr>
      <w:tr>
        <w:tc>
          <w:tcPr>
            <w:tcW w:type="dxa" w:w="4680"/>
          </w:tcPr>
          <w:p>
            <w:r/>
            <w:r>
              <w:rPr>
                <w:b w:val="0"/>
                <w:i w:val="0"/>
                <w:sz w:val="19"/>
              </w:rPr>
              <w:t>10.4.13</w:t>
            </w:r>
          </w:p>
        </w:tc>
        <w:tc>
          <w:tcPr>
            <w:tcW w:type="dxa" w:w="4680"/>
          </w:tcPr>
          <w:p>
            <w:r/>
            <w:r>
              <w:rPr>
                <w:b/>
                <w:i w:val="0"/>
                <w:sz w:val="19"/>
              </w:rPr>
              <w:t>Tin nhắn thư thoại Hạn chế hoặc Mật của Công ty.</w:t>
            </w:r>
            <w:r>
              <w:rPr>
                <w:b w:val="0"/>
                <w:i w:val="0"/>
                <w:sz w:val="19"/>
              </w:rPr>
              <w:t xml:space="preserve"> Các tin nhắn thư thoại chứa thông tin được phân loại là Hạn chế của Công ty hoặc Mật của Công ty nên được nhận diện như vậy ngay từ đầu tin nhắn. </w:t>
            </w:r>
            <w:r>
              <w:rPr>
                <w:b/>
                <w:i w:val="0"/>
                <w:sz w:val="19"/>
              </w:rPr>
              <w:t>Tham chiếu rủi ro: D-1, D-4</w:t>
            </w:r>
          </w:p>
        </w:tc>
      </w:tr>
      <w:tr>
        <w:tc>
          <w:tcPr>
            <w:tcW w:type="dxa" w:w="4680"/>
          </w:tcPr>
          <w:p>
            <w:r/>
            <w:r>
              <w:rPr>
                <w:b w:val="0"/>
                <w:i w:val="0"/>
                <w:sz w:val="19"/>
              </w:rPr>
              <w:t>10.4.14</w:t>
            </w:r>
          </w:p>
        </w:tc>
        <w:tc>
          <w:tcPr>
            <w:tcW w:type="dxa" w:w="4680"/>
          </w:tcPr>
          <w:p>
            <w:r/>
            <w:r>
              <w:rPr>
                <w:b/>
                <w:i w:val="0"/>
                <w:sz w:val="19"/>
              </w:rPr>
              <w:t>Truyền tải an toàn Thông tin Hạn chế hoặc Mật của Công ty.</w:t>
            </w:r>
            <w:r>
              <w:rPr>
                <w:b w:val="0"/>
                <w:i w:val="0"/>
                <w:sz w:val="19"/>
              </w:rPr>
              <w:t xml:space="preserve"> Thông tin Hạn chế hoặc Mật của Công ty không được thảo luận hoặc truyền đi bằng điện thoại di động. </w:t>
            </w:r>
            <w:r>
              <w:rPr>
                <w:b/>
                <w:i w:val="0"/>
                <w:sz w:val="19"/>
              </w:rPr>
              <w:t>Tham chiếu rủi ro: D-1, D-4, D-6</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D-1</w:t>
            </w:r>
          </w:p>
        </w:tc>
        <w:tc>
          <w:tcPr>
            <w:tcW w:type="dxa" w:w="4680"/>
          </w:tcPr>
          <w:p>
            <w:r/>
            <w:r>
              <w:rPr>
                <w:b w:val="0"/>
                <w:i w:val="0"/>
                <w:sz w:val="19"/>
              </w:rPr>
              <w:t>Thông tin độc quyền của công ty có thể bị tiết lộ hoặc mất mát, điều này có thể ảnh hưởng tiêu cực đến vị thế cạnh tranh của công ty.</w:t>
            </w:r>
          </w:p>
        </w:tc>
      </w:tr>
      <w:tr>
        <w:tc>
          <w:tcPr>
            <w:tcW w:type="dxa" w:w="4680"/>
          </w:tcPr>
          <w:p>
            <w:r/>
            <w:r>
              <w:rPr>
                <w:b w:val="0"/>
                <w:i w:val="0"/>
                <w:sz w:val="19"/>
              </w:rPr>
              <w:t>D-2</w:t>
            </w:r>
          </w:p>
        </w:tc>
        <w:tc>
          <w:tcPr>
            <w:tcW w:type="dxa" w:w="4680"/>
          </w:tcPr>
          <w:p>
            <w:r/>
            <w:r>
              <w:rPr>
                <w:b w:val="0"/>
                <w:i w:val="0"/>
                <w:sz w:val="19"/>
              </w:rPr>
              <w:t>Dữ liệu có thể không được truyền đi một cách chính xác hoặc đầy đủ.</w:t>
            </w:r>
          </w:p>
        </w:tc>
      </w:tr>
      <w:tr>
        <w:tc>
          <w:tcPr>
            <w:tcW w:type="dxa" w:w="4680"/>
          </w:tcPr>
          <w:p>
            <w:r/>
            <w:r>
              <w:rPr>
                <w:b w:val="0"/>
                <w:i w:val="0"/>
                <w:sz w:val="19"/>
              </w:rPr>
              <w:t>D-3</w:t>
            </w:r>
          </w:p>
        </w:tc>
        <w:tc>
          <w:tcPr>
            <w:tcW w:type="dxa" w:w="4680"/>
          </w:tcPr>
          <w:p>
            <w:r/>
            <w:r>
              <w:rPr>
                <w:b w:val="0"/>
                <w:i w:val="0"/>
                <w:sz w:val="19"/>
              </w:rPr>
              <w:t>Việc truyền dữ liệu có thể không có đủ khả năng sửa lỗi.</w:t>
            </w:r>
          </w:p>
        </w:tc>
      </w:tr>
      <w:tr>
        <w:tc>
          <w:tcPr>
            <w:tcW w:type="dxa" w:w="4680"/>
          </w:tcPr>
          <w:p>
            <w:r/>
            <w:r>
              <w:rPr>
                <w:b w:val="0"/>
                <w:i w:val="0"/>
                <w:sz w:val="19"/>
              </w:rPr>
              <w:t>D-4</w:t>
            </w:r>
          </w:p>
        </w:tc>
        <w:tc>
          <w:tcPr>
            <w:tcW w:type="dxa" w:w="4680"/>
          </w:tcPr>
          <w:p>
            <w:r/>
            <w:r>
              <w:rPr>
                <w:b w:val="0"/>
                <w:i w:val="0"/>
                <w:sz w:val="19"/>
              </w:rPr>
              <w:t>Thông tin nhạy cảm có thể bị truy cập và/hoặc tiết lộ cho nhân viên không có thẩm quyền.</w:t>
            </w:r>
          </w:p>
        </w:tc>
      </w:tr>
      <w:tr>
        <w:tc>
          <w:tcPr>
            <w:tcW w:type="dxa" w:w="4680"/>
          </w:tcPr>
          <w:p>
            <w:r/>
            <w:r>
              <w:rPr>
                <w:b w:val="0"/>
                <w:i w:val="0"/>
                <w:sz w:val="19"/>
              </w:rPr>
              <w:t>D-5</w:t>
            </w:r>
          </w:p>
        </w:tc>
        <w:tc>
          <w:tcPr>
            <w:tcW w:type="dxa" w:w="4680"/>
          </w:tcPr>
          <w:p>
            <w:r/>
            <w:r>
              <w:rPr>
                <w:b w:val="0"/>
                <w:i w:val="0"/>
                <w:sz w:val="19"/>
              </w:rPr>
              <w:t>Thông tin độc quyền được lưu trữ trên hệ thống máy tính có thể không được bảo vệ đúng cách.</w:t>
            </w:r>
          </w:p>
        </w:tc>
      </w:tr>
      <w:tr>
        <w:tc>
          <w:tcPr>
            <w:tcW w:type="dxa" w:w="4680"/>
          </w:tcPr>
          <w:p>
            <w:r/>
            <w:r>
              <w:rPr>
                <w:b w:val="0"/>
                <w:i w:val="0"/>
                <w:sz w:val="19"/>
              </w:rPr>
              <w:t>D-6</w:t>
            </w:r>
          </w:p>
        </w:tc>
        <w:tc>
          <w:tcPr>
            <w:tcW w:type="dxa" w:w="4680"/>
          </w:tcPr>
          <w:p>
            <w:r/>
            <w:r>
              <w:rPr>
                <w:b w:val="0"/>
                <w:i w:val="0"/>
                <w:sz w:val="19"/>
              </w:rPr>
              <w:t>Dữ liệu độc quyền có thể bị tiết lộ cho nhân viên không có thẩm quyền trong quá trình truyền.</w:t>
            </w:r>
          </w:p>
        </w:tc>
      </w:tr>
      <w:tr>
        <w:tc>
          <w:tcPr>
            <w:tcW w:type="dxa" w:w="4680"/>
          </w:tcPr>
          <w:p>
            <w:r/>
            <w:r>
              <w:rPr>
                <w:b w:val="0"/>
                <w:i w:val="0"/>
                <w:sz w:val="19"/>
              </w:rPr>
              <w:t>D-7</w:t>
            </w:r>
          </w:p>
        </w:tc>
        <w:tc>
          <w:tcPr>
            <w:tcW w:type="dxa" w:w="4680"/>
          </w:tcPr>
          <w:p>
            <w:r/>
            <w:r>
              <w:rPr>
                <w:b w:val="0"/>
                <w:i w:val="0"/>
                <w:sz w:val="19"/>
              </w:rPr>
              <w:t>Cơ sở dữ liệu có thể không chứa thông tin chính xác và đầy đủ sau khi hệ thống gặp sự cố.</w:t>
            </w:r>
          </w:p>
        </w:tc>
      </w:tr>
      <w:tr>
        <w:tc>
          <w:tcPr>
            <w:tcW w:type="dxa" w:w="4680"/>
          </w:tcPr>
          <w:p>
            <w:r/>
            <w:r>
              <w:rPr>
                <w:b w:val="0"/>
                <w:i w:val="0"/>
                <w:sz w:val="19"/>
              </w:rPr>
              <w:t>D-8</w:t>
            </w:r>
          </w:p>
        </w:tc>
        <w:tc>
          <w:tcPr>
            <w:tcW w:type="dxa" w:w="4680"/>
          </w:tcPr>
          <w:p>
            <w:r/>
            <w:r>
              <w:rPr>
                <w:b w:val="0"/>
                <w:i w:val="0"/>
                <w:sz w:val="19"/>
              </w:rPr>
              <w:t>Mạng có thể không được duy trì và kiểm soát đúng cách nếu không có sự bảo trợ của chủ sở hữu mạng.</w:t>
            </w:r>
          </w:p>
        </w:tc>
      </w:tr>
      <w:tr>
        <w:tc>
          <w:tcPr>
            <w:tcW w:type="dxa" w:w="4680"/>
          </w:tcPr>
          <w:p>
            <w:r/>
            <w:r>
              <w:rPr>
                <w:b w:val="0"/>
                <w:i w:val="0"/>
                <w:sz w:val="19"/>
              </w:rPr>
              <w:t>D-9</w:t>
            </w:r>
          </w:p>
        </w:tc>
        <w:tc>
          <w:tcPr>
            <w:tcW w:type="dxa" w:w="4680"/>
          </w:tcPr>
          <w:p>
            <w:r/>
            <w:r>
              <w:rPr>
                <w:b w:val="0"/>
                <w:i w:val="0"/>
                <w:sz w:val="19"/>
              </w:rPr>
              <w:t>Hiệu quả hoạt động và độ tin cậy có thể bị suy giảm và làm gián đoạn đáng kể quá trình xử lý.</w:t>
            </w:r>
          </w:p>
        </w:tc>
      </w:tr>
    </w:tbl>
    <w:p>
      <w:pPr>
        <w:spacing w:after="0"/>
      </w:pPr>
    </w:p>
    <w:p>
      <w:pPr>
        <w:pStyle w:val="Heading2"/>
      </w:pPr>
      <w:r>
        <w:rPr>
          <w:rFonts w:ascii="Calibri" w:hAnsi="Calibri"/>
          <w:b/>
          <w:i w:val="0"/>
          <w:sz w:val="32"/>
        </w:rPr>
        <w:t>10.5 PHƯƠNG PHÁP LUẬN PHÁT TRIỂN HỆ THỐNG</w:t>
      </w:r>
    </w:p>
    <w:p>
      <w:pPr>
        <w:pStyle w:val="Heading3"/>
      </w:pPr>
      <w:r>
        <w:rPr>
          <w:rFonts w:ascii="Calibri" w:hAnsi="Calibri"/>
          <w:b/>
          <w:i w:val="0"/>
          <w:sz w:val="26"/>
        </w:rPr>
        <w:t>Giới thiệu</w:t>
      </w:r>
    </w:p>
    <w:p>
      <w:pPr>
        <w:spacing w:after="80"/>
      </w:pPr>
      <w:r>
        <w:rPr>
          <w:b w:val="0"/>
          <w:i w:val="0"/>
        </w:rPr>
        <w:t>Tất cả các bộ phận chịu trách nhiệm phát triển và bảo trì phần mềm đều phải xác định và ghi lại các phương pháp luận tiêu chuẩn bắt buộc phải sử dụng trong việc phát triển và bảo trì các hệ thống ứng dụng. Những biện pháp kiểm soát này cần được xem xét khi lựa chọn một ứng dụng của bên thứ ba cho một giải pháp kinh doanh, nhằm đảm bảo rằng một phương pháp luận phát triển đã được xác định sẽ được sử dụng.</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10.5.1</w:t>
            </w:r>
          </w:p>
        </w:tc>
        <w:tc>
          <w:tcPr>
            <w:tcW w:type="dxa" w:w="4680"/>
          </w:tcPr>
          <w:p>
            <w:r/>
            <w:r>
              <w:rPr>
                <w:b/>
                <w:i w:val="0"/>
                <w:sz w:val="19"/>
              </w:rPr>
              <w:t>Các Phương pháp luận Phát triển và Bảo trì Tiêu chuẩn.</w:t>
            </w:r>
            <w:r>
              <w:rPr>
                <w:b w:val="0"/>
                <w:i w:val="0"/>
                <w:sz w:val="19"/>
              </w:rPr>
              <w:t xml:space="preserve"> Phương pháp luận và mức độ trang trọng được áp dụng phải phù hợp với quy mô của dự án. </w:t>
            </w:r>
            <w:r>
              <w:rPr>
                <w:b/>
                <w:i w:val="0"/>
                <w:sz w:val="19"/>
              </w:rPr>
              <w:t>Tham khảo các rủi ro: E-1, E-2, E-3, E-4</w:t>
            </w:r>
          </w:p>
        </w:tc>
      </w:tr>
      <w:tr>
        <w:tc>
          <w:tcPr>
            <w:tcW w:type="dxa" w:w="4680"/>
          </w:tcPr>
          <w:p>
            <w:r/>
            <w:r>
              <w:rPr>
                <w:b w:val="0"/>
                <w:i w:val="0"/>
                <w:sz w:val="19"/>
              </w:rPr>
              <w:t>10.5.2</w:t>
            </w:r>
          </w:p>
        </w:tc>
        <w:tc>
          <w:tcPr>
            <w:tcW w:type="dxa" w:w="4680"/>
          </w:tcPr>
          <w:p>
            <w:r/>
            <w:r>
              <w:rPr>
                <w:b w:val="0"/>
                <w:i w:val="0"/>
                <w:sz w:val="19"/>
              </w:rPr>
              <w:t>Yêu cầu về Phương pháp luận Phát triển Hệ thống. Các phương pháp luận phát triển hệ thống phải bao gồm những thành phần sau:</w:t>
            </w:r>
            <w:r>
              <w:br/>
            </w:r>
            <w:r>
              <w:rPr>
                <w:b w:val="0"/>
                <w:i w:val="0"/>
                <w:sz w:val="19"/>
              </w:rPr>
              <w:t xml:space="preserve">a. Các dự án phát triển hệ thống phải được chia thành những phần hoặc giai đoạn có thể đo lường được, với các sản phẩm bàn giao (deliverable) được xác định trước, nhằm đảm bảo mức độ theo dõi và kiểm soát dự án phù hợp. </w:t>
            </w:r>
            <w:r>
              <w:rPr>
                <w:b/>
                <w:i w:val="0"/>
                <w:sz w:val="19"/>
              </w:rPr>
              <w:t>Tham khảo các rủi ro: E-1, E-3</w:t>
            </w:r>
            <w:r>
              <w:rPr>
                <w:b w:val="0"/>
                <w:i w:val="0"/>
                <w:sz w:val="19"/>
              </w:rPr>
              <w:t xml:space="preserve"> </w:t>
            </w:r>
            <w:r>
              <w:br/>
            </w:r>
            <w:r>
              <w:rPr>
                <w:b w:val="0"/>
                <w:i w:val="0"/>
                <w:sz w:val="19"/>
              </w:rPr>
              <w:t xml:space="preserve">b. Vai trò và trách nhiệm của nhóm dự án phải được xác định và ghi lại rõ ràng. </w:t>
            </w:r>
            <w:r>
              <w:rPr>
                <w:b/>
                <w:i w:val="0"/>
                <w:sz w:val="19"/>
              </w:rPr>
              <w:t>Tham khảo các rủi ro: E-2, E-4</w:t>
            </w:r>
            <w:r>
              <w:rPr>
                <w:b w:val="0"/>
                <w:i w:val="0"/>
                <w:sz w:val="19"/>
              </w:rPr>
              <w:t xml:space="preserve"> </w:t>
            </w:r>
            <w:r>
              <w:br/>
            </w:r>
            <w:r>
              <w:rPr>
                <w:b w:val="0"/>
                <w:i w:val="0"/>
                <w:sz w:val="19"/>
              </w:rPr>
              <w:t xml:space="preserve">c. Nhóm dự án phát triển hệ thống, bao gồm nhân sự từ phía người dùng, IT và chủ sở hữu ứng dụng, phải phê duyệt việc hoàn thành từng giai đoạn phát triển chính trước khi chuyển sang các giai đoạn tiếp theo. </w:t>
            </w:r>
            <w:r>
              <w:rPr>
                <w:b/>
                <w:i w:val="0"/>
                <w:sz w:val="19"/>
              </w:rPr>
              <w:t>Tham khảo các rủi ro: E-3, E-4, E-5, E-6</w:t>
            </w:r>
            <w:r>
              <w:rPr>
                <w:b w:val="0"/>
                <w:i w:val="0"/>
                <w:sz w:val="19"/>
              </w:rPr>
              <w:t xml:space="preserve"> </w:t>
            </w:r>
            <w:r>
              <w:br/>
            </w:r>
            <w:r>
              <w:rPr>
                <w:b w:val="0"/>
                <w:i w:val="0"/>
                <w:sz w:val="19"/>
              </w:rPr>
              <w:t xml:space="preserve">d. Các kế hoạch chính thức phải được lập cho các dự án phát triển hệ thống. Kế hoạch phát triển và kế hoạch dự án phải bao gồm các hoạt động dẫn đến tối thiểu những sản phẩm bàn giao sau đây: </w:t>
            </w:r>
            <w:r>
              <w:br/>
            </w:r>
            <w:r>
              <w:rPr>
                <w:b w:val="0"/>
                <w:i w:val="0"/>
                <w:sz w:val="19"/>
              </w:rPr>
              <w:t xml:space="preserve">• Một tuyên bố rõ ràng và chính xác về mục đích kinh doanh và các yêu cầu đối với hệ thống được đề xuất, bao gồm cả môi trường kinh doanh mà hệ thống sẽ hoạt động trong đó. </w:t>
            </w:r>
            <w:r>
              <w:rPr>
                <w:b/>
                <w:i w:val="0"/>
                <w:sz w:val="19"/>
              </w:rPr>
              <w:t>Tham khảo các rủi ro: E-2, E-5, E-6</w:t>
            </w:r>
            <w:r>
              <w:rPr>
                <w:b w:val="0"/>
                <w:i w:val="0"/>
                <w:sz w:val="19"/>
              </w:rPr>
              <w:t xml:space="preserve"> </w:t>
            </w:r>
            <w:r>
              <w:br/>
            </w:r>
            <w:r>
              <w:rPr>
                <w:b w:val="0"/>
                <w:i w:val="0"/>
                <w:sz w:val="19"/>
              </w:rPr>
              <w:t xml:space="preserve">• Một nghiên cứu khả thi xác định các giải pháp phần mềm khả thi và phân tích chi phí/lợi ích. </w:t>
            </w:r>
            <w:r>
              <w:rPr>
                <w:b/>
                <w:i w:val="0"/>
                <w:sz w:val="19"/>
              </w:rPr>
              <w:t>Tham khảo rủi ro: E-5</w:t>
            </w:r>
            <w:r>
              <w:rPr>
                <w:b w:val="0"/>
                <w:i w:val="0"/>
                <w:sz w:val="19"/>
              </w:rPr>
              <w:t xml:space="preserve"> </w:t>
            </w:r>
            <w:r>
              <w:br/>
            </w:r>
            <w:r>
              <w:rPr>
                <w:b w:val="0"/>
                <w:i w:val="0"/>
                <w:sz w:val="19"/>
              </w:rPr>
              <w:t xml:space="preserve">• Một thiết kế hệ thống logic và vật lý chi tiết. </w:t>
            </w:r>
            <w:r>
              <w:rPr>
                <w:b/>
                <w:i w:val="0"/>
                <w:sz w:val="19"/>
              </w:rPr>
              <w:t>Tham khảo rủi ro: E-6</w:t>
            </w:r>
            <w:r>
              <w:rPr>
                <w:b w:val="0"/>
                <w:i w:val="0"/>
                <w:sz w:val="19"/>
              </w:rPr>
              <w:t xml:space="preserve"> </w:t>
            </w:r>
            <w:r>
              <w:br/>
            </w:r>
            <w:r>
              <w:rPr>
                <w:b w:val="0"/>
                <w:i w:val="0"/>
                <w:sz w:val="19"/>
              </w:rPr>
              <w:t xml:space="preserve">• Thiết kế quy trình nghiệp vụ tích hợp thiết kế hệ thống với các quy trình nghiệp vụ mà hệ thống mới dự định hỗ trợ. </w:t>
            </w:r>
            <w:r>
              <w:rPr>
                <w:b/>
                <w:i w:val="0"/>
                <w:sz w:val="19"/>
              </w:rPr>
              <w:t>Tham khảo các rủi ro: E-1, E-4, E-5</w:t>
            </w:r>
            <w:r>
              <w:rPr>
                <w:b w:val="0"/>
                <w:i w:val="0"/>
                <w:sz w:val="19"/>
              </w:rPr>
              <w:t xml:space="preserve"> </w:t>
            </w:r>
            <w:r>
              <w:br/>
            </w:r>
            <w:r>
              <w:rPr>
                <w:b w:val="0"/>
                <w:i w:val="0"/>
                <w:sz w:val="19"/>
              </w:rPr>
              <w:t xml:space="preserve">• Các tính năng bảo mật thông tin, toàn vẹn, sẵn sàng và kiểm toán thông tin sẽ được thiết kế và tích hợp vào các hệ thống ứng dụng. </w:t>
            </w:r>
            <w:r>
              <w:rPr>
                <w:b/>
                <w:i w:val="0"/>
                <w:sz w:val="19"/>
              </w:rPr>
              <w:t>Tham khảo rủi ro: E-15</w:t>
            </w:r>
            <w:r>
              <w:rPr>
                <w:b w:val="0"/>
                <w:i w:val="0"/>
                <w:sz w:val="19"/>
              </w:rPr>
              <w:t xml:space="preserve"> </w:t>
            </w:r>
            <w:r>
              <w:br/>
            </w:r>
            <w:r>
              <w:rPr>
                <w:b w:val="0"/>
                <w:i w:val="0"/>
                <w:sz w:val="19"/>
              </w:rPr>
              <w:t xml:space="preserve">• Kiểm thử hệ thống và kiểm thử chấp nhận của người dùng, đảm bảo kiểm thử đầy đủ từng chức năng và điều kiện của hệ thống theo thiết kế logic và vật lý chi tiết. </w:t>
            </w:r>
            <w:r>
              <w:rPr>
                <w:b/>
                <w:i w:val="0"/>
                <w:sz w:val="19"/>
              </w:rPr>
              <w:t>Tham khảo các rủi ro: E-7, E-8</w:t>
            </w:r>
            <w:r>
              <w:rPr>
                <w:b w:val="0"/>
                <w:i w:val="0"/>
                <w:sz w:val="19"/>
              </w:rPr>
              <w:t xml:space="preserve"> </w:t>
            </w:r>
            <w:r>
              <w:br/>
            </w:r>
            <w:r>
              <w:rPr>
                <w:b w:val="0"/>
                <w:i w:val="0"/>
                <w:sz w:val="19"/>
              </w:rPr>
              <w:t xml:space="preserve">• Các đặc tả cho việc chuyển đổi sang hệ thống được đề xuất, nhằm đảm bảo tính toàn vẹn của các thủ tục xử lý và dữ liệu. </w:t>
            </w:r>
            <w:r>
              <w:rPr>
                <w:b/>
                <w:i w:val="0"/>
                <w:sz w:val="19"/>
              </w:rPr>
              <w:t>Tham khảo rủi ro: E-9</w:t>
            </w:r>
            <w:r>
              <w:rPr>
                <w:b w:val="0"/>
                <w:i w:val="0"/>
                <w:sz w:val="19"/>
              </w:rPr>
              <w:t xml:space="preserve"> </w:t>
            </w:r>
            <w:r>
              <w:br/>
            </w:r>
            <w:r>
              <w:rPr>
                <w:b w:val="0"/>
                <w:i w:val="0"/>
                <w:sz w:val="19"/>
              </w:rPr>
              <w:t xml:space="preserve">• Các thủ tục dành cho người dùng ghi lại cả những hoạt động thủ công lẫn những hoạt động được hệ thống hỗ trợ, cần thiết để thực hiện một quy trình nghiệp vụ, bao gồm cách người dùng tương tác với hệ thống và cách tương tác đó được kiểm soát. Các thủ tục dành cho người dùng phải giải đáp một cách hợp lý các câu hỏi về vận hành hệ thống, sửa lỗi và kiểm soát. </w:t>
            </w:r>
            <w:r>
              <w:rPr>
                <w:b/>
                <w:i w:val="0"/>
                <w:sz w:val="19"/>
              </w:rPr>
              <w:t>Tham khảo các rủi ro: E-10, E-11, E-14</w:t>
            </w:r>
            <w:r>
              <w:rPr>
                <w:b w:val="0"/>
                <w:i w:val="0"/>
                <w:sz w:val="19"/>
              </w:rPr>
              <w:t xml:space="preserve"> </w:t>
            </w:r>
            <w:r>
              <w:br/>
            </w:r>
            <w:r>
              <w:rPr>
                <w:b w:val="0"/>
                <w:i w:val="0"/>
                <w:sz w:val="19"/>
              </w:rPr>
              <w:t xml:space="preserve">• Tài liệu vận hành mô tả chi tiết cách vận hành hệ thống ứng dụng. Tài liệu này phải bao gồm các thủ tục khởi động lại ứng dụng trong trường hợp phần cứng hoặc phần mềm gặp sự cố. </w:t>
            </w:r>
            <w:r>
              <w:rPr>
                <w:b/>
                <w:i w:val="0"/>
                <w:sz w:val="19"/>
              </w:rPr>
              <w:t>Tham khảo các rủi ro: E-12, E-13</w:t>
            </w:r>
            <w:r>
              <w:rPr>
                <w:b w:val="0"/>
                <w:i w:val="0"/>
                <w:sz w:val="19"/>
              </w:rPr>
              <w:t xml:space="preserve"> </w:t>
            </w:r>
            <w:r>
              <w:br/>
            </w:r>
            <w:r>
              <w:rPr>
                <w:b w:val="0"/>
                <w:i w:val="0"/>
                <w:sz w:val="19"/>
              </w:rPr>
              <w:t xml:space="preserve">• Đào tạo để người dùng có đủ khả năng tự vận hành và kiểm soát việc xử lý của hệ thống một cách độc lập. </w:t>
            </w:r>
            <w:r>
              <w:rPr>
                <w:b/>
                <w:i w:val="0"/>
                <w:sz w:val="19"/>
              </w:rPr>
              <w:t>Tham khảo rủi ro: E-14</w:t>
            </w:r>
            <w:r>
              <w:rPr>
                <w:b w:val="0"/>
                <w:i w:val="0"/>
                <w:sz w:val="19"/>
              </w:rPr>
              <w:t xml:space="preserve"> </w:t>
            </w:r>
            <w:r>
              <w:br/>
            </w:r>
            <w:r>
              <w:rPr>
                <w:b w:val="0"/>
                <w:i w:val="0"/>
                <w:sz w:val="19"/>
              </w:rPr>
              <w:t xml:space="preserve">e. Phải có những biện pháp đảm bảo quyền truy cập để mua mã nguồn phần mềm trong trường hợp nhà cung cấp ngừng hỗ trợ. </w:t>
            </w:r>
            <w:r>
              <w:rPr>
                <w:b/>
                <w:i w:val="0"/>
                <w:sz w:val="19"/>
              </w:rPr>
              <w:t>Tham khảo các rủi ro: E-10, E-12</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E-1</w:t>
            </w:r>
          </w:p>
        </w:tc>
        <w:tc>
          <w:tcPr>
            <w:tcW w:type="dxa" w:w="4680"/>
          </w:tcPr>
          <w:p>
            <w:r/>
            <w:r>
              <w:rPr>
                <w:b w:val="0"/>
                <w:i w:val="0"/>
                <w:sz w:val="19"/>
              </w:rPr>
              <w:t>Các hệ thống có thể được triển khai mà không đáp ứng yêu cầu của người dùng hoặc không tuân thủ các tiêu chuẩn chất lượng phần mềm của công ty.</w:t>
            </w:r>
          </w:p>
        </w:tc>
      </w:tr>
      <w:tr>
        <w:tc>
          <w:tcPr>
            <w:tcW w:type="dxa" w:w="4680"/>
          </w:tcPr>
          <w:p>
            <w:r/>
            <w:r>
              <w:rPr>
                <w:b w:val="0"/>
                <w:i w:val="0"/>
                <w:sz w:val="19"/>
              </w:rPr>
              <w:t>E-2</w:t>
            </w:r>
          </w:p>
        </w:tc>
        <w:tc>
          <w:tcPr>
            <w:tcW w:type="dxa" w:w="4680"/>
          </w:tcPr>
          <w:p>
            <w:r/>
            <w:r>
              <w:rPr>
                <w:b w:val="0"/>
                <w:i w:val="0"/>
                <w:sz w:val="19"/>
              </w:rPr>
              <w:t>Vai trò và trách nhiệm có thể không rõ ràng, dẫn đến thời gian của quá trình phát triển tăng lên hoặc hệ thống không đạt yêu cầu.</w:t>
            </w:r>
          </w:p>
        </w:tc>
      </w:tr>
      <w:tr>
        <w:tc>
          <w:tcPr>
            <w:tcW w:type="dxa" w:w="4680"/>
          </w:tcPr>
          <w:p>
            <w:r/>
            <w:r>
              <w:rPr>
                <w:b w:val="0"/>
                <w:i w:val="0"/>
                <w:sz w:val="19"/>
              </w:rPr>
              <w:t>E-3</w:t>
            </w:r>
          </w:p>
        </w:tc>
        <w:tc>
          <w:tcPr>
            <w:tcW w:type="dxa" w:w="4680"/>
          </w:tcPr>
          <w:p>
            <w:r/>
            <w:r>
              <w:rPr>
                <w:b w:val="0"/>
                <w:i w:val="0"/>
                <w:sz w:val="19"/>
              </w:rPr>
              <w:t>Các hệ thống có thể được triển khai mà không có sự phê duyệt thiết kế hệ thống, không kiểm thử đúng cách hoặc không chuyển đổi đúng cách, dẫn đến việc xử lý sai sót.</w:t>
            </w:r>
          </w:p>
        </w:tc>
      </w:tr>
      <w:tr>
        <w:tc>
          <w:tcPr>
            <w:tcW w:type="dxa" w:w="4680"/>
          </w:tcPr>
          <w:p>
            <w:r/>
            <w:r>
              <w:rPr>
                <w:b w:val="0"/>
                <w:i w:val="0"/>
                <w:sz w:val="19"/>
              </w:rPr>
              <w:t>E-4</w:t>
            </w:r>
          </w:p>
        </w:tc>
        <w:tc>
          <w:tcPr>
            <w:tcW w:type="dxa" w:w="4680"/>
          </w:tcPr>
          <w:p>
            <w:r/>
            <w:r>
              <w:rPr>
                <w:b w:val="0"/>
                <w:i w:val="0"/>
                <w:sz w:val="19"/>
              </w:rPr>
              <w:t>Người dùng có thể không tham gia tích cực vào quá trình phát triển, điều này có thể dẫn đến những quyết định sai lầm trong các giai đoạn thiết kế và kiểm thử.</w:t>
            </w:r>
          </w:p>
        </w:tc>
      </w:tr>
      <w:tr>
        <w:tc>
          <w:tcPr>
            <w:tcW w:type="dxa" w:w="4680"/>
          </w:tcPr>
          <w:p>
            <w:r/>
            <w:r>
              <w:rPr>
                <w:b w:val="0"/>
                <w:i w:val="0"/>
                <w:sz w:val="19"/>
              </w:rPr>
              <w:t>E-5</w:t>
            </w:r>
          </w:p>
        </w:tc>
        <w:tc>
          <w:tcPr>
            <w:tcW w:type="dxa" w:w="4680"/>
          </w:tcPr>
          <w:p>
            <w:r/>
            <w:r>
              <w:rPr>
                <w:b w:val="0"/>
                <w:i w:val="0"/>
                <w:sz w:val="19"/>
              </w:rPr>
              <w:t>Việc lựa chọn các giải pháp xử lý dữ liệu không phù hợp cho các bài toán kinh doanh có thể xuất phát từ việc đánh giá không đầy đủ các phương án thay thế.</w:t>
            </w:r>
          </w:p>
        </w:tc>
      </w:tr>
      <w:tr>
        <w:tc>
          <w:tcPr>
            <w:tcW w:type="dxa" w:w="4680"/>
          </w:tcPr>
          <w:p>
            <w:r/>
            <w:r>
              <w:rPr>
                <w:b w:val="0"/>
                <w:i w:val="0"/>
                <w:sz w:val="19"/>
              </w:rPr>
              <w:t>E-6</w:t>
            </w:r>
          </w:p>
        </w:tc>
        <w:tc>
          <w:tcPr>
            <w:tcW w:type="dxa" w:w="4680"/>
          </w:tcPr>
          <w:p>
            <w:r/>
            <w:r>
              <w:rPr>
                <w:b w:val="0"/>
                <w:i w:val="0"/>
                <w:sz w:val="19"/>
              </w:rPr>
              <w:t>Thiết kế hệ thống có thể không được ghi chép và truyền đạt đầy đủ, dẫn đến việc xử lý không kiểm soát được hoặc bị sai sót.</w:t>
            </w:r>
          </w:p>
        </w:tc>
      </w:tr>
      <w:tr>
        <w:tc>
          <w:tcPr>
            <w:tcW w:type="dxa" w:w="4680"/>
          </w:tcPr>
          <w:p>
            <w:r/>
            <w:r>
              <w:rPr>
                <w:b w:val="0"/>
                <w:i w:val="0"/>
                <w:sz w:val="19"/>
              </w:rPr>
              <w:t>E-7</w:t>
            </w:r>
          </w:p>
        </w:tc>
        <w:tc>
          <w:tcPr>
            <w:tcW w:type="dxa" w:w="4680"/>
          </w:tcPr>
          <w:p>
            <w:r/>
            <w:r>
              <w:rPr>
                <w:b w:val="0"/>
                <w:i w:val="0"/>
                <w:sz w:val="19"/>
              </w:rPr>
              <w:t>Các chương trình riêng lẻ và toàn bộ hệ thống có thể không được kiểm thử đầy đủ hoặc có thể không hoạt động như mong đợi, dẫn đến việc xử lý bị sai sót.</w:t>
            </w:r>
          </w:p>
        </w:tc>
      </w:tr>
      <w:tr>
        <w:tc>
          <w:tcPr>
            <w:tcW w:type="dxa" w:w="4680"/>
          </w:tcPr>
          <w:p>
            <w:r/>
            <w:r>
              <w:rPr>
                <w:b w:val="0"/>
                <w:i w:val="0"/>
                <w:sz w:val="19"/>
              </w:rPr>
              <w:t>E-8</w:t>
            </w:r>
          </w:p>
        </w:tc>
        <w:tc>
          <w:tcPr>
            <w:tcW w:type="dxa" w:w="4680"/>
          </w:tcPr>
          <w:p>
            <w:r/>
            <w:r>
              <w:rPr>
                <w:b w:val="0"/>
                <w:i w:val="0"/>
                <w:sz w:val="19"/>
              </w:rPr>
              <w:t>Người dùng có thể không tham gia vào việc nghiệm thu hệ thống. Hệ thống có thể không hoạt động đúng cách và không đáp ứng được nhu cầu của họ.</w:t>
            </w:r>
          </w:p>
        </w:tc>
      </w:tr>
      <w:tr>
        <w:tc>
          <w:tcPr>
            <w:tcW w:type="dxa" w:w="4680"/>
          </w:tcPr>
          <w:p>
            <w:r/>
            <w:r>
              <w:rPr>
                <w:b w:val="0"/>
                <w:i w:val="0"/>
                <w:sz w:val="19"/>
              </w:rPr>
              <w:t>E-9</w:t>
            </w:r>
          </w:p>
        </w:tc>
        <w:tc>
          <w:tcPr>
            <w:tcW w:type="dxa" w:w="4680"/>
          </w:tcPr>
          <w:p>
            <w:r/>
            <w:r>
              <w:rPr>
                <w:b w:val="0"/>
                <w:i w:val="0"/>
                <w:sz w:val="19"/>
              </w:rPr>
              <w:t>Các tệp dữ liệu có thể không được chuyển đổi đúng cách sang hệ thống mới.</w:t>
            </w:r>
          </w:p>
        </w:tc>
      </w:tr>
      <w:tr>
        <w:tc>
          <w:tcPr>
            <w:tcW w:type="dxa" w:w="4680"/>
          </w:tcPr>
          <w:p>
            <w:r/>
            <w:r>
              <w:rPr>
                <w:b w:val="0"/>
                <w:i w:val="0"/>
                <w:sz w:val="19"/>
              </w:rPr>
              <w:t>E-10</w:t>
            </w:r>
          </w:p>
        </w:tc>
        <w:tc>
          <w:tcPr>
            <w:tcW w:type="dxa" w:w="4680"/>
          </w:tcPr>
          <w:p>
            <w:r/>
            <w:r>
              <w:rPr>
                <w:b w:val="0"/>
                <w:i w:val="0"/>
                <w:sz w:val="19"/>
              </w:rPr>
              <w:t>Người dùng có thể không thể khắc phục được các lỗi trong quá trình xử lý.</w:t>
            </w:r>
          </w:p>
        </w:tc>
      </w:tr>
      <w:tr>
        <w:tc>
          <w:tcPr>
            <w:tcW w:type="dxa" w:w="4680"/>
          </w:tcPr>
          <w:p>
            <w:r/>
            <w:r>
              <w:rPr>
                <w:b w:val="0"/>
                <w:i w:val="0"/>
                <w:sz w:val="19"/>
              </w:rPr>
              <w:t>E-11</w:t>
            </w:r>
          </w:p>
        </w:tc>
        <w:tc>
          <w:tcPr>
            <w:tcW w:type="dxa" w:w="4680"/>
          </w:tcPr>
          <w:p>
            <w:r/>
            <w:r>
              <w:rPr>
                <w:b w:val="0"/>
                <w:i w:val="0"/>
                <w:sz w:val="19"/>
              </w:rPr>
              <w:t>Người dùng có thể không thể tự xử lý độc lập mà không cần đến IT hoặc những nhân sự khác đã phát triển hệ thống.</w:t>
            </w:r>
          </w:p>
        </w:tc>
      </w:tr>
      <w:tr>
        <w:tc>
          <w:tcPr>
            <w:tcW w:type="dxa" w:w="4680"/>
          </w:tcPr>
          <w:p>
            <w:r/>
            <w:r>
              <w:rPr>
                <w:b w:val="0"/>
                <w:i w:val="0"/>
                <w:sz w:val="19"/>
              </w:rPr>
              <w:t>E-12</w:t>
            </w:r>
          </w:p>
        </w:tc>
        <w:tc>
          <w:tcPr>
            <w:tcW w:type="dxa" w:w="4680"/>
          </w:tcPr>
          <w:p>
            <w:r/>
            <w:r>
              <w:rPr>
                <w:b w:val="0"/>
                <w:i w:val="0"/>
                <w:sz w:val="19"/>
              </w:rPr>
              <w:t>Nhân viên vận hành có thể không thể vận hành được hệ thống.</w:t>
            </w:r>
          </w:p>
        </w:tc>
      </w:tr>
      <w:tr>
        <w:tc>
          <w:tcPr>
            <w:tcW w:type="dxa" w:w="4680"/>
          </w:tcPr>
          <w:p>
            <w:r/>
            <w:r>
              <w:rPr>
                <w:b w:val="0"/>
                <w:i w:val="0"/>
                <w:sz w:val="19"/>
              </w:rPr>
              <w:t>E-13</w:t>
            </w:r>
          </w:p>
        </w:tc>
        <w:tc>
          <w:tcPr>
            <w:tcW w:type="dxa" w:w="4680"/>
          </w:tcPr>
          <w:p>
            <w:r/>
            <w:r>
              <w:rPr>
                <w:b w:val="0"/>
                <w:i w:val="0"/>
                <w:sz w:val="19"/>
              </w:rPr>
              <w:t>Nhân viên vận hành và/hoặc người dùng có thể không khôi phục được sau lỗi để tiếp tục xử lý nghiệp vụ.</w:t>
            </w:r>
          </w:p>
        </w:tc>
      </w:tr>
      <w:tr>
        <w:tc>
          <w:tcPr>
            <w:tcW w:type="dxa" w:w="4680"/>
          </w:tcPr>
          <w:p>
            <w:r/>
            <w:r>
              <w:rPr>
                <w:b w:val="0"/>
                <w:i w:val="0"/>
                <w:sz w:val="19"/>
              </w:rPr>
              <w:t>E-14</w:t>
            </w:r>
          </w:p>
        </w:tc>
        <w:tc>
          <w:tcPr>
            <w:tcW w:type="dxa" w:w="4680"/>
          </w:tcPr>
          <w:p>
            <w:r/>
            <w:r>
              <w:rPr>
                <w:b w:val="0"/>
                <w:i w:val="0"/>
                <w:sz w:val="19"/>
              </w:rPr>
              <w:t>Người dùng được đào tạo không đầy đủ có thể không vận hành và kiểm soát hệ thống một cách thỏa đáng.</w:t>
            </w:r>
          </w:p>
        </w:tc>
      </w:tr>
      <w:tr>
        <w:tc>
          <w:tcPr>
            <w:tcW w:type="dxa" w:w="4680"/>
          </w:tcPr>
          <w:p>
            <w:r/>
            <w:r>
              <w:rPr>
                <w:b w:val="0"/>
                <w:i w:val="0"/>
                <w:sz w:val="19"/>
              </w:rPr>
              <w:t>E-15</w:t>
            </w:r>
          </w:p>
        </w:tc>
        <w:tc>
          <w:tcPr>
            <w:tcW w:type="dxa" w:w="4680"/>
          </w:tcPr>
          <w:p>
            <w:r/>
            <w:r>
              <w:rPr>
                <w:b w:val="0"/>
                <w:i w:val="0"/>
                <w:sz w:val="19"/>
              </w:rPr>
              <w:t>Thông tin của công ty có thể bị tiết lộ, sử dụng sai mục đích hoặc mất mát, điều này có thể ảnh hưởng tiêu cực đến vị thế cạnh tranh của công ty.</w:t>
            </w:r>
          </w:p>
        </w:tc>
      </w:tr>
    </w:tbl>
    <w:p>
      <w:pPr>
        <w:spacing w:after="0"/>
      </w:pPr>
    </w:p>
    <w:p>
      <w:pPr>
        <w:pStyle w:val="Heading2"/>
      </w:pPr>
      <w:r>
        <w:rPr>
          <w:rFonts w:ascii="Calibri" w:hAnsi="Calibri"/>
          <w:b/>
          <w:i w:val="0"/>
          <w:sz w:val="32"/>
        </w:rPr>
        <w:t>10.6 QUẢN LÝ THAY ĐỔI</w:t>
      </w:r>
    </w:p>
    <w:p>
      <w:pPr>
        <w:pStyle w:val="Heading3"/>
      </w:pPr>
      <w:r>
        <w:rPr>
          <w:rFonts w:ascii="Calibri" w:hAnsi="Calibri"/>
          <w:b/>
          <w:i w:val="0"/>
          <w:sz w:val="26"/>
        </w:rPr>
        <w:t>Giới thiệu</w:t>
      </w:r>
    </w:p>
    <w:p>
      <w:pPr>
        <w:spacing w:after="80"/>
      </w:pPr>
      <w:r>
        <w:rPr>
          <w:b w:val="0"/>
          <w:i w:val="0"/>
        </w:rPr>
        <w:t>Quản lý thay đổi (change management) cho phép các tổ chức lập kế hoạch, lên lịch, triển khai và theo dõi các sửa đổi đối với hoạt động của doanh nghiệp. Một quy trình quản lý thay đổi chính thức giúp các phòng ban IT đảm bảo rằng việc triển khai các thay đổi hệ thống phù hợp với nhu cầu kinh doanh. Vì vậy, các công ty nên ghi lại thành văn bản các quy trình chính thức để triển khai thay đổi trong hệ thống IT của mình. Các lĩnh vực cụ thể cần ghi lại bao gồm khu vực phòng thí nghiệm và khu vực thử nghiệm (staging), việc trao đổi thông tin về các thay đổi, phát triển ứng dụng, và các thỏa thuận mức dịch vụ nội bộ (SLA - service-level agreements).</w:t>
      </w:r>
    </w:p>
    <w:p>
      <w:pPr>
        <w:spacing w:after="80"/>
      </w:pPr>
      <w:r>
        <w:rPr>
          <w:b w:val="0"/>
          <w:i w:val="0"/>
        </w:rPr>
        <w:t>Mọi thay đổi đối với bất kỳ môi trường vận hành thực tế (production environment) nào, bao gồm phần mềm, điện toán đám mây, phần cứng và các quy trình vận hành, đều phải được phê duyệt, ghi lại thành văn bản và kiểm thử. Các tiêu chuẩn kiểm soát này cho quy trình quản lý thay đổi cũng nên được xem xét khi làm việc với bên thứ ba trong việc triển khai phần mềm cho một giải pháp kinh doanh.</w:t>
      </w:r>
    </w:p>
    <w:p>
      <w:pPr>
        <w:pStyle w:val="Heading3"/>
      </w:pPr>
      <w:r>
        <w:rPr>
          <w:rFonts w:ascii="Calibri" w:hAnsi="Calibri"/>
          <w:b/>
          <w:i w:val="0"/>
          <w:sz w:val="26"/>
        </w:rPr>
        <w:t>Định nghĩa</w:t>
      </w:r>
    </w:p>
    <w:p>
      <w:pPr>
        <w:spacing w:after="80"/>
        <w:ind w:left="360"/>
      </w:pPr>
      <w:r>
        <w:rPr>
          <w:b/>
          <w:i w:val="0"/>
        </w:rPr>
        <w:t>Quản lý thay đổi (Change Management)</w:t>
      </w:r>
      <w:r>
        <w:rPr>
          <w:b w:val="0"/>
          <w:i w:val="0"/>
        </w:rPr>
        <w:t xml:space="preserve"> —Việc báo cáo, theo dõi và giải quyết các yêu cầu thay đổi và báo cáo vấn đề đối với tất cả các mục/đơn vị cấu hình (configuration items/units).</w:t>
      </w:r>
    </w:p>
    <w:p>
      <w:pPr>
        <w:spacing w:after="80"/>
        <w:ind w:left="360"/>
      </w:pPr>
      <w:r>
        <w:rPr>
          <w:b/>
          <w:i w:val="0"/>
        </w:rPr>
        <w:t>Quản lý thăng cấp/di chuyển (Promotion/Migration Management)</w:t>
      </w:r>
      <w:r>
        <w:rPr>
          <w:b w:val="0"/>
          <w:i w:val="0"/>
        </w:rPr>
        <w:t xml:space="preserve"> —Việc kiểm soát sự di chuyển logic và vật lý của mã nguồn giữa môi trường kiểm thử, đảm bảo chất lượng và vận hành thực tế.</w:t>
      </w:r>
    </w:p>
    <w:p>
      <w:pPr>
        <w:spacing w:after="80"/>
        <w:ind w:left="360"/>
      </w:pPr>
      <w:r>
        <w:rPr>
          <w:b/>
          <w:i w:val="0"/>
        </w:rPr>
        <w:t>Quản lý phát hành (Release Management)</w:t>
      </w:r>
      <w:r>
        <w:rPr>
          <w:b w:val="0"/>
          <w:i w:val="0"/>
        </w:rPr>
        <w:t xml:space="preserve"> —Việc thông báo và phân phối phần mềm.</w:t>
      </w:r>
    </w:p>
    <w:p>
      <w:pPr>
        <w:spacing w:after="80"/>
        <w:ind w:left="360"/>
      </w:pPr>
      <w:r>
        <w:rPr>
          <w:b/>
          <w:i w:val="0"/>
        </w:rPr>
        <w:t>Phần mềm (Software)</w:t>
      </w:r>
      <w:r>
        <w:rPr>
          <w:b w:val="0"/>
          <w:i w:val="0"/>
        </w:rPr>
        <w:t xml:space="preserve"> —Bao gồm tất cả các cấp độ phần mềm—phần mềm ứng dụng, phần mềm hệ điều hành, phần mềm trung gian (middleware), phần mềm quản lý trình bày, v.v.</w:t>
      </w:r>
    </w:p>
    <w:p>
      <w:pPr>
        <w:spacing w:after="80"/>
        <w:ind w:left="360"/>
      </w:pPr>
      <w:r>
        <w:rPr>
          <w:b/>
          <w:i w:val="0"/>
        </w:rPr>
        <w:t>Báo cáo trạng thái (Status Reporting)</w:t>
      </w:r>
      <w:r>
        <w:rPr>
          <w:b w:val="0"/>
          <w:i w:val="0"/>
        </w:rPr>
        <w:t xml:space="preserve"> —Trạng thái của các mục/đơn vị cấu hình được ghi lại theo một quy trình đã được ghi thành văn bản. Điều này cho phép tái tạo lại một ứng dụng từ nhiều phiên bản khác nhau.</w:t>
      </w:r>
    </w:p>
    <w:p>
      <w:pPr>
        <w:spacing w:after="80"/>
        <w:ind w:left="360"/>
      </w:pPr>
      <w:r>
        <w:rPr>
          <w:b/>
          <w:i w:val="0"/>
        </w:rPr>
        <w:t>Quản lý phiên bản</w:t>
      </w:r>
      <w:r>
        <w:rPr>
          <w:b w:val="0"/>
          <w:i w:val="0"/>
        </w:rPr>
        <w:t xml:space="preserve"> — Việc check-in/check-out hoặc quản lý sửa đổi các mục/đơn vị cấu hình (ví dụ: tài liệu liên quan đến quy trình, yêu cầu phần mềm, mã nguồn, phần mềm hệ điều hành, v.v.)</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10.6.1</w:t>
            </w:r>
          </w:p>
        </w:tc>
        <w:tc>
          <w:tcPr>
            <w:tcW w:type="dxa" w:w="4680"/>
          </w:tcPr>
          <w:p>
            <w:r/>
            <w:r>
              <w:rPr>
                <w:b/>
                <w:i w:val="0"/>
                <w:sz w:val="19"/>
              </w:rPr>
              <w:t>Môi trường Sản xuất được Ghi nhận.</w:t>
            </w:r>
            <w:r>
              <w:rPr>
                <w:b w:val="0"/>
                <w:i w:val="0"/>
                <w:sz w:val="19"/>
              </w:rPr>
              <w:t xml:space="preserve"> Chủ sở hữu hệ thống và ứng dụng phải ghi nhận liệu môi trường của họ có phải là môi trường sản xuất hay không. </w:t>
            </w:r>
            <w:r>
              <w:rPr>
                <w:b/>
                <w:i w:val="0"/>
                <w:sz w:val="19"/>
              </w:rPr>
              <w:t>Tham chiếu rủi ro: F-2</w:t>
            </w:r>
          </w:p>
        </w:tc>
      </w:tr>
      <w:tr>
        <w:tc>
          <w:tcPr>
            <w:tcW w:type="dxa" w:w="4680"/>
          </w:tcPr>
          <w:p>
            <w:r/>
            <w:r>
              <w:rPr>
                <w:b w:val="0"/>
                <w:i w:val="0"/>
                <w:sz w:val="19"/>
              </w:rPr>
              <w:t>10.6.2</w:t>
            </w:r>
          </w:p>
        </w:tc>
        <w:tc>
          <w:tcPr>
            <w:tcW w:type="dxa" w:w="4680"/>
          </w:tcPr>
          <w:p>
            <w:r/>
            <w:r>
              <w:rPr>
                <w:b/>
                <w:i w:val="0"/>
                <w:sz w:val="19"/>
              </w:rPr>
              <w:t>Yêu cầu Thay đổi.</w:t>
            </w:r>
            <w:r>
              <w:rPr>
                <w:b w:val="0"/>
                <w:i w:val="0"/>
                <w:sz w:val="19"/>
              </w:rPr>
              <w:t xml:space="preserve"> Các yêu cầu thay đổi đối với môi trường sản xuất phải bao gồm mục đích kinh doanh hoặc phân tích tác động kinh doanh và phải được chủ sở hữu hệ thống và ứng dụng bị ảnh hưởng phê duyệt. </w:t>
            </w:r>
            <w:r>
              <w:rPr>
                <w:b/>
                <w:i w:val="0"/>
                <w:sz w:val="19"/>
              </w:rPr>
              <w:t>Tham chiếu rủi ro: F-1, F-2</w:t>
            </w:r>
          </w:p>
        </w:tc>
      </w:tr>
      <w:tr>
        <w:tc>
          <w:tcPr>
            <w:tcW w:type="dxa" w:w="4680"/>
          </w:tcPr>
          <w:p>
            <w:r/>
            <w:r>
              <w:rPr>
                <w:b w:val="0"/>
                <w:i w:val="0"/>
                <w:sz w:val="19"/>
              </w:rPr>
              <w:t>10.6.3</w:t>
            </w:r>
          </w:p>
        </w:tc>
        <w:tc>
          <w:tcPr>
            <w:tcW w:type="dxa" w:w="4680"/>
          </w:tcPr>
          <w:p>
            <w:r/>
            <w:r>
              <w:rPr>
                <w:b/>
                <w:i w:val="0"/>
                <w:sz w:val="19"/>
              </w:rPr>
              <w:t>Đánh giá Hạ tầng CNTT, Nhà cung cấp Dịch vụ và Điện toán Đám mây.</w:t>
            </w:r>
            <w:r>
              <w:rPr>
                <w:b w:val="0"/>
                <w:i w:val="0"/>
                <w:sz w:val="19"/>
              </w:rPr>
              <w:t xml:space="preserve"> Các yêu cầu thay đổi đối với môi trường sản xuất phải bao gồm phân tích tác động hạ tầng CNTT, và phân tích này phải được các nhà cung cấp dịch vụ bị ảnh hưởng xem xét. </w:t>
            </w:r>
            <w:r>
              <w:rPr>
                <w:b/>
                <w:i w:val="0"/>
                <w:sz w:val="19"/>
              </w:rPr>
              <w:t>Tham chiếu rủi ro: F-8</w:t>
            </w:r>
          </w:p>
        </w:tc>
      </w:tr>
      <w:tr>
        <w:tc>
          <w:tcPr>
            <w:tcW w:type="dxa" w:w="4680"/>
          </w:tcPr>
          <w:p>
            <w:r/>
            <w:r>
              <w:rPr>
                <w:b w:val="0"/>
                <w:i w:val="0"/>
                <w:sz w:val="19"/>
              </w:rPr>
              <w:t>10.6.4</w:t>
            </w:r>
          </w:p>
        </w:tc>
        <w:tc>
          <w:tcPr>
            <w:tcW w:type="dxa" w:w="4680"/>
          </w:tcPr>
          <w:p>
            <w:r/>
            <w:r>
              <w:rPr>
                <w:b/>
                <w:i w:val="0"/>
                <w:sz w:val="19"/>
              </w:rPr>
              <w:t>Thay đổi đã được Kiểm thử.</w:t>
            </w:r>
            <w:r>
              <w:rPr>
                <w:b w:val="0"/>
                <w:i w:val="0"/>
                <w:sz w:val="19"/>
              </w:rPr>
              <w:t xml:space="preserve"> Các thay đổi đối với môi trường phần cứng và/hoặc phần mềm sản xuất phải được kiểm thử. Việc kiểm thử phải bao gồm đủ các điều kiện để đảm bảo cấu hình hệ thống mới hoạt động đúng như dự định. Việc kiểm thử cũng phải bao gồm bằng chứng rằng tất cả các yêu cầu đã được kiểm thử đạt mức hài lòng của người dùng cuối của hệ thống. </w:t>
            </w:r>
            <w:r>
              <w:rPr>
                <w:b/>
                <w:i w:val="0"/>
                <w:sz w:val="19"/>
              </w:rPr>
              <w:t>Tham chiếu rủi ro: F-3, F-4, F-5</w:t>
            </w:r>
          </w:p>
        </w:tc>
      </w:tr>
      <w:tr>
        <w:tc>
          <w:tcPr>
            <w:tcW w:type="dxa" w:w="4680"/>
          </w:tcPr>
          <w:p>
            <w:r/>
            <w:r>
              <w:rPr>
                <w:b w:val="0"/>
                <w:i w:val="0"/>
                <w:sz w:val="19"/>
              </w:rPr>
              <w:t>10.6.5</w:t>
            </w:r>
          </w:p>
        </w:tc>
        <w:tc>
          <w:tcPr>
            <w:tcW w:type="dxa" w:w="4680"/>
          </w:tcPr>
          <w:p>
            <w:r/>
            <w:r>
              <w:rPr>
                <w:b/>
                <w:i w:val="0"/>
                <w:sz w:val="19"/>
              </w:rPr>
              <w:t>Đánh giá của Ban Quản lý Tài chính.</w:t>
            </w:r>
            <w:r>
              <w:rPr>
                <w:b w:val="0"/>
                <w:i w:val="0"/>
                <w:sz w:val="19"/>
              </w:rPr>
              <w:t xml:space="preserve"> Nếu thay đổi hệ thống dẫn đến việc tạo bút toán hoặc thay đổi phân bổ tài khoản bút toán, thay đổi đó phải được ban quản lý tài chính phê duyệt. </w:t>
            </w:r>
            <w:r>
              <w:rPr>
                <w:b/>
                <w:i w:val="0"/>
                <w:sz w:val="19"/>
              </w:rPr>
              <w:t>Tham chiếu rủi ro: F-5, F-6</w:t>
            </w:r>
          </w:p>
        </w:tc>
      </w:tr>
      <w:tr>
        <w:tc>
          <w:tcPr>
            <w:tcW w:type="dxa" w:w="4680"/>
          </w:tcPr>
          <w:p>
            <w:r/>
            <w:r>
              <w:rPr>
                <w:b w:val="0"/>
                <w:i w:val="0"/>
                <w:sz w:val="19"/>
              </w:rPr>
              <w:t>10.6.6</w:t>
            </w:r>
          </w:p>
        </w:tc>
        <w:tc>
          <w:tcPr>
            <w:tcW w:type="dxa" w:w="4680"/>
          </w:tcPr>
          <w:p>
            <w:r/>
            <w:r>
              <w:rPr>
                <w:b/>
                <w:i w:val="0"/>
                <w:sz w:val="19"/>
              </w:rPr>
              <w:t>Quản lý Cấu hình Phần mềm.</w:t>
            </w:r>
            <w:r>
              <w:rPr>
                <w:b w:val="0"/>
                <w:i w:val="0"/>
                <w:sz w:val="19"/>
              </w:rPr>
              <w:t xml:space="preserve"> Các tổ chức hoặc bộ phận chịu trách nhiệm về phần cứng hoặc phần mềm phải ghi nhận và triển khai các kế hoạch và quy trình quản lý cấu hình phần mềm. Quản lý cấu hình phần mềm bao gồm quản lý phiên bản, thay đổi, thăng cấp/di trú, phát hành và báo cáo trạng thái. </w:t>
            </w:r>
            <w:r>
              <w:rPr>
                <w:b/>
                <w:i w:val="0"/>
                <w:sz w:val="19"/>
              </w:rPr>
              <w:t>Tham chiếu rủi ro: F-2, F-4</w:t>
            </w:r>
          </w:p>
        </w:tc>
      </w:tr>
      <w:tr>
        <w:tc>
          <w:tcPr>
            <w:tcW w:type="dxa" w:w="4680"/>
          </w:tcPr>
          <w:p>
            <w:r/>
            <w:r>
              <w:rPr>
                <w:b w:val="0"/>
                <w:i w:val="0"/>
                <w:sz w:val="19"/>
              </w:rPr>
              <w:t>10.6.7</w:t>
            </w:r>
          </w:p>
        </w:tc>
        <w:tc>
          <w:tcPr>
            <w:tcW w:type="dxa" w:w="4680"/>
          </w:tcPr>
          <w:p>
            <w:r/>
            <w:r>
              <w:rPr>
                <w:b/>
                <w:i w:val="0"/>
                <w:sz w:val="19"/>
              </w:rPr>
              <w:t>Phương pháp Phát triển Hệ thống.</w:t>
            </w:r>
            <w:r>
              <w:rPr>
                <w:b w:val="0"/>
                <w:i w:val="0"/>
                <w:sz w:val="19"/>
              </w:rPr>
              <w:t xml:space="preserve"> Các tổ chức hoặc bộ phận chịu trách nhiệm về phần cứng hoặc phần mềm phải tuân theo một phương pháp phát triển hệ thống đã được phê duyệt và ghi nhận khi thực hiện các thay đổi bảo trì đối với môi trường sản xuất. Phương pháp và mức độ trang trọng được áp dụng phải phù hợp với quy mô và tác động của dự án. </w:t>
            </w:r>
            <w:r>
              <w:rPr>
                <w:b/>
                <w:i w:val="0"/>
                <w:sz w:val="19"/>
              </w:rPr>
              <w:t>Tham chiếu rủi ro: F-4, F-7</w:t>
            </w:r>
          </w:p>
        </w:tc>
      </w:tr>
      <w:tr>
        <w:tc>
          <w:tcPr>
            <w:tcW w:type="dxa" w:w="4680"/>
          </w:tcPr>
          <w:p>
            <w:r/>
            <w:r>
              <w:rPr>
                <w:b w:val="0"/>
                <w:i w:val="0"/>
                <w:sz w:val="19"/>
              </w:rPr>
              <w:t>10.6.8</w:t>
            </w:r>
          </w:p>
        </w:tc>
        <w:tc>
          <w:tcPr>
            <w:tcW w:type="dxa" w:w="4680"/>
          </w:tcPr>
          <w:p>
            <w:r/>
            <w:r>
              <w:rPr>
                <w:b/>
                <w:i w:val="0"/>
                <w:sz w:val="19"/>
              </w:rPr>
              <w:t>Kế hoạch dự phòng được ghi nhận.</w:t>
            </w:r>
            <w:r>
              <w:rPr>
                <w:b w:val="0"/>
                <w:i w:val="0"/>
                <w:sz w:val="19"/>
              </w:rPr>
              <w:t xml:space="preserve"> Các tổ chức hoặc bộ phận chịu trách nhiệm về phần cứng hoặc phần mềm phải ghi nhận một kế hoạch dự phòng để thực hiện trong trường hợp thay đổi đối với môi trường sản xuất không thành công và có vấn đề với ứng dụng của bên thứ ba. </w:t>
            </w:r>
            <w:r>
              <w:rPr>
                <w:b/>
                <w:i w:val="0"/>
                <w:sz w:val="19"/>
              </w:rPr>
              <w:t>Tham chiếu rủi ro: F-7</w:t>
            </w:r>
          </w:p>
        </w:tc>
      </w:tr>
      <w:tr>
        <w:tc>
          <w:tcPr>
            <w:tcW w:type="dxa" w:w="4680"/>
          </w:tcPr>
          <w:p>
            <w:r/>
            <w:r>
              <w:rPr>
                <w:b w:val="0"/>
                <w:i w:val="0"/>
                <w:sz w:val="19"/>
              </w:rPr>
              <w:t>10.6.9</w:t>
            </w:r>
          </w:p>
        </w:tc>
        <w:tc>
          <w:tcPr>
            <w:tcW w:type="dxa" w:w="4680"/>
          </w:tcPr>
          <w:p>
            <w:r/>
            <w:r>
              <w:rPr>
                <w:b/>
                <w:i w:val="0"/>
                <w:sz w:val="19"/>
              </w:rPr>
              <w:t>Kiểm soát phiên bản toàn hệ thống.</w:t>
            </w:r>
            <w:r>
              <w:rPr>
                <w:b w:val="0"/>
                <w:i w:val="0"/>
                <w:sz w:val="19"/>
              </w:rPr>
              <w:t xml:space="preserve"> Nếu các hệ thống phân tán được thiết kế với nhiều bản sao của cùng một chương trình và tệp dữ liệu trên nhiều máy tính, thì phải xây dựng các biện pháp kiểm soát phiên bản toàn hệ thống để đảm bảo các phiên bản chương trình và tệp dữ liệu phù hợp được sử dụng xuyên suốt hệ thống. </w:t>
            </w:r>
            <w:r>
              <w:rPr>
                <w:b/>
                <w:i w:val="0"/>
                <w:sz w:val="19"/>
              </w:rPr>
              <w:t>Tham chiếu rủi ro: F-1, F-3</w:t>
            </w:r>
          </w:p>
        </w:tc>
      </w:tr>
      <w:tr>
        <w:tc>
          <w:tcPr>
            <w:tcW w:type="dxa" w:w="4680"/>
          </w:tcPr>
          <w:p>
            <w:r/>
            <w:r>
              <w:rPr>
                <w:b w:val="0"/>
                <w:i w:val="0"/>
                <w:sz w:val="19"/>
              </w:rPr>
              <w:t>10.6.10</w:t>
            </w:r>
          </w:p>
        </w:tc>
        <w:tc>
          <w:tcPr>
            <w:tcW w:type="dxa" w:w="4680"/>
          </w:tcPr>
          <w:p>
            <w:r/>
            <w:r>
              <w:rPr>
                <w:b/>
                <w:i w:val="0"/>
                <w:sz w:val="19"/>
              </w:rPr>
              <w:t>Thay đổi đối với mã nguồn do nhà cung cấp cung cấp.</w:t>
            </w:r>
            <w:r>
              <w:rPr>
                <w:b w:val="0"/>
                <w:i w:val="0"/>
                <w:sz w:val="19"/>
              </w:rPr>
              <w:t xml:space="preserve"> Giám đốc thông tin (CIO) phải phê duyệt tất cả các thay đổi đối với mã nguồn do nhà cung cấp cung cấp khi những thay đổi đó không được nhà cung cấp hỗ trợ đầy đủ. </w:t>
            </w:r>
            <w:r>
              <w:rPr>
                <w:b/>
                <w:i w:val="0"/>
                <w:sz w:val="19"/>
              </w:rPr>
              <w:t>Tham chiếu rủi ro: F-2, F-3, F-4, F-9, F-10, F-11</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F-1</w:t>
            </w:r>
          </w:p>
        </w:tc>
        <w:tc>
          <w:tcPr>
            <w:tcW w:type="dxa" w:w="4680"/>
          </w:tcPr>
          <w:p>
            <w:r/>
            <w:r>
              <w:rPr>
                <w:b w:val="0"/>
                <w:i w:val="0"/>
                <w:sz w:val="19"/>
              </w:rPr>
              <w:t>Các thay đổi sai sót hoặc các thay đổi dẫn đến việc sử dụng hệ thống không đúng cách có thể phát sinh từ những thay đổi hệ thống trái phép.</w:t>
            </w:r>
          </w:p>
        </w:tc>
      </w:tr>
      <w:tr>
        <w:tc>
          <w:tcPr>
            <w:tcW w:type="dxa" w:w="4680"/>
          </w:tcPr>
          <w:p>
            <w:r/>
            <w:r>
              <w:rPr>
                <w:b w:val="0"/>
                <w:i w:val="0"/>
                <w:sz w:val="19"/>
              </w:rPr>
              <w:t>F-2</w:t>
            </w:r>
          </w:p>
        </w:tc>
        <w:tc>
          <w:tcPr>
            <w:tcW w:type="dxa" w:w="4680"/>
          </w:tcPr>
          <w:p>
            <w:r/>
            <w:r>
              <w:rPr>
                <w:b w:val="0"/>
                <w:i w:val="0"/>
                <w:sz w:val="19"/>
              </w:rPr>
              <w:t>Nhân sự chuẩn bị thay đổi hệ thống có thể không đánh giá đầy đủ tác động của thay đổi đối với quá trình xử lý nghiệp vụ.</w:t>
            </w:r>
          </w:p>
        </w:tc>
      </w:tr>
      <w:tr>
        <w:tc>
          <w:tcPr>
            <w:tcW w:type="dxa" w:w="4680"/>
          </w:tcPr>
          <w:p>
            <w:r/>
            <w:r>
              <w:rPr>
                <w:b w:val="0"/>
                <w:i w:val="0"/>
                <w:sz w:val="19"/>
              </w:rPr>
              <w:t>F-3</w:t>
            </w:r>
          </w:p>
        </w:tc>
        <w:tc>
          <w:tcPr>
            <w:tcW w:type="dxa" w:w="4680"/>
          </w:tcPr>
          <w:p>
            <w:r/>
            <w:r>
              <w:rPr>
                <w:b w:val="0"/>
                <w:i w:val="0"/>
                <w:sz w:val="19"/>
              </w:rPr>
              <w:t>Các thay đổi có thể không được kiểm thử đúng cách và việc triển khai chúng có thể dẫn đến xử lý hệ thống sai sót, gây ảnh hưởng đến những đối tượng phụ thuộc vào hệ thống, như sản xuất, khách hàng của chúng ta, các đơn vị kinh doanh, các cơ quan chính phủ địa phương, tiểu bang và liên bang, v.v.</w:t>
            </w:r>
          </w:p>
        </w:tc>
      </w:tr>
      <w:tr>
        <w:tc>
          <w:tcPr>
            <w:tcW w:type="dxa" w:w="4680"/>
          </w:tcPr>
          <w:p>
            <w:r/>
            <w:r>
              <w:rPr>
                <w:b w:val="0"/>
                <w:i w:val="0"/>
                <w:sz w:val="19"/>
              </w:rPr>
              <w:t>F-4</w:t>
            </w:r>
          </w:p>
        </w:tc>
        <w:tc>
          <w:tcPr>
            <w:tcW w:type="dxa" w:w="4680"/>
          </w:tcPr>
          <w:p>
            <w:r/>
            <w:r>
              <w:rPr>
                <w:b w:val="0"/>
                <w:i w:val="0"/>
                <w:sz w:val="19"/>
              </w:rPr>
              <w:t>Người dùng và nhân sự vận hành có thể không biết về các thay đổi hệ thống, điều này có thể dẫn đến xử lý hệ thống sai sót.</w:t>
            </w:r>
          </w:p>
        </w:tc>
      </w:tr>
      <w:tr>
        <w:tc>
          <w:tcPr>
            <w:tcW w:type="dxa" w:w="4680"/>
          </w:tcPr>
          <w:p>
            <w:r/>
            <w:r>
              <w:rPr>
                <w:b w:val="0"/>
                <w:i w:val="0"/>
                <w:sz w:val="19"/>
              </w:rPr>
              <w:t>F-5</w:t>
            </w:r>
          </w:p>
        </w:tc>
        <w:tc>
          <w:tcPr>
            <w:tcW w:type="dxa" w:w="4680"/>
          </w:tcPr>
          <w:p>
            <w:r/>
            <w:r>
              <w:rPr>
                <w:b w:val="0"/>
                <w:i w:val="0"/>
                <w:sz w:val="19"/>
              </w:rPr>
              <w:t>Các hồ sơ tài chính hoặc vận hành có thể bị trình bày sai.</w:t>
            </w:r>
          </w:p>
        </w:tc>
      </w:tr>
      <w:tr>
        <w:tc>
          <w:tcPr>
            <w:tcW w:type="dxa" w:w="4680"/>
          </w:tcPr>
          <w:p>
            <w:r/>
            <w:r>
              <w:rPr>
                <w:b w:val="0"/>
                <w:i w:val="0"/>
                <w:sz w:val="19"/>
              </w:rPr>
              <w:t>F-6</w:t>
            </w:r>
          </w:p>
        </w:tc>
        <w:tc>
          <w:tcPr>
            <w:tcW w:type="dxa" w:w="4680"/>
          </w:tcPr>
          <w:p>
            <w:r/>
            <w:r>
              <w:rPr>
                <w:b w:val="0"/>
                <w:i w:val="0"/>
                <w:sz w:val="19"/>
              </w:rPr>
              <w:t>Các bút toán và phân bổ nhật ký không đúng có thể phát sinh từ thay đổi hệ thống.</w:t>
            </w:r>
          </w:p>
        </w:tc>
      </w:tr>
      <w:tr>
        <w:tc>
          <w:tcPr>
            <w:tcW w:type="dxa" w:w="4680"/>
          </w:tcPr>
          <w:p>
            <w:r/>
            <w:r>
              <w:rPr>
                <w:b w:val="0"/>
                <w:i w:val="0"/>
                <w:sz w:val="19"/>
              </w:rPr>
              <w:t>F-7</w:t>
            </w:r>
          </w:p>
        </w:tc>
        <w:tc>
          <w:tcPr>
            <w:tcW w:type="dxa" w:w="4680"/>
          </w:tcPr>
          <w:p>
            <w:r/>
            <w:r>
              <w:rPr>
                <w:b w:val="0"/>
                <w:i w:val="0"/>
                <w:sz w:val="19"/>
              </w:rPr>
              <w:t>Người dùng và nhân viên vận hành có thể không thể khôi phục sau sự cố hệ thống.</w:t>
            </w:r>
          </w:p>
        </w:tc>
      </w:tr>
      <w:tr>
        <w:tc>
          <w:tcPr>
            <w:tcW w:type="dxa" w:w="4680"/>
          </w:tcPr>
          <w:p>
            <w:r/>
            <w:r>
              <w:rPr>
                <w:b w:val="0"/>
                <w:i w:val="0"/>
                <w:sz w:val="19"/>
              </w:rPr>
              <w:t>F-8</w:t>
            </w:r>
          </w:p>
        </w:tc>
        <w:tc>
          <w:tcPr>
            <w:tcW w:type="dxa" w:w="4680"/>
          </w:tcPr>
          <w:p>
            <w:r/>
            <w:r>
              <w:rPr>
                <w:b w:val="0"/>
                <w:i w:val="0"/>
                <w:sz w:val="19"/>
              </w:rPr>
              <w:t>Nhân sự chuẩn bị thay đổi hệ thống có thể không đánh giá đầy đủ tác động của thay đổi đối với hạ tầng CNTT (IT infrastructure).</w:t>
            </w:r>
          </w:p>
        </w:tc>
      </w:tr>
      <w:tr>
        <w:tc>
          <w:tcPr>
            <w:tcW w:type="dxa" w:w="4680"/>
          </w:tcPr>
          <w:p>
            <w:r/>
            <w:r>
              <w:rPr>
                <w:b w:val="0"/>
                <w:i w:val="0"/>
                <w:sz w:val="19"/>
              </w:rPr>
              <w:t>F-9</w:t>
            </w:r>
          </w:p>
        </w:tc>
        <w:tc>
          <w:tcPr>
            <w:tcW w:type="dxa" w:w="4680"/>
          </w:tcPr>
          <w:p>
            <w:r/>
            <w:r>
              <w:rPr>
                <w:b w:val="0"/>
                <w:i w:val="0"/>
                <w:sz w:val="19"/>
              </w:rPr>
              <w:t>Nhà cung cấp có thể không còn cung cấp hỗ trợ nữa.</w:t>
            </w:r>
          </w:p>
        </w:tc>
      </w:tr>
      <w:tr>
        <w:tc>
          <w:tcPr>
            <w:tcW w:type="dxa" w:w="4680"/>
          </w:tcPr>
          <w:p>
            <w:r/>
            <w:r>
              <w:rPr>
                <w:b w:val="0"/>
                <w:i w:val="0"/>
                <w:sz w:val="19"/>
              </w:rPr>
              <w:t>F-10</w:t>
            </w:r>
          </w:p>
        </w:tc>
        <w:tc>
          <w:tcPr>
            <w:tcW w:type="dxa" w:w="4680"/>
          </w:tcPr>
          <w:p>
            <w:r/>
            <w:r>
              <w:rPr>
                <w:b w:val="0"/>
                <w:i w:val="0"/>
                <w:sz w:val="19"/>
              </w:rPr>
              <w:t>Khi nhà cung cấp cập nhật mã nguồn, các thay đổi mã nguồn có thể không còn thực hiện được nữa.</w:t>
            </w:r>
          </w:p>
        </w:tc>
      </w:tr>
      <w:tr>
        <w:tc>
          <w:tcPr>
            <w:tcW w:type="dxa" w:w="4680"/>
          </w:tcPr>
          <w:p>
            <w:r/>
            <w:r>
              <w:rPr>
                <w:b w:val="0"/>
                <w:i w:val="0"/>
                <w:sz w:val="19"/>
              </w:rPr>
              <w:t>F-11</w:t>
            </w:r>
          </w:p>
        </w:tc>
        <w:tc>
          <w:tcPr>
            <w:tcW w:type="dxa" w:w="4680"/>
          </w:tcPr>
          <w:p>
            <w:r/>
            <w:r>
              <w:rPr>
                <w:b w:val="0"/>
                <w:i w:val="0"/>
                <w:sz w:val="19"/>
              </w:rPr>
              <w:t>Mỗi khi nhà cung cấp nâng cấp mã nguồn, sẽ cần phải làm lại để thực hiện các thay đổi đối với mã nguồn một lần nữa.</w:t>
            </w:r>
          </w:p>
        </w:tc>
      </w:tr>
    </w:tbl>
    <w:p>
      <w:pPr>
        <w:spacing w:after="0"/>
      </w:pPr>
    </w:p>
    <w:p>
      <w:pPr>
        <w:pStyle w:val="Heading2"/>
      </w:pPr>
      <w:r>
        <w:rPr>
          <w:rFonts w:ascii="Calibri" w:hAnsi="Calibri"/>
          <w:b/>
          <w:i w:val="0"/>
          <w:sz w:val="32"/>
        </w:rPr>
        <w:t>10.7 SAO LƯU MÁY TÍNH VÀ VIỄN THÔNG ĐỂ KHỞI ĐỘNG LẠI/KHÔI PHỤC SẢN XUẤT</w:t>
      </w:r>
    </w:p>
    <w:p>
      <w:pPr>
        <w:pStyle w:val="Heading3"/>
      </w:pPr>
      <w:r>
        <w:rPr>
          <w:rFonts w:ascii="Calibri" w:hAnsi="Calibri"/>
          <w:b/>
          <w:i w:val="0"/>
          <w:sz w:val="26"/>
        </w:rPr>
        <w:t>Giới thiệu</w:t>
      </w:r>
    </w:p>
    <w:p>
      <w:pPr>
        <w:spacing w:after="80"/>
      </w:pPr>
      <w:r>
        <w:rPr>
          <w:b w:val="0"/>
          <w:i w:val="0"/>
        </w:rPr>
        <w:t>Các tổ chức, nhà cung cấp dịch vụ hoặc bộ phận vận hành thiết bị máy tính hoặc viễn thông có trách nhiệm đảm bảo rằng các quy trình quản lý hệ thống phù hợp được triển khai theo chính sách và thủ tục của công ty. Các quy trình quản lý hệ thống bao gồm, nhưng không giới hạn ở, khởi động lại/khôi phục, quản lý sự cố, quản lý thay đổi, bảo mật và quản lý hiệu suất.</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10.7.1</w:t>
            </w:r>
          </w:p>
        </w:tc>
        <w:tc>
          <w:tcPr>
            <w:tcW w:type="dxa" w:w="4680"/>
          </w:tcPr>
          <w:p>
            <w:r/>
            <w:r>
              <w:rPr>
                <w:b/>
                <w:i w:val="0"/>
                <w:sz w:val="19"/>
              </w:rPr>
              <w:t>Sao lưu Tệp.</w:t>
            </w:r>
            <w:r>
              <w:rPr>
                <w:b w:val="0"/>
                <w:i w:val="0"/>
                <w:sz w:val="19"/>
              </w:rPr>
              <w:t xml:space="preserve"> Các tệp dữ liệu, chương trình và phần mềm hệ thống của máy tính và viễn thông phải được sao lưu thường xuyên để đảm bảo hoạt động kinh doanh liên tục trong trường hợp phần cứng, phần mềm hoặc ứng dụng gặp sự cố. Quá trình sao lưu đặc biệt quan trọng đối với những nhân viên sử dụng thiết bị cá nhân. </w:t>
            </w:r>
            <w:r>
              <w:rPr>
                <w:b/>
                <w:i w:val="0"/>
                <w:sz w:val="19"/>
              </w:rPr>
              <w:t>Tham khảo rủi ro: G-1, G-2</w:t>
            </w:r>
          </w:p>
        </w:tc>
      </w:tr>
      <w:tr>
        <w:tc>
          <w:tcPr>
            <w:tcW w:type="dxa" w:w="4680"/>
          </w:tcPr>
          <w:p>
            <w:r/>
            <w:r>
              <w:rPr>
                <w:b w:val="0"/>
                <w:i w:val="0"/>
                <w:sz w:val="19"/>
              </w:rPr>
              <w:t>10.7.2</w:t>
            </w:r>
          </w:p>
        </w:tc>
        <w:tc>
          <w:tcPr>
            <w:tcW w:type="dxa" w:w="4680"/>
          </w:tcPr>
          <w:p>
            <w:r/>
            <w:r>
              <w:rPr>
                <w:b/>
                <w:i w:val="0"/>
                <w:sz w:val="19"/>
              </w:rPr>
              <w:t>Lưu giữ Tệp theo Yêu cầu Pháp lý hoặc Luật định.</w:t>
            </w:r>
            <w:r>
              <w:rPr>
                <w:b w:val="0"/>
                <w:i w:val="0"/>
                <w:sz w:val="19"/>
              </w:rPr>
              <w:t xml:space="preserve"> Chủ sở hữu ứng dụng có trách nhiệm xác định các tệp dữ liệu phải được lưu giữ để tuân thủ các yêu cầu pháp lý hoặc luật định, chẳng hạn như cơ quan thuế hoặc cơ quan ký kết hợp đồng chính phủ. Thường được gọi là tệp lịch sử, chúng nên được lưu trữ ở một địa điểm không chịu cùng mối nguy hiểm như địa điểm xử lý. </w:t>
            </w:r>
            <w:r>
              <w:rPr>
                <w:b/>
                <w:i w:val="0"/>
                <w:sz w:val="19"/>
              </w:rPr>
              <w:t>Tham khảo rủi ro: G-3, G-4</w:t>
            </w:r>
          </w:p>
        </w:tc>
      </w:tr>
      <w:tr>
        <w:tc>
          <w:tcPr>
            <w:tcW w:type="dxa" w:w="4680"/>
          </w:tcPr>
          <w:p>
            <w:r/>
            <w:r>
              <w:rPr>
                <w:b w:val="0"/>
                <w:i w:val="0"/>
                <w:sz w:val="19"/>
              </w:rPr>
              <w:t>10.7.3</w:t>
            </w:r>
          </w:p>
        </w:tc>
        <w:tc>
          <w:tcPr>
            <w:tcW w:type="dxa" w:w="4680"/>
          </w:tcPr>
          <w:p>
            <w:r/>
            <w:r>
              <w:rPr>
                <w:b/>
                <w:i w:val="0"/>
                <w:sz w:val="19"/>
              </w:rPr>
              <w:t>Tệp Sao lưu Được Quản lý.</w:t>
            </w:r>
            <w:r>
              <w:rPr>
                <w:b w:val="0"/>
                <w:i w:val="0"/>
                <w:sz w:val="19"/>
              </w:rPr>
              <w:t xml:space="preserve"> Chủ sở hữu/nhà cung cấp dịch vụ của hệ thống máy tính và viễn thông phải duy trì một hệ thống để ghi lại và theo dõi các tệp dữ liệu sao lưu và các phương tiện ngoại tuyến khác cho mục đích khôi phục và lưu giữ. </w:t>
            </w:r>
            <w:r>
              <w:rPr>
                <w:b/>
                <w:i w:val="0"/>
                <w:sz w:val="19"/>
              </w:rPr>
              <w:t>Tham khảo rủi ro: G-5</w:t>
            </w:r>
          </w:p>
        </w:tc>
      </w:tr>
      <w:tr>
        <w:tc>
          <w:tcPr>
            <w:tcW w:type="dxa" w:w="4680"/>
          </w:tcPr>
          <w:p>
            <w:r/>
            <w:r>
              <w:rPr>
                <w:b w:val="0"/>
                <w:i w:val="0"/>
                <w:sz w:val="19"/>
              </w:rPr>
              <w:t>10.7.4</w:t>
            </w:r>
          </w:p>
        </w:tc>
        <w:tc>
          <w:tcPr>
            <w:tcW w:type="dxa" w:w="4680"/>
          </w:tcPr>
          <w:p>
            <w:r/>
            <w:r>
              <w:rPr>
                <w:b/>
                <w:i w:val="0"/>
                <w:sz w:val="19"/>
              </w:rPr>
              <w:t>Truy cập Được Ủy quyền.</w:t>
            </w:r>
            <w:r>
              <w:rPr>
                <w:b w:val="0"/>
                <w:i w:val="0"/>
                <w:sz w:val="19"/>
              </w:rPr>
              <w:t xml:space="preserve"> Thông tin sao lưu sản xuất, bao gồm các chương trình, tệp dữ liệu và tài liệu hỗ trợ, phải được lưu trữ một cách an toàn để đảm bảo rằng nhân viên không được ủy quyền không thể truy cập (ví dụ: phòng máy tính hoặc viễn thông được bảo vệ vật lý, tủ đựng hồ sơ bảo mật được phê duyệt, và các đơn vị gắn tường, v.v.) </w:t>
            </w:r>
            <w:r>
              <w:rPr>
                <w:b/>
                <w:i w:val="0"/>
                <w:sz w:val="19"/>
              </w:rPr>
              <w:t>Tham khảo rủi ro: G-6</w:t>
            </w:r>
          </w:p>
        </w:tc>
      </w:tr>
      <w:tr>
        <w:tc>
          <w:tcPr>
            <w:tcW w:type="dxa" w:w="4680"/>
          </w:tcPr>
          <w:p>
            <w:r/>
            <w:r>
              <w:rPr>
                <w:b w:val="0"/>
                <w:i w:val="0"/>
                <w:sz w:val="19"/>
              </w:rPr>
              <w:t>10.7.5</w:t>
            </w:r>
          </w:p>
        </w:tc>
        <w:tc>
          <w:tcPr>
            <w:tcW w:type="dxa" w:w="4680"/>
          </w:tcPr>
          <w:p>
            <w:r/>
            <w:r>
              <w:rPr>
                <w:b/>
                <w:i w:val="0"/>
                <w:sz w:val="19"/>
              </w:rPr>
              <w:t>Chính sách và Quy trình Được Ghi chép.</w:t>
            </w:r>
            <w:r>
              <w:rPr>
                <w:b w:val="0"/>
                <w:i w:val="0"/>
                <w:sz w:val="19"/>
              </w:rPr>
              <w:t xml:space="preserve"> Nhân viên chịu trách nhiệm về hoạt động máy tính và viễn thông phải chuẩn bị và duy trì các chính sách, quy trình và hướng dẫn về vận hành thiết bị máy tính hoặc viễn thông và phần mềm hệ thống. </w:t>
            </w:r>
            <w:r>
              <w:rPr>
                <w:b/>
                <w:i w:val="0"/>
                <w:sz w:val="19"/>
              </w:rPr>
              <w:t>Tham khảo rủi ro: G-7</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G-1</w:t>
            </w:r>
          </w:p>
        </w:tc>
        <w:tc>
          <w:tcPr>
            <w:tcW w:type="dxa" w:w="4680"/>
          </w:tcPr>
          <w:p>
            <w:r/>
            <w:r>
              <w:rPr>
                <w:b w:val="0"/>
                <w:i w:val="0"/>
                <w:sz w:val="19"/>
              </w:rPr>
              <w:t>Các chương trình và tài sản thông tin có thể bị mất do lỗi phần cứng, phần mềm, ứng dụng hoặc lỗi con người.</w:t>
            </w:r>
          </w:p>
        </w:tc>
      </w:tr>
      <w:tr>
        <w:tc>
          <w:tcPr>
            <w:tcW w:type="dxa" w:w="4680"/>
          </w:tcPr>
          <w:p>
            <w:r/>
            <w:r>
              <w:rPr>
                <w:b w:val="0"/>
                <w:i w:val="0"/>
                <w:sz w:val="19"/>
              </w:rPr>
              <w:t>G-2</w:t>
            </w:r>
          </w:p>
        </w:tc>
        <w:tc>
          <w:tcPr>
            <w:tcW w:type="dxa" w:w="4680"/>
          </w:tcPr>
          <w:p>
            <w:r/>
            <w:r>
              <w:rPr>
                <w:b w:val="0"/>
                <w:i w:val="0"/>
                <w:sz w:val="19"/>
              </w:rPr>
              <w:t>Các tệp có thể bị mất, bị xóa hoặc bị sử dụng lại do nhầm lẫn.</w:t>
            </w:r>
          </w:p>
        </w:tc>
      </w:tr>
      <w:tr>
        <w:tc>
          <w:tcPr>
            <w:tcW w:type="dxa" w:w="4680"/>
          </w:tcPr>
          <w:p>
            <w:r/>
            <w:r>
              <w:rPr>
                <w:b w:val="0"/>
                <w:i w:val="0"/>
                <w:sz w:val="19"/>
              </w:rPr>
              <w:t>G-3</w:t>
            </w:r>
          </w:p>
        </w:tc>
        <w:tc>
          <w:tcPr>
            <w:tcW w:type="dxa" w:w="4680"/>
          </w:tcPr>
          <w:p>
            <w:r/>
            <w:r>
              <w:rPr>
                <w:b w:val="0"/>
                <w:i w:val="0"/>
                <w:sz w:val="19"/>
              </w:rPr>
              <w:t>Các tệp dữ liệu kinh doanh (tệp lịch sử) có thể không được lưu trữ đúng theo chính sách quản lý hồ sơ và có thể khiến công ty bị phạt tiền và chịu các hình phạt.</w:t>
            </w:r>
          </w:p>
        </w:tc>
      </w:tr>
      <w:tr>
        <w:tc>
          <w:tcPr>
            <w:tcW w:type="dxa" w:w="4680"/>
          </w:tcPr>
          <w:p>
            <w:r/>
            <w:r>
              <w:rPr>
                <w:b w:val="0"/>
                <w:i w:val="0"/>
                <w:sz w:val="19"/>
              </w:rPr>
              <w:t>G-4</w:t>
            </w:r>
          </w:p>
        </w:tc>
        <w:tc>
          <w:tcPr>
            <w:tcW w:type="dxa" w:w="4680"/>
          </w:tcPr>
          <w:p>
            <w:r/>
            <w:r>
              <w:rPr>
                <w:b w:val="0"/>
                <w:i w:val="0"/>
                <w:sz w:val="19"/>
              </w:rPr>
              <w:t>Các tệp dữ liệu được lưu trữ để đáp ứng yêu cầu pháp lý có thể không chứa dữ liệu đầy đủ và chính xác.</w:t>
            </w:r>
          </w:p>
        </w:tc>
      </w:tr>
      <w:tr>
        <w:tc>
          <w:tcPr>
            <w:tcW w:type="dxa" w:w="4680"/>
          </w:tcPr>
          <w:p>
            <w:r/>
            <w:r>
              <w:rPr>
                <w:b w:val="0"/>
                <w:i w:val="0"/>
                <w:sz w:val="19"/>
              </w:rPr>
              <w:t>G-5</w:t>
            </w:r>
          </w:p>
        </w:tc>
        <w:tc>
          <w:tcPr>
            <w:tcW w:type="dxa" w:w="4680"/>
          </w:tcPr>
          <w:p>
            <w:r/>
            <w:r>
              <w:rPr>
                <w:b w:val="0"/>
                <w:i w:val="0"/>
                <w:sz w:val="19"/>
              </w:rPr>
              <w:t>Các bản sao lưu có thể không sẵn có và các quy trình có thể không hoạt động như ban lãnh đạo mong muốn.</w:t>
            </w:r>
          </w:p>
        </w:tc>
      </w:tr>
      <w:tr>
        <w:tc>
          <w:tcPr>
            <w:tcW w:type="dxa" w:w="4680"/>
          </w:tcPr>
          <w:p>
            <w:r/>
            <w:r>
              <w:rPr>
                <w:b w:val="0"/>
                <w:i w:val="0"/>
                <w:sz w:val="19"/>
              </w:rPr>
              <w:t>G-6</w:t>
            </w:r>
          </w:p>
        </w:tc>
        <w:tc>
          <w:tcPr>
            <w:tcW w:type="dxa" w:w="4680"/>
          </w:tcPr>
          <w:p>
            <w:r/>
            <w:r>
              <w:rPr>
                <w:b w:val="0"/>
                <w:i w:val="0"/>
                <w:sz w:val="19"/>
              </w:rPr>
              <w:t>Khả năng tiếp tục hoạt động kinh doanh trong trường hợp xảy ra tình huống khẩn cấp có thể bị suy giảm.</w:t>
            </w:r>
          </w:p>
        </w:tc>
      </w:tr>
      <w:tr>
        <w:tc>
          <w:tcPr>
            <w:tcW w:type="dxa" w:w="4680"/>
          </w:tcPr>
          <w:p>
            <w:r/>
            <w:r>
              <w:rPr>
                <w:b w:val="0"/>
                <w:i w:val="0"/>
                <w:sz w:val="19"/>
              </w:rPr>
              <w:t>G-7</w:t>
            </w:r>
          </w:p>
        </w:tc>
        <w:tc>
          <w:tcPr>
            <w:tcW w:type="dxa" w:w="4680"/>
          </w:tcPr>
          <w:p>
            <w:r/>
            <w:r>
              <w:rPr>
                <w:b w:val="0"/>
                <w:i w:val="0"/>
                <w:sz w:val="19"/>
              </w:rPr>
              <w:t>Các quy trình vận hành và kiểm soát hệ thống máy tính có thể không được truyền đạt hoặc thực hiện đúng cách.</w:t>
            </w:r>
          </w:p>
        </w:tc>
      </w:tr>
    </w:tbl>
    <w:p>
      <w:pPr>
        <w:spacing w:after="0"/>
      </w:pPr>
    </w:p>
    <w:p>
      <w:pPr>
        <w:pStyle w:val="Heading2"/>
      </w:pPr>
      <w:r>
        <w:rPr>
          <w:rFonts w:ascii="Calibri" w:hAnsi="Calibri"/>
          <w:b/>
          <w:i w:val="0"/>
          <w:sz w:val="32"/>
        </w:rPr>
        <w:t>10.8 KHÔI PHỤC SAU THẢM HỌA VÀ LẬP KẾ HOẠCH ỨNG PHÓ KINH DOANH</w:t>
      </w:r>
    </w:p>
    <w:p>
      <w:pPr>
        <w:pStyle w:val="Heading3"/>
      </w:pPr>
      <w:r>
        <w:rPr>
          <w:rFonts w:ascii="Calibri" w:hAnsi="Calibri"/>
          <w:b/>
          <w:i w:val="0"/>
          <w:sz w:val="26"/>
        </w:rPr>
        <w:t>Giới thiệu</w:t>
      </w:r>
    </w:p>
    <w:p>
      <w:pPr>
        <w:spacing w:after="80"/>
      </w:pPr>
      <w:r>
        <w:rPr>
          <w:b w:val="0"/>
          <w:i w:val="0"/>
        </w:rPr>
        <w:t>Mục tiêu của việc khôi phục sau thảm họa và lập kế hoạch ứng phó cho hệ thống máy tính và viễn thông là đảm bảo sự tiếp diễn của các ứng dụng trong công ty trong trường hợp xảy ra gián đoạn xử lý máy tính ngoài dự kiến như lỗi vận hành hoặc thảm họa tại chỗ làm phá hủy hoặc ngăn cản truy cập vào thiết bị máy tính hoặc viễn thông, dữ liệu và phần mềm.</w:t>
      </w:r>
    </w:p>
    <w:p>
      <w:pPr>
        <w:spacing w:after="80"/>
      </w:pPr>
      <w:r>
        <w:rPr>
          <w:b w:val="0"/>
          <w:i w:val="0"/>
        </w:rPr>
        <w:t>Kế hoạch khôi phục không nhằm mục đích tái tạo một môi trường kinh doanh bình thường, mà nhằm giảm thiểu tổn thất tiềm tàng về tài sản và giữ cho công ty tiếp tục hoạt động. Thông qua hành động quyết đoán, dựa trên kế hoạch trù liệu trước, các gián đoạn và tổn thất kinh doanh có thể được giảm thiểu. Các ứng dụng duy nhất có thể chọn được miễn trừ khỏi tiêu chuẩn này là những ứng dụng có thể được tái tạo từ thông tin hiện có khác, không được đưa vào một ứng dụng trọng yếu, hoặc sẽ phát sinh chi phí tuân theo các tiêu chuẩn này nhiều hơn giá trị của ứng dụng đối với công ty trong trường hợp bị thảm họa phá hủy.</w:t>
      </w:r>
    </w:p>
    <w:p>
      <w:pPr>
        <w:pStyle w:val="Heading3"/>
      </w:pPr>
      <w:r>
        <w:rPr>
          <w:rFonts w:ascii="Calibri" w:hAnsi="Calibri"/>
          <w:b/>
          <w:i w:val="0"/>
          <w:sz w:val="26"/>
        </w:rPr>
        <w:t>Định nghĩa</w:t>
      </w:r>
    </w:p>
    <w:p>
      <w:pPr>
        <w:spacing w:after="80"/>
        <w:ind w:left="360"/>
      </w:pPr>
      <w:r>
        <w:rPr>
          <w:b/>
          <w:i w:val="0"/>
        </w:rPr>
        <w:t>Kế hoạch đảm bảo hoạt động kinh doanh liên tục</w:t>
      </w:r>
      <w:r>
        <w:rPr>
          <w:b w:val="0"/>
          <w:i w:val="0"/>
        </w:rPr>
        <w:t xml:space="preserve"> —Kế hoạch đảm bảo hoạt động kinh doanh liên tục được các tổ chức thuộc mọi quy mô sử dụng để trình bày chi tiết cách thức hoạt động kinh doanh sẽ tiếp diễn nếu xảy ra thảm họa hoặc tình huống khẩn cấp. Kế hoạch đảm bảo hoạt động kinh doanh liên tục ghi lại tất cả các chức năng vận hành kinh doanh theo phòng ban, thông tin nhân viên và nhà cung cấp, hàng tồn kho, quy trình khẩn cấp và kế hoạch sau thảm họa. Ngoài ra, các ứng dụng trọng yếu đối với hoạt động thành công của công ty cần được ưu tiên và thời gian ngừng hoạt động có thể chấp nhận được cần được xác định khi thiết lập kế hoạch đảm bảo hoạt động kinh doanh liên tục. Quá trình lập kế hoạch đảm bảo hoạt động kinh doanh liên tục nên bao gồm các bước cần thiết nếu xảy ra gián đoạn kinh doanh hoặc thảm họa. Kế hoạch nên xem xét các tác động đến quy trình kinh doanh và IT cũng như các ứng dụng được duy trì trên đám mây. Bảng sau đây là một ví dụ về kế hoạch đảm bảo hoạt động kinh doanh liên tục.</w:t>
      </w:r>
    </w:p>
    <w:tbl>
      <w:tblPr>
        <w:tblStyle w:val="TableGrid"/>
        <w:tblW w:type="auto" w:w="0"/>
        <w:tblLook w:firstColumn="1" w:firstRow="1" w:lastColumn="0" w:lastRow="0" w:noHBand="0" w:noVBand="1" w:val="04A0"/>
      </w:tblPr>
      <w:tblGrid>
        <w:gridCol w:w="9360"/>
      </w:tblGrid>
      <w:tr>
        <w:tc>
          <w:tcPr>
            <w:tcW w:type="dxa" w:w="9360"/>
          </w:tcPr>
          <w:p>
            <w:r/>
            <w:r>
              <w:rPr>
                <w:b/>
                <w:i w:val="0"/>
                <w:sz w:val="19"/>
              </w:rPr>
              <w:t>Cân nhắc về Quy trình Kinh doanh (Con người)</w:t>
            </w:r>
          </w:p>
        </w:tc>
      </w:tr>
      <w:tr>
        <w:tc>
          <w:tcPr>
            <w:tcW w:type="dxa" w:w="9360"/>
          </w:tcPr>
          <w:p>
            <w:r/>
            <w:r>
              <w:rPr>
                <w:b w:val="0"/>
                <w:i w:val="0"/>
                <w:sz w:val="19"/>
              </w:rPr>
              <w:t xml:space="preserve">1.  </w:t>
            </w:r>
            <w:r>
              <w:rPr>
                <w:b/>
                <w:i w:val="0"/>
                <w:sz w:val="19"/>
              </w:rPr>
              <w:t>Ghi lại thông tin của nhân sự chủ chốt nội bộ cùng người dự phòng.</w:t>
            </w:r>
            <w:r>
              <w:rPr>
                <w:b w:val="0"/>
                <w:i w:val="0"/>
                <w:sz w:val="19"/>
              </w:rPr>
              <w:t xml:space="preserve"> Đây là những nhân viên chủ chốt không thể thiếu đối với hoạt động của các quy trình kinh doanh trong doanh nghiệp bạn. Người kiểm soát (controller) nên xác định các nhân viên chủ chốt theo từng quy trình kinh doanh. Việc xác định người dự phòng cũng rất quan trọng. </w:t>
            </w:r>
            <w:r>
              <w:br/>
            </w:r>
            <w:r>
              <w:rPr>
                <w:b w:val="0"/>
                <w:i w:val="0"/>
                <w:sz w:val="19"/>
              </w:rPr>
              <w:t>• Hãy cân nhắc những chức danh công việc nào thực sự cần thiết mỗi ngày. Nghĩ xem ai sẽ đảm nhận những vị trí đó khi người giữ vị trí chính đi nghỉ phép.</w:t>
            </w:r>
            <w:r>
              <w:br/>
            </w:r>
            <w:r>
              <w:rPr>
                <w:b w:val="0"/>
                <w:i w:val="0"/>
                <w:sz w:val="19"/>
              </w:rPr>
              <w:t>• Lập danh sách tất cả những cá nhân đó kèm đầy đủ thông tin liên hệ, bao gồm điện thoại công ty, điện thoại nhà, điện thoại di động, máy nhắn tin, email công ty, email cá nhân và bất kỳ cách nào khác có thể liên lạc với họ trong tình huống khẩn cấp khi các kênh liên lạc thông thường có thể không khả dụng.</w:t>
            </w:r>
            <w:r>
              <w:br/>
            </w:r>
            <w:r>
              <w:rPr>
                <w:b w:val="0"/>
                <w:i w:val="0"/>
                <w:sz w:val="19"/>
              </w:rPr>
              <w:t xml:space="preserve">2.  </w:t>
            </w:r>
            <w:r>
              <w:rPr>
                <w:b/>
                <w:i w:val="0"/>
                <w:sz w:val="19"/>
              </w:rPr>
              <w:t>Xác định ai có thể làm việc từ xa.</w:t>
            </w:r>
            <w:r>
              <w:rPr>
                <w:b w:val="0"/>
                <w:i w:val="0"/>
                <w:sz w:val="19"/>
              </w:rPr>
              <w:t xml:space="preserve"> Một số người trong công ty bạn hoàn toàn có thể điều hành công việc từ văn phòng tại nhà.</w:t>
            </w:r>
            <w:r>
              <w:br/>
            </w:r>
            <w:r>
              <w:rPr>
                <w:b w:val="0"/>
                <w:i w:val="0"/>
                <w:sz w:val="19"/>
              </w:rPr>
              <w:t xml:space="preserve">3.  </w:t>
            </w:r>
            <w:r>
              <w:rPr>
                <w:b/>
                <w:i w:val="0"/>
                <w:sz w:val="19"/>
              </w:rPr>
              <w:t>Ghi lại thông tin liên hệ bên ngoài</w:t>
            </w:r>
            <w:r>
              <w:rPr>
                <w:b w:val="0"/>
                <w:i w:val="0"/>
                <w:sz w:val="19"/>
              </w:rPr>
              <w:t xml:space="preserve"> . Nếu bạn có các nhà cung cấp, nhà thầu hoặc chuyên gia tư vấn quan trọng, hãy lập một danh sách liên hệ riêng bao gồm mô tả về công ty (hoặc cá nhân) đó và mọi thông tin thực sự quan trọng khác về họ, kể cả thông tin liên hệ của nhân sự chủ chốt. Đưa vào danh sách những người như luật sư, nhân viên ngân hàng, chuyên gia tư vấn IT và nhà cung cấp giải pháp. Danh sách này nên bao gồm bất kỳ ai mà bạn có thể cần gọi để hỗ trợ các vấn đề vận hành khác nhau.</w:t>
            </w:r>
            <w:r>
              <w:br/>
            </w:r>
            <w:r>
              <w:rPr>
                <w:b w:val="0"/>
                <w:i w:val="0"/>
                <w:sz w:val="19"/>
              </w:rPr>
              <w:t xml:space="preserve">4.  </w:t>
            </w:r>
            <w:r>
              <w:rPr>
                <w:b/>
                <w:i w:val="0"/>
                <w:sz w:val="19"/>
              </w:rPr>
              <w:t>Ghi lại thông tin về thiết bị quan trọng và quyền truy cập Hệ thống ERP.</w:t>
            </w:r>
            <w:r>
              <w:rPr>
                <w:b w:val="0"/>
                <w:i w:val="0"/>
                <w:sz w:val="19"/>
              </w:rPr>
              <w:t xml:space="preserve"> Xác định xem máy photocopy và máy fax có cần thiết không nếu không thể truy cập ERP.</w:t>
            </w:r>
            <w:r>
              <w:br/>
            </w:r>
            <w:r>
              <w:rPr>
                <w:b w:val="0"/>
                <w:i w:val="0"/>
                <w:sz w:val="19"/>
              </w:rPr>
              <w:t xml:space="preserve">5.  </w:t>
            </w:r>
            <w:r>
              <w:rPr>
                <w:b/>
                <w:i w:val="0"/>
                <w:sz w:val="19"/>
              </w:rPr>
              <w:t>Xác định các tệp và tài liệu quan trọng.</w:t>
            </w:r>
            <w:r>
              <w:rPr>
                <w:b w:val="0"/>
                <w:i w:val="0"/>
                <w:sz w:val="19"/>
              </w:rPr>
              <w:t xml:space="preserve"> Bao gồm điều lệ thành lập công ty, các hợp đồng nhà cung cấp chủ chốt về tài chính, hóa đơn tiện ích, thông tin ngân hàng, tài liệu nhân sự quan trọng, giấy thuê tòa nhà và tờ khai thuế. </w:t>
            </w:r>
            <w:r>
              <w:rPr>
                <w:b/>
                <w:i w:val="0"/>
                <w:sz w:val="19"/>
              </w:rPr>
              <w:t>Điểm mấu chốt</w:t>
            </w:r>
            <w:r>
              <w:rPr>
                <w:b w:val="0"/>
                <w:i w:val="0"/>
                <w:sz w:val="19"/>
              </w:rPr>
              <w:t xml:space="preserve"> : Hãy nhớ các yêu cầu của HIPAA và GDPR.</w:t>
            </w:r>
            <w:r>
              <w:br/>
            </w:r>
            <w:r>
              <w:rPr>
                <w:b w:val="0"/>
                <w:i w:val="0"/>
                <w:sz w:val="19"/>
              </w:rPr>
              <w:t xml:space="preserve">6.  </w:t>
            </w:r>
            <w:r>
              <w:rPr>
                <w:b/>
                <w:i w:val="0"/>
                <w:sz w:val="19"/>
              </w:rPr>
              <w:t>Xác định địa điểm dự phòng nếu cần.</w:t>
            </w:r>
            <w:r>
              <w:rPr>
                <w:b w:val="0"/>
                <w:i w:val="0"/>
                <w:sz w:val="19"/>
              </w:rPr>
              <w:t xml:space="preserve"> Đây là nơi bạn sẽ điều hành công việc trong khi văn phòng chính không khả dụng. Tùy tình huống, đó có thể là một khách sạn hoặc làm việc từ xa có thể là phương án khả thi.</w:t>
            </w:r>
            <w:r>
              <w:br/>
            </w:r>
            <w:r>
              <w:rPr>
                <w:b w:val="0"/>
                <w:i w:val="0"/>
                <w:sz w:val="19"/>
              </w:rPr>
              <w:t xml:space="preserve">7.  </w:t>
            </w:r>
            <w:r>
              <w:rPr>
                <w:b/>
                <w:i w:val="0"/>
                <w:sz w:val="19"/>
              </w:rPr>
              <w:t>Soạn một bản “Hướng dẫn thực hiện.”</w:t>
            </w:r>
            <w:r>
              <w:rPr>
                <w:b w:val="0"/>
                <w:i w:val="0"/>
                <w:sz w:val="19"/>
              </w:rPr>
              <w:t xml:space="preserve"> Bản này nên bao gồm hướng dẫn từng bước về việc cần làm gì, ai nên làm và làm như thế nào. Các chính sách và quy trình của tổ chức bạn rất quan trọng. Các công ty đại chúng có thể dùng tài liệu Sarbanes-Oxley. Đảm bảo rằng các quy trình kinh doanh được giao cho một người “phụ trách” như gợi ý ở bước 1. Các quy trình then chốt nên được ưu tiên.</w:t>
            </w:r>
            <w:r>
              <w:br/>
            </w:r>
            <w:r>
              <w:rPr>
                <w:b w:val="0"/>
                <w:i w:val="0"/>
                <w:sz w:val="19"/>
              </w:rPr>
              <w:t xml:space="preserve">8.  </w:t>
            </w:r>
            <w:r>
              <w:rPr>
                <w:b/>
                <w:i w:val="0"/>
                <w:sz w:val="19"/>
              </w:rPr>
              <w:t>Tập hợp thông tin lại với nhau.</w:t>
            </w:r>
            <w:r>
              <w:rPr>
                <w:b w:val="0"/>
                <w:i w:val="0"/>
                <w:sz w:val="19"/>
              </w:rPr>
              <w:t xml:space="preserve"> Một kế hoạch duy trì hoạt động kinh doanh sẽ vô dụng nếu mọi thành phần nằm rải rác khắp công ty. Mỗi quy trình kinh doanh then chốt nên có một thư mục điện tử (và bản sao lưu) chứa toàn bộ thông tin then chốt. Nếu cần, có thể in nội dung của thư mục ra.</w:t>
            </w:r>
            <w:r>
              <w:br/>
            </w:r>
            <w:r>
              <w:rPr>
                <w:b w:val="0"/>
                <w:i w:val="0"/>
                <w:sz w:val="19"/>
              </w:rPr>
              <w:t xml:space="preserve">9.  </w:t>
            </w:r>
            <w:r>
              <w:rPr>
                <w:b/>
                <w:i w:val="0"/>
                <w:sz w:val="19"/>
              </w:rPr>
              <w:t>Truyền đạt.</w:t>
            </w:r>
            <w:r>
              <w:rPr>
                <w:b w:val="0"/>
                <w:i w:val="0"/>
                <w:sz w:val="19"/>
              </w:rPr>
              <w:t xml:space="preserve"> Đảm bảo mọi người trong công ty đều nắm rõ kế hoạch duy trì hoạt động kinh doanh. Tổ chức các lớp đào tạo bắt buộc cho từng nhân viên. Định kỳ lên lịch các buổi ôn tập lại.</w:t>
            </w:r>
            <w:r>
              <w:br/>
            </w:r>
            <w:r>
              <w:rPr>
                <w:b w:val="0"/>
                <w:i w:val="0"/>
                <w:sz w:val="19"/>
              </w:rPr>
              <w:t xml:space="preserve">10.  </w:t>
            </w:r>
            <w:r>
              <w:rPr>
                <w:b/>
                <w:i w:val="0"/>
                <w:sz w:val="19"/>
              </w:rPr>
              <w:t>Kiểm thử kế hoạch.</w:t>
            </w:r>
            <w:r>
              <w:rPr>
                <w:b w:val="0"/>
                <w:i w:val="0"/>
                <w:sz w:val="19"/>
              </w:rPr>
              <w:t xml:space="preserve"> Mọi kế hoạch duy trì hoạt động kinh doanh đều nên được kiểm thử để đảm bảo tất cả các thành phần then chốt đã được xác định và kế hoạch có thể thực thi được. Định kỳ lên lịch ôn tập lại các đợt kiểm thử kế hoạch.</w:t>
            </w:r>
            <w:r>
              <w:br/>
            </w:r>
            <w:r>
              <w:rPr>
                <w:b w:val="0"/>
                <w:i w:val="0"/>
                <w:sz w:val="19"/>
              </w:rPr>
              <w:t xml:space="preserve">11.  </w:t>
            </w:r>
            <w:r>
              <w:rPr>
                <w:b/>
                <w:i w:val="0"/>
                <w:sz w:val="19"/>
              </w:rPr>
              <w:t>Lên kế hoạch cập nhật kế hoạch.</w:t>
            </w:r>
            <w:r>
              <w:rPr>
                <w:b w:val="0"/>
                <w:i w:val="0"/>
                <w:sz w:val="19"/>
              </w:rPr>
              <w:t xml:space="preserve"> Dù kế hoạch của bạn tốt đến đâu và dù đợt kiểm thử diễn ra suôn sẻ đến mấy, vẫn có khả năng xảy ra những sự kiện nằm ngoài kế hoạch của bạn.</w:t>
            </w:r>
            <w:r>
              <w:br/>
            </w:r>
            <w:r>
              <w:rPr>
                <w:b w:val="0"/>
                <w:i w:val="0"/>
                <w:sz w:val="19"/>
              </w:rPr>
              <w:t xml:space="preserve">12.  </w:t>
            </w:r>
            <w:r>
              <w:rPr>
                <w:b/>
                <w:i w:val="0"/>
                <w:sz w:val="19"/>
              </w:rPr>
              <w:t>Xem xét và chỉnh sửa</w:t>
            </w:r>
            <w:r>
              <w:rPr>
                <w:b w:val="0"/>
                <w:i w:val="0"/>
                <w:sz w:val="19"/>
              </w:rPr>
              <w:t xml:space="preserve"> . Mỗi khi có điều gì thay đổi, hãy cập nhật tất cả các bản sao của kế hoạch duy trì hoạt động kinh doanh và khởi động lại quy trình truyền đạt kế hoạch. Với tất cả những thay đổi trong công nghệ, điều quan trọng là phải đảm bảo kế hoạch không bao giờ bị lỗi thời.</w:t>
            </w:r>
            <w:r>
              <w:br/>
            </w:r>
            <w:r>
              <w:rPr>
                <w:b w:val="0"/>
                <w:i w:val="0"/>
                <w:sz w:val="19"/>
              </w:rPr>
              <w:t xml:space="preserve">13.  </w:t>
            </w:r>
            <w:r>
              <w:rPr>
                <w:b/>
                <w:i w:val="0"/>
                <w:sz w:val="19"/>
              </w:rPr>
              <w:t>Cân nhắc các bước tiếp theo.</w:t>
            </w:r>
            <w:r>
              <w:rPr>
                <w:b w:val="0"/>
                <w:i w:val="0"/>
                <w:sz w:val="19"/>
              </w:rPr>
              <w:t xml:space="preserve"> Hãy cân nhắc các bước tiếp theo để phục hồi và xác định những gì cần xảy ra để đưa tổ chức, khu vực, quốc gia hoặc bộ phận hoạt động trở lại.</w:t>
            </w:r>
          </w:p>
        </w:tc>
      </w:tr>
    </w:tbl>
    <w:p>
      <w:pPr>
        <w:spacing w:after="0"/>
      </w:pPr>
    </w:p>
    <w:p>
      <w:pPr>
        <w:spacing w:after="80"/>
        <w:ind w:left="360"/>
      </w:pPr>
      <w:r>
        <w:rPr>
          <w:b/>
          <w:i w:val="0"/>
        </w:rPr>
        <w:t>Lập kế hoạch dự phòng</w:t>
      </w:r>
      <w:r>
        <w:rPr>
          <w:b w:val="0"/>
          <w:i w:val="0"/>
        </w:rPr>
        <w:t xml:space="preserve"> —Các kế hoạch và quy trình được sắp đặt trước mà các chức năng kinh doanh quan trọng sẽ thực hiện để đảm bảo duy trì hoạt động kinh doanh cho đến khi các cơ sở máy tính và viễn thông được tái lập sau thảm họa. Bảng dưới đây cung cấp các bước quy trình để xây dựng kế hoạch duy trì hoạt động kinh doanh IT và có thể được dùng xuyên suốt quá trình lập kế hoạch dự phòng.</w:t>
      </w:r>
    </w:p>
    <w:tbl>
      <w:tblPr>
        <w:tblStyle w:val="TableGrid"/>
        <w:tblW w:type="auto" w:w="0"/>
        <w:tblLook w:firstColumn="1" w:firstRow="1" w:lastColumn="0" w:lastRow="0" w:noHBand="0" w:noVBand="1" w:val="04A0"/>
      </w:tblPr>
      <w:tblGrid>
        <w:gridCol w:w="9360"/>
      </w:tblGrid>
      <w:tr>
        <w:tc>
          <w:tcPr>
            <w:tcW w:type="dxa" w:w="9360"/>
          </w:tcPr>
          <w:p>
            <w:r/>
            <w:r>
              <w:rPr>
                <w:b/>
                <w:i w:val="0"/>
                <w:sz w:val="19"/>
              </w:rPr>
              <w:t>Xây dựng Kế hoạch Duy trì Hoạt động Kinh doanh IT</w:t>
            </w:r>
          </w:p>
        </w:tc>
      </w:tr>
      <w:tr>
        <w:tc>
          <w:tcPr>
            <w:tcW w:type="dxa" w:w="9360"/>
          </w:tcPr>
          <w:p>
            <w:r/>
            <w:r>
              <w:rPr>
                <w:b w:val="0"/>
                <w:i w:val="0"/>
                <w:sz w:val="19"/>
              </w:rPr>
              <w:t xml:space="preserve">1.  </w:t>
            </w:r>
            <w:r>
              <w:rPr>
                <w:b/>
                <w:i w:val="0"/>
                <w:sz w:val="19"/>
              </w:rPr>
              <w:t>Thu thập tất cả tài liệu hạ tầng mạng liên quan</w:t>
            </w:r>
            <w:r>
              <w:rPr>
                <w:b w:val="0"/>
                <w:i w:val="0"/>
                <w:sz w:val="19"/>
              </w:rPr>
              <w:t xml:space="preserve"> , ví dụ sơ đồ mạng, cấu hình thiết bị, cơ sở dữ liệu.</w:t>
            </w:r>
            <w:r>
              <w:br/>
            </w:r>
            <w:r>
              <w:rPr>
                <w:b w:val="0"/>
                <w:i w:val="0"/>
                <w:sz w:val="19"/>
              </w:rPr>
              <w:t xml:space="preserve">2.  </w:t>
            </w:r>
            <w:r>
              <w:rPr>
                <w:b/>
                <w:i w:val="0"/>
                <w:sz w:val="19"/>
              </w:rPr>
              <w:t>Xin các bản sao tài liệu IT hiện có, danh mục ứng dụng và kế hoạch mạng;</w:t>
            </w:r>
            <w:r>
              <w:rPr>
                <w:b w:val="0"/>
                <w:i w:val="0"/>
                <w:sz w:val="19"/>
              </w:rPr>
              <w:t xml:space="preserve"> nếu những thứ này chưa tồn tại, hãy tiếp tục với các bước sau. </w:t>
            </w:r>
            <w:r>
              <w:rPr>
                <w:b w:val="0"/>
                <w:i/>
                <w:sz w:val="19"/>
              </w:rPr>
              <w:t>Lưu ý</w:t>
            </w:r>
            <w:r>
              <w:rPr>
                <w:b w:val="0"/>
                <w:i w:val="0"/>
                <w:sz w:val="19"/>
              </w:rPr>
              <w:t xml:space="preserve"> : Đảm bảo rằng phần mềm dạng dịch vụ (SaaS) hoặc các ứng dụng đám mây cũng được đưa vào kế hoạch duy trì hoạt động của bạn.</w:t>
            </w:r>
            <w:r>
              <w:br/>
            </w:r>
            <w:r>
              <w:rPr>
                <w:b w:val="0"/>
                <w:i w:val="0"/>
                <w:sz w:val="19"/>
              </w:rPr>
              <w:t xml:space="preserve">3.  </w:t>
            </w:r>
            <w:r>
              <w:rPr>
                <w:b/>
                <w:i w:val="0"/>
                <w:sz w:val="19"/>
              </w:rPr>
              <w:t>Xác định những gì ban lãnh đạo coi là mối đe dọa nghiêm trọng nhất</w:t>
            </w:r>
            <w:r>
              <w:rPr>
                <w:b w:val="0"/>
                <w:i w:val="0"/>
                <w:sz w:val="19"/>
              </w:rPr>
              <w:t xml:space="preserve"> đối với hạ tầng IT, ví dụ hỏa hoạn, lỗi con người, mất điện, hỏng hệ thống.</w:t>
            </w:r>
            <w:r>
              <w:br/>
            </w:r>
            <w:r>
              <w:rPr>
                <w:b w:val="0"/>
                <w:i w:val="0"/>
                <w:sz w:val="19"/>
              </w:rPr>
              <w:t xml:space="preserve">4.  </w:t>
            </w:r>
            <w:r>
              <w:rPr>
                <w:b/>
                <w:i w:val="0"/>
                <w:sz w:val="19"/>
              </w:rPr>
              <w:t>Xác định những gì ban lãnh đạo coi là lỗ hổng nghiêm trọng nhất</w:t>
            </w:r>
            <w:r>
              <w:rPr>
                <w:b w:val="0"/>
                <w:i w:val="0"/>
                <w:sz w:val="19"/>
              </w:rPr>
              <w:t xml:space="preserve"> đối với hạ tầng, ví dụ thiếu nguồn điện dự phòng, các bản sao cơ sở dữ liệu lỗi thời.</w:t>
            </w:r>
            <w:r>
              <w:br/>
            </w:r>
            <w:r>
              <w:rPr>
                <w:b w:val="0"/>
                <w:i w:val="0"/>
                <w:sz w:val="19"/>
              </w:rPr>
              <w:t xml:space="preserve">5.  </w:t>
            </w:r>
            <w:r>
              <w:rPr>
                <w:b/>
                <w:i w:val="0"/>
                <w:sz w:val="19"/>
              </w:rPr>
              <w:t>Xem lại lịch sử các lần ngừng hoạt động và gián đoạn trước đây cũng như cách công ty xử lý chúng.</w:t>
            </w:r>
            <w:r>
              <w:rPr>
                <w:b w:val="0"/>
                <w:i w:val="0"/>
                <w:sz w:val="19"/>
              </w:rPr>
              <w:t xml:space="preserve"> </w:t>
            </w:r>
            <w:r>
              <w:br/>
            </w:r>
            <w:r>
              <w:rPr>
                <w:b w:val="0"/>
                <w:i w:val="0"/>
                <w:sz w:val="19"/>
              </w:rPr>
              <w:t xml:space="preserve">6.  </w:t>
            </w:r>
            <w:r>
              <w:rPr>
                <w:b/>
                <w:i w:val="0"/>
                <w:sz w:val="19"/>
              </w:rPr>
              <w:t>Xác định những gì ban lãnh đạo coi là tài sản IT quan trọng nhất.</w:t>
            </w:r>
            <w:r>
              <w:rPr>
                <w:b w:val="0"/>
                <w:i w:val="0"/>
                <w:sz w:val="19"/>
              </w:rPr>
              <w:t xml:space="preserve"> </w:t>
            </w:r>
            <w:r>
              <w:br/>
            </w:r>
            <w:r>
              <w:rPr>
                <w:b w:val="0"/>
                <w:i w:val="0"/>
                <w:sz w:val="19"/>
              </w:rPr>
              <w:t xml:space="preserve">7.  </w:t>
            </w:r>
            <w:r>
              <w:rPr>
                <w:b/>
                <w:i w:val="0"/>
                <w:sz w:val="19"/>
              </w:rPr>
              <w:t>Xác định thời gian ngừng hoạt động tối đa mà ban lãnh đạo có thể chấp nhận nếu các tài sản IT đã xác định không khả dụng</w:t>
            </w:r>
            <w:r>
              <w:rPr>
                <w:b w:val="0"/>
                <w:i w:val="0"/>
                <w:sz w:val="19"/>
              </w:rPr>
              <w:t xml:space="preserve"> .</w:t>
            </w:r>
            <w:r>
              <w:br/>
            </w:r>
            <w:r>
              <w:rPr>
                <w:b w:val="0"/>
                <w:i w:val="0"/>
                <w:sz w:val="19"/>
              </w:rPr>
              <w:t xml:space="preserve">8.  </w:t>
            </w:r>
            <w:r>
              <w:rPr>
                <w:b/>
                <w:i w:val="0"/>
                <w:sz w:val="19"/>
              </w:rPr>
              <w:t>Xác định các quy trình vận hành hiện đang được dùng để ứng phó với các lần ngừng hoạt động nghiêm trọng.</w:t>
            </w:r>
            <w:r>
              <w:rPr>
                <w:b w:val="0"/>
                <w:i w:val="0"/>
                <w:sz w:val="19"/>
              </w:rPr>
              <w:t xml:space="preserve"> </w:t>
            </w:r>
            <w:r>
              <w:br/>
            </w:r>
            <w:r>
              <w:rPr>
                <w:b w:val="0"/>
                <w:i w:val="0"/>
                <w:sz w:val="19"/>
              </w:rPr>
              <w:t xml:space="preserve">9.  </w:t>
            </w:r>
            <w:r>
              <w:rPr>
                <w:b/>
                <w:i w:val="0"/>
                <w:sz w:val="19"/>
              </w:rPr>
              <w:t>Xác định lần cuối các quy trình này được kiểm thử để xác nhận tính phù hợp của chúng.</w:t>
            </w:r>
            <w:r>
              <w:rPr>
                <w:b w:val="0"/>
                <w:i w:val="0"/>
                <w:sz w:val="19"/>
              </w:rPr>
              <w:t xml:space="preserve"> </w:t>
            </w:r>
            <w:r>
              <w:br/>
            </w:r>
            <w:r>
              <w:rPr>
                <w:b w:val="0"/>
                <w:i w:val="0"/>
                <w:sz w:val="19"/>
              </w:rPr>
              <w:t xml:space="preserve">10.  </w:t>
            </w:r>
            <w:r>
              <w:rPr>
                <w:b/>
                <w:i w:val="0"/>
                <w:sz w:val="19"/>
              </w:rPr>
              <w:t>Xác định (các) đội ứng phó khẩn cấp</w:t>
            </w:r>
            <w:r>
              <w:rPr>
                <w:b w:val="0"/>
                <w:i w:val="0"/>
                <w:sz w:val="19"/>
              </w:rPr>
              <w:t xml:space="preserve"> cho mọi gián đoạn hạ tầng IT nghiêm trọng; xác định mức độ đào tạo của họ với các hệ thống quan trọng, đặc biệt là trong tình huống khẩn cấp.</w:t>
            </w:r>
            <w:r>
              <w:br/>
            </w:r>
            <w:r>
              <w:rPr>
                <w:b w:val="0"/>
                <w:i w:val="0"/>
                <w:sz w:val="19"/>
              </w:rPr>
              <w:t xml:space="preserve">11.  </w:t>
            </w:r>
            <w:r>
              <w:rPr>
                <w:b/>
                <w:i w:val="0"/>
                <w:sz w:val="19"/>
              </w:rPr>
              <w:t>Xác định năng lực ứng phó khẩn cấp của nhà cung cấp;</w:t>
            </w:r>
            <w:r>
              <w:rPr>
                <w:b w:val="0"/>
                <w:i w:val="0"/>
                <w:sz w:val="19"/>
              </w:rPr>
              <w:t xml:space="preserve"> liệu chúng đã từng được dùng chưa; nếu đã từng, chúng có hoạt động đúng không; công ty đang trả bao nhiêu cho các dịch vụ này; tình trạng hợp đồng dịch vụ; có SLA hay không và nó có được dùng không.</w:t>
            </w:r>
            <w:r>
              <w:br/>
            </w:r>
            <w:r>
              <w:rPr>
                <w:b w:val="0"/>
                <w:i w:val="0"/>
                <w:sz w:val="19"/>
              </w:rPr>
              <w:t xml:space="preserve">12.  </w:t>
            </w:r>
            <w:r>
              <w:rPr>
                <w:b/>
                <w:i w:val="0"/>
                <w:sz w:val="19"/>
              </w:rPr>
              <w:t>Tổng hợp kết quả từ tất cả các đánh giá thành một báo cáo phân tích khoảng trống</w:t>
            </w:r>
            <w:r>
              <w:rPr>
                <w:b w:val="0"/>
                <w:i w:val="0"/>
                <w:sz w:val="19"/>
              </w:rPr>
              <w:t xml:space="preserve"> nhằm xác định những gì hiện đang được làm so với những gì nên được làm, kèm khuyến nghị về cách đạt được mức độ sẵn sàng cần thiết và mức đầu tư ước tính cần có.</w:t>
            </w:r>
            <w:r>
              <w:br/>
            </w:r>
            <w:r>
              <w:rPr>
                <w:b w:val="0"/>
                <w:i w:val="0"/>
                <w:sz w:val="19"/>
              </w:rPr>
              <w:t xml:space="preserve">13.  </w:t>
            </w:r>
            <w:r>
              <w:rPr>
                <w:b/>
                <w:i w:val="0"/>
                <w:sz w:val="19"/>
              </w:rPr>
              <w:t>Để ban lãnh đạo xem xét báo cáo và đồng thuận về các hành động được khuyến nghị.</w:t>
            </w:r>
            <w:r>
              <w:rPr>
                <w:b w:val="0"/>
                <w:i w:val="0"/>
                <w:sz w:val="19"/>
              </w:rPr>
              <w:t xml:space="preserve"> </w:t>
            </w:r>
            <w:r>
              <w:br/>
            </w:r>
            <w:r>
              <w:rPr>
                <w:b w:val="0"/>
                <w:i w:val="0"/>
                <w:sz w:val="19"/>
              </w:rPr>
              <w:t xml:space="preserve">14.  </w:t>
            </w:r>
            <w:r>
              <w:rPr>
                <w:b/>
                <w:i w:val="0"/>
                <w:sz w:val="19"/>
              </w:rPr>
              <w:t>Chuẩn bị (các) kế hoạch khôi phục sau thảm họa IT để giải quyết các hệ thống và mạng IT quan trọng.</w:t>
            </w:r>
            <w:r>
              <w:rPr>
                <w:b w:val="0"/>
                <w:i w:val="0"/>
                <w:sz w:val="19"/>
              </w:rPr>
              <w:t xml:space="preserve"> </w:t>
            </w:r>
            <w:r>
              <w:br/>
            </w:r>
            <w:r>
              <w:rPr>
                <w:b w:val="0"/>
                <w:i w:val="0"/>
                <w:sz w:val="19"/>
              </w:rPr>
              <w:t xml:space="preserve">15.  </w:t>
            </w:r>
            <w:r>
              <w:rPr>
                <w:b/>
                <w:i w:val="0"/>
                <w:sz w:val="19"/>
              </w:rPr>
              <w:t>Tiến hành kiểm thử các kế hoạch và tài sản khôi phục hệ thống để xác nhận hoạt động của chúng.</w:t>
            </w:r>
            <w:r>
              <w:rPr>
                <w:b w:val="0"/>
                <w:i w:val="0"/>
                <w:sz w:val="19"/>
              </w:rPr>
              <w:t xml:space="preserve"> </w:t>
            </w:r>
            <w:r>
              <w:br/>
            </w:r>
            <w:r>
              <w:rPr>
                <w:b w:val="0"/>
                <w:i w:val="0"/>
                <w:sz w:val="19"/>
              </w:rPr>
              <w:t xml:space="preserve">16.  </w:t>
            </w:r>
            <w:r>
              <w:rPr>
                <w:b/>
                <w:i w:val="0"/>
                <w:sz w:val="19"/>
              </w:rPr>
              <w:t>Cập nhật tài liệu kế hoạch để phản ánh các thay đổi.</w:t>
            </w:r>
            <w:r>
              <w:rPr>
                <w:b w:val="0"/>
                <w:i w:val="0"/>
                <w:sz w:val="19"/>
              </w:rPr>
              <w:t xml:space="preserve"> </w:t>
            </w:r>
            <w:r>
              <w:br/>
            </w:r>
            <w:r>
              <w:rPr>
                <w:b w:val="0"/>
                <w:i w:val="0"/>
                <w:sz w:val="19"/>
              </w:rPr>
              <w:t xml:space="preserve">17.  </w:t>
            </w:r>
            <w:r>
              <w:rPr>
                <w:b/>
                <w:i w:val="0"/>
                <w:sz w:val="19"/>
              </w:rPr>
              <w:t>Lên lịch xem xét/đánh giá tiếp theo đối với năng lực của kế hoạch duy trì hoạt động kinh doanh IT.</w:t>
            </w:r>
          </w:p>
        </w:tc>
      </w:tr>
    </w:tbl>
    <w:p>
      <w:pPr>
        <w:spacing w:after="0"/>
      </w:pPr>
    </w:p>
    <w:p>
      <w:pPr>
        <w:spacing w:after="80"/>
        <w:ind w:left="360"/>
      </w:pPr>
      <w:r>
        <w:rPr>
          <w:b/>
          <w:i w:val="0"/>
        </w:rPr>
        <w:t>Ứng dụng quan trọng</w:t>
      </w:r>
      <w:r>
        <w:rPr>
          <w:b w:val="0"/>
          <w:i w:val="0"/>
        </w:rPr>
        <w:t xml:space="preserve"> —Ứng dụng kinh doanh quan trọng là ứng dụng mà công ty phải có để hỗ trợ các hoạt động doanh thu chính, việc vận chuyển hàng hóa đến khách hàng, một quy trình sản xuất mang tính chiến lược, hoặc để hoàn thành các nghĩa vụ theo hợp đồng hay quy định pháp lý. Ngoài ra, tính khả dụng của ứng dụng được ban lãnh đạo coi là thiết yếu đối với sự vận hành liên tục của hoạt động kinh doanh công ty. Ví dụ về các ứng dụng quan trọng: hỗ trợ dịch vụ khách hàng, nhập đơn hàng, kiểm soát tồn kho, hoạch định nguồn lực sản xuất, mua hàng, kiểm soát kho bãi, đảm bảo chất lượng và tài chính.</w:t>
      </w:r>
    </w:p>
    <w:p>
      <w:pPr>
        <w:spacing w:after="80"/>
        <w:ind w:left="360"/>
      </w:pPr>
      <w:r>
        <w:rPr>
          <w:b/>
          <w:i w:val="0"/>
        </w:rPr>
        <w:t>Thảm họa</w:t>
      </w:r>
      <w:r>
        <w:rPr>
          <w:b w:val="0"/>
          <w:i w:val="0"/>
        </w:rPr>
        <w:t xml:space="preserve"> —Việc mất các nguồn lực máy tính hoặc viễn thông đến mức các biện pháp khôi phục thông thường không thể khôi phục mức dịch vụ bình thường trong vòng 24 giờ, gây ảnh hưởng đáng kể đến hoạt động kinh doanh của công ty.</w:t>
      </w:r>
    </w:p>
    <w:p>
      <w:pPr>
        <w:spacing w:after="80"/>
        <w:ind w:left="360"/>
      </w:pPr>
      <w:r>
        <w:rPr>
          <w:b/>
          <w:i w:val="0"/>
        </w:rPr>
        <w:t>Khôi phục</w:t>
      </w:r>
      <w:r>
        <w:rPr>
          <w:b w:val="0"/>
          <w:i w:val="0"/>
        </w:rPr>
        <w:t xml:space="preserve"> —Việc tái lập các dịch vụ máy tính và viễn thông sau một lần ngừng hoạt động do thảm họa gây ra.</w:t>
      </w:r>
    </w:p>
    <w:p>
      <w:pPr>
        <w:spacing w:after="80"/>
        <w:ind w:left="360"/>
      </w:pPr>
      <w:r>
        <w:rPr>
          <w:b/>
          <w:i w:val="0"/>
        </w:rPr>
        <w:t>Khôi phục sau Thảm họa và các Nhà cung cấp Đám mây</w:t>
      </w:r>
      <w:r>
        <w:rPr>
          <w:b w:val="0"/>
          <w:i w:val="0"/>
        </w:rPr>
        <w:t xml:space="preserve"> —Niel Nickolaisen, giám đốc công nghệ tại O.C. Tanner Company, đưa ra những cân nhắc sau đây để xây dựng kế hoạch khôi phục sau thảm họa với các nhà cung cấp đám mây. O.C. Tanner Company, một công ty về ghi nhận nhân viên, phát triển các giải pháp ghi nhận và khen thưởng nhân viên mang tính chiến lược giúp mọi người hoàn thành và trân trọng những công việc tuyệt vời cho các công ty Fortune 100 trên toàn thế giới. Ông khuyến nghị những cân nhắc sau đây.</w:t>
      </w:r>
    </w:p>
    <w:p>
      <w:pPr>
        <w:spacing w:after="80"/>
        <w:ind w:left="720"/>
      </w:pPr>
      <w:r>
        <w:t xml:space="preserve">1. </w:t>
      </w:r>
      <w:r>
        <w:rPr>
          <w:b/>
          <w:i w:val="0"/>
        </w:rPr>
        <w:t>Nhà cung cấp phải phân tầng các dịch vụ được cung cấp thành các nhóm khác nhau.</w:t>
      </w:r>
      <w:r>
        <w:rPr>
          <w:b w:val="0"/>
          <w:i w:val="0"/>
        </w:rPr>
        <w:t xml:space="preserve"> Một số dịch vụ quan trọng đến mức cần có dự phòng. Các ứng dụng khác tuy quan trọng nhưng cần khôi phục thay vì dự phòng.</w:t>
      </w:r>
    </w:p>
    <w:p>
      <w:pPr>
        <w:spacing w:after="80"/>
        <w:ind w:left="720"/>
      </w:pPr>
      <w:r>
        <w:t xml:space="preserve">2. </w:t>
      </w:r>
      <w:r>
        <w:rPr>
          <w:b/>
          <w:i w:val="0"/>
        </w:rPr>
        <w:t>Nhà cung cấp đám mây phải có khả năng kiểm thử việc khôi phục sau thảm họa.</w:t>
      </w:r>
      <w:r>
        <w:rPr>
          <w:b w:val="0"/>
          <w:i w:val="0"/>
        </w:rPr>
        <w:t xml:space="preserve"> Ngay cả khi doanh nghiệp chọn không tự thực hiện các đợt kiểm thử như vậy, vẫn nên có bằng chứng sẵn có rằng nhà cung cấp đã từng làm điều đó cho người khác.</w:t>
      </w:r>
    </w:p>
    <w:p>
      <w:pPr>
        <w:spacing w:after="80"/>
        <w:ind w:left="720"/>
      </w:pPr>
      <w:r>
        <w:t xml:space="preserve">3. </w:t>
      </w:r>
      <w:r>
        <w:rPr>
          <w:b/>
          <w:i w:val="0"/>
        </w:rPr>
        <w:t>Nhà cung cấp đám mây phải chứng minh không có điểm hỏng đơn lẻ nào.</w:t>
      </w:r>
      <w:r>
        <w:rPr>
          <w:b w:val="0"/>
          <w:i w:val="0"/>
        </w:rPr>
        <w:t xml:space="preserve"> Nhà cung cấp nên có một quy trình khôi phục mà thực chất tương đương với việc sao lưu lên chính máy chủ đó. Và như một thông lệ tốt nhất được khuyến nghị, nhà cung cấp nên tuân theo cùng các danh mục kiểm tra và chuẩn mực kiểm soát nội bộ như được khuyến nghị trong tài liệu này.</w:t>
      </w:r>
    </w:p>
    <w:p>
      <w:pPr>
        <w:spacing w:after="80"/>
        <w:ind w:left="720"/>
      </w:pPr>
      <w:r>
        <w:t xml:space="preserve">4. </w:t>
      </w:r>
      <w:r>
        <w:rPr>
          <w:b/>
          <w:i w:val="0"/>
        </w:rPr>
        <w:t>Nhà cung cấp đám mây phải có năng lực tài chính vững vàng.</w:t>
      </w:r>
      <w:r>
        <w:rPr>
          <w:b w:val="0"/>
          <w:i w:val="0"/>
        </w:rPr>
        <w:t xml:space="preserve"> </w:t>
      </w:r>
      <w:r>
        <w:rPr>
          <w:b/>
          <w:i w:val="0"/>
        </w:rPr>
        <w:t>Đánh giá Hoạt động Thiết yếu</w:t>
      </w:r>
      <w:r>
        <w:rPr>
          <w:b w:val="0"/>
          <w:i w:val="0"/>
        </w:rPr>
        <w:t xml:space="preserve"> —Một quy trình cần thiết để xác định những chức năng kinh doanh và ứng dụng hỗ trợ nào là quan trọng để công ty tiếp tục điều hành hoạt động kinh doanh trong trường hợp xảy ra thảm họa.</w:t>
      </w:r>
    </w:p>
    <w:p>
      <w:pPr>
        <w:pStyle w:val="Heading3"/>
      </w:pPr>
      <w:r>
        <w:rPr>
          <w:rFonts w:ascii="Calibri" w:hAnsi="Calibri"/>
          <w:b/>
          <w:i w:val="0"/>
          <w:sz w:val="26"/>
        </w:rPr>
        <w:t>Chuẩn mực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10.8.1</w:t>
            </w:r>
          </w:p>
        </w:tc>
        <w:tc>
          <w:tcPr>
            <w:tcW w:type="dxa" w:w="4680"/>
          </w:tcPr>
          <w:p>
            <w:r/>
            <w:r>
              <w:rPr>
                <w:b w:val="0"/>
                <w:i w:val="0"/>
                <w:sz w:val="19"/>
              </w:rPr>
              <w:t>Ưu tiên Khôi phục. Chủ sở hữu ứng dụng phải phân loại mức ưu tiên khôi phục cho ứng dụng của mình. Mức ưu tiên này phải được chủ sở hữu/nhà cung cấp dịch vụ thiết bị máy tính và viễn thông sử dụng để xác định trình tự khởi động lại các ứng dụng quan trọng được chọn của công ty và bên thứ ba trong trường hợp xảy ra gián đoạn xử lý ngoài dự kiến. Việc đánh giá mức ưu tiên nên bao gồm những điều sau:</w:t>
            </w:r>
            <w:r>
              <w:br/>
            </w:r>
            <w:r>
              <w:rPr>
                <w:b w:val="0"/>
                <w:i w:val="0"/>
                <w:sz w:val="19"/>
              </w:rPr>
              <w:t>a. Tiến hành đánh giá hoạt động thiết yếu để định lượng rủi ro bằng đơn vị tiền tệ, khối lượng sản xuất hoặc các đơn vị đo lường khác do mất một phần hoặc toàn bộ khả năng xử lý ứng dụng.</w:t>
            </w:r>
            <w:r>
              <w:br/>
            </w:r>
            <w:r>
              <w:rPr>
                <w:b w:val="0"/>
                <w:i w:val="0"/>
                <w:sz w:val="19"/>
              </w:rPr>
              <w:t>b. Đánh giá khoảng thời gian dẫn (lead time) giữa việc mất khả năng xử lý ứng dụng và tác động tiêu cực lên hoạt động của công ty như một phần của việc xác định thời gian ngừng hoạt động có thể chấp nhận được.</w:t>
            </w:r>
            <w:r>
              <w:br/>
            </w:r>
            <w:r>
              <w:rPr>
                <w:b w:val="0"/>
                <w:i w:val="0"/>
                <w:sz w:val="19"/>
              </w:rPr>
              <w:t xml:space="preserve">c. Xin sự đồng thuận từ ban lãnh đạo đơn vị công ty về việc phân loại là quan trọng hay không quan trọng. </w:t>
            </w:r>
            <w:r>
              <w:rPr>
                <w:b/>
                <w:i w:val="0"/>
                <w:sz w:val="19"/>
              </w:rPr>
              <w:t>Tham chiếu các rủi ro: H-1, H-2, H-3</w:t>
            </w:r>
          </w:p>
        </w:tc>
      </w:tr>
      <w:tr>
        <w:tc>
          <w:tcPr>
            <w:tcW w:type="dxa" w:w="4680"/>
          </w:tcPr>
          <w:p>
            <w:r/>
            <w:r>
              <w:rPr>
                <w:b w:val="0"/>
                <w:i w:val="0"/>
                <w:sz w:val="19"/>
              </w:rPr>
              <w:t>10.8.2</w:t>
            </w:r>
          </w:p>
        </w:tc>
        <w:tc>
          <w:tcPr>
            <w:tcW w:type="dxa" w:w="4680"/>
          </w:tcPr>
          <w:p>
            <w:r/>
            <w:r>
              <w:rPr>
                <w:b w:val="0"/>
                <w:i w:val="0"/>
                <w:sz w:val="19"/>
              </w:rPr>
              <w:t>Thiết bị hoặc Cơ sở thay thế. Chủ sở hữu và nhà cung cấp dịch vụ của các hệ thống máy tính và viễn thông, thiết bị và cơ sở vật chất, phối hợp với chủ sở hữu ứng dụng, chịu trách nhiệm sắp xếp thiết bị thay thế và/hoặc cơ sở tính toán thay thế. Kế hoạch khắc phục thảm họa phải bao gồm những điều sau:</w:t>
            </w:r>
            <w:r>
              <w:br/>
            </w:r>
            <w:r>
              <w:rPr>
                <w:b w:val="0"/>
                <w:i w:val="0"/>
                <w:sz w:val="19"/>
              </w:rPr>
              <w:t xml:space="preserve">a. Xác định phương pháp xử lý thay thế hiệu quả nhất cho cả ứng dụng quan trọng và không quan trọng. Các phương án thay thế bao gồm: </w:t>
            </w:r>
            <w:r>
              <w:rPr>
                <w:b/>
                <w:i w:val="0"/>
                <w:sz w:val="19"/>
              </w:rPr>
              <w:t>Tham khảo rủi ro: H-1, H-2, H-3, H-4</w:t>
            </w:r>
            <w:r>
              <w:rPr>
                <w:b w:val="0"/>
                <w:i w:val="0"/>
                <w:sz w:val="19"/>
              </w:rPr>
              <w:t xml:space="preserve"> </w:t>
            </w:r>
            <w:r>
              <w:br/>
            </w:r>
            <w:r>
              <w:rPr>
                <w:b w:val="0"/>
                <w:i w:val="0"/>
                <w:sz w:val="19"/>
              </w:rPr>
              <w:t>• Xử lý tại một địa điểm khác của công ty;</w:t>
            </w:r>
            <w:r>
              <w:br/>
            </w:r>
            <w:r>
              <w:rPr>
                <w:b w:val="0"/>
                <w:i w:val="0"/>
                <w:sz w:val="19"/>
              </w:rPr>
              <w:t>• Giải pháp của bên thứ ba được cung cấp trên điện toán đám mây;</w:t>
            </w:r>
            <w:r>
              <w:br/>
            </w:r>
            <w:r>
              <w:rPr>
                <w:b w:val="0"/>
                <w:i w:val="0"/>
                <w:sz w:val="19"/>
              </w:rPr>
              <w:t>• Xử lý tại một địa điểm có điều kiện được duy trì bởi nhà cung cấp địa điểm khắc phục; hoặc</w:t>
            </w:r>
            <w:r>
              <w:br/>
            </w:r>
            <w:r>
              <w:rPr>
                <w:b w:val="0"/>
                <w:i w:val="0"/>
                <w:sz w:val="19"/>
              </w:rPr>
              <w:t>• Không xử lý ứng dụng cho đến khi thiết bị máy tính và/hoặc địa điểm được khôi phục, thường chỉ dành riêng cho các hoạt động không quan trọng.</w:t>
            </w:r>
            <w:r>
              <w:br/>
            </w:r>
            <w:r>
              <w:rPr>
                <w:b w:val="0"/>
                <w:i w:val="0"/>
                <w:sz w:val="19"/>
              </w:rPr>
              <w:t>b. Một kế hoạch nêu chi tiết các yêu cầu về nhân sự IT và người dùng cũng như các kỹ năng đặc biệt cần thiết trong trường hợp gián đoạn xử lý bất ngờ.</w:t>
            </w:r>
            <w:r>
              <w:br/>
            </w:r>
            <w:r>
              <w:rPr>
                <w:b w:val="0"/>
                <w:i w:val="0"/>
                <w:sz w:val="19"/>
              </w:rPr>
              <w:t xml:space="preserve">c. Lưu trữ các hồ sơ quan trọng thiết yếu của máy tính, biểu mẫu thay thế, vật tư và tài liệu tại một cơ sở lưu trữ ngoài địa điểm. Lưu trữ tại nơi cư trú không phải là phương án thay thế được chấp nhận. Nên ưu tiên sử dụng nhà cung cấp ngoài địa điểm chuyên nghiệp ở khoảng cách từ 4 đến 80 dặm từ nơi lưu trữ dữ liệu gốc. </w:t>
            </w:r>
            <w:r>
              <w:rPr>
                <w:b/>
                <w:i w:val="0"/>
                <w:sz w:val="19"/>
              </w:rPr>
              <w:t>Tham khảo rủi ro: H-1, H-2, H-3, H-4</w:t>
            </w:r>
          </w:p>
        </w:tc>
      </w:tr>
      <w:tr>
        <w:tc>
          <w:tcPr>
            <w:tcW w:type="dxa" w:w="4680"/>
          </w:tcPr>
          <w:p>
            <w:r/>
            <w:r>
              <w:rPr>
                <w:b w:val="0"/>
                <w:i w:val="0"/>
                <w:sz w:val="19"/>
              </w:rPr>
              <w:t>10.8.3</w:t>
            </w:r>
          </w:p>
        </w:tc>
        <w:tc>
          <w:tcPr>
            <w:tcW w:type="dxa" w:w="4680"/>
          </w:tcPr>
          <w:p>
            <w:r/>
            <w:r>
              <w:rPr>
                <w:b/>
                <w:i w:val="0"/>
                <w:sz w:val="19"/>
              </w:rPr>
              <w:t>Tài liệu và Kiểm thử.</w:t>
            </w:r>
            <w:r>
              <w:rPr>
                <w:b w:val="0"/>
                <w:i w:val="0"/>
                <w:sz w:val="19"/>
              </w:rPr>
              <w:t xml:space="preserve"> Các kế hoạch khắc phục thảm họa chi tiết phải được lập tài liệu và kiểm thử ít nhất mỗi năm một lần để đảm bảo có thể thực hiện được việc khắc phục. Khi việc kiểm thử toàn bộ kế hoạch khắc phục thảm họa được xem là không thực tế do điều kiện kinh doanh hoặc chi phí kiểm thử, thì phải xây dựng và triển khai các kế hoạch kiểm thử để kiểm thử từng phần của kế hoạch. Phương án thay thế cho việc kiểm thử toàn bộ là một buổi rà soát trên giấy hoàn chỉnh kèm theo kiểm toán các hồ sơ quan trọng ngoài địa điểm. Chủ sở hữu ứng dụng phải tham gia vào quá trình kiểm thử để chứng nhận khả năng khắc phục hoạt động kinh doanh. </w:t>
            </w:r>
            <w:r>
              <w:rPr>
                <w:b/>
                <w:i w:val="0"/>
                <w:sz w:val="19"/>
              </w:rPr>
              <w:t>Tham khảo rủi ro: H-1, H-4</w:t>
            </w:r>
          </w:p>
        </w:tc>
      </w:tr>
      <w:tr>
        <w:tc>
          <w:tcPr>
            <w:tcW w:type="dxa" w:w="4680"/>
          </w:tcPr>
          <w:p>
            <w:r/>
            <w:r>
              <w:rPr>
                <w:b w:val="0"/>
                <w:i w:val="0"/>
                <w:sz w:val="19"/>
              </w:rPr>
              <w:t>10.8.4</w:t>
            </w:r>
          </w:p>
        </w:tc>
        <w:tc>
          <w:tcPr>
            <w:tcW w:type="dxa" w:w="4680"/>
          </w:tcPr>
          <w:p>
            <w:r/>
            <w:r>
              <w:rPr>
                <w:b/>
                <w:i w:val="0"/>
                <w:sz w:val="19"/>
              </w:rPr>
              <w:t>Đánh giá Hàng năm các Kế hoạch Khắc phục Thảm họa.</w:t>
            </w:r>
            <w:r>
              <w:rPr>
                <w:b w:val="0"/>
                <w:i w:val="0"/>
                <w:sz w:val="19"/>
              </w:rPr>
              <w:t xml:space="preserve"> Chủ sở hữu hệ thống/nhà cung cấp dịch vụ, cùng với chủ sở hữu ứng dụng, phải xem xét và cập nhật kế hoạch khắc phục thảm họa ít nhất mỗi năm một lần hoặc thường xuyên hơn khi có những thay đổi đáng kể đối với ứng dụng, phần cứng hoặc phần mềm. </w:t>
            </w:r>
            <w:r>
              <w:rPr>
                <w:b/>
                <w:i w:val="0"/>
                <w:sz w:val="19"/>
              </w:rPr>
              <w:t>Tham khảo rủi ro: H-4</w:t>
            </w:r>
          </w:p>
        </w:tc>
      </w:tr>
      <w:tr>
        <w:tc>
          <w:tcPr>
            <w:tcW w:type="dxa" w:w="4680"/>
          </w:tcPr>
          <w:p>
            <w:r/>
            <w:r>
              <w:rPr>
                <w:b w:val="0"/>
                <w:i w:val="0"/>
                <w:sz w:val="19"/>
              </w:rPr>
              <w:t>10.8.5</w:t>
            </w:r>
          </w:p>
        </w:tc>
        <w:tc>
          <w:tcPr>
            <w:tcW w:type="dxa" w:w="4680"/>
          </w:tcPr>
          <w:p>
            <w:r/>
            <w:r>
              <w:rPr>
                <w:b w:val="0"/>
                <w:i w:val="0"/>
                <w:sz w:val="19"/>
              </w:rPr>
              <w:t>Mục tiêu Thời gian Khắc phục. Chủ sở hữu/nhà cung cấp dịch vụ chịu trách nhiệm về các sắp xếp khắc phục thảm họa phải chỉ định và công bố cho người dùng thời gian mục tiêu để khắc phục:</w:t>
            </w:r>
            <w:r>
              <w:br/>
            </w:r>
            <w:r>
              <w:rPr>
                <w:b w:val="0"/>
                <w:i w:val="0"/>
                <w:sz w:val="19"/>
              </w:rPr>
              <w:t>a. Các chức năng trọng yếu</w:t>
            </w:r>
            <w:r>
              <w:br/>
            </w:r>
            <w:r>
              <w:rPr>
                <w:b w:val="0"/>
                <w:i w:val="0"/>
                <w:sz w:val="19"/>
              </w:rPr>
              <w:t xml:space="preserve">b. Dịch vụ thông thườngNgười dùng phải được thông báo rằng sẽ không có dịch vụ nào khả dụng trong khoảng thời gian khắc phục cụ thể đó.  </w:t>
            </w:r>
            <w:r>
              <w:rPr>
                <w:b/>
                <w:i w:val="0"/>
                <w:sz w:val="19"/>
              </w:rPr>
              <w:t>Tham khảo rủi ro: H-4</w:t>
            </w:r>
          </w:p>
        </w:tc>
      </w:tr>
      <w:tr>
        <w:tc>
          <w:tcPr>
            <w:tcW w:type="dxa" w:w="4680"/>
          </w:tcPr>
          <w:p>
            <w:r/>
            <w:r>
              <w:rPr>
                <w:b w:val="0"/>
                <w:i w:val="0"/>
                <w:sz w:val="19"/>
              </w:rPr>
              <w:t>10.8.6</w:t>
            </w:r>
          </w:p>
        </w:tc>
        <w:tc>
          <w:tcPr>
            <w:tcW w:type="dxa" w:w="4680"/>
          </w:tcPr>
          <w:p>
            <w:r/>
            <w:r>
              <w:rPr>
                <w:b/>
                <w:i w:val="0"/>
                <w:sz w:val="19"/>
              </w:rPr>
              <w:t>Các Kế hoạch Khắc phục Thảm họa đã được Kiểm thử.</w:t>
            </w:r>
            <w:r>
              <w:rPr>
                <w:b w:val="0"/>
                <w:i w:val="0"/>
                <w:sz w:val="19"/>
              </w:rPr>
              <w:t xml:space="preserve"> Người dùng chịu trách nhiệm xây dựng và kiểm thử các kế hoạch của mình cùng với nhà cung cấp dịch vụ để tiếp tục hoạt động kinh doanh trong suốt thời gian khắc phục. Trong trường hợp kế hoạch là ngừng hoạt động trong giai đoạn này, thực tế đó phải được ghi lại thành tài liệu. </w:t>
            </w:r>
            <w:r>
              <w:rPr>
                <w:b/>
                <w:i w:val="0"/>
                <w:sz w:val="19"/>
              </w:rPr>
              <w:t>Tham khảo rủi ro: H-4</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H-1</w:t>
            </w:r>
          </w:p>
        </w:tc>
        <w:tc>
          <w:tcPr>
            <w:tcW w:type="dxa" w:w="4680"/>
          </w:tcPr>
          <w:p>
            <w:r/>
            <w:r>
              <w:rPr>
                <w:b w:val="0"/>
                <w:i w:val="0"/>
                <w:sz w:val="19"/>
              </w:rPr>
              <w:t>Công ty có thể gặp phải sự gián đoạn nghiêm trọng trong hoạt động kỹ thuật, sản xuất hoặc kinh doanh nếu chủ sở hữu thiết bị máy tính hoặc viễn thông không thể khắc phục trong trường hợp gián đoạn xử lý bất ngờ. Rủi ro này có thể còn trầm trọng hơn do thiếu các hồ sơ quan trọng chính xác tại cơ sở lưu trữ ngoài địa điểm.</w:t>
            </w:r>
          </w:p>
        </w:tc>
      </w:tr>
      <w:tr>
        <w:tc>
          <w:tcPr>
            <w:tcW w:type="dxa" w:w="4680"/>
          </w:tcPr>
          <w:p>
            <w:r/>
            <w:r>
              <w:rPr>
                <w:b w:val="0"/>
                <w:i w:val="0"/>
                <w:sz w:val="19"/>
              </w:rPr>
              <w:t>H-2</w:t>
            </w:r>
          </w:p>
        </w:tc>
        <w:tc>
          <w:tcPr>
            <w:tcW w:type="dxa" w:w="4680"/>
          </w:tcPr>
          <w:p>
            <w:r/>
            <w:r>
              <w:rPr>
                <w:b w:val="0"/>
                <w:i w:val="0"/>
                <w:sz w:val="19"/>
              </w:rPr>
              <w:t>Các hệ thống quan trọng có thể không được khắc phục trước tiên.</w:t>
            </w:r>
          </w:p>
        </w:tc>
      </w:tr>
      <w:tr>
        <w:tc>
          <w:tcPr>
            <w:tcW w:type="dxa" w:w="4680"/>
          </w:tcPr>
          <w:p>
            <w:r/>
            <w:r>
              <w:rPr>
                <w:b w:val="0"/>
                <w:i w:val="0"/>
                <w:sz w:val="19"/>
              </w:rPr>
              <w:t>H-3</w:t>
            </w:r>
          </w:p>
        </w:tc>
        <w:tc>
          <w:tcPr>
            <w:tcW w:type="dxa" w:w="4680"/>
          </w:tcPr>
          <w:p>
            <w:r/>
            <w:r>
              <w:rPr>
                <w:b w:val="0"/>
                <w:i w:val="0"/>
                <w:sz w:val="19"/>
              </w:rPr>
              <w:t>Công ty có thể phải chịu tổn thất tài chính đáng kể và các khoản tiền phạt theo quy định nếu các hệ thống máy tính và thiết bị quan trọng bị hư hỏng nặng hoặc bị phá hủy.</w:t>
            </w:r>
          </w:p>
        </w:tc>
      </w:tr>
      <w:tr>
        <w:tc>
          <w:tcPr>
            <w:tcW w:type="dxa" w:w="4680"/>
          </w:tcPr>
          <w:p>
            <w:r/>
            <w:r>
              <w:rPr>
                <w:b w:val="0"/>
                <w:i w:val="0"/>
                <w:sz w:val="19"/>
              </w:rPr>
              <w:t>H-4</w:t>
            </w:r>
          </w:p>
        </w:tc>
        <w:tc>
          <w:tcPr>
            <w:tcW w:type="dxa" w:w="4680"/>
          </w:tcPr>
          <w:p>
            <w:r/>
            <w:r>
              <w:rPr>
                <w:b w:val="0"/>
                <w:i w:val="0"/>
                <w:sz w:val="19"/>
              </w:rPr>
              <w:t>Các kế hoạch khôi phục sau thảm họa có thể không hiệu quả, điều này sẽ gây nguy hiểm cho khả năng tiếp tục hoạt động kinh doanh của công ty.</w:t>
            </w:r>
          </w:p>
        </w:tc>
      </w:tr>
    </w:tbl>
    <w:p>
      <w:pPr>
        <w:spacing w:after="0"/>
      </w:pPr>
    </w:p>
    <w:p>
      <w:pPr>
        <w:pStyle w:val="Heading2"/>
      </w:pPr>
      <w:r>
        <w:rPr>
          <w:rFonts w:ascii="Calibri" w:hAnsi="Calibri"/>
          <w:b/>
          <w:i w:val="0"/>
          <w:sz w:val="32"/>
        </w:rPr>
        <w:t>10.9 KIỂM SOÁT ĐẦU VÀO</w:t>
      </w:r>
    </w:p>
    <w:p>
      <w:pPr>
        <w:pStyle w:val="Heading3"/>
      </w:pPr>
      <w:r>
        <w:rPr>
          <w:rFonts w:ascii="Calibri" w:hAnsi="Calibri"/>
          <w:b/>
          <w:i w:val="0"/>
          <w:sz w:val="26"/>
        </w:rPr>
        <w:t>Giới thiệu</w:t>
      </w:r>
    </w:p>
    <w:p>
      <w:pPr>
        <w:spacing w:after="80"/>
      </w:pPr>
      <w:r>
        <w:rPr>
          <w:b w:val="0"/>
          <w:i w:val="0"/>
        </w:rPr>
        <w:t>Mục này đề xuất các biện pháp kiểm soát đối với quy trình nhập liệu thủ công vào các hệ thống sản xuất hoặc hệ thống lưu trữ hồ sơ.</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10.9.1</w:t>
            </w:r>
          </w:p>
        </w:tc>
        <w:tc>
          <w:tcPr>
            <w:tcW w:type="dxa" w:w="4680"/>
          </w:tcPr>
          <w:p>
            <w:r/>
            <w:r>
              <w:rPr>
                <w:b/>
                <w:i w:val="0"/>
                <w:sz w:val="19"/>
              </w:rPr>
              <w:t>Đầu vào được ủy quyền.</w:t>
            </w:r>
            <w:r>
              <w:rPr>
                <w:b w:val="0"/>
                <w:i w:val="0"/>
                <w:sz w:val="19"/>
              </w:rPr>
              <w:t xml:space="preserve"> Tất cả các giao dịch được nhập thủ công hoặc qua giao diện đều phải được khởi tạo và ủy quyền đúng cách, đồng thời bao gồm bằng chứng ủy quyền trước khi xử lý. </w:t>
            </w:r>
            <w:r>
              <w:rPr>
                <w:b/>
                <w:i w:val="0"/>
                <w:sz w:val="19"/>
              </w:rPr>
              <w:t>Tham khảo rủi ro: I-1, I-2, I-7</w:t>
            </w:r>
          </w:p>
        </w:tc>
      </w:tr>
      <w:tr>
        <w:tc>
          <w:tcPr>
            <w:tcW w:type="dxa" w:w="4680"/>
          </w:tcPr>
          <w:p>
            <w:r/>
            <w:r>
              <w:rPr>
                <w:b w:val="0"/>
                <w:i w:val="0"/>
                <w:sz w:val="19"/>
              </w:rPr>
              <w:t>10.9.2</w:t>
            </w:r>
          </w:p>
        </w:tc>
        <w:tc>
          <w:tcPr>
            <w:tcW w:type="dxa" w:w="4680"/>
          </w:tcPr>
          <w:p>
            <w:r/>
            <w:r>
              <w:rPr>
                <w:b/>
                <w:i w:val="0"/>
                <w:sz w:val="19"/>
              </w:rPr>
              <w:t>Kiểm tra chỉnh sửa và xác thực đầy đủ.</w:t>
            </w:r>
            <w:r>
              <w:rPr>
                <w:b w:val="0"/>
                <w:i w:val="0"/>
                <w:sz w:val="19"/>
              </w:rPr>
              <w:t xml:space="preserve"> Dữ liệu nhập thủ công hoặc qua giao diện phải được kiểm tra chỉnh sửa và xác thực đầy đủ, bao gồm kiểm tra trùng lặp và tính đầy đủ, để ngăn ngừa hoặc phát hiện lỗi nhập dữ liệu. Tính toàn vẹn tham chiếu phải được đảm bảo trước khi xử lý một giao dịch xóa. </w:t>
            </w:r>
            <w:r>
              <w:rPr>
                <w:b/>
                <w:i w:val="0"/>
                <w:sz w:val="19"/>
              </w:rPr>
              <w:t>Tham khảo rủi ro: I-1, I-2</w:t>
            </w:r>
          </w:p>
        </w:tc>
      </w:tr>
      <w:tr>
        <w:tc>
          <w:tcPr>
            <w:tcW w:type="dxa" w:w="4680"/>
          </w:tcPr>
          <w:p>
            <w:r/>
            <w:r>
              <w:rPr>
                <w:b w:val="0"/>
                <w:i w:val="0"/>
                <w:sz w:val="19"/>
              </w:rPr>
              <w:t>10.9.3</w:t>
            </w:r>
          </w:p>
        </w:tc>
        <w:tc>
          <w:tcPr>
            <w:tcW w:type="dxa" w:w="4680"/>
          </w:tcPr>
          <w:p>
            <w:r/>
            <w:r>
              <w:rPr>
                <w:b/>
                <w:i w:val="0"/>
                <w:sz w:val="19"/>
              </w:rPr>
              <w:t>Lỗi được nhận diện và sửa chữa.</w:t>
            </w:r>
            <w:r>
              <w:rPr>
                <w:b w:val="0"/>
                <w:i w:val="0"/>
                <w:sz w:val="19"/>
              </w:rPr>
              <w:t xml:space="preserve"> Dữ liệu nhập thủ công hoặc qua giao diện bị từ chối bởi các thủ tục kiểm tra chỉnh sửa và xác thực của hệ thống ứng dụng phải được kiểm soát để đảm bảo rằng các lỗi nhập liệu được nhận diện và sửa chữa, và dữ liệu được nhập lại vào hệ thống một cách kịp thời. </w:t>
            </w:r>
            <w:r>
              <w:rPr>
                <w:b/>
                <w:i w:val="0"/>
                <w:sz w:val="19"/>
              </w:rPr>
              <w:t>Tham khảo rủi ro: I-3, I-6</w:t>
            </w:r>
          </w:p>
        </w:tc>
      </w:tr>
      <w:tr>
        <w:tc>
          <w:tcPr>
            <w:tcW w:type="dxa" w:w="4680"/>
          </w:tcPr>
          <w:p>
            <w:r/>
            <w:r>
              <w:rPr>
                <w:b w:val="0"/>
                <w:i w:val="0"/>
                <w:sz w:val="19"/>
              </w:rPr>
              <w:t>10.9.4</w:t>
            </w:r>
          </w:p>
        </w:tc>
        <w:tc>
          <w:tcPr>
            <w:tcW w:type="dxa" w:w="4680"/>
          </w:tcPr>
          <w:p>
            <w:r/>
            <w:r>
              <w:rPr>
                <w:b/>
                <w:i w:val="0"/>
                <w:sz w:val="19"/>
              </w:rPr>
              <w:t>Dấu vết kiểm toán.</w:t>
            </w:r>
            <w:r>
              <w:rPr>
                <w:b w:val="0"/>
                <w:i w:val="0"/>
                <w:sz w:val="19"/>
              </w:rPr>
              <w:t xml:space="preserve"> Các hệ thống ứng dụng phải cung cấp dấu vết kiểm toán từ các giao dịch đầu vào được hệ thống ghi lại đến giao dịch nguồn và người dùng, bên thứ ba hoặc hệ thống khởi tạo. Điều này nên bao gồm nhận dạng của người vận hành, cùng ngày và giờ của mỗi giao dịch. </w:t>
            </w:r>
            <w:r>
              <w:rPr>
                <w:b/>
                <w:i w:val="0"/>
                <w:sz w:val="19"/>
              </w:rPr>
              <w:t>Tham khảo rủi ro: I-4, I-5, I-7</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I-1</w:t>
            </w:r>
          </w:p>
        </w:tc>
        <w:tc>
          <w:tcPr>
            <w:tcW w:type="dxa" w:w="4680"/>
          </w:tcPr>
          <w:p>
            <w:r/>
            <w:r>
              <w:rPr>
                <w:b w:val="0"/>
                <w:i w:val="0"/>
                <w:sz w:val="19"/>
              </w:rPr>
              <w:t>Các giao dịch không được phép có thể bị xử lý.</w:t>
            </w:r>
          </w:p>
        </w:tc>
      </w:tr>
      <w:tr>
        <w:tc>
          <w:tcPr>
            <w:tcW w:type="dxa" w:w="4680"/>
          </w:tcPr>
          <w:p>
            <w:r/>
            <w:r>
              <w:rPr>
                <w:b w:val="0"/>
                <w:i w:val="0"/>
                <w:sz w:val="19"/>
              </w:rPr>
              <w:t>I-2</w:t>
            </w:r>
          </w:p>
        </w:tc>
        <w:tc>
          <w:tcPr>
            <w:tcW w:type="dxa" w:w="4680"/>
          </w:tcPr>
          <w:p>
            <w:r/>
            <w:r>
              <w:rPr>
                <w:b w:val="0"/>
                <w:i w:val="0"/>
                <w:sz w:val="19"/>
              </w:rPr>
              <w:t>Dữ liệu không hợp lệ hoặc bị sai sót có thể bị xử lý và ảnh hưởng đến các quyết định vận hành và/hoặc tài chính.</w:t>
            </w:r>
          </w:p>
        </w:tc>
      </w:tr>
      <w:tr>
        <w:tc>
          <w:tcPr>
            <w:tcW w:type="dxa" w:w="4680"/>
          </w:tcPr>
          <w:p>
            <w:r/>
            <w:r>
              <w:rPr>
                <w:b w:val="0"/>
                <w:i w:val="0"/>
                <w:sz w:val="19"/>
              </w:rPr>
              <w:t>I-3</w:t>
            </w:r>
          </w:p>
        </w:tc>
        <w:tc>
          <w:tcPr>
            <w:tcW w:type="dxa" w:w="4680"/>
          </w:tcPr>
          <w:p>
            <w:r/>
            <w:r>
              <w:rPr>
                <w:b w:val="0"/>
                <w:i w:val="0"/>
                <w:sz w:val="19"/>
              </w:rPr>
              <w:t>Dữ liệu đầu vào bị từ chối có thể không được sửa chữa và nhập lại vào hệ thống, dẫn đến việc xử lý không đầy đủ.</w:t>
            </w:r>
          </w:p>
        </w:tc>
      </w:tr>
      <w:tr>
        <w:tc>
          <w:tcPr>
            <w:tcW w:type="dxa" w:w="4680"/>
          </w:tcPr>
          <w:p>
            <w:r/>
            <w:r>
              <w:rPr>
                <w:b w:val="0"/>
                <w:i w:val="0"/>
                <w:sz w:val="19"/>
              </w:rPr>
              <w:t>I-4</w:t>
            </w:r>
          </w:p>
        </w:tc>
        <w:tc>
          <w:tcPr>
            <w:tcW w:type="dxa" w:w="4680"/>
          </w:tcPr>
          <w:p>
            <w:r/>
            <w:r>
              <w:rPr>
                <w:b w:val="0"/>
                <w:i w:val="0"/>
                <w:sz w:val="19"/>
              </w:rPr>
              <w:t>Có thể không tồn tại một dấu vết kiểm toán (audit trail) đầy đủ để cung cấp phương tiện xác minh các giao dịch đầu vào.</w:t>
            </w:r>
          </w:p>
        </w:tc>
      </w:tr>
      <w:tr>
        <w:tc>
          <w:tcPr>
            <w:tcW w:type="dxa" w:w="4680"/>
          </w:tcPr>
          <w:p>
            <w:r/>
            <w:r>
              <w:rPr>
                <w:b w:val="0"/>
                <w:i w:val="0"/>
                <w:sz w:val="19"/>
              </w:rPr>
              <w:t>I-5</w:t>
            </w:r>
          </w:p>
        </w:tc>
        <w:tc>
          <w:tcPr>
            <w:tcW w:type="dxa" w:w="4680"/>
          </w:tcPr>
          <w:p>
            <w:r/>
            <w:r>
              <w:rPr>
                <w:b w:val="0"/>
                <w:i w:val="0"/>
                <w:sz w:val="19"/>
              </w:rPr>
              <w:t>Nhân sự tài chính và/hoặc vận hành có thể không thể giải thích được hoạt động giao dịch hoặc số dư tài khoản.</w:t>
            </w:r>
          </w:p>
        </w:tc>
      </w:tr>
      <w:tr>
        <w:tc>
          <w:tcPr>
            <w:tcW w:type="dxa" w:w="4680"/>
          </w:tcPr>
          <w:p>
            <w:r/>
            <w:r>
              <w:rPr>
                <w:b w:val="0"/>
                <w:i w:val="0"/>
                <w:sz w:val="19"/>
              </w:rPr>
              <w:t>I-6</w:t>
            </w:r>
          </w:p>
        </w:tc>
        <w:tc>
          <w:tcPr>
            <w:tcW w:type="dxa" w:w="4680"/>
          </w:tcPr>
          <w:p>
            <w:r/>
            <w:r>
              <w:rPr>
                <w:b w:val="0"/>
                <w:i w:val="0"/>
                <w:sz w:val="19"/>
              </w:rPr>
              <w:t>Việc sửa chữa không kịp thời các mục bị từ chối có thể dẫn đến hồ sơ và báo cáo tài chính không chính xác.</w:t>
            </w:r>
          </w:p>
        </w:tc>
      </w:tr>
      <w:tr>
        <w:tc>
          <w:tcPr>
            <w:tcW w:type="dxa" w:w="4680"/>
          </w:tcPr>
          <w:p>
            <w:r/>
            <w:r>
              <w:rPr>
                <w:b w:val="0"/>
                <w:i w:val="0"/>
                <w:sz w:val="19"/>
              </w:rPr>
              <w:t>I-7</w:t>
            </w:r>
          </w:p>
        </w:tc>
        <w:tc>
          <w:tcPr>
            <w:tcW w:type="dxa" w:w="4680"/>
          </w:tcPr>
          <w:p>
            <w:r/>
            <w:r>
              <w:rPr>
                <w:b w:val="0"/>
                <w:i w:val="0"/>
                <w:sz w:val="19"/>
              </w:rPr>
              <w:t>Không thể thiết lập trách nhiệm giải trình cá nhân cho tất cả các giao dịch đầu vào.</w:t>
            </w:r>
          </w:p>
        </w:tc>
      </w:tr>
    </w:tbl>
    <w:p>
      <w:pPr>
        <w:spacing w:after="0"/>
      </w:pPr>
    </w:p>
    <w:p>
      <w:pPr>
        <w:pStyle w:val="Heading2"/>
      </w:pPr>
      <w:r>
        <w:rPr>
          <w:rFonts w:ascii="Calibri" w:hAnsi="Calibri"/>
          <w:b/>
          <w:i w:val="0"/>
          <w:sz w:val="32"/>
        </w:rPr>
        <w:t>10.10 KIỂM SOÁT ĐẦU RA</w:t>
      </w:r>
    </w:p>
    <w:p>
      <w:pPr>
        <w:pStyle w:val="Heading3"/>
      </w:pPr>
      <w:r>
        <w:rPr>
          <w:rFonts w:ascii="Calibri" w:hAnsi="Calibri"/>
          <w:b/>
          <w:i w:val="0"/>
          <w:sz w:val="26"/>
        </w:rPr>
        <w:t>Giới thiệu</w:t>
      </w:r>
    </w:p>
    <w:p>
      <w:pPr>
        <w:spacing w:after="80"/>
      </w:pPr>
      <w:r>
        <w:rPr>
          <w:b w:val="0"/>
          <w:i w:val="0"/>
        </w:rPr>
        <w:t>Phần này đề xuất các biện pháp kiểm soát cho quy trình đầu ra từ các hệ thống sản xuất hoặc hệ thống lưu trữ hồ sơ.</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10.10.1</w:t>
            </w:r>
          </w:p>
        </w:tc>
        <w:tc>
          <w:tcPr>
            <w:tcW w:type="dxa" w:w="4680"/>
          </w:tcPr>
          <w:p>
            <w:r/>
            <w:r>
              <w:rPr>
                <w:b w:val="0"/>
                <w:i w:val="0"/>
                <w:sz w:val="19"/>
              </w:rPr>
              <w:t>Dấu vết Kiểm toán. Các hệ thống ứng dụng phải cung cấp dấu vết kiểm toán (audit trail) để chứng minh:</w:t>
            </w:r>
            <w:r>
              <w:br/>
            </w:r>
            <w:r>
              <w:rPr>
                <w:b w:val="0"/>
                <w:i w:val="0"/>
                <w:sz w:val="19"/>
              </w:rPr>
              <w:t>a. Toàn bộ dữ liệu giao dịch đầu vào, bao gồm dữ liệu nhận được từ các hệ thống khác</w:t>
            </w:r>
            <w:r>
              <w:br/>
            </w:r>
            <w:r>
              <w:rPr>
                <w:b w:val="0"/>
                <w:i w:val="0"/>
                <w:sz w:val="19"/>
              </w:rPr>
              <w:t>b. Các bổ sung hoặc thay đổi đối với dữ liệu tệp chính (master file) hoặc bảng tham chiếu</w:t>
            </w:r>
            <w:r>
              <w:br/>
            </w:r>
            <w:r>
              <w:rPr>
                <w:b w:val="0"/>
                <w:i w:val="0"/>
                <w:sz w:val="19"/>
              </w:rPr>
              <w:t xml:space="preserve">c. Các giao dịch được tạo nội bộ. Thời gian lưu trữ được xác định theo yêu cầu của doanh nghiệp và cơ quan nhà nước. </w:t>
            </w:r>
            <w:r>
              <w:rPr>
                <w:b/>
                <w:i w:val="0"/>
                <w:sz w:val="19"/>
              </w:rPr>
              <w:t>Tham chiếu rủi ro: J-1, J-2, J-3</w:t>
            </w:r>
          </w:p>
        </w:tc>
      </w:tr>
      <w:tr>
        <w:tc>
          <w:tcPr>
            <w:tcW w:type="dxa" w:w="4680"/>
          </w:tcPr>
          <w:p>
            <w:r/>
            <w:r>
              <w:rPr>
                <w:b w:val="0"/>
                <w:i w:val="0"/>
                <w:sz w:val="19"/>
              </w:rPr>
              <w:t>10.10.2</w:t>
            </w:r>
          </w:p>
        </w:tc>
        <w:tc>
          <w:tcPr>
            <w:tcW w:type="dxa" w:w="4680"/>
          </w:tcPr>
          <w:p>
            <w:r/>
            <w:r>
              <w:rPr>
                <w:b/>
                <w:i w:val="0"/>
                <w:sz w:val="19"/>
              </w:rPr>
              <w:t>Giao dịch được Nhận diện.</w:t>
            </w:r>
            <w:r>
              <w:rPr>
                <w:b w:val="0"/>
                <w:i w:val="0"/>
                <w:sz w:val="19"/>
              </w:rPr>
              <w:t xml:space="preserve"> Dấu vết kiểm toán của hệ thống ứng dụng nên cung cấp khả năng nhận diện duy nhất các giao dịch đã xử lý để có thể theo dõi và xác minh chúng xuyên suốt hệ thống. </w:t>
            </w:r>
            <w:r>
              <w:rPr>
                <w:b/>
                <w:i w:val="0"/>
                <w:sz w:val="19"/>
              </w:rPr>
              <w:t>Tham chiếu rủi ro: J-1, J-2, J-3</w:t>
            </w:r>
          </w:p>
        </w:tc>
      </w:tr>
      <w:tr>
        <w:tc>
          <w:tcPr>
            <w:tcW w:type="dxa" w:w="4680"/>
          </w:tcPr>
          <w:p>
            <w:r/>
            <w:r>
              <w:rPr>
                <w:b w:val="0"/>
                <w:i w:val="0"/>
                <w:sz w:val="19"/>
              </w:rPr>
              <w:t>10.10.3</w:t>
            </w:r>
          </w:p>
        </w:tc>
        <w:tc>
          <w:tcPr>
            <w:tcW w:type="dxa" w:w="4680"/>
          </w:tcPr>
          <w:p>
            <w:r/>
            <w:r>
              <w:rPr>
                <w:b/>
                <w:i w:val="0"/>
                <w:sz w:val="19"/>
              </w:rPr>
              <w:t>Tiêu đề Báo cáo.</w:t>
            </w:r>
            <w:r>
              <w:rPr>
                <w:b w:val="0"/>
                <w:i w:val="0"/>
                <w:sz w:val="19"/>
              </w:rPr>
              <w:t xml:space="preserve"> Tất cả các màn hình video trực tuyến hoặc báo cáo phải bao gồm đủ thông tin để xác định nguồn gốc, khoảng thời gian được đề cập, tiêu đề phù hợp, tính đầy đủ và phân loại thông tin của chúng. </w:t>
            </w:r>
            <w:r>
              <w:rPr>
                <w:b/>
                <w:i w:val="0"/>
                <w:sz w:val="19"/>
              </w:rPr>
              <w:t>Tham chiếu rủi ro: J-l, J-2, J-3, J-4</w:t>
            </w:r>
          </w:p>
        </w:tc>
      </w:tr>
      <w:tr>
        <w:tc>
          <w:tcPr>
            <w:tcW w:type="dxa" w:w="4680"/>
          </w:tcPr>
          <w:p>
            <w:r/>
            <w:r>
              <w:rPr>
                <w:b w:val="0"/>
                <w:i w:val="0"/>
                <w:sz w:val="19"/>
              </w:rPr>
              <w:t>10.10.4</w:t>
            </w:r>
          </w:p>
        </w:tc>
        <w:tc>
          <w:tcPr>
            <w:tcW w:type="dxa" w:w="4680"/>
          </w:tcPr>
          <w:p>
            <w:r/>
            <w:r>
              <w:rPr>
                <w:b/>
                <w:i w:val="0"/>
                <w:sz w:val="19"/>
              </w:rPr>
              <w:t>Phân phối Thông tin Hạn chế Nội bộ và Thông tin Mật Nội bộ của Công ty.</w:t>
            </w:r>
            <w:r>
              <w:rPr>
                <w:b w:val="0"/>
                <w:i w:val="0"/>
                <w:sz w:val="19"/>
              </w:rPr>
              <w:t xml:space="preserve"> Chủ sở hữu/nhà cung cấp dịch vụ và người dùng hệ thống ứng dụng phải thiết lập và thực hiện các quy trình để đảm bảo rằng những người nhận báo cáo Hạn chế Nội bộ và Mật Nội bộ của Công ty được thông báo đầy đủ về trách nhiệm cá nhân của họ trong việc thu hồi và bảo mật các tài liệu này một cách kịp thời. </w:t>
            </w:r>
            <w:r>
              <w:rPr>
                <w:b/>
                <w:i w:val="0"/>
                <w:sz w:val="19"/>
              </w:rPr>
              <w:t>Tham chiếu rủi ro: J-4</w:t>
            </w:r>
          </w:p>
        </w:tc>
      </w:tr>
      <w:tr>
        <w:tc>
          <w:tcPr>
            <w:tcW w:type="dxa" w:w="4680"/>
          </w:tcPr>
          <w:p>
            <w:r/>
            <w:r>
              <w:rPr>
                <w:b w:val="0"/>
                <w:i w:val="0"/>
                <w:sz w:val="19"/>
              </w:rPr>
              <w:t>10.10.5</w:t>
            </w:r>
          </w:p>
        </w:tc>
        <w:tc>
          <w:tcPr>
            <w:tcW w:type="dxa" w:w="4680"/>
          </w:tcPr>
          <w:p>
            <w:r/>
            <w:r>
              <w:rPr>
                <w:b/>
                <w:i w:val="0"/>
                <w:sz w:val="19"/>
              </w:rPr>
              <w:t>Quản lý Hồ sơ.</w:t>
            </w:r>
            <w:r>
              <w:rPr>
                <w:b w:val="0"/>
                <w:i w:val="0"/>
                <w:sz w:val="19"/>
              </w:rPr>
              <w:t xml:space="preserve"> Các tệp dữ liệu, phương tiện lưu trữ dữ liệu và báo cáo máy tính chứa thông tin Hạn chế Nội bộ và Mật Nội bộ của Công ty phải được kiểm soát và tiêu hủy đúng cách sau khi hết thời hạn sử dụng. </w:t>
            </w:r>
            <w:r>
              <w:rPr>
                <w:b/>
                <w:i w:val="0"/>
                <w:sz w:val="19"/>
              </w:rPr>
              <w:t>Tham chiếu rủi ro: J-4</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J-1</w:t>
            </w:r>
          </w:p>
        </w:tc>
        <w:tc>
          <w:tcPr>
            <w:tcW w:type="dxa" w:w="4680"/>
          </w:tcPr>
          <w:p>
            <w:r/>
            <w:r>
              <w:rPr>
                <w:b w:val="0"/>
                <w:i w:val="0"/>
                <w:sz w:val="19"/>
              </w:rPr>
              <w:t>Các hệ thống ứng dụng có thể không tạo ra dấu vết kiểm toán, báo cáo đầu vào hoặc báo cáo xử lý đầy đủ để kiểm soát quá trình xử lý.</w:t>
            </w:r>
          </w:p>
        </w:tc>
      </w:tr>
      <w:tr>
        <w:tc>
          <w:tcPr>
            <w:tcW w:type="dxa" w:w="4680"/>
          </w:tcPr>
          <w:p>
            <w:r/>
            <w:r>
              <w:rPr>
                <w:b w:val="0"/>
                <w:i w:val="0"/>
                <w:sz w:val="19"/>
              </w:rPr>
              <w:t>J-2</w:t>
            </w:r>
          </w:p>
        </w:tc>
        <w:tc>
          <w:tcPr>
            <w:tcW w:type="dxa" w:w="4680"/>
          </w:tcPr>
          <w:p>
            <w:r/>
            <w:r>
              <w:rPr>
                <w:b w:val="0"/>
                <w:i w:val="0"/>
                <w:sz w:val="19"/>
              </w:rPr>
              <w:t>Những thay đổi sai sót hoặc không được phép đối với dữ liệu hệ thống có thể không bị phát hiện.</w:t>
            </w:r>
          </w:p>
        </w:tc>
      </w:tr>
      <w:tr>
        <w:tc>
          <w:tcPr>
            <w:tcW w:type="dxa" w:w="4680"/>
          </w:tcPr>
          <w:p>
            <w:r/>
            <w:r>
              <w:rPr>
                <w:b w:val="0"/>
                <w:i w:val="0"/>
                <w:sz w:val="19"/>
              </w:rPr>
              <w:t>J-3</w:t>
            </w:r>
          </w:p>
        </w:tc>
        <w:tc>
          <w:tcPr>
            <w:tcW w:type="dxa" w:w="4680"/>
          </w:tcPr>
          <w:p>
            <w:r/>
            <w:r>
              <w:rPr>
                <w:b w:val="0"/>
                <w:i w:val="0"/>
                <w:sz w:val="19"/>
              </w:rPr>
              <w:t>Các dấu vết kiểm toán hệ thống có thể không được tạo hoặc duy trì đầy đủ.</w:t>
            </w:r>
          </w:p>
        </w:tc>
      </w:tr>
      <w:tr>
        <w:tc>
          <w:tcPr>
            <w:tcW w:type="dxa" w:w="4680"/>
          </w:tcPr>
          <w:p>
            <w:r/>
            <w:r>
              <w:rPr>
                <w:b w:val="0"/>
                <w:i w:val="0"/>
                <w:sz w:val="19"/>
              </w:rPr>
              <w:t>J-4</w:t>
            </w:r>
          </w:p>
        </w:tc>
        <w:tc>
          <w:tcPr>
            <w:tcW w:type="dxa" w:w="4680"/>
          </w:tcPr>
          <w:p>
            <w:r/>
            <w:r>
              <w:rPr>
                <w:b w:val="0"/>
                <w:i w:val="0"/>
                <w:sz w:val="19"/>
              </w:rPr>
              <w:t>Thông tin Hạn chế Nội bộ (Company Restricted) và Mật Nội bộ Công ty (Company Confidential) có thể bị tiết lộ ngoài ý muốn, gây tổn hại cho công ty.</w:t>
            </w:r>
          </w:p>
        </w:tc>
      </w:tr>
    </w:tbl>
    <w:p>
      <w:pPr>
        <w:spacing w:after="0"/>
      </w:pPr>
    </w:p>
    <w:p>
      <w:pPr>
        <w:pStyle w:val="Heading2"/>
      </w:pPr>
      <w:r>
        <w:rPr>
          <w:rFonts w:ascii="Calibri" w:hAnsi="Calibri"/>
          <w:b/>
          <w:i w:val="0"/>
          <w:sz w:val="32"/>
        </w:rPr>
        <w:t>10.11 GIAO DỊCH KHÔNG GIẤY TỜ, THƯƠNG MẠI ĐIỆN TỬ VÀ EDI</w:t>
      </w:r>
    </w:p>
    <w:p>
      <w:pPr>
        <w:pStyle w:val="Heading3"/>
      </w:pPr>
      <w:r>
        <w:rPr>
          <w:rFonts w:ascii="Calibri" w:hAnsi="Calibri"/>
          <w:b/>
          <w:i w:val="0"/>
          <w:sz w:val="26"/>
        </w:rPr>
        <w:t>Giới thiệu</w:t>
      </w:r>
    </w:p>
    <w:p>
      <w:pPr>
        <w:spacing w:after="80"/>
      </w:pPr>
      <w:r>
        <w:rPr>
          <w:b w:val="0"/>
          <w:i w:val="0"/>
        </w:rPr>
        <w:t>Xử lý giao dịch không giấy tờ (paperless transaction processing) đề cập đến một hoạt động kinh doanh trong đó thông tin được xử lý hoặc lưu trữ bằng phương tiện điện tử thay thế cho dấu vết bằng chứng truyền thống trên giấy. Các quy định kiểm soát xử lý không giấy tờ, giống như đối với môi trường xử lý thủ công, liên quan đến tính ủy quyền, tính chính xác, tính đầy đủ và tính kịp thời của các giao dịch. Do đó, tất cả các kiểm soát quy trình kinh doanh và ứng dụng có liên quan đều áp dụng cho mọi phần của quá trình trao đổi điện tử, bao gồm viễn thông (mạng nội bộ và bên ngoài), chuyển đổi, giao diện ứng dụng và quản trị.</w:t>
      </w:r>
    </w:p>
    <w:p>
      <w:pPr>
        <w:pStyle w:val="Heading3"/>
      </w:pPr>
      <w:r>
        <w:rPr>
          <w:rFonts w:ascii="Calibri" w:hAnsi="Calibri"/>
          <w:b/>
          <w:i w:val="0"/>
          <w:sz w:val="26"/>
        </w:rPr>
        <w:t>Định nghĩa</w:t>
      </w:r>
    </w:p>
    <w:p>
      <w:pPr>
        <w:spacing w:after="80"/>
        <w:ind w:left="360"/>
      </w:pPr>
      <w:r>
        <w:rPr>
          <w:b/>
          <w:i w:val="0"/>
        </w:rPr>
        <w:t>EDI</w:t>
      </w:r>
      <w:r>
        <w:rPr>
          <w:b w:val="0"/>
          <w:i w:val="0"/>
        </w:rPr>
        <w:t xml:space="preserve"> —Trao đổi Dữ liệu Điện tử (Electronic Data Interchange - EDI) là việc chuyển dữ liệu có cấu trúc, theo các tiêu chuẩn thông điệp đã thỏa thuận, từ hệ thống máy tính này sang hệ thống máy tính khác, sử dụng phương tiện điện tử.</w:t>
      </w:r>
    </w:p>
    <w:p>
      <w:pPr>
        <w:spacing w:after="80"/>
        <w:ind w:left="360"/>
      </w:pPr>
      <w:r>
        <w:rPr>
          <w:b/>
          <w:i w:val="0"/>
        </w:rPr>
        <w:t>Thương mại Điện tử (Electronic Commerce)</w:t>
      </w:r>
      <w:r>
        <w:rPr>
          <w:b w:val="0"/>
          <w:i w:val="0"/>
        </w:rPr>
        <w:t xml:space="preserve"> —Kinh doanh bằng phương tiện điện tử.</w:t>
      </w:r>
    </w:p>
    <w:p>
      <w:pPr>
        <w:spacing w:after="80"/>
        <w:ind w:left="360"/>
      </w:pPr>
      <w:r>
        <w:rPr>
          <w:b/>
          <w:i w:val="0"/>
        </w:rPr>
        <w:t>Giao dịch Không giấy tờ (Paperless Transactions)</w:t>
      </w:r>
      <w:r>
        <w:rPr>
          <w:b w:val="0"/>
          <w:i w:val="0"/>
        </w:rPr>
        <w:t xml:space="preserve"> —Bất kỳ giao dịch nào được thực hiện qua phương tiện điện tử. Điều này có thể bao gồm nhưng không giới hạn ở fax, điện thoại, trả lời bằng giọng nói, e-mail, v.v.</w:t>
      </w:r>
    </w:p>
    <w:p>
      <w:pPr>
        <w:spacing w:after="80"/>
        <w:ind w:left="360"/>
      </w:pPr>
      <w:r>
        <w:rPr>
          <w:b/>
          <w:i w:val="0"/>
        </w:rPr>
        <w:t>Đối tác Giao dịch (Trading Partner)</w:t>
      </w:r>
      <w:r>
        <w:rPr>
          <w:b w:val="0"/>
          <w:i w:val="0"/>
        </w:rPr>
        <w:t xml:space="preserve"> —Bất kỳ tổ chức nào mà mối quan hệ giao dịch được thiết lập. Đối tác giao dịch có thể là một công ty bên thứ ba hoặc một tổ chức nội bộ trong công ty.</w:t>
      </w:r>
    </w:p>
    <w:p>
      <w:pPr>
        <w:spacing w:after="80"/>
        <w:ind w:left="360"/>
      </w:pPr>
      <w:r>
        <w:rPr>
          <w:b/>
          <w:i w:val="0"/>
        </w:rPr>
        <w:t>Thỏa thuận Đối tác Giao dịch (Trading Partner Agreement - TPA)</w:t>
      </w:r>
      <w:r>
        <w:rPr>
          <w:b w:val="0"/>
          <w:i w:val="0"/>
        </w:rPr>
        <w:t xml:space="preserve"> —Một quy tắc ứng xử đã được thỏa thuận giữa các bên tham gia thương mại điện tử. Nó chỉ áp dụng cho việc trao đổi dữ liệu điện tử chứ không áp dụng cho nội dung của thông điệp được truyền đi. Nó giải quyết các vấn đề về bảo mật, xác minh và xác thực các bên giao tiếp. Mục đích của TPA là cung cấp một bộ quy tắc đặt ra các tiêu chuẩn tối thiểu mà các bên giao dịch điện tử sẽ tuân thủ.</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10.11.1</w:t>
            </w:r>
          </w:p>
        </w:tc>
        <w:tc>
          <w:tcPr>
            <w:tcW w:type="dxa" w:w="4680"/>
          </w:tcPr>
          <w:p>
            <w:r/>
            <w:r>
              <w:rPr>
                <w:b/>
                <w:i w:val="0"/>
                <w:sz w:val="19"/>
              </w:rPr>
              <w:t>Tính toàn vẹn của việc ủy quyền.</w:t>
            </w:r>
            <w:r>
              <w:rPr>
                <w:b w:val="0"/>
                <w:i w:val="0"/>
                <w:sz w:val="19"/>
              </w:rPr>
              <w:t xml:space="preserve"> Các giao dịch không dùng giấy tờ phải bao gồm bằng chứng về việc ủy quyền hợp lệ. Cần có các biện pháp kiểm soát hiệu quả để đảm bảo tính toàn vẹn của tất cả các ủy quyền điện tử. </w:t>
            </w:r>
            <w:r>
              <w:rPr>
                <w:b/>
                <w:i w:val="0"/>
                <w:sz w:val="19"/>
              </w:rPr>
              <w:t>Tham chiếu rủi ro: K-1</w:t>
            </w:r>
          </w:p>
        </w:tc>
      </w:tr>
      <w:tr>
        <w:tc>
          <w:tcPr>
            <w:tcW w:type="dxa" w:w="4680"/>
          </w:tcPr>
          <w:p>
            <w:r/>
            <w:r>
              <w:rPr>
                <w:b w:val="0"/>
                <w:i w:val="0"/>
                <w:sz w:val="19"/>
              </w:rPr>
              <w:t>10.11.2</w:t>
            </w:r>
          </w:p>
        </w:tc>
        <w:tc>
          <w:tcPr>
            <w:tcW w:type="dxa" w:w="4680"/>
          </w:tcPr>
          <w:p>
            <w:r/>
            <w:r>
              <w:rPr>
                <w:b/>
                <w:i w:val="0"/>
                <w:sz w:val="19"/>
              </w:rPr>
              <w:t>Nguồn giao dịch xác thực.</w:t>
            </w:r>
            <w:r>
              <w:rPr>
                <w:b w:val="0"/>
                <w:i w:val="0"/>
                <w:sz w:val="19"/>
              </w:rPr>
              <w:t xml:space="preserve"> Phải có các biện pháp kiểm soát để đảm bảo tính xác thực của nguồn giao dịch. Các yêu cầu về xác thực và bảo mật phải được công ty và các đối tác kinh doanh (nội bộ hoặc bên ngoài) xác định và thống nhất. Chủ sở hữu quy trình nghiệp vụ khởi tạo (các) giao dịch có trách nhiệm phân loại dữ liệu và đảm bảo đáp ứng các yêu cầu kiểm soát và bảo mật phù hợp. </w:t>
            </w:r>
            <w:r>
              <w:rPr>
                <w:b/>
                <w:i w:val="0"/>
                <w:sz w:val="19"/>
              </w:rPr>
              <w:t>Tham chiếu rủi ro: K-2, K-7</w:t>
            </w:r>
          </w:p>
        </w:tc>
      </w:tr>
      <w:tr>
        <w:tc>
          <w:tcPr>
            <w:tcW w:type="dxa" w:w="4680"/>
          </w:tcPr>
          <w:p>
            <w:r/>
            <w:r>
              <w:rPr>
                <w:b w:val="0"/>
                <w:i w:val="0"/>
                <w:sz w:val="19"/>
              </w:rPr>
              <w:t>10.11.3</w:t>
            </w:r>
          </w:p>
        </w:tc>
        <w:tc>
          <w:tcPr>
            <w:tcW w:type="dxa" w:w="4680"/>
          </w:tcPr>
          <w:p>
            <w:r/>
            <w:r>
              <w:rPr>
                <w:b/>
                <w:i w:val="0"/>
                <w:sz w:val="19"/>
              </w:rPr>
              <w:t>Trao đổi giao dịch kịp thời.</w:t>
            </w:r>
            <w:r>
              <w:rPr>
                <w:b w:val="0"/>
                <w:i w:val="0"/>
                <w:sz w:val="19"/>
              </w:rPr>
              <w:t xml:space="preserve"> Nhà cung cấp dịch vụ, dù là bên ngoài hay nội bộ, có trách nhiệm triển khai các biện pháp kiểm soát hệ thống để đảm bảo các giao dịch không dùng giấy tờ được trao đổi trong khoảng thời gian mà chủ sở hữu quy trình nghiệp vụ đã đồng ý. </w:t>
            </w:r>
            <w:r>
              <w:rPr>
                <w:b/>
                <w:i w:val="0"/>
                <w:sz w:val="19"/>
              </w:rPr>
              <w:t>Tham chiếu rủi ro: K-4, K-5, K-8</w:t>
            </w:r>
          </w:p>
        </w:tc>
      </w:tr>
      <w:tr>
        <w:tc>
          <w:tcPr>
            <w:tcW w:type="dxa" w:w="4680"/>
          </w:tcPr>
          <w:p>
            <w:r/>
            <w:r>
              <w:rPr>
                <w:b w:val="0"/>
                <w:i w:val="0"/>
                <w:sz w:val="19"/>
              </w:rPr>
              <w:t>10.11.4</w:t>
            </w:r>
          </w:p>
        </w:tc>
        <w:tc>
          <w:tcPr>
            <w:tcW w:type="dxa" w:w="4680"/>
          </w:tcPr>
          <w:p>
            <w:r/>
            <w:r>
              <w:rPr>
                <w:b/>
                <w:i w:val="0"/>
                <w:sz w:val="19"/>
              </w:rPr>
              <w:t>Tính toàn vẹn và chính xác của giao dịch.</w:t>
            </w:r>
            <w:r>
              <w:rPr>
                <w:b w:val="0"/>
                <w:i w:val="0"/>
                <w:sz w:val="19"/>
              </w:rPr>
              <w:t xml:space="preserve"> Tính toàn vẹn và chính xác của các giao dịch không dùng giấy tờ không được bị thay đổi bởi bên nội bộ hoặc bên thứ ba. </w:t>
            </w:r>
            <w:r>
              <w:rPr>
                <w:b/>
                <w:i w:val="0"/>
                <w:sz w:val="19"/>
              </w:rPr>
              <w:t>Tham chiếu rủi ro: K-2</w:t>
            </w:r>
          </w:p>
        </w:tc>
      </w:tr>
      <w:tr>
        <w:tc>
          <w:tcPr>
            <w:tcW w:type="dxa" w:w="4680"/>
          </w:tcPr>
          <w:p>
            <w:r/>
            <w:r>
              <w:rPr>
                <w:b w:val="0"/>
                <w:i w:val="0"/>
                <w:sz w:val="19"/>
              </w:rPr>
              <w:t>10.11.5</w:t>
            </w:r>
          </w:p>
        </w:tc>
        <w:tc>
          <w:tcPr>
            <w:tcW w:type="dxa" w:w="4680"/>
          </w:tcPr>
          <w:p>
            <w:r/>
            <w:r>
              <w:rPr>
                <w:b/>
                <w:i w:val="0"/>
                <w:sz w:val="19"/>
              </w:rPr>
              <w:t>Tính toàn vẹn của giao dịch và dấu vết kiểm toán.</w:t>
            </w:r>
            <w:r>
              <w:rPr>
                <w:b w:val="0"/>
                <w:i w:val="0"/>
                <w:sz w:val="19"/>
              </w:rPr>
              <w:t xml:space="preserve"> Mỗi thành phần trong hệ thống xử lý không dùng giấy tờ, từ nhập liệu thủ công và vận hành máy tính đến chỉnh sửa ứng dụng và bảo mật hệ thống, đều phải bao gồm các biện pháp kiểm soát cần thiết để đảm bảo tính toàn vẹn của giao dịch. Ngoài ra, phải có đầy đủ dấu vết kiểm toán tại các điểm then chốt trên đường truyền để cung cấp sự xác minh về tính toàn vẹn và bảo mật đó. </w:t>
            </w:r>
            <w:r>
              <w:rPr>
                <w:b/>
                <w:i w:val="0"/>
                <w:sz w:val="19"/>
              </w:rPr>
              <w:t>Tham chiếu rủi ro: K-2</w:t>
            </w:r>
          </w:p>
        </w:tc>
      </w:tr>
      <w:tr>
        <w:tc>
          <w:tcPr>
            <w:tcW w:type="dxa" w:w="4680"/>
          </w:tcPr>
          <w:p>
            <w:r/>
            <w:r>
              <w:rPr>
                <w:b w:val="0"/>
                <w:i w:val="0"/>
                <w:sz w:val="19"/>
              </w:rPr>
              <w:t>10.11.6</w:t>
            </w:r>
          </w:p>
        </w:tc>
        <w:tc>
          <w:tcPr>
            <w:tcW w:type="dxa" w:w="4680"/>
          </w:tcPr>
          <w:p>
            <w:r/>
            <w:r>
              <w:rPr>
                <w:b/>
                <w:i w:val="0"/>
                <w:sz w:val="19"/>
              </w:rPr>
              <w:t>Quản lý hồ sơ.</w:t>
            </w:r>
            <w:r>
              <w:rPr>
                <w:b w:val="0"/>
                <w:i w:val="0"/>
                <w:sz w:val="19"/>
              </w:rPr>
              <w:t xml:space="preserve"> Việc lưu trữ các giao dịch không dùng giấy tờ phải nhất quán với chính sách quản lý hồ sơ của công ty. Việc lưu trữ các giao dịch điện tử có thể đòi hỏi phải được quản lý để đảm bảo tài liệu luôn sẵn có, xác thực và có thể tái tạo. </w:t>
            </w:r>
            <w:r>
              <w:rPr>
                <w:b/>
                <w:i w:val="0"/>
                <w:sz w:val="19"/>
              </w:rPr>
              <w:t>Tham chiếu rủi ro: K-3</w:t>
            </w:r>
          </w:p>
        </w:tc>
      </w:tr>
      <w:tr>
        <w:tc>
          <w:tcPr>
            <w:tcW w:type="dxa" w:w="4680"/>
          </w:tcPr>
          <w:p>
            <w:r/>
            <w:r>
              <w:rPr>
                <w:b w:val="0"/>
                <w:i w:val="0"/>
                <w:sz w:val="19"/>
              </w:rPr>
              <w:t>10.11.7</w:t>
            </w:r>
          </w:p>
        </w:tc>
        <w:tc>
          <w:tcPr>
            <w:tcW w:type="dxa" w:w="4680"/>
          </w:tcPr>
          <w:p>
            <w:r/>
            <w:r>
              <w:rPr>
                <w:b/>
                <w:i w:val="0"/>
                <w:sz w:val="19"/>
              </w:rPr>
              <w:t>Thỏa thuận với đối tác kinh doanh (bên thứ ba).</w:t>
            </w:r>
            <w:r>
              <w:rPr>
                <w:b w:val="0"/>
                <w:i w:val="0"/>
                <w:sz w:val="19"/>
              </w:rPr>
              <w:t xml:space="preserve"> Đối với các giao dịch không dùng giấy tờ liên quan đến các thực thể ngoài công ty, phải thiết lập và phê duyệt TPA trước khi bắt đầu quá trình xử lý đó. TPA phải được bộ phận pháp lý phù hợp phê duyệt và cần xác định rõ các biện pháp kiểm soát cho việc xử lý giao dịch cũng như trách nhiệm của đối tác kinh doanh, các điều khoản và điều kiện, cùng các nghĩa vụ pháp lý tương ứng. Trong trường hợp không thể thiết lập TPA, quyết định vận hành mà không có thỏa thuận phải được ghi lại thành văn bản và được giám đốc đơn vị công ty khởi tạo (các) giao dịch phê duyệt. Tài liệu này phải bao gồm việc chấp nhận các rủi ro liên quan đến việc vận hành mà không có TPA. Đơn vị công ty khởi tạo (các) giao dịch có trách nhiệm đảm bảo rằng TPA hoặc ngoại lệ được lấy và lưu trữ hồ sơ. </w:t>
            </w:r>
            <w:r>
              <w:rPr>
                <w:b/>
                <w:i w:val="0"/>
                <w:sz w:val="19"/>
              </w:rPr>
              <w:t>Tham chiếu rủi ro: K-4, K-9</w:t>
            </w:r>
          </w:p>
        </w:tc>
      </w:tr>
      <w:tr>
        <w:tc>
          <w:tcPr>
            <w:tcW w:type="dxa" w:w="4680"/>
          </w:tcPr>
          <w:p>
            <w:r/>
            <w:r>
              <w:rPr>
                <w:b w:val="0"/>
                <w:i w:val="0"/>
                <w:sz w:val="19"/>
              </w:rPr>
              <w:t>10.11.8</w:t>
            </w:r>
          </w:p>
        </w:tc>
        <w:tc>
          <w:tcPr>
            <w:tcW w:type="dxa" w:w="4680"/>
          </w:tcPr>
          <w:p>
            <w:r/>
            <w:r>
              <w:rPr>
                <w:b/>
                <w:i w:val="0"/>
                <w:sz w:val="19"/>
              </w:rPr>
              <w:t>Mạng giá trị gia tăng.</w:t>
            </w:r>
            <w:r>
              <w:rPr>
                <w:b w:val="0"/>
                <w:i w:val="0"/>
                <w:sz w:val="19"/>
              </w:rPr>
              <w:t xml:space="preserve"> Khi sử dụng mạng giá trị gia tăng (VAN), các trách nhiệm pháp lý về vận hành, khôi phục, bảo mật và tính toàn vẹn của thông tin công ty phải được quy định rõ trong hợp đồng. </w:t>
            </w:r>
            <w:r>
              <w:rPr>
                <w:b/>
                <w:i w:val="0"/>
                <w:sz w:val="19"/>
              </w:rPr>
              <w:t>Tham chiếu rủi ro: K-9</w:t>
            </w:r>
          </w:p>
        </w:tc>
      </w:tr>
      <w:tr>
        <w:tc>
          <w:tcPr>
            <w:tcW w:type="dxa" w:w="4680"/>
          </w:tcPr>
          <w:p>
            <w:r/>
            <w:r>
              <w:rPr>
                <w:b w:val="0"/>
                <w:i w:val="0"/>
                <w:sz w:val="19"/>
              </w:rPr>
              <w:t>10.11.9</w:t>
            </w:r>
          </w:p>
        </w:tc>
        <w:tc>
          <w:tcPr>
            <w:tcW w:type="dxa" w:w="4680"/>
          </w:tcPr>
          <w:p>
            <w:r/>
            <w:r>
              <w:rPr>
                <w:b/>
                <w:i w:val="0"/>
                <w:sz w:val="19"/>
              </w:rPr>
              <w:t>Phê duyệt Xử lý Giao dịch Điện tử.</w:t>
            </w:r>
            <w:r>
              <w:rPr>
                <w:b w:val="0"/>
                <w:i w:val="0"/>
                <w:sz w:val="19"/>
              </w:rPr>
              <w:t xml:space="preserve"> Mỗi hệ thống, chẳng hạn như xuất hóa đơn, đặt hàng, hoặc thanh toán giữa công ty và nhà cung cấp, khách hàng, hoặc dịch vụ hợp đồng, đều phải được IT và chủ sở hữu quy trình nghiệp vụ phê duyệt. </w:t>
            </w:r>
            <w:r>
              <w:rPr>
                <w:b/>
                <w:i w:val="0"/>
                <w:sz w:val="19"/>
              </w:rPr>
              <w:t>Tham khảo rủi ro: K-5, K-6</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K-1</w:t>
            </w:r>
          </w:p>
        </w:tc>
        <w:tc>
          <w:tcPr>
            <w:tcW w:type="dxa" w:w="4680"/>
          </w:tcPr>
          <w:p>
            <w:r/>
            <w:r>
              <w:rPr>
                <w:b w:val="0"/>
                <w:i w:val="0"/>
                <w:sz w:val="19"/>
              </w:rPr>
              <w:t>Các giao dịch có thể không hợp pháp, dẫn đến rủi ro xử lý gian lận và trách nhiệm pháp lý.</w:t>
            </w:r>
          </w:p>
        </w:tc>
      </w:tr>
      <w:tr>
        <w:tc>
          <w:tcPr>
            <w:tcW w:type="dxa" w:w="4680"/>
          </w:tcPr>
          <w:p>
            <w:r/>
            <w:r>
              <w:rPr>
                <w:b w:val="0"/>
                <w:i w:val="0"/>
                <w:sz w:val="19"/>
              </w:rPr>
              <w:t>K-2</w:t>
            </w:r>
          </w:p>
        </w:tc>
        <w:tc>
          <w:tcPr>
            <w:tcW w:type="dxa" w:w="4680"/>
          </w:tcPr>
          <w:p>
            <w:r/>
            <w:r>
              <w:rPr>
                <w:b w:val="0"/>
                <w:i w:val="0"/>
                <w:sz w:val="19"/>
              </w:rPr>
              <w:t>Tính xác thực hoặc tính toàn vẹn của giao dịch có thể không được đảm bảo, làm giảm độ tin cậy của thông tin và cũng dẫn đến rủi ro xử lý gian lận hoặc sai sót.</w:t>
            </w:r>
          </w:p>
        </w:tc>
      </w:tr>
      <w:tr>
        <w:tc>
          <w:tcPr>
            <w:tcW w:type="dxa" w:w="4680"/>
          </w:tcPr>
          <w:p>
            <w:r/>
            <w:r>
              <w:rPr>
                <w:b w:val="0"/>
                <w:i w:val="0"/>
                <w:sz w:val="19"/>
              </w:rPr>
              <w:t>K-3</w:t>
            </w:r>
          </w:p>
        </w:tc>
        <w:tc>
          <w:tcPr>
            <w:tcW w:type="dxa" w:w="4680"/>
          </w:tcPr>
          <w:p>
            <w:r/>
            <w:r>
              <w:rPr>
                <w:b w:val="0"/>
                <w:i w:val="0"/>
                <w:sz w:val="19"/>
              </w:rPr>
              <w:t>Hồ sơ không dùng giấy tờ có thể không được lưu giữ, hoặc không được bảo quản an toàn, từ đó dẫn đến rủi ro mất mát thông tin và có thể bị xử phạt theo quy định.</w:t>
            </w:r>
          </w:p>
        </w:tc>
      </w:tr>
      <w:tr>
        <w:tc>
          <w:tcPr>
            <w:tcW w:type="dxa" w:w="4680"/>
          </w:tcPr>
          <w:p>
            <w:r/>
            <w:r>
              <w:rPr>
                <w:b w:val="0"/>
                <w:i w:val="0"/>
                <w:sz w:val="19"/>
              </w:rPr>
              <w:t>K-4</w:t>
            </w:r>
          </w:p>
        </w:tc>
        <w:tc>
          <w:tcPr>
            <w:tcW w:type="dxa" w:w="4680"/>
          </w:tcPr>
          <w:p>
            <w:r/>
            <w:r>
              <w:rPr>
                <w:b w:val="0"/>
                <w:i w:val="0"/>
                <w:sz w:val="19"/>
              </w:rPr>
              <w:t>Công ty có thể phải chịu trách nhiệm cho các giao dịch bị chậm trễ.</w:t>
            </w:r>
          </w:p>
        </w:tc>
      </w:tr>
      <w:tr>
        <w:tc>
          <w:tcPr>
            <w:tcW w:type="dxa" w:w="4680"/>
          </w:tcPr>
          <w:p>
            <w:r/>
            <w:r>
              <w:rPr>
                <w:b w:val="0"/>
                <w:i w:val="0"/>
                <w:sz w:val="19"/>
              </w:rPr>
              <w:t>K-5</w:t>
            </w:r>
          </w:p>
        </w:tc>
        <w:tc>
          <w:tcPr>
            <w:tcW w:type="dxa" w:w="4680"/>
          </w:tcPr>
          <w:p>
            <w:r/>
            <w:r>
              <w:rPr>
                <w:b w:val="0"/>
                <w:i w:val="0"/>
                <w:sz w:val="19"/>
              </w:rPr>
              <w:t>Thông tin của công ty có thể bị tiết lộ, mất mát, chậm trễ, hoặc bị nhiễm bẩn, điều này có thể ảnh hưởng tiêu cực đến vị thế cạnh tranh của công ty.</w:t>
            </w:r>
          </w:p>
        </w:tc>
      </w:tr>
      <w:tr>
        <w:tc>
          <w:tcPr>
            <w:tcW w:type="dxa" w:w="4680"/>
          </w:tcPr>
          <w:p>
            <w:r/>
            <w:r>
              <w:rPr>
                <w:b w:val="0"/>
                <w:i w:val="0"/>
                <w:sz w:val="19"/>
              </w:rPr>
              <w:t>K-6</w:t>
            </w:r>
          </w:p>
        </w:tc>
        <w:tc>
          <w:tcPr>
            <w:tcW w:type="dxa" w:w="4680"/>
          </w:tcPr>
          <w:p>
            <w:r/>
            <w:r>
              <w:rPr>
                <w:b w:val="0"/>
                <w:i w:val="0"/>
                <w:sz w:val="19"/>
              </w:rPr>
              <w:t>Dữ liệu kinh doanh có thể được truyền đi mà không có các kiểm soát xử lý dữ liệu hoặc kế toán phù hợp, dẫn đến các đơn hàng, thanh toán, hoặc mua hàng sai sót khiến công ty đối mặt với gian lận và rủi ro tài chính.</w:t>
            </w:r>
          </w:p>
        </w:tc>
      </w:tr>
      <w:tr>
        <w:tc>
          <w:tcPr>
            <w:tcW w:type="dxa" w:w="4680"/>
          </w:tcPr>
          <w:p>
            <w:r/>
            <w:r>
              <w:rPr>
                <w:b w:val="0"/>
                <w:i w:val="0"/>
                <w:sz w:val="19"/>
              </w:rPr>
              <w:t>K-7</w:t>
            </w:r>
          </w:p>
        </w:tc>
        <w:tc>
          <w:tcPr>
            <w:tcW w:type="dxa" w:w="4680"/>
          </w:tcPr>
          <w:p>
            <w:r/>
            <w:r>
              <w:rPr>
                <w:b w:val="0"/>
                <w:i w:val="0"/>
                <w:sz w:val="19"/>
              </w:rPr>
              <w:t>Thông tin nhạy cảm có thể bị tiết lộ cho các bên không được phép.</w:t>
            </w:r>
          </w:p>
        </w:tc>
      </w:tr>
      <w:tr>
        <w:tc>
          <w:tcPr>
            <w:tcW w:type="dxa" w:w="4680"/>
          </w:tcPr>
          <w:p>
            <w:r/>
            <w:r>
              <w:rPr>
                <w:b w:val="0"/>
                <w:i w:val="0"/>
                <w:sz w:val="19"/>
              </w:rPr>
              <w:t>K-8</w:t>
            </w:r>
          </w:p>
        </w:tc>
        <w:tc>
          <w:tcPr>
            <w:tcW w:type="dxa" w:w="4680"/>
          </w:tcPr>
          <w:p>
            <w:r/>
            <w:r>
              <w:rPr>
                <w:b w:val="0"/>
                <w:i w:val="0"/>
                <w:sz w:val="19"/>
              </w:rPr>
              <w:t>Giao dịch bị trì hoãn có thể dẫn đến rủi ro về trách nhiệm pháp lý cho công ty.</w:t>
            </w:r>
          </w:p>
        </w:tc>
      </w:tr>
      <w:tr>
        <w:tc>
          <w:tcPr>
            <w:tcW w:type="dxa" w:w="4680"/>
          </w:tcPr>
          <w:p>
            <w:r/>
            <w:r>
              <w:rPr>
                <w:b w:val="0"/>
                <w:i w:val="0"/>
                <w:sz w:val="19"/>
              </w:rPr>
              <w:t>K-9</w:t>
            </w:r>
          </w:p>
        </w:tc>
        <w:tc>
          <w:tcPr>
            <w:tcW w:type="dxa" w:w="4680"/>
          </w:tcPr>
          <w:p>
            <w:r/>
            <w:r>
              <w:rPr>
                <w:b w:val="0"/>
                <w:i w:val="0"/>
                <w:sz w:val="19"/>
              </w:rPr>
              <w:t>Trách nhiệm có thể không rõ ràng, khiến công ty phải chịu trách nhiệm pháp lý không cần thiết cho sự cố hệ thống hoặc mất mát giao dịch và không thể giải quyết các mục đang tranh chấp, dẫn đến mất doanh thu hoặc tăng trách nhiệm pháp lý.</w:t>
            </w:r>
          </w:p>
        </w:tc>
      </w:tr>
    </w:tbl>
    <w:p>
      <w:pPr>
        <w:spacing w:after="0"/>
      </w:pPr>
    </w:p>
    <w:p>
      <w:pPr>
        <w:pStyle w:val="Heading2"/>
      </w:pPr>
      <w:r>
        <w:rPr>
          <w:rFonts w:ascii="Calibri" w:hAnsi="Calibri"/>
          <w:b/>
          <w:i w:val="0"/>
          <w:sz w:val="32"/>
        </w:rPr>
        <w:t>10.12 MẠNG LƯỚI VÀ BẢNG TIN NGOÀI CÔNG TY</w:t>
      </w:r>
    </w:p>
    <w:p>
      <w:pPr>
        <w:pStyle w:val="Heading3"/>
      </w:pPr>
      <w:r>
        <w:rPr>
          <w:rFonts w:ascii="Calibri" w:hAnsi="Calibri"/>
          <w:b/>
          <w:i w:val="0"/>
          <w:sz w:val="26"/>
        </w:rPr>
        <w:t>Giới thiệu</w:t>
      </w:r>
    </w:p>
    <w:p>
      <w:pPr>
        <w:spacing w:after="80"/>
      </w:pPr>
      <w:r>
        <w:rPr>
          <w:b w:val="0"/>
          <w:i w:val="0"/>
        </w:rPr>
        <w:t>Có thể tồn tại một mục đích kinh doanh chính đáng cho việc truy cập các mạng lưới và bảng tin ngoài công ty, được định nghĩa là các mạng lưới và bảng tin không do công ty tài trợ hoặc kiểm soát. Mặc dù những mạng lưới này có thể cung cấp cho công ty rất nhiều thông tin có giá trị, chúng cũng làm tăng đáng kể rủi ro phơi bày tài nguyên máy tính của công ty cho những cá nhân bên ngoài công ty, vi-rút máy tính, Trojan horse, bom logic và các hành vi phá hoại máy tính khác. Việc cho phép sử dụng mạng lưới và bảng tin ngoài công ty cho mục đích kinh doanh phụ thuộc vào nhu cầu kinh doanh chính đáng và sự phê duyệt của ban quản lý của người dùng.</w:t>
      </w:r>
    </w:p>
    <w:p>
      <w:pPr>
        <w:pStyle w:val="Heading3"/>
      </w:pPr>
      <w:r>
        <w:rPr>
          <w:rFonts w:ascii="Calibri" w:hAnsi="Calibri"/>
          <w:b/>
          <w:i w:val="0"/>
          <w:sz w:val="26"/>
        </w:rPr>
        <w:t>Quản lý lỗ hổng và mối đe dọa</w:t>
      </w:r>
    </w:p>
    <w:p>
      <w:pPr>
        <w:spacing w:after="80"/>
      </w:pPr>
      <w:r>
        <w:rPr>
          <w:b w:val="0"/>
          <w:i w:val="0"/>
        </w:rPr>
        <w:t>Một trong những lý do chính để thiết lập các kiểm soát dữ liệu là để quản lý các rủi ro tiềm ẩn về phần mềm và phần cứng. Trong quá trình lập kế hoạch CNTT, các tổ chức nên xem xét các hướng dẫn sau:</w:t>
      </w:r>
    </w:p>
    <w:p>
      <w:pPr>
        <w:spacing w:after="80"/>
        <w:ind w:left="360"/>
      </w:pPr>
      <w:r>
        <w:t xml:space="preserve">1. </w:t>
      </w:r>
      <w:r>
        <w:rPr>
          <w:b w:val="0"/>
          <w:i w:val="0"/>
        </w:rPr>
        <w:t>Các phòng ban CNTT nên triển khai một quy trình được ghi chép lại để tiếp nhận các bản cập nhật phần mềm và bản vá bảo mật từ nhà cung cấp.</w:t>
      </w:r>
    </w:p>
    <w:p>
      <w:pPr>
        <w:spacing w:after="80"/>
        <w:ind w:left="360"/>
      </w:pPr>
      <w:r>
        <w:t xml:space="preserve">2. </w:t>
      </w:r>
      <w:r>
        <w:rPr>
          <w:b w:val="0"/>
          <w:i w:val="0"/>
        </w:rPr>
        <w:t>Các công ty nên soạn thảo một kế hoạch kiểm thử và triển khai xác định cách thức thực hiện các bản vá và cập nhật, đồng thời tuân theo các giao thức quản lý thay đổi đã được thiết lập.</w:t>
      </w:r>
    </w:p>
    <w:p>
      <w:pPr>
        <w:spacing w:after="80"/>
        <w:ind w:left="360"/>
      </w:pPr>
      <w:r>
        <w:t xml:space="preserve">3. </w:t>
      </w:r>
      <w:r>
        <w:rPr>
          <w:b w:val="0"/>
          <w:i w:val="0"/>
        </w:rPr>
        <w:t>Các tổ chức nên xem xét việc thực hiện một cuộc tấn công đạo đức ít nhất một lần mỗi năm để xác minh các lỗ hổng hệ thống, đặc biệt nếu có một trang web bên ngoài sẵn có cho công chúng. Cuộc tấn công đạo đức có thể được thực hiện bởi một nhà cung cấp bên thứ ba hoặc phòng ban CNTT.</w:t>
      </w:r>
    </w:p>
    <w:p>
      <w:pPr>
        <w:spacing w:after="80"/>
        <w:ind w:left="360"/>
      </w:pPr>
      <w:r>
        <w:t xml:space="preserve">4. </w:t>
      </w:r>
      <w:r>
        <w:rPr>
          <w:b w:val="0"/>
          <w:i w:val="0"/>
        </w:rPr>
        <w:t>Các ứng dụng phần mềm và phần cứng nên trải qua một cuộc tấn công đạo đức trước khi đưa vào vận hành.</w:t>
      </w:r>
    </w:p>
    <w:p>
      <w:pPr>
        <w:pStyle w:val="Heading3"/>
      </w:pPr>
      <w:r>
        <w:rPr>
          <w:rFonts w:ascii="Calibri" w:hAnsi="Calibri"/>
          <w:b/>
          <w:i w:val="0"/>
          <w:sz w:val="26"/>
        </w:rPr>
        <w:t>Định nghĩa</w:t>
      </w:r>
    </w:p>
    <w:p>
      <w:pPr>
        <w:spacing w:after="80"/>
        <w:ind w:left="360"/>
      </w:pPr>
      <w:r>
        <w:rPr>
          <w:b/>
          <w:i w:val="0"/>
        </w:rPr>
        <w:t>Vi-rút máy tính</w:t>
      </w:r>
      <w:r>
        <w:rPr>
          <w:b w:val="0"/>
          <w:i w:val="0"/>
        </w:rPr>
        <w:t xml:space="preserve"> —Chương trình chứa các chỉ thị phần mềm cần thiết để tạo bản sao của chính nó và chèn các chỉ thị này vào đường thực thi của các chương trình khác mà người dùng không biết hoặc không được phép.</w:t>
      </w:r>
    </w:p>
    <w:p>
      <w:pPr>
        <w:spacing w:after="80"/>
        <w:ind w:left="360"/>
      </w:pPr>
      <w:r>
        <w:rPr>
          <w:b/>
          <w:i w:val="0"/>
        </w:rPr>
        <w:t>Tường lửa và Hệ thống phát hiện xâm nhập (IDSs)</w:t>
      </w:r>
      <w:r>
        <w:rPr>
          <w:b w:val="0"/>
          <w:i w:val="0"/>
        </w:rPr>
        <w:t xml:space="preserve"> —Trong nhiều công ty, tường lửa đóng vai trò là biện pháp phòng vệ chính chống lại kẻ xâm nhập và hoạt động như một cổng cho tất cả các kết nối mạng vào và ra. Mặt khác, phần mềm IDS giúp theo dõi các hoạt động mạng. Vì tầm quan trọng của chúng, các kiểm toán viên nội bộ làm việc tại các công ty nhỏ và vừa nên khuyến nghị rằng các phòng ban CNTT triển khai các giao thức sau để nâng cao việc sử dụng các công cụ tường lửa và IDS của họ: Nhiều vi phạm bảo mật có thể được ngăn chặn bằng cách sử dụng các giao thức bảo mật dữ liệu như những giao thức được mô tả ở trên. Việc áp dụng các thực hành tốt nhất này có thể giúp các công ty nhỏ và vừa đảm bảo rằng các kiểm soát nội bộ bảo vệ tính toàn vẹn và quyền riêng tư của thông tin của họ đã được thiết lập.</w:t>
      </w:r>
    </w:p>
    <w:p>
      <w:pPr>
        <w:spacing w:after="80"/>
        <w:ind w:left="720"/>
      </w:pPr>
      <w:r>
        <w:t xml:space="preserve">1. </w:t>
      </w:r>
      <w:r>
        <w:rPr>
          <w:b w:val="0"/>
          <w:i w:val="0"/>
        </w:rPr>
        <w:t>Mọi kết nối giao thức Internet bên ngoài đều phải đi qua tường lửa.</w:t>
      </w:r>
    </w:p>
    <w:p>
      <w:pPr>
        <w:spacing w:after="80"/>
        <w:ind w:left="720"/>
      </w:pPr>
      <w:r>
        <w:t xml:space="preserve">2. </w:t>
      </w:r>
      <w:r>
        <w:rPr>
          <w:b w:val="0"/>
          <w:i w:val="0"/>
        </w:rPr>
        <w:t>Tường lửa nên được thiết lập với cấu hình mặc định "từ chối tất cả" (deny-all), cấp quyền truy cập khi cần thiết, và ghi lại tất cả các yêu cầu truy cập.</w:t>
      </w:r>
    </w:p>
    <w:p>
      <w:pPr>
        <w:spacing w:after="80"/>
        <w:ind w:left="720"/>
      </w:pPr>
      <w:r>
        <w:t xml:space="preserve">3. </w:t>
      </w:r>
      <w:r>
        <w:rPr>
          <w:b w:val="0"/>
          <w:i w:val="0"/>
        </w:rPr>
        <w:t>Việc thay đổi cấu hình tường lửa và IDS phải tuân theo quy trình quản lý thay đổi.</w:t>
      </w:r>
    </w:p>
    <w:p>
      <w:pPr>
        <w:spacing w:after="80"/>
        <w:ind w:left="720"/>
      </w:pPr>
      <w:r>
        <w:t xml:space="preserve">4. </w:t>
      </w:r>
      <w:r>
        <w:rPr>
          <w:b w:val="0"/>
          <w:i w:val="0"/>
        </w:rPr>
        <w:t>Tất cả các yêu cầu thay đổi phải được nhân viên bảo mật xem xét và quản lý cấp cao phê duyệt trước khi triển khai.</w:t>
      </w:r>
    </w:p>
    <w:p>
      <w:pPr>
        <w:spacing w:after="80"/>
        <w:ind w:left="720"/>
      </w:pPr>
      <w:r>
        <w:t xml:space="preserve">5. </w:t>
      </w:r>
      <w:r>
        <w:rPr>
          <w:b w:val="0"/>
          <w:i w:val="0"/>
        </w:rPr>
        <w:t>Tất cả các cảnh báo của tường lửa và IDS nên được ghi log và lưu trữ hàng ngày.</w:t>
      </w:r>
    </w:p>
    <w:p>
      <w:pPr>
        <w:spacing w:after="80"/>
        <w:ind w:left="360"/>
      </w:pPr>
      <w:r>
        <w:rPr>
          <w:b/>
          <w:i w:val="0"/>
        </w:rPr>
        <w:t>Phần mềm miễn phí (Freeware)</w:t>
      </w:r>
      <w:r>
        <w:rPr>
          <w:b w:val="0"/>
          <w:i w:val="0"/>
        </w:rPr>
        <w:t xml:space="preserve"> —Phần mềm có sẵn thông qua các bảng tin máy tính và mạng mà không mất phí. Các bản vá và trình điều khiển không thuộc danh mục này.</w:t>
      </w:r>
    </w:p>
    <w:p>
      <w:pPr>
        <w:spacing w:after="80"/>
        <w:ind w:left="360"/>
      </w:pPr>
      <w:r>
        <w:rPr>
          <w:b/>
          <w:i w:val="0"/>
        </w:rPr>
        <w:t>Môi trường cô lập (Isolated Environment)</w:t>
      </w:r>
      <w:r>
        <w:rPr>
          <w:b w:val="0"/>
          <w:i w:val="0"/>
        </w:rPr>
        <w:t xml:space="preserve"> —Một môi trường không kết nối với mạng.</w:t>
      </w:r>
    </w:p>
    <w:p>
      <w:pPr>
        <w:spacing w:after="80"/>
        <w:ind w:left="360"/>
      </w:pPr>
      <w:r>
        <w:rPr>
          <w:b/>
          <w:i w:val="0"/>
        </w:rPr>
        <w:t>Bom logic (Logic Bomb)</w:t>
      </w:r>
      <w:r>
        <w:rPr>
          <w:b w:val="0"/>
          <w:i w:val="0"/>
        </w:rPr>
        <w:t xml:space="preserve"> —Mã được nhúng trong một chương trình, sẽ được thực thi nếu một số điều kiện nhất định được đáp ứng. Mục đích của mã này là để thực hiện hành vi phá hoại máy tính.</w:t>
      </w:r>
    </w:p>
    <w:p>
      <w:pPr>
        <w:spacing w:after="80"/>
        <w:ind w:left="360"/>
      </w:pPr>
      <w:r>
        <w:rPr>
          <w:b/>
          <w:i w:val="0"/>
        </w:rPr>
        <w:t>Phần mềm dùng thử (Shareware)</w:t>
      </w:r>
      <w:r>
        <w:rPr>
          <w:b w:val="0"/>
          <w:i w:val="0"/>
        </w:rPr>
        <w:t xml:space="preserve"> —Phần mềm có sẵn thông qua các bảng tin máy tính và mạng với một khoản phí phải trả sau khi tải phần mềm xuống.</w:t>
      </w:r>
    </w:p>
    <w:p>
      <w:pPr>
        <w:spacing w:after="80"/>
        <w:ind w:left="360"/>
      </w:pPr>
      <w:r>
        <w:rPr>
          <w:b/>
          <w:i w:val="0"/>
        </w:rPr>
        <w:t>Ngựa Trojan (Trojan Horse)</w:t>
      </w:r>
      <w:r>
        <w:rPr>
          <w:b w:val="0"/>
          <w:i w:val="0"/>
        </w:rPr>
        <w:t xml:space="preserve"> —Một chương trình giả dạng như một chương trình hợp pháp nhưng thực chất lại chứa mã có thể gây thiệt hại nghiêm trọng cho máy tính của người dùng.</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10.12.1</w:t>
            </w:r>
          </w:p>
        </w:tc>
        <w:tc>
          <w:tcPr>
            <w:tcW w:type="dxa" w:w="4680"/>
          </w:tcPr>
          <w:p>
            <w:r/>
            <w:r>
              <w:rPr>
                <w:b/>
                <w:i w:val="0"/>
                <w:sz w:val="19"/>
              </w:rPr>
              <w:t>Liên kết tương tác trực tiếp (Direct Interactive Links).</w:t>
            </w:r>
            <w:r>
              <w:rPr>
                <w:b w:val="0"/>
                <w:i w:val="0"/>
                <w:sz w:val="19"/>
              </w:rPr>
              <w:t xml:space="preserve"> Các liên kết tương tác trực tiếp giữa máy chủ của công ty và các hệ thống máy chủ không thuộc công ty, được sử dụng để truyền và thực thi lệnh từ xa, chỉ được phép nếu do công ty khởi tạo và kiểm soát. </w:t>
            </w:r>
            <w:r>
              <w:rPr>
                <w:b/>
                <w:i w:val="0"/>
                <w:sz w:val="19"/>
              </w:rPr>
              <w:t>Tham khảo các rủi ro: L-1, L-2</w:t>
            </w:r>
          </w:p>
        </w:tc>
      </w:tr>
      <w:tr>
        <w:tc>
          <w:tcPr>
            <w:tcW w:type="dxa" w:w="4680"/>
          </w:tcPr>
          <w:p>
            <w:r/>
            <w:r>
              <w:rPr>
                <w:b w:val="0"/>
                <w:i w:val="0"/>
                <w:sz w:val="19"/>
              </w:rPr>
              <w:t>10.12.2</w:t>
            </w:r>
          </w:p>
        </w:tc>
        <w:tc>
          <w:tcPr>
            <w:tcW w:type="dxa" w:w="4680"/>
          </w:tcPr>
          <w:p>
            <w:r/>
            <w:r>
              <w:rPr>
                <w:b/>
                <w:i w:val="0"/>
                <w:sz w:val="19"/>
              </w:rPr>
              <w:t>Liên kết phi tương tác trực tiếp (Direct Non-interactive Links).</w:t>
            </w:r>
            <w:r>
              <w:rPr>
                <w:b w:val="0"/>
                <w:i w:val="0"/>
                <w:sz w:val="19"/>
              </w:rPr>
              <w:t xml:space="preserve"> Các liên kết phi tương tác trực tiếp được sử dụng để truyền thư, tin nhắn và tệp dữ liệu chỉ được phép nếu lưu lượng đến và đi qua các liên kết này được công ty kiểm soát. </w:t>
            </w:r>
            <w:r>
              <w:rPr>
                <w:b/>
                <w:i w:val="0"/>
                <w:sz w:val="19"/>
              </w:rPr>
              <w:t>Tham khảo các rủi ro: L-1, L-2</w:t>
            </w:r>
          </w:p>
        </w:tc>
      </w:tr>
      <w:tr>
        <w:tc>
          <w:tcPr>
            <w:tcW w:type="dxa" w:w="4680"/>
          </w:tcPr>
          <w:p>
            <w:r/>
            <w:r>
              <w:rPr>
                <w:b w:val="0"/>
                <w:i w:val="0"/>
                <w:sz w:val="19"/>
              </w:rPr>
              <w:t>10.12.3</w:t>
            </w:r>
          </w:p>
        </w:tc>
        <w:tc>
          <w:tcPr>
            <w:tcW w:type="dxa" w:w="4680"/>
          </w:tcPr>
          <w:p>
            <w:r/>
            <w:r>
              <w:rPr>
                <w:b/>
                <w:i w:val="0"/>
                <w:sz w:val="19"/>
              </w:rPr>
              <w:t>Nhật ký hoạt động.</w:t>
            </w:r>
            <w:r>
              <w:rPr>
                <w:b w:val="0"/>
                <w:i w:val="0"/>
                <w:sz w:val="19"/>
              </w:rPr>
              <w:t xml:space="preserve"> Việc ghi nhật ký hoạt động thông qua các quy trình kế toán chuẩn mực phải được thiết lập ở mọi nơi có thể nhằm mục đích tạo ra các dấu vết kiểm toán (audit trail), và phải bao gồm việc đăng nhập, đăng xuất, các nỗ lực truy cập và thời gian CPU. Ngoài ra, việc truyền tệp phải được ghi nhật ký và nên bao gồm ngày, giờ truyền, thông tin định tuyến và kích thước tệp, ở mọi nơi có thể. </w:t>
            </w:r>
            <w:r>
              <w:rPr>
                <w:b/>
                <w:i w:val="0"/>
                <w:sz w:val="19"/>
              </w:rPr>
              <w:t>Tham chiếu các rủi ro: L-2, L-3, L-4, L-5, L-6</w:t>
            </w:r>
          </w:p>
        </w:tc>
      </w:tr>
      <w:tr>
        <w:tc>
          <w:tcPr>
            <w:tcW w:type="dxa" w:w="4680"/>
          </w:tcPr>
          <w:p>
            <w:r/>
            <w:r>
              <w:rPr>
                <w:b w:val="0"/>
                <w:i w:val="0"/>
                <w:sz w:val="19"/>
              </w:rPr>
              <w:t>10.12.4</w:t>
            </w:r>
          </w:p>
        </w:tc>
        <w:tc>
          <w:tcPr>
            <w:tcW w:type="dxa" w:w="4680"/>
          </w:tcPr>
          <w:p>
            <w:r/>
            <w:r>
              <w:rPr>
                <w:b w:val="0"/>
                <w:i w:val="0"/>
                <w:sz w:val="19"/>
              </w:rPr>
              <w:t>Phần mềm miễn phí và phần mềm chia sẻ. Ban quản lý chịu trách nhiệm thiết lập và vận hành các quy trình để kiểm soát việc mua và sử dụng phần mềm miễn phí (freeware) và phần mềm chia sẻ (shareware). Các quy trình này phải đảm bảo rằng:</w:t>
            </w:r>
            <w:r>
              <w:br/>
            </w:r>
            <w:r>
              <w:rPr>
                <w:b w:val="0"/>
                <w:i w:val="0"/>
                <w:sz w:val="19"/>
              </w:rPr>
              <w:t>a. Chỉ những phần mềm hoặc dữ liệu cần thiết cho mục đích kinh doanh hợp pháp và được ban quản lý phê duyệt mới được tải xuống.</w:t>
            </w:r>
            <w:r>
              <w:br/>
            </w:r>
            <w:r>
              <w:rPr>
                <w:b w:val="0"/>
                <w:i w:val="0"/>
                <w:sz w:val="19"/>
              </w:rPr>
              <w:t>b. Phải thực hiện đánh giá chi phí so với rủi ro và ban quản lý phải chấp nhận các rủi ro đó.</w:t>
            </w:r>
            <w:r>
              <w:br/>
            </w:r>
            <w:r>
              <w:rPr>
                <w:b w:val="0"/>
                <w:i w:val="0"/>
                <w:sz w:val="19"/>
              </w:rPr>
              <w:t>c. Trong mọi trường hợp đều không được tải xuống phần mềm được thiết kế để loại bỏ hoặc lách qua các biện pháp kiểm soát bảo mật (ví dụ: công cụ bẻ khóa mật khẩu).</w:t>
            </w:r>
            <w:r>
              <w:br/>
            </w:r>
            <w:r>
              <w:rPr>
                <w:b w:val="0"/>
                <w:i w:val="0"/>
                <w:sz w:val="19"/>
              </w:rPr>
              <w:t>d. Phải tuân thủ mọi điều kiện cấp phép và thanh toán tiền bản quyền hoặc các khoản thanh toán sử dụng sản phẩm khác.</w:t>
            </w:r>
            <w:r>
              <w:br/>
            </w:r>
            <w:r>
              <w:rPr>
                <w:b w:val="0"/>
                <w:i w:val="0"/>
                <w:sz w:val="19"/>
              </w:rPr>
              <w:t>e. Phải duy trì hồ sơ phù hợp về những phần mềm đã được mua và nơi sử dụng chúng.</w:t>
            </w:r>
            <w:r>
              <w:br/>
            </w:r>
            <w:r>
              <w:rPr>
                <w:b w:val="0"/>
                <w:i w:val="0"/>
                <w:sz w:val="19"/>
              </w:rPr>
              <w:t>f. Phần mềm phải được kiểm thử kỹ lưỡng trong một môi trường biệt lập để xem xét cả những kết quả mong đợi lẫn những kết quả có thể không mong đợi trước khi được sử dụng trong mạng lưới công ty hoặc môi trường máy tính dùng chung.</w:t>
            </w:r>
            <w:r>
              <w:br/>
            </w:r>
            <w:r>
              <w:rPr>
                <w:b w:val="0"/>
                <w:i w:val="0"/>
                <w:sz w:val="19"/>
              </w:rPr>
              <w:t xml:space="preserve">g. Phải có sự đồng ý của nhà cung cấp dịch vụ trước khi cài đặt phần mềm đó. </w:t>
            </w:r>
            <w:r>
              <w:rPr>
                <w:b/>
                <w:i w:val="0"/>
                <w:sz w:val="19"/>
              </w:rPr>
              <w:t>Tham chiếu các rủi ro: L-7, L-8</w:t>
            </w:r>
          </w:p>
        </w:tc>
      </w:tr>
      <w:tr>
        <w:tc>
          <w:tcPr>
            <w:tcW w:type="dxa" w:w="4680"/>
          </w:tcPr>
          <w:p>
            <w:r/>
            <w:r>
              <w:rPr>
                <w:b w:val="0"/>
                <w:i w:val="0"/>
                <w:sz w:val="19"/>
              </w:rPr>
              <w:t>10.12.5</w:t>
            </w:r>
          </w:p>
        </w:tc>
        <w:tc>
          <w:tcPr>
            <w:tcW w:type="dxa" w:w="4680"/>
          </w:tcPr>
          <w:p>
            <w:r/>
            <w:r>
              <w:rPr>
                <w:b/>
                <w:i w:val="0"/>
                <w:sz w:val="19"/>
              </w:rPr>
              <w:t>Các khoản thanh toán do bộ phận mua hàng thực hiện.</w:t>
            </w:r>
            <w:r>
              <w:rPr>
                <w:b w:val="0"/>
                <w:i w:val="0"/>
                <w:sz w:val="19"/>
              </w:rPr>
              <w:t xml:space="preserve"> Mọi khoản thanh toán cần thiết cho các ứng dụng và giấy phép của bên thứ ba đều phải được thực hiện thông qua bộ phận mua hàng. </w:t>
            </w:r>
            <w:r>
              <w:rPr>
                <w:b/>
                <w:i w:val="0"/>
                <w:sz w:val="19"/>
              </w:rPr>
              <w:t>Tham chiếu các rủi ro: L-9, L-10, L-15</w:t>
            </w:r>
          </w:p>
        </w:tc>
      </w:tr>
      <w:tr>
        <w:tc>
          <w:tcPr>
            <w:tcW w:type="dxa" w:w="4680"/>
          </w:tcPr>
          <w:p>
            <w:r/>
            <w:r>
              <w:rPr>
                <w:b w:val="0"/>
                <w:i w:val="0"/>
                <w:sz w:val="19"/>
              </w:rPr>
              <w:t>10.12.6</w:t>
            </w:r>
          </w:p>
        </w:tc>
        <w:tc>
          <w:tcPr>
            <w:tcW w:type="dxa" w:w="4680"/>
          </w:tcPr>
          <w:p>
            <w:r/>
            <w:r>
              <w:rPr>
                <w:b/>
                <w:i w:val="0"/>
                <w:sz w:val="19"/>
              </w:rPr>
              <w:t>Các hạn chế về bản quyền.</w:t>
            </w:r>
            <w:r>
              <w:rPr>
                <w:b w:val="0"/>
                <w:i w:val="0"/>
                <w:sz w:val="19"/>
              </w:rPr>
              <w:t xml:space="preserve"> Phải tuân thủ mọi hạn chế về bản quyền đối với các tài liệu có bản quyền và bất kỳ phần mềm nào được công bố công khai. Không được nhận hoặc sử dụng các bản sao bất hợp pháp. </w:t>
            </w:r>
            <w:r>
              <w:rPr>
                <w:b/>
                <w:i w:val="0"/>
                <w:sz w:val="19"/>
              </w:rPr>
              <w:t>Tham chiếu các rủi ro: L-10, L-15</w:t>
            </w:r>
          </w:p>
        </w:tc>
      </w:tr>
      <w:tr>
        <w:tc>
          <w:tcPr>
            <w:tcW w:type="dxa" w:w="4680"/>
          </w:tcPr>
          <w:p>
            <w:r/>
            <w:r>
              <w:rPr>
                <w:b w:val="0"/>
                <w:i w:val="0"/>
                <w:sz w:val="19"/>
              </w:rPr>
              <w:t>10.12.7</w:t>
            </w:r>
          </w:p>
        </w:tc>
        <w:tc>
          <w:tcPr>
            <w:tcW w:type="dxa" w:w="4680"/>
          </w:tcPr>
          <w:p>
            <w:r/>
            <w:r>
              <w:rPr>
                <w:b/>
                <w:i w:val="0"/>
                <w:sz w:val="19"/>
              </w:rPr>
              <w:t>Việc phân phối được phê duyệt đối với thông tin Hạn chế Nội bộ và Mật của Công ty.</w:t>
            </w:r>
            <w:r>
              <w:rPr>
                <w:b w:val="0"/>
                <w:i w:val="0"/>
                <w:sz w:val="19"/>
              </w:rPr>
              <w:t xml:space="preserve"> Dữ liệu và thông tin của công ty được phân loại là Hạn chế Nội bộ Công ty (Company Restricted) hoặc Mật của Công ty (Company Confidential) không nên được truyền đi hoặc nhận về, trừ những trường hợp đặc biệt và khi đó chỉ được sử dụng các kỹ thuật mã hóa đã được phê duyệt trước khi truyền. </w:t>
            </w:r>
            <w:r>
              <w:rPr>
                <w:b/>
                <w:i w:val="0"/>
                <w:sz w:val="19"/>
              </w:rPr>
              <w:t>Tham chiếu các rủi ro: L-2, L-11</w:t>
            </w:r>
          </w:p>
        </w:tc>
      </w:tr>
      <w:tr>
        <w:tc>
          <w:tcPr>
            <w:tcW w:type="dxa" w:w="4680"/>
          </w:tcPr>
          <w:p>
            <w:r/>
            <w:r>
              <w:rPr>
                <w:b w:val="0"/>
                <w:i w:val="0"/>
                <w:sz w:val="19"/>
              </w:rPr>
              <w:t>10.12.8</w:t>
            </w:r>
          </w:p>
        </w:tc>
        <w:tc>
          <w:tcPr>
            <w:tcW w:type="dxa" w:w="4680"/>
          </w:tcPr>
          <w:p>
            <w:r/>
            <w:r>
              <w:rPr>
                <w:b/>
                <w:i w:val="0"/>
                <w:sz w:val="19"/>
              </w:rPr>
              <w:t>Truy cập vào các mạng lưới và bảng tin không thuộc công ty.</w:t>
            </w:r>
            <w:r>
              <w:rPr>
                <w:b w:val="0"/>
                <w:i w:val="0"/>
                <w:sz w:val="19"/>
              </w:rPr>
              <w:t xml:space="preserve"> Các mạng lưới và bảng tin không thuộc công ty chỉ được truy cập cho các mục đích kinh doanh của công ty. Người dùng không được sử dụng các mạng lưới và bảng tin không thuộc công ty cho mục đích riêng tư. </w:t>
            </w:r>
            <w:r>
              <w:rPr>
                <w:b/>
                <w:i w:val="0"/>
                <w:sz w:val="19"/>
              </w:rPr>
              <w:t>Tham chiếu các rủi ro: L-12, L-13, và L-14</w:t>
            </w:r>
          </w:p>
        </w:tc>
      </w:tr>
      <w:tr>
        <w:tc>
          <w:tcPr>
            <w:tcW w:type="dxa" w:w="4680"/>
          </w:tcPr>
          <w:p>
            <w:r/>
            <w:r>
              <w:rPr>
                <w:b w:val="0"/>
                <w:i w:val="0"/>
                <w:sz w:val="19"/>
              </w:rPr>
              <w:t>10.12.9</w:t>
            </w:r>
          </w:p>
        </w:tc>
        <w:tc>
          <w:tcPr>
            <w:tcW w:type="dxa" w:w="4680"/>
          </w:tcPr>
          <w:p>
            <w:r/>
            <w:r>
              <w:rPr>
                <w:b/>
                <w:i w:val="0"/>
                <w:sz w:val="19"/>
              </w:rPr>
              <w:t>“Một hình ảnh duy nhất trước khách hàng.”</w:t>
            </w:r>
            <w:r>
              <w:rPr>
                <w:b w:val="0"/>
                <w:i w:val="0"/>
                <w:sz w:val="19"/>
              </w:rPr>
              <w:t xml:space="preserve"> Khi đăng bài lên các bảng tin và các nhóm Usenet trên Internet, hoặc tham gia vào một nhóm thảo luận qua e-mail thông qua các dịch vụ danh sách gửi thư (mail-list), người dùng nên cân nhắc nỗ lực “Một hình ảnh duy nhất trước khách hàng” của công ty, vốn nhấn mạnh tầm quan trọng của việc nói chuyện với khách hàng và đối tác kinh doanh bằng một thông điệp duy nhất, thống nhất. </w:t>
            </w:r>
            <w:r>
              <w:rPr>
                <w:b/>
                <w:i w:val="0"/>
                <w:sz w:val="19"/>
              </w:rPr>
              <w:t>Tham chiếu các rủi ro: L-13, L-14</w:t>
            </w:r>
          </w:p>
        </w:tc>
      </w:tr>
      <w:tr>
        <w:tc>
          <w:tcPr>
            <w:tcW w:type="dxa" w:w="4680"/>
          </w:tcPr>
          <w:p>
            <w:r/>
            <w:r>
              <w:rPr>
                <w:b w:val="0"/>
                <w:i w:val="0"/>
                <w:sz w:val="19"/>
              </w:rPr>
              <w:t>10.12.10</w:t>
            </w:r>
          </w:p>
        </w:tc>
        <w:tc>
          <w:tcPr>
            <w:tcW w:type="dxa" w:w="4680"/>
          </w:tcPr>
          <w:p>
            <w:r/>
            <w:r>
              <w:rPr>
                <w:b/>
                <w:i w:val="0"/>
                <w:sz w:val="19"/>
              </w:rPr>
              <w:t>Truy cập trái phép.</w:t>
            </w:r>
            <w:r>
              <w:rPr>
                <w:b w:val="0"/>
                <w:i w:val="0"/>
                <w:sz w:val="19"/>
              </w:rPr>
              <w:t xml:space="preserve"> Người dùng không nên cố gắng truy cập vào các tài nguyên máy tính trên các mạng lưới và bảng tin không thuộc công ty mà họ không được cấp quyền. </w:t>
            </w:r>
            <w:r>
              <w:rPr>
                <w:b/>
                <w:i w:val="0"/>
                <w:sz w:val="19"/>
              </w:rPr>
              <w:t>Tham chiếu các rủi ro: L-15, L-16</w:t>
            </w:r>
          </w:p>
        </w:tc>
      </w:tr>
      <w:tr>
        <w:tc>
          <w:tcPr>
            <w:tcW w:type="dxa" w:w="4680"/>
          </w:tcPr>
          <w:p>
            <w:r/>
            <w:r>
              <w:rPr>
                <w:b w:val="0"/>
                <w:i w:val="0"/>
                <w:sz w:val="19"/>
              </w:rPr>
              <w:t>10.12.11</w:t>
            </w:r>
          </w:p>
        </w:tc>
        <w:tc>
          <w:tcPr>
            <w:tcW w:type="dxa" w:w="4680"/>
          </w:tcPr>
          <w:p>
            <w:r/>
            <w:r>
              <w:rPr>
                <w:b/>
                <w:i w:val="0"/>
                <w:sz w:val="19"/>
              </w:rPr>
              <w:t>Dịch vụ gửi lại ẩn danh (Anonymous Remailers).</w:t>
            </w:r>
            <w:r>
              <w:rPr>
                <w:b w:val="0"/>
                <w:i w:val="0"/>
                <w:sz w:val="19"/>
              </w:rPr>
              <w:t xml:space="preserve"> Người dùng không được sử dụng dịch vụ gửi lại ẩn danh, hoặc thực hiện bất kỳ hành động nào khác nhằm cố gắng che giấu thông tin nhận dạng thông thường gắn với các tin nhắn e-mail gửi đi. </w:t>
            </w:r>
            <w:r>
              <w:rPr>
                <w:b/>
                <w:i w:val="0"/>
                <w:sz w:val="19"/>
              </w:rPr>
              <w:t>Tham khảo rủi ro: L-13, L-14</w:t>
            </w:r>
          </w:p>
        </w:tc>
      </w:tr>
      <w:tr>
        <w:tc>
          <w:tcPr>
            <w:tcW w:type="dxa" w:w="4680"/>
          </w:tcPr>
          <w:p>
            <w:r/>
            <w:r>
              <w:rPr>
                <w:b w:val="0"/>
                <w:i w:val="0"/>
                <w:sz w:val="19"/>
              </w:rPr>
              <w:t>10.12.12</w:t>
            </w:r>
          </w:p>
        </w:tc>
        <w:tc>
          <w:tcPr>
            <w:tcW w:type="dxa" w:w="4680"/>
          </w:tcPr>
          <w:p>
            <w:r/>
            <w:r>
              <w:rPr>
                <w:b/>
                <w:i w:val="0"/>
                <w:sz w:val="19"/>
              </w:rPr>
              <w:t>Trình bày chính xác về chức vụ và trách nhiệm.</w:t>
            </w:r>
            <w:r>
              <w:rPr>
                <w:b w:val="0"/>
                <w:i w:val="0"/>
                <w:sz w:val="19"/>
              </w:rPr>
              <w:t xml:space="preserve"> Người dùng không được trình bày trong các liên lạc điện tử của mình rằng họ giữ chức vụ hoặc có trách nhiệm trong công ty khác với chức vụ thực tế của họ. </w:t>
            </w:r>
            <w:r>
              <w:rPr>
                <w:b/>
                <w:i w:val="0"/>
                <w:sz w:val="19"/>
              </w:rPr>
              <w:t>Tham khảo rủi ro: L-13, L-14</w:t>
            </w:r>
          </w:p>
        </w:tc>
      </w:tr>
      <w:tr>
        <w:tc>
          <w:tcPr>
            <w:tcW w:type="dxa" w:w="4680"/>
          </w:tcPr>
          <w:p>
            <w:r/>
            <w:r>
              <w:rPr>
                <w:b w:val="0"/>
                <w:i w:val="0"/>
                <w:sz w:val="19"/>
              </w:rPr>
              <w:t>10.12.13</w:t>
            </w:r>
          </w:p>
        </w:tc>
        <w:tc>
          <w:tcPr>
            <w:tcW w:type="dxa" w:w="4680"/>
          </w:tcPr>
          <w:p>
            <w:r/>
            <w:r>
              <w:rPr>
                <w:b/>
                <w:i w:val="0"/>
                <w:sz w:val="19"/>
              </w:rPr>
              <w:t>Sử dụng mạng nội bộ (Intranet).</w:t>
            </w:r>
            <w:r>
              <w:rPr>
                <w:b w:val="0"/>
                <w:i w:val="0"/>
                <w:sz w:val="19"/>
              </w:rPr>
              <w:t xml:space="preserve"> Trang web được viết để phân phối qua mạng nội bộ của công ty không được chứa thông tin được phân loại là Hạn chế của Công ty (Company Restricted) trừ khi thông tin đó được mã hóa trong quá trình truyền và yêu cầu xác thực hai yếu tố. </w:t>
            </w:r>
            <w:r>
              <w:rPr>
                <w:b/>
                <w:i w:val="0"/>
                <w:sz w:val="19"/>
              </w:rPr>
              <w:t>Tham khảo rủi ro: L-1, L-2</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L-1</w:t>
            </w:r>
          </w:p>
        </w:tc>
        <w:tc>
          <w:tcPr>
            <w:tcW w:type="dxa" w:w="4680"/>
          </w:tcPr>
          <w:p>
            <w:r/>
            <w:r>
              <w:rPr>
                <w:b w:val="0"/>
                <w:i w:val="0"/>
                <w:sz w:val="19"/>
              </w:rPr>
              <w:t>Việc sử dụng, tiết lộ, sửa đổi hoặc phá hủy hệ thống và dữ liệu trái phép có thể xảy ra.</w:t>
            </w:r>
          </w:p>
        </w:tc>
      </w:tr>
      <w:tr>
        <w:tc>
          <w:tcPr>
            <w:tcW w:type="dxa" w:w="4680"/>
          </w:tcPr>
          <w:p>
            <w:r/>
            <w:r>
              <w:rPr>
                <w:b w:val="0"/>
                <w:i w:val="0"/>
                <w:sz w:val="19"/>
              </w:rPr>
              <w:t>L-2</w:t>
            </w:r>
          </w:p>
        </w:tc>
        <w:tc>
          <w:tcPr>
            <w:tcW w:type="dxa" w:w="4680"/>
          </w:tcPr>
          <w:p>
            <w:r/>
            <w:r>
              <w:rPr>
                <w:b w:val="0"/>
                <w:i w:val="0"/>
                <w:sz w:val="19"/>
              </w:rPr>
              <w:t>Thông tin của công ty có thể bị tiết lộ hoặc mất mát, điều này có thể ảnh hưởng đến vị thế cạnh tranh của công ty.</w:t>
            </w:r>
          </w:p>
        </w:tc>
      </w:tr>
      <w:tr>
        <w:tc>
          <w:tcPr>
            <w:tcW w:type="dxa" w:w="4680"/>
          </w:tcPr>
          <w:p>
            <w:r/>
            <w:r>
              <w:rPr>
                <w:b w:val="0"/>
                <w:i w:val="0"/>
                <w:sz w:val="19"/>
              </w:rPr>
              <w:t>L-3</w:t>
            </w:r>
          </w:p>
        </w:tc>
        <w:tc>
          <w:tcPr>
            <w:tcW w:type="dxa" w:w="4680"/>
          </w:tcPr>
          <w:p>
            <w:r/>
            <w:r>
              <w:rPr>
                <w:b w:val="0"/>
                <w:i w:val="0"/>
                <w:sz w:val="19"/>
              </w:rPr>
              <w:t>Các máy tính xử lý giao dịch của hệ thống kinh doanh, sản xuất và kỹ thuật, hoặc thực hiện kiểm thử sản phẩm, có thể không có phần mềm bảo mật truy cập đầy đủ.</w:t>
            </w:r>
          </w:p>
        </w:tc>
      </w:tr>
      <w:tr>
        <w:tc>
          <w:tcPr>
            <w:tcW w:type="dxa" w:w="4680"/>
          </w:tcPr>
          <w:p>
            <w:r/>
            <w:r>
              <w:rPr>
                <w:b w:val="0"/>
                <w:i w:val="0"/>
                <w:sz w:val="19"/>
              </w:rPr>
              <w:t>L-4</w:t>
            </w:r>
          </w:p>
        </w:tc>
        <w:tc>
          <w:tcPr>
            <w:tcW w:type="dxa" w:w="4680"/>
          </w:tcPr>
          <w:p>
            <w:r/>
            <w:r>
              <w:rPr>
                <w:b w:val="0"/>
                <w:i w:val="0"/>
                <w:sz w:val="19"/>
              </w:rPr>
              <w:t>Phần mềm bảo mật truy cập máy tính hoặc hệ điều hành có thể không cung cấp các biện pháp kiểm soát bảo mật bảo vệ hoặc phát hiện tối thiểu đầy đủ.</w:t>
            </w:r>
          </w:p>
        </w:tc>
      </w:tr>
      <w:tr>
        <w:tc>
          <w:tcPr>
            <w:tcW w:type="dxa" w:w="4680"/>
          </w:tcPr>
          <w:p>
            <w:r/>
            <w:r>
              <w:rPr>
                <w:b w:val="0"/>
                <w:i w:val="0"/>
                <w:sz w:val="19"/>
              </w:rPr>
              <w:t>L-5</w:t>
            </w:r>
          </w:p>
        </w:tc>
        <w:tc>
          <w:tcPr>
            <w:tcW w:type="dxa" w:w="4680"/>
          </w:tcPr>
          <w:p>
            <w:r/>
            <w:r>
              <w:rPr>
                <w:b w:val="0"/>
                <w:i w:val="0"/>
                <w:sz w:val="19"/>
              </w:rPr>
              <w:t>Mật khẩu cho tài khoản máy tính của người dùng có thể bị tiết lộ và cho phép truy cập trái phép vào dữ liệu và chương trình.</w:t>
            </w:r>
          </w:p>
        </w:tc>
      </w:tr>
      <w:tr>
        <w:tc>
          <w:tcPr>
            <w:tcW w:type="dxa" w:w="4680"/>
          </w:tcPr>
          <w:p>
            <w:r/>
            <w:r>
              <w:rPr>
                <w:b w:val="0"/>
                <w:i w:val="0"/>
                <w:sz w:val="19"/>
              </w:rPr>
              <w:t>L-6</w:t>
            </w:r>
          </w:p>
        </w:tc>
        <w:tc>
          <w:tcPr>
            <w:tcW w:type="dxa" w:w="4680"/>
          </w:tcPr>
          <w:p>
            <w:r/>
            <w:r>
              <w:rPr>
                <w:b w:val="0"/>
                <w:i w:val="0"/>
                <w:sz w:val="19"/>
              </w:rPr>
              <w:t>Các nỗ lực truy cập trái phép có thể được thực hiện thường xuyên mà không bị phát hiện.</w:t>
            </w:r>
          </w:p>
        </w:tc>
      </w:tr>
      <w:tr>
        <w:tc>
          <w:tcPr>
            <w:tcW w:type="dxa" w:w="4680"/>
          </w:tcPr>
          <w:p>
            <w:r/>
            <w:r>
              <w:rPr>
                <w:b w:val="0"/>
                <w:i w:val="0"/>
                <w:sz w:val="19"/>
              </w:rPr>
              <w:t>L-7</w:t>
            </w:r>
          </w:p>
        </w:tc>
        <w:tc>
          <w:tcPr>
            <w:tcW w:type="dxa" w:w="4680"/>
          </w:tcPr>
          <w:p>
            <w:r/>
            <w:r>
              <w:rPr>
                <w:b w:val="0"/>
                <w:i w:val="0"/>
                <w:sz w:val="19"/>
              </w:rPr>
              <w:t>Các chương trình và/hoặc tệp lệnh chứa mã phá hoại như virus máy tính, Trojan horse, logic bomb, v.v. có thể được đưa vào tài nguyên máy tính của công ty.</w:t>
            </w:r>
          </w:p>
        </w:tc>
      </w:tr>
      <w:tr>
        <w:tc>
          <w:tcPr>
            <w:tcW w:type="dxa" w:w="4680"/>
          </w:tcPr>
          <w:p>
            <w:r/>
            <w:r>
              <w:rPr>
                <w:b w:val="0"/>
                <w:i w:val="0"/>
                <w:sz w:val="19"/>
              </w:rPr>
              <w:t>L-8</w:t>
            </w:r>
          </w:p>
        </w:tc>
        <w:tc>
          <w:tcPr>
            <w:tcW w:type="dxa" w:w="4680"/>
          </w:tcPr>
          <w:p>
            <w:r/>
            <w:r>
              <w:rPr>
                <w:b w:val="0"/>
                <w:i w:val="0"/>
                <w:sz w:val="19"/>
              </w:rPr>
              <w:t>Việc triển khai phần mềm có thể dẫn đến xử lý hệ thống bị sai sót.</w:t>
            </w:r>
          </w:p>
        </w:tc>
      </w:tr>
      <w:tr>
        <w:tc>
          <w:tcPr>
            <w:tcW w:type="dxa" w:w="4680"/>
          </w:tcPr>
          <w:p>
            <w:r/>
            <w:r>
              <w:rPr>
                <w:b w:val="0"/>
                <w:i w:val="0"/>
                <w:sz w:val="19"/>
              </w:rPr>
              <w:t>L-9</w:t>
            </w:r>
          </w:p>
        </w:tc>
        <w:tc>
          <w:tcPr>
            <w:tcW w:type="dxa" w:w="4680"/>
          </w:tcPr>
          <w:p>
            <w:r/>
            <w:r>
              <w:rPr>
                <w:b w:val="0"/>
                <w:i w:val="0"/>
                <w:sz w:val="19"/>
              </w:rPr>
              <w:t>Nguồn gốc của phần mềm có thể không hợp pháp.</w:t>
            </w:r>
          </w:p>
        </w:tc>
      </w:tr>
      <w:tr>
        <w:tc>
          <w:tcPr>
            <w:tcW w:type="dxa" w:w="4680"/>
          </w:tcPr>
          <w:p>
            <w:r/>
            <w:r>
              <w:rPr>
                <w:b w:val="0"/>
                <w:i w:val="0"/>
                <w:sz w:val="19"/>
              </w:rPr>
              <w:t>L-10</w:t>
            </w:r>
          </w:p>
        </w:tc>
        <w:tc>
          <w:tcPr>
            <w:tcW w:type="dxa" w:w="4680"/>
          </w:tcPr>
          <w:p>
            <w:r/>
            <w:r>
              <w:rPr>
                <w:b w:val="0"/>
                <w:i w:val="0"/>
                <w:sz w:val="19"/>
              </w:rPr>
              <w:t>Luật bản quyền hoặc một thỏa thuận cấp phép thường trực mà công ty có với nhà cung cấp có thể bị vi phạm.</w:t>
            </w:r>
          </w:p>
        </w:tc>
      </w:tr>
      <w:tr>
        <w:tc>
          <w:tcPr>
            <w:tcW w:type="dxa" w:w="4680"/>
          </w:tcPr>
          <w:p>
            <w:r/>
            <w:r>
              <w:rPr>
                <w:b w:val="0"/>
                <w:i w:val="0"/>
                <w:sz w:val="19"/>
              </w:rPr>
              <w:t>L-11</w:t>
            </w:r>
          </w:p>
        </w:tc>
        <w:tc>
          <w:tcPr>
            <w:tcW w:type="dxa" w:w="4680"/>
          </w:tcPr>
          <w:p>
            <w:r/>
            <w:r>
              <w:rPr>
                <w:b w:val="0"/>
                <w:i w:val="0"/>
                <w:sz w:val="19"/>
              </w:rPr>
              <w:t>Thông tin nhạy cảm có thể bị truy cập và/hoặc tiết lộ cho nhân sự không được phép.</w:t>
            </w:r>
          </w:p>
        </w:tc>
      </w:tr>
      <w:tr>
        <w:tc>
          <w:tcPr>
            <w:tcW w:type="dxa" w:w="4680"/>
          </w:tcPr>
          <w:p>
            <w:r/>
            <w:r>
              <w:rPr>
                <w:b w:val="0"/>
                <w:i w:val="0"/>
                <w:sz w:val="19"/>
              </w:rPr>
              <w:t>L-12</w:t>
            </w:r>
          </w:p>
        </w:tc>
        <w:tc>
          <w:tcPr>
            <w:tcW w:type="dxa" w:w="4680"/>
          </w:tcPr>
          <w:p>
            <w:r/>
            <w:r>
              <w:rPr>
                <w:b w:val="0"/>
                <w:i w:val="0"/>
                <w:sz w:val="19"/>
              </w:rPr>
              <w:t>Tài nguyên máy tính đầy đủ có thể không sẵn có để đáp ứng các yêu cầu kinh doanh.</w:t>
            </w:r>
          </w:p>
        </w:tc>
      </w:tr>
      <w:tr>
        <w:tc>
          <w:tcPr>
            <w:tcW w:type="dxa" w:w="4680"/>
          </w:tcPr>
          <w:p>
            <w:r/>
            <w:r>
              <w:rPr>
                <w:b w:val="0"/>
                <w:i w:val="0"/>
                <w:sz w:val="19"/>
              </w:rPr>
              <w:t>L-13</w:t>
            </w:r>
          </w:p>
        </w:tc>
        <w:tc>
          <w:tcPr>
            <w:tcW w:type="dxa" w:w="4680"/>
          </w:tcPr>
          <w:p>
            <w:r/>
            <w:r>
              <w:rPr>
                <w:b w:val="0"/>
                <w:i w:val="0"/>
                <w:sz w:val="19"/>
              </w:rPr>
              <w:t>Các thông tin liên lạc có thể không mô tả chính xác công ty, hoạt động kinh doanh, sản phẩm hoặc dịch vụ của công ty.</w:t>
            </w:r>
          </w:p>
        </w:tc>
      </w:tr>
      <w:tr>
        <w:tc>
          <w:tcPr>
            <w:tcW w:type="dxa" w:w="4680"/>
          </w:tcPr>
          <w:p>
            <w:r/>
            <w:r>
              <w:rPr>
                <w:b w:val="0"/>
                <w:i w:val="0"/>
                <w:sz w:val="19"/>
              </w:rPr>
              <w:t>L-14</w:t>
            </w:r>
          </w:p>
        </w:tc>
        <w:tc>
          <w:tcPr>
            <w:tcW w:type="dxa" w:w="4680"/>
          </w:tcPr>
          <w:p>
            <w:r/>
            <w:r>
              <w:rPr>
                <w:b w:val="0"/>
                <w:i w:val="0"/>
                <w:sz w:val="19"/>
              </w:rPr>
              <w:t>Truyền thông có thể không nhất quán và không thể hiện đúng đắn công ty.</w:t>
            </w:r>
          </w:p>
        </w:tc>
      </w:tr>
      <w:tr>
        <w:tc>
          <w:tcPr>
            <w:tcW w:type="dxa" w:w="4680"/>
          </w:tcPr>
          <w:p>
            <w:r/>
            <w:r>
              <w:rPr>
                <w:b w:val="0"/>
                <w:i w:val="0"/>
                <w:sz w:val="19"/>
              </w:rPr>
              <w:t>L-15</w:t>
            </w:r>
          </w:p>
        </w:tc>
        <w:tc>
          <w:tcPr>
            <w:tcW w:type="dxa" w:w="4680"/>
          </w:tcPr>
          <w:p>
            <w:r/>
            <w:r>
              <w:rPr>
                <w:b w:val="0"/>
                <w:i w:val="0"/>
                <w:sz w:val="19"/>
              </w:rPr>
              <w:t>Công ty có thể phải chịu trách nhiệm pháp lý cho việc sử dụng sai mục đích hoặc sao chép trái phép tài liệu độc quyền.</w:t>
            </w:r>
          </w:p>
        </w:tc>
      </w:tr>
      <w:tr>
        <w:tc>
          <w:tcPr>
            <w:tcW w:type="dxa" w:w="4680"/>
          </w:tcPr>
          <w:p>
            <w:r/>
            <w:r>
              <w:rPr>
                <w:b w:val="0"/>
                <w:i w:val="0"/>
                <w:sz w:val="19"/>
              </w:rPr>
              <w:t>L-16</w:t>
            </w:r>
          </w:p>
        </w:tc>
        <w:tc>
          <w:tcPr>
            <w:tcW w:type="dxa" w:w="4680"/>
          </w:tcPr>
          <w:p>
            <w:r/>
            <w:r>
              <w:rPr>
                <w:b w:val="0"/>
                <w:i w:val="0"/>
                <w:sz w:val="19"/>
              </w:rPr>
              <w:t>Công ty có thể phải chịu trách nhiệm pháp lý cho việc sử dụng sai mục đích tài nguyên máy tính.</w:t>
            </w:r>
          </w:p>
        </w:tc>
      </w:tr>
    </w:tbl>
    <w:p>
      <w:pPr>
        <w:spacing w:after="0"/>
      </w:pPr>
    </w:p>
    <w:p>
      <w:pPr>
        <w:pStyle w:val="Heading1"/>
      </w:pPr>
      <w:r>
        <w:rPr>
          <w:rFonts w:ascii="Calibri" w:hAnsi="Calibri"/>
          <w:b/>
          <w:i w:val="0"/>
          <w:sz w:val="40"/>
        </w:rPr>
        <w:t xml:space="preserve">CHƯƠNG 11 </w:t>
      </w:r>
      <w:r>
        <w:br/>
      </w:r>
      <w:r>
        <w:rPr>
          <w:rFonts w:ascii="Calibri" w:hAnsi="Calibri"/>
          <w:b/>
          <w:i w:val="0"/>
          <w:sz w:val="40"/>
        </w:rPr>
        <w:t xml:space="preserve"> Bảo vệ tài sản: Con người, Vật chất và Trí tuệ</w:t>
      </w:r>
    </w:p>
    <w:p>
      <w:pPr>
        <w:pStyle w:val="Heading2"/>
      </w:pPr>
      <w:r>
        <w:rPr>
          <w:rFonts w:ascii="Calibri" w:hAnsi="Calibri"/>
          <w:b/>
          <w:i w:val="0"/>
          <w:sz w:val="32"/>
        </w:rPr>
        <w:t>GIỚI THIỆU</w:t>
      </w:r>
    </w:p>
    <w:p>
      <w:pPr>
        <w:spacing w:after="80"/>
      </w:pPr>
      <w:r>
        <w:rPr>
          <w:b w:val="0"/>
          <w:i w:val="0"/>
        </w:rPr>
        <w:t>Phần này bao gồm các chức năng cần thiết để tất cả các thành viên ban quản lý thực hiện hiệu quả trách nhiệm của mình trong việc bảo vệ tài sản và nhân viên của công ty, tối đa hóa lợi nhuận và tăng cường duy trì sự liên tục trong kinh doanh. Tất cả các chính sách, quy trình và thực tiễn được triển khai để đáp ứng các tiêu chuẩn này phải dựa trên việc tuân thủ luật pháp địa phương và các thông lệ có thể đặc thù cho một địa điểm hoặc quy trình kinh doanh cụ thể. (ví dụ: Tính lương, Ngân quỹ, Các khoản phải trả, v.v.)</w:t>
      </w:r>
    </w:p>
    <w:p>
      <w:pPr>
        <w:pStyle w:val="Heading2"/>
      </w:pPr>
      <w:r>
        <w:rPr>
          <w:rFonts w:ascii="Calibri" w:hAnsi="Calibri"/>
          <w:b/>
          <w:i w:val="0"/>
          <w:sz w:val="32"/>
        </w:rPr>
        <w:t>TỔNG QUAN VỀ QUY TRÌNH</w:t>
      </w:r>
    </w:p>
    <w:p>
      <w:pPr>
        <w:spacing w:after="80"/>
      </w:pPr>
      <w:r>
        <w:rPr>
          <w:b w:val="0"/>
          <w:i w:val="0"/>
        </w:rPr>
        <w:t>Sơ đồ dưới đây cho thấy các yếu tố nền tảng hỗ trợ việc bảo vệ tài sản con người, vật chất và trí tuệ là Kiểm soát nội bộ và Tuân thủ, Khung bảo mật, và Quy tắc ứng xử cùng "Tông giọng từ cấp cao nhất" (Tone at the Top).</w:t>
      </w:r>
    </w:p>
    <w:p>
      <w:pPr>
        <w:jc w:val="center"/>
      </w:pPr>
      <w:r>
        <w:drawing>
          <wp:inline xmlns:a="http://schemas.openxmlformats.org/drawingml/2006/main" xmlns:pic="http://schemas.openxmlformats.org/drawingml/2006/picture">
            <wp:extent cx="5486400" cy="2400958"/>
            <wp:docPr id="13" name="Picture 13"/>
            <wp:cNvGraphicFramePr>
              <a:graphicFrameLocks noChangeAspect="1"/>
            </wp:cNvGraphicFramePr>
            <a:graphic>
              <a:graphicData uri="http://schemas.openxmlformats.org/drawingml/2006/picture">
                <pic:pic>
                  <pic:nvPicPr>
                    <pic:cNvPr id="0" name="Image00014.jpg"/>
                    <pic:cNvPicPr/>
                  </pic:nvPicPr>
                  <pic:blipFill>
                    <a:blip r:embed="rId21"/>
                    <a:stretch>
                      <a:fillRect/>
                    </a:stretch>
                  </pic:blipFill>
                  <pic:spPr>
                    <a:xfrm>
                      <a:off x="0" y="0"/>
                      <a:ext cx="5486400" cy="2400958"/>
                    </a:xfrm>
                    <a:prstGeom prst="rect"/>
                  </pic:spPr>
                </pic:pic>
              </a:graphicData>
            </a:graphic>
          </wp:inline>
        </w:drawing>
      </w:r>
    </w:p>
    <w:p>
      <w:pPr>
        <w:pStyle w:val="Heading2"/>
      </w:pPr>
      <w:r>
        <w:rPr>
          <w:rFonts w:ascii="Calibri" w:hAnsi="Calibri"/>
          <w:b/>
          <w:i w:val="0"/>
          <w:sz w:val="32"/>
        </w:rPr>
        <w:t>CÁC CHỈ SỐ ĐO LƯỜNG</w:t>
      </w:r>
    </w:p>
    <w:tbl>
      <w:tblPr>
        <w:tblStyle w:val="TableGrid"/>
        <w:tblW w:type="auto" w:w="0"/>
        <w:tblLook w:firstColumn="1" w:firstRow="1" w:lastColumn="0" w:lastRow="0" w:noHBand="0" w:noVBand="1" w:val="04A0"/>
      </w:tblPr>
      <w:tblGrid>
        <w:gridCol w:w="9360"/>
      </w:tblGrid>
      <w:tr>
        <w:tc>
          <w:tcPr>
            <w:tcW w:type="dxa" w:w="9360"/>
          </w:tcPr>
          <w:p>
            <w:r/>
            <w:r>
              <w:rPr>
                <w:b/>
                <w:i w:val="0"/>
                <w:sz w:val="19"/>
              </w:rPr>
              <w:t>Bảng các chỉ số đo lường</w:t>
            </w:r>
          </w:p>
        </w:tc>
      </w:tr>
      <w:tr>
        <w:tc>
          <w:tcPr>
            <w:tcW w:type="dxa" w:w="9360"/>
          </w:tcPr>
          <w:p>
            <w:r/>
            <w:r>
              <w:rPr>
                <w:b/>
                <w:i w:val="0"/>
                <w:sz w:val="19"/>
              </w:rPr>
              <w:t>Các chỉ số đo lường bảo mật</w:t>
            </w:r>
          </w:p>
        </w:tc>
      </w:tr>
      <w:tr>
        <w:tc>
          <w:tcPr>
            <w:tcW w:type="dxa" w:w="9360"/>
          </w:tcPr>
          <w:p>
            <w:r/>
            <w:r>
              <w:rPr>
                <w:b w:val="0"/>
                <w:i w:val="0"/>
                <w:sz w:val="19"/>
              </w:rPr>
              <w:t>• Số lượng cơ sở của công ty</w:t>
            </w:r>
            <w:r>
              <w:br/>
            </w:r>
            <w:r>
              <w:rPr>
                <w:b w:val="0"/>
                <w:i w:val="0"/>
                <w:sz w:val="19"/>
              </w:rPr>
              <w:t>• Số lượng chính sách, tiêu chuẩn, quy trình và chỉ số đo lường bảo mật có chủ sở hữu cam kết</w:t>
            </w:r>
            <w:r>
              <w:br/>
            </w:r>
            <w:r>
              <w:rPr>
                <w:b w:val="0"/>
                <w:i w:val="0"/>
                <w:sz w:val="19"/>
              </w:rPr>
              <w:t>• Tỷ lệ phần trăm tuân thủ các chính sách, tiêu chuẩn, quy trình và chỉ số đo lường bảo mật</w:t>
            </w:r>
            <w:r>
              <w:br/>
            </w:r>
            <w:r>
              <w:rPr>
                <w:b w:val="0"/>
                <w:i w:val="0"/>
                <w:sz w:val="19"/>
              </w:rPr>
              <w:t>• Mức độ nhận thức về bảo mật của nhân viên công ty</w:t>
            </w:r>
            <w:r>
              <w:br/>
            </w:r>
            <w:r>
              <w:rPr>
                <w:b w:val="0"/>
                <w:i w:val="0"/>
                <w:sz w:val="19"/>
              </w:rPr>
              <w:t>• Số lượng và mức độ nghiêm trọng của các phát hiện trong báo cáo kiểm toán và tự đánh giá</w:t>
            </w:r>
            <w:r>
              <w:br/>
            </w:r>
            <w:r>
              <w:rPr>
                <w:b w:val="0"/>
                <w:i w:val="0"/>
                <w:sz w:val="19"/>
              </w:rPr>
              <w:t>• Số lượng kiểm soát nội bộ được xác định</w:t>
            </w:r>
            <w:r>
              <w:br/>
            </w:r>
            <w:r>
              <w:rPr>
                <w:b w:val="0"/>
                <w:i w:val="0"/>
                <w:sz w:val="19"/>
              </w:rPr>
              <w:t>• Tỷ lệ phần trăm kiểm soát nội bộ được kiểm tra</w:t>
            </w:r>
            <w:r>
              <w:br/>
            </w:r>
            <w:r>
              <w:rPr>
                <w:b w:val="0"/>
                <w:i w:val="0"/>
                <w:sz w:val="19"/>
              </w:rPr>
              <w:t>• Số lượng sự cố bảo mật được báo cáo mỗi kỳ tài chính</w:t>
            </w:r>
            <w:r>
              <w:br/>
            </w:r>
            <w:r>
              <w:rPr>
                <w:b w:val="0"/>
                <w:i w:val="0"/>
                <w:sz w:val="19"/>
              </w:rPr>
              <w:t>• Độ trễ thời gian giữa sự cố và phát hiện</w:t>
            </w:r>
            <w:r>
              <w:br/>
            </w:r>
            <w:r>
              <w:rPr>
                <w:b w:val="0"/>
                <w:i w:val="0"/>
                <w:sz w:val="19"/>
              </w:rPr>
              <w:t>• Số lượng báo động giả</w:t>
            </w:r>
            <w:r>
              <w:br/>
            </w:r>
            <w:r>
              <w:rPr>
                <w:b w:val="0"/>
                <w:i w:val="0"/>
                <w:sz w:val="19"/>
              </w:rPr>
              <w:t>• Chi phí bảo mật tính theo tỷ lệ phần trăm tổng doanh thu công ty</w:t>
            </w:r>
            <w:r>
              <w:br/>
            </w:r>
            <w:r>
              <w:rPr>
                <w:b w:val="0"/>
                <w:i w:val="0"/>
                <w:sz w:val="19"/>
              </w:rPr>
              <w:t>• Số lượng mối nguy hiểm an toàn được chủ động xác định và loại bỏ hàng năm</w:t>
            </w:r>
            <w:r>
              <w:br/>
            </w:r>
            <w:r>
              <w:rPr>
                <w:b w:val="0"/>
                <w:i w:val="0"/>
                <w:sz w:val="19"/>
              </w:rPr>
              <w:t>• Số lượng phản hồi thất bại đối với các vấn đề được bảo mật xác định</w:t>
            </w:r>
          </w:p>
        </w:tc>
      </w:tr>
      <w:tr>
        <w:tc>
          <w:tcPr>
            <w:tcW w:type="dxa" w:w="9360"/>
          </w:tcPr>
          <w:p>
            <w:r/>
            <w:r>
              <w:rPr>
                <w:b/>
                <w:i w:val="0"/>
                <w:sz w:val="19"/>
              </w:rPr>
              <w:t>Sở hữu trí tuệ</w:t>
            </w:r>
          </w:p>
        </w:tc>
      </w:tr>
      <w:tr>
        <w:tc>
          <w:tcPr>
            <w:tcW w:type="dxa" w:w="9360"/>
          </w:tcPr>
          <w:p>
            <w:r/>
            <w:r>
              <w:rPr>
                <w:b w:val="0"/>
                <w:i w:val="0"/>
                <w:sz w:val="19"/>
              </w:rPr>
              <w:t>• Số lượng kiểm tra lý lịch được thực hiện cho nhân viên mới</w:t>
            </w:r>
            <w:r>
              <w:br/>
            </w:r>
            <w:r>
              <w:rPr>
                <w:b w:val="0"/>
                <w:i w:val="0"/>
                <w:sz w:val="19"/>
              </w:rPr>
              <w:t>• Thời gian mỗi nhân viên dành cho quy trình đổi mới sáng tạo</w:t>
            </w:r>
            <w:r>
              <w:br/>
            </w:r>
            <w:r>
              <w:rPr>
                <w:b w:val="0"/>
                <w:i w:val="0"/>
                <w:sz w:val="19"/>
              </w:rPr>
              <w:t>• Chi phí để hỗ trợ các sáng kiến đổi mới</w:t>
            </w:r>
            <w:r>
              <w:br/>
            </w:r>
            <w:r>
              <w:rPr>
                <w:b w:val="0"/>
                <w:i w:val="0"/>
                <w:sz w:val="19"/>
              </w:rPr>
              <w:t>• Số lượng sản phẩm, dịch vụ hoặc phát minh mới được tạo ra hằng năm</w:t>
            </w:r>
            <w:r>
              <w:br/>
            </w:r>
            <w:r>
              <w:rPr>
                <w:b w:val="0"/>
                <w:i w:val="0"/>
                <w:sz w:val="19"/>
              </w:rPr>
              <w:t>• Doanh thu tạo ra từ việc bán các sản phẩm sử dụng tài sản được cấp bằng sáng chế</w:t>
            </w:r>
            <w:r>
              <w:br/>
            </w:r>
            <w:r>
              <w:rPr>
                <w:b w:val="0"/>
                <w:i w:val="0"/>
                <w:sz w:val="19"/>
              </w:rPr>
              <w:t>• Cơ hội doanh thu tạo ra từ việc cấp phép cho các sản phẩm mới</w:t>
            </w:r>
            <w:r>
              <w:br/>
            </w:r>
            <w:r>
              <w:rPr>
                <w:b w:val="0"/>
                <w:i w:val="0"/>
                <w:sz w:val="19"/>
              </w:rPr>
              <w:t>• Tổn thất doanh thu từ các vi phạm thỏa thuận bảo mật</w:t>
            </w:r>
          </w:p>
        </w:tc>
      </w:tr>
    </w:tbl>
    <w:p>
      <w:pPr>
        <w:spacing w:after="0"/>
      </w:pPr>
    </w:p>
    <w:p>
      <w:pPr>
        <w:pStyle w:val="Heading2"/>
      </w:pPr>
      <w:r>
        <w:rPr>
          <w:rFonts w:ascii="Calibri" w:hAnsi="Calibri"/>
          <w:b/>
          <w:i w:val="0"/>
          <w:sz w:val="32"/>
        </w:rPr>
        <w:t>ÁP DỤNG KIỂM SOÁT NỘI BỘ</w:t>
      </w:r>
    </w:p>
    <w:p>
      <w:pPr>
        <w:spacing w:after="80"/>
      </w:pPr>
      <w:r>
        <w:rPr>
          <w:b w:val="0"/>
          <w:i w:val="0"/>
        </w:rPr>
        <w:t>Tất cả các chính sách, quy trình và thông lệ được triển khai để đáp ứng các tiêu chuẩn này phải dựa trên việc tuân thủ luật pháp địa phương và các yêu cầu quy định cũng như các thông lệ có thể đặc thù cho một địa điểm hoặc đơn vị công ty cụ thể.</w:t>
      </w:r>
    </w:p>
    <w:p>
      <w:pPr>
        <w:pStyle w:val="Heading2"/>
      </w:pPr>
      <w:r>
        <w:rPr>
          <w:rFonts w:ascii="Calibri" w:hAnsi="Calibri"/>
          <w:b/>
          <w:i w:val="0"/>
          <w:sz w:val="32"/>
        </w:rPr>
        <w:t>CÁC QUY TRÌNH PHỤ</w:t>
      </w:r>
    </w:p>
    <w:p>
      <w:pPr>
        <w:spacing w:after="80"/>
      </w:pPr>
      <w:r>
        <w:rPr>
          <w:b w:val="0"/>
          <w:i w:val="0"/>
        </w:rPr>
        <w:t>Các chức năng cụ thể trong phần này là:</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11.1</w:t>
            </w:r>
          </w:p>
        </w:tc>
        <w:tc>
          <w:tcPr>
            <w:tcW w:type="dxa" w:w="4680"/>
          </w:tcPr>
          <w:p>
            <w:r/>
            <w:r>
              <w:rPr>
                <w:b w:val="0"/>
                <w:i w:val="0"/>
                <w:sz w:val="19"/>
              </w:rPr>
              <w:t>Khung bảo mật</w:t>
            </w:r>
          </w:p>
        </w:tc>
      </w:tr>
      <w:tr>
        <w:tc>
          <w:tcPr>
            <w:tcW w:type="dxa" w:w="4680"/>
          </w:tcPr>
          <w:p>
            <w:r/>
            <w:r>
              <w:rPr>
                <w:b w:val="0"/>
                <w:i w:val="0"/>
                <w:sz w:val="19"/>
              </w:rPr>
              <w:t>11.2</w:t>
            </w:r>
          </w:p>
        </w:tc>
        <w:tc>
          <w:tcPr>
            <w:tcW w:type="dxa" w:w="4680"/>
          </w:tcPr>
          <w:p>
            <w:r/>
            <w:r>
              <w:rPr>
                <w:b w:val="0"/>
                <w:i w:val="0"/>
                <w:sz w:val="19"/>
              </w:rPr>
              <w:t>Bảo mật vành đai</w:t>
            </w:r>
          </w:p>
        </w:tc>
      </w:tr>
      <w:tr>
        <w:tc>
          <w:tcPr>
            <w:tcW w:type="dxa" w:w="4680"/>
          </w:tcPr>
          <w:p>
            <w:r/>
            <w:r>
              <w:rPr>
                <w:b w:val="0"/>
                <w:i w:val="0"/>
                <w:sz w:val="19"/>
              </w:rPr>
              <w:t>11.3</w:t>
            </w:r>
          </w:p>
        </w:tc>
        <w:tc>
          <w:tcPr>
            <w:tcW w:type="dxa" w:w="4680"/>
          </w:tcPr>
          <w:p>
            <w:r/>
            <w:r>
              <w:rPr>
                <w:b w:val="0"/>
                <w:i w:val="0"/>
                <w:sz w:val="19"/>
              </w:rPr>
              <w:t>Bảo mật nội bộ</w:t>
            </w:r>
          </w:p>
        </w:tc>
      </w:tr>
      <w:tr>
        <w:tc>
          <w:tcPr>
            <w:tcW w:type="dxa" w:w="4680"/>
          </w:tcPr>
          <w:p>
            <w:r/>
            <w:r>
              <w:rPr>
                <w:b w:val="0"/>
                <w:i w:val="0"/>
                <w:sz w:val="19"/>
              </w:rPr>
              <w:t>11.4</w:t>
            </w:r>
          </w:p>
        </w:tc>
        <w:tc>
          <w:tcPr>
            <w:tcW w:type="dxa" w:w="4680"/>
          </w:tcPr>
          <w:p>
            <w:r/>
            <w:r>
              <w:rPr>
                <w:b w:val="0"/>
                <w:i w:val="0"/>
                <w:sz w:val="19"/>
              </w:rPr>
              <w:t>Bảo vệ sở hữu trí tuệ</w:t>
            </w:r>
          </w:p>
        </w:tc>
      </w:tr>
    </w:tbl>
    <w:p>
      <w:pPr>
        <w:spacing w:after="0"/>
      </w:pPr>
    </w:p>
    <w:p>
      <w:pPr>
        <w:pStyle w:val="Heading2"/>
      </w:pPr>
      <w:r>
        <w:rPr>
          <w:rFonts w:ascii="Calibri" w:hAnsi="Calibri"/>
          <w:b/>
          <w:i w:val="0"/>
          <w:sz w:val="32"/>
        </w:rPr>
        <w:t>11.1 KHUNG BẢO MẬT</w:t>
      </w:r>
    </w:p>
    <w:p>
      <w:pPr>
        <w:pStyle w:val="Heading3"/>
      </w:pPr>
      <w:r>
        <w:rPr>
          <w:rFonts w:ascii="Calibri" w:hAnsi="Calibri"/>
          <w:b/>
          <w:i w:val="0"/>
          <w:sz w:val="26"/>
        </w:rPr>
        <w:t>Giới thiệu</w:t>
      </w:r>
    </w:p>
    <w:p>
      <w:pPr>
        <w:spacing w:after="80"/>
      </w:pPr>
      <w:r>
        <w:rPr>
          <w:b w:val="0"/>
          <w:i w:val="0"/>
        </w:rPr>
        <w:t>Ban quản lý phải chỉ định một nhân viên cụ thể (hoặc nhiều nhân viên) chịu trách nhiệm về việc quản lý, duy trì và triển khai chương trình bảo mật tại địa phương, đồng thời triển khai một quy trình theo dõi và báo cáo để báo cáo và khắc phục các vấn đề.</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11.1.1</w:t>
            </w:r>
          </w:p>
        </w:tc>
        <w:tc>
          <w:tcPr>
            <w:tcW w:type="dxa" w:w="4680"/>
          </w:tcPr>
          <w:p>
            <w:r/>
            <w:r>
              <w:rPr>
                <w:b/>
                <w:i w:val="0"/>
                <w:sz w:val="19"/>
              </w:rPr>
              <w:t>Quản trị Chương trình Bảo mật.</w:t>
            </w:r>
            <w:r>
              <w:rPr>
                <w:b w:val="0"/>
                <w:i w:val="0"/>
                <w:sz w:val="19"/>
              </w:rPr>
              <w:t xml:space="preserve"> Ban lãnh đạo phải chỉ định một nhân viên cụ thể (hoặc nhiều nhân viên) chịu trách nhiệm quản trị, duy trì và triển khai chương trình bảo mật tại địa phương. </w:t>
            </w:r>
            <w:r>
              <w:rPr>
                <w:b/>
                <w:i w:val="0"/>
                <w:sz w:val="19"/>
              </w:rPr>
              <w:t>Tham chiếu rủi ro: A-2, A-5</w:t>
            </w:r>
          </w:p>
        </w:tc>
      </w:tr>
      <w:tr>
        <w:tc>
          <w:tcPr>
            <w:tcW w:type="dxa" w:w="4680"/>
          </w:tcPr>
          <w:p>
            <w:r/>
            <w:r>
              <w:rPr>
                <w:b w:val="0"/>
                <w:i w:val="0"/>
                <w:sz w:val="19"/>
              </w:rPr>
              <w:t>11.1.2</w:t>
            </w:r>
          </w:p>
        </w:tc>
        <w:tc>
          <w:tcPr>
            <w:tcW w:type="dxa" w:w="4680"/>
          </w:tcPr>
          <w:p>
            <w:r/>
            <w:r>
              <w:rPr>
                <w:b w:val="0"/>
                <w:i w:val="0"/>
                <w:sz w:val="19"/>
              </w:rPr>
              <w:t>Nhân sự Bảo vệ Vật lý. Ban lãnh đạo nên đảm bảo rằng nhân viên bảo vệ hoặc những người thực hiện chức năng bảo vệ được chuẩn bị đầy đủ để hoàn thành trách nhiệm của họ bằng cách:</w:t>
            </w:r>
            <w:r>
              <w:br/>
            </w:r>
            <w:r>
              <w:rPr>
                <w:b w:val="0"/>
                <w:i w:val="0"/>
                <w:sz w:val="19"/>
              </w:rPr>
              <w:t>a. Có chương trình đào tạo được ghi chép thành văn bản, bao gồm mọi khóa đào tạo chuyên biệt phù hợp với địa điểm hoặc đơn vị công ty</w:t>
            </w:r>
            <w:r>
              <w:br/>
            </w:r>
            <w:r>
              <w:rPr>
                <w:b w:val="0"/>
                <w:i w:val="0"/>
                <w:sz w:val="19"/>
              </w:rPr>
              <w:t>b. Áp dụng và hỗ trợ các quy trình bảo mật một cách nhất quán và đồng bộ</w:t>
            </w:r>
            <w:r>
              <w:br/>
            </w:r>
            <w:r>
              <w:rPr>
                <w:b w:val="0"/>
                <w:i w:val="0"/>
                <w:sz w:val="19"/>
              </w:rPr>
              <w:t>c. Có thỏa thuận bằng văn bản, phù hợp với các tiêu chuẩn này và được Bộ phận Pháp lý, Quản lý Rủi ro và An ninh Doanh nghiệp Toàn cầu phê duyệt, quy định rõ các kỳ vọng về hiệu suất bất cứ khi nào sử dụng dịch vụ bảo vệ theo hợp đồng</w:t>
            </w:r>
            <w:r>
              <w:br/>
            </w:r>
            <w:r>
              <w:rPr>
                <w:b w:val="0"/>
                <w:i w:val="0"/>
                <w:sz w:val="19"/>
              </w:rPr>
              <w:t xml:space="preserve">d. Thực hiện quy trình sàng lọc trước khi tuyển dụng và xét nghiệm ma túy (ví dụ: phỏng vấn người tham chiếu, kiểm tra lý lịch tư pháp, và xác nhận học vấn cùng kinh nghiệm làm việc trước đây) theo đúng quy định pháp luật quốc gia và địa phương </w:t>
            </w:r>
            <w:r>
              <w:rPr>
                <w:b/>
                <w:i w:val="0"/>
                <w:sz w:val="19"/>
              </w:rPr>
              <w:t>Tham chiếu rủi ro: A-2, A-4, A-5, A-8</w:t>
            </w:r>
          </w:p>
        </w:tc>
      </w:tr>
      <w:tr>
        <w:tc>
          <w:tcPr>
            <w:tcW w:type="dxa" w:w="4680"/>
          </w:tcPr>
          <w:p>
            <w:r/>
            <w:r>
              <w:rPr>
                <w:b w:val="0"/>
                <w:i w:val="0"/>
                <w:sz w:val="19"/>
              </w:rPr>
              <w:t>11.1.3</w:t>
            </w:r>
          </w:p>
        </w:tc>
        <w:tc>
          <w:tcPr>
            <w:tcW w:type="dxa" w:w="4680"/>
          </w:tcPr>
          <w:p>
            <w:r/>
            <w:r>
              <w:rPr>
                <w:b/>
                <w:i w:val="0"/>
                <w:sz w:val="19"/>
              </w:rPr>
              <w:t>Hướng dẫn Bảo mật.</w:t>
            </w:r>
            <w:r>
              <w:rPr>
                <w:b w:val="0"/>
                <w:i w:val="0"/>
                <w:sz w:val="19"/>
              </w:rPr>
              <w:t xml:space="preserve"> Các tiêu chuẩn này phải được dùng làm nền tảng cho tất cả chương trình bảo mật. Mọi hướng dẫn và quy trình bảo mật phải được duy trì và cung cấp cho tất cả nhân viên có liên quan. Tất cả chính sách và quy trình liên quan đến bảo mật phải được trình lên bộ phận an ninh doanh nghiệp để phê duyệt. Các vấn đề phát sinh từ quá trình phê duyệt này sẽ được chuyển đến giám đốc an ninh doanh nghiệp để giải quyết. </w:t>
            </w:r>
            <w:r>
              <w:rPr>
                <w:b/>
                <w:i w:val="0"/>
                <w:sz w:val="19"/>
              </w:rPr>
              <w:t>Tham chiếu rủi ro: A-2, A-3, A-5, A-6, A-7</w:t>
            </w:r>
          </w:p>
        </w:tc>
      </w:tr>
      <w:tr>
        <w:tc>
          <w:tcPr>
            <w:tcW w:type="dxa" w:w="4680"/>
          </w:tcPr>
          <w:p>
            <w:r/>
            <w:r>
              <w:rPr>
                <w:b w:val="0"/>
                <w:i w:val="0"/>
                <w:sz w:val="19"/>
              </w:rPr>
              <w:t>11.1.4</w:t>
            </w:r>
          </w:p>
        </w:tc>
        <w:tc>
          <w:tcPr>
            <w:tcW w:type="dxa" w:w="4680"/>
          </w:tcPr>
          <w:p>
            <w:r/>
            <w:r>
              <w:rPr>
                <w:b/>
                <w:i w:val="0"/>
                <w:sz w:val="19"/>
              </w:rPr>
              <w:t>Báo cáo Sự cố.</w:t>
            </w:r>
            <w:r>
              <w:rPr>
                <w:b w:val="0"/>
                <w:i w:val="0"/>
                <w:sz w:val="19"/>
              </w:rPr>
              <w:t xml:space="preserve"> Ban lãnh đạo sẽ xây dựng quy trình ghi nhận và báo cáo các sự cố (ví dụ: gian lận, trộm cắp, biển thủ, hoặc các hành vi hay tình trạng bất hợp pháp hoặc phi đạo đức) dẫn đến tổn thất thực tế hoặc tiềm ẩn tài sản của công ty. Ngoài ra, các sự cố bảo mật vận hành nghiêm trọng hoặc tổn thất gây chú ý lớn phải được báo cáo kịp thời cho bộ phận an ninh doanh nghiệp. Quy trình báo cáo phải được liên kết với Hệ thống Báo cáo Sự cố Bảo mật của công ty để cung cấp thông tin cập nhật cho bộ phận an ninh doanh nghiệp và, thông qua kiểm toán nội bộ, cung cấp thông tin cập nhật cho hội đồng quản trị. </w:t>
            </w:r>
            <w:r>
              <w:rPr>
                <w:b/>
                <w:i w:val="0"/>
                <w:sz w:val="19"/>
              </w:rPr>
              <w:t>Tham chiếu rủi ro: A-2, A-5, A-6, A-7</w:t>
            </w:r>
          </w:p>
        </w:tc>
      </w:tr>
      <w:tr>
        <w:tc>
          <w:tcPr>
            <w:tcW w:type="dxa" w:w="4680"/>
          </w:tcPr>
          <w:p>
            <w:r/>
            <w:r>
              <w:rPr>
                <w:b w:val="0"/>
                <w:i w:val="0"/>
                <w:sz w:val="19"/>
              </w:rPr>
              <w:t>11.1.5</w:t>
            </w:r>
          </w:p>
        </w:tc>
        <w:tc>
          <w:tcPr>
            <w:tcW w:type="dxa" w:w="4680"/>
          </w:tcPr>
          <w:p>
            <w:r/>
            <w:r>
              <w:rPr>
                <w:b/>
                <w:i w:val="0"/>
                <w:sz w:val="19"/>
              </w:rPr>
              <w:t>Diễn đàn Bảo mật và Các Diễn đàn Liên quan.</w:t>
            </w:r>
            <w:r>
              <w:rPr>
                <w:b w:val="0"/>
                <w:i w:val="0"/>
                <w:sz w:val="19"/>
              </w:rPr>
              <w:t xml:space="preserve"> Nhân sự bảo mật và các nhân sự liên quan sẽ tham gia cùng bộ phận an ninh doanh nghiệp trong các diễn đàn bảo mật theo khu vực địa lý và/hoặc theo bộ phận được thành lập chính thức để thảo luận về các vấn đề bảo mật, rủi ro và các biện pháp đối phó phù hợp. </w:t>
            </w:r>
            <w:r>
              <w:rPr>
                <w:b/>
                <w:i w:val="0"/>
                <w:sz w:val="19"/>
              </w:rPr>
              <w:t>Tham chiếu rủi ro: A-2, A-5, A-8</w:t>
            </w:r>
          </w:p>
        </w:tc>
      </w:tr>
      <w:tr>
        <w:tc>
          <w:tcPr>
            <w:tcW w:type="dxa" w:w="4680"/>
          </w:tcPr>
          <w:p>
            <w:r/>
            <w:r>
              <w:rPr>
                <w:b w:val="0"/>
                <w:i w:val="0"/>
                <w:sz w:val="19"/>
              </w:rPr>
              <w:t>11.1.6</w:t>
            </w:r>
          </w:p>
        </w:tc>
        <w:tc>
          <w:tcPr>
            <w:tcW w:type="dxa" w:w="4680"/>
          </w:tcPr>
          <w:p>
            <w:r/>
            <w:r>
              <w:rPr>
                <w:b w:val="0"/>
                <w:i w:val="0"/>
                <w:sz w:val="19"/>
              </w:rPr>
              <w:t>Xác định Tài sản Trọng yếu. Ban lãnh đạo sẽ xây dựng và triển khai quy trình hàng năm để xác định các tài sản trọng yếu được giao phó cho tổ chức của họ. Quy trình này nên bao gồm các cuộc thảo luận với các tổ chức phù hợp khác (ví dụ: bộ phận kỹ thuật và tình báo kinh doanh, các tổ chức khác tham gia vào quy trình kinh doanh). Các tài sản được xem xét nên bao gồm tài sản vật lý, hệ thống thông tin, sở hữu trí tuệ và thông tin độc quyền. Một tài sản nên được coi là trọng yếu nếu việc mất đi hoặc không thể sử dụng tài sản đó sẽ ảnh hưởng đáng kể đến doanh thu hoặc khả năng đáp ứng nhu cầu khách hàng và/hoặc duy trì vị thế cạnh tranh. Việc mô tả đặc điểm của các tài sản trọng yếu nên bao gồm:</w:t>
            </w:r>
            <w:r>
              <w:br/>
            </w:r>
            <w:r>
              <w:rPr>
                <w:b w:val="0"/>
                <w:i w:val="0"/>
                <w:sz w:val="19"/>
              </w:rPr>
              <w:t>a. Mô tả</w:t>
            </w:r>
            <w:r>
              <w:br/>
            </w:r>
            <w:r>
              <w:rPr>
                <w:b w:val="0"/>
                <w:i w:val="0"/>
                <w:sz w:val="19"/>
              </w:rPr>
              <w:t>b. Chức năng trong hoạt động kinh doanh (cách tài sản được sử dụng)</w:t>
            </w:r>
            <w:r>
              <w:br/>
            </w:r>
            <w:r>
              <w:rPr>
                <w:b w:val="0"/>
                <w:i w:val="0"/>
                <w:sz w:val="19"/>
              </w:rPr>
              <w:t>c. Lý do tài sản có giá trị (ví dụ: thiết yếu cho hoạt động, lợi thế cạnh tranh)</w:t>
            </w:r>
            <w:r>
              <w:br/>
            </w:r>
            <w:r>
              <w:rPr>
                <w:b w:val="0"/>
                <w:i w:val="0"/>
                <w:sz w:val="19"/>
              </w:rPr>
              <w:t>d. Mô tả (các) hình thức</w:t>
            </w:r>
            <w:r>
              <w:br/>
            </w:r>
            <w:r>
              <w:rPr>
                <w:b w:val="0"/>
                <w:i w:val="0"/>
                <w:sz w:val="19"/>
              </w:rPr>
              <w:t>e. Ai sử dụng tài sản</w:t>
            </w:r>
            <w:r>
              <w:br/>
            </w:r>
            <w:r>
              <w:rPr>
                <w:b w:val="0"/>
                <w:i w:val="0"/>
                <w:sz w:val="19"/>
              </w:rPr>
              <w:t>f.  Tài sản được đặt ở đâu</w:t>
            </w:r>
            <w:r>
              <w:br/>
            </w:r>
            <w:r>
              <w:rPr>
                <w:b w:val="0"/>
                <w:i w:val="0"/>
                <w:sz w:val="19"/>
              </w:rPr>
              <w:t>g. Cách kiểm soát việc truy cập hoặc sử dụng tài sản</w:t>
            </w:r>
            <w:r>
              <w:br/>
            </w:r>
            <w:r>
              <w:rPr>
                <w:b w:val="0"/>
                <w:i w:val="0"/>
                <w:sz w:val="19"/>
              </w:rPr>
              <w:t>h. Cách duy trì bảo mật</w:t>
            </w:r>
            <w:r>
              <w:br/>
            </w:r>
            <w:r>
              <w:rPr>
                <w:b w:val="0"/>
                <w:i w:val="0"/>
                <w:sz w:val="19"/>
              </w:rPr>
              <w:t xml:space="preserve">i. Quy trình khôi phục trong trường hợp tài sản bị xâm phạm, phá hủy hoặc đánh cắp </w:t>
            </w:r>
            <w:r>
              <w:rPr>
                <w:b/>
                <w:i w:val="0"/>
                <w:sz w:val="19"/>
              </w:rPr>
              <w:t>Tham chiếu rủi ro: A-5, A-6</w:t>
            </w:r>
          </w:p>
        </w:tc>
      </w:tr>
      <w:tr>
        <w:tc>
          <w:tcPr>
            <w:tcW w:type="dxa" w:w="4680"/>
          </w:tcPr>
          <w:p>
            <w:r/>
            <w:r>
              <w:rPr>
                <w:b w:val="0"/>
                <w:i w:val="0"/>
                <w:sz w:val="19"/>
              </w:rPr>
              <w:t>11.1.7</w:t>
            </w:r>
          </w:p>
        </w:tc>
        <w:tc>
          <w:tcPr>
            <w:tcW w:type="dxa" w:w="4680"/>
          </w:tcPr>
          <w:p>
            <w:r/>
            <w:r>
              <w:rPr>
                <w:b/>
                <w:i w:val="0"/>
                <w:sz w:val="19"/>
              </w:rPr>
              <w:t>Bảo mật Tài sản Trọng yếu.</w:t>
            </w:r>
            <w:r>
              <w:rPr>
                <w:b w:val="0"/>
                <w:i w:val="0"/>
                <w:sz w:val="19"/>
              </w:rPr>
              <w:t xml:space="preserve"> Quy trình xác định cũng nên bao gồm việc phân phối có kiểm soát thông tin mật này đến nhân sự phù hợp để đảm bảo nhận thức nhất quán và toàn diện về những tài sản cần được xem xét bảo mật đặc biệt. Việc xác định các tài sản này sẽ là nền tảng của toàn bộ hồ sơ rủi ro và kế hoạch liên tục kinh doanh. </w:t>
            </w:r>
            <w:r>
              <w:rPr>
                <w:b/>
                <w:i w:val="0"/>
                <w:sz w:val="19"/>
              </w:rPr>
              <w:t>Tham chiếu rủi ro: A-5, A-6</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A-2</w:t>
            </w:r>
          </w:p>
        </w:tc>
        <w:tc>
          <w:tcPr>
            <w:tcW w:type="dxa" w:w="4680"/>
          </w:tcPr>
          <w:p>
            <w:r/>
            <w:r>
              <w:rPr>
                <w:b w:val="0"/>
                <w:i w:val="0"/>
                <w:sz w:val="19"/>
              </w:rPr>
              <w:t>An ninh cho nhân viên công ty và khách ra vào có thể chưa đầy đủ.</w:t>
            </w:r>
          </w:p>
        </w:tc>
      </w:tr>
      <w:tr>
        <w:tc>
          <w:tcPr>
            <w:tcW w:type="dxa" w:w="4680"/>
          </w:tcPr>
          <w:p>
            <w:r/>
            <w:r>
              <w:rPr>
                <w:b w:val="0"/>
                <w:i w:val="0"/>
                <w:sz w:val="19"/>
              </w:rPr>
              <w:t>A-3</w:t>
            </w:r>
          </w:p>
        </w:tc>
        <w:tc>
          <w:tcPr>
            <w:tcW w:type="dxa" w:w="4680"/>
          </w:tcPr>
          <w:p>
            <w:r/>
            <w:r>
              <w:rPr>
                <w:b w:val="0"/>
                <w:i w:val="0"/>
                <w:sz w:val="19"/>
              </w:rPr>
              <w:t>Các kế hoạch ứng phó thảm họa/khẩn cấp có thể không hiệu quả.</w:t>
            </w:r>
          </w:p>
        </w:tc>
      </w:tr>
      <w:tr>
        <w:tc>
          <w:tcPr>
            <w:tcW w:type="dxa" w:w="4680"/>
          </w:tcPr>
          <w:p>
            <w:r/>
            <w:r>
              <w:rPr>
                <w:b w:val="0"/>
                <w:i w:val="0"/>
                <w:sz w:val="19"/>
              </w:rPr>
              <w:t>A-4</w:t>
            </w:r>
          </w:p>
        </w:tc>
        <w:tc>
          <w:tcPr>
            <w:tcW w:type="dxa" w:w="4680"/>
          </w:tcPr>
          <w:p>
            <w:r/>
            <w:r>
              <w:rPr>
                <w:b w:val="0"/>
                <w:i w:val="0"/>
                <w:sz w:val="19"/>
              </w:rPr>
              <w:t>Nhân viên an ninh được đào tạo bài bản chưa đủ có thể không đủ khả năng ứng phó thỏa đáng với một tình huống/sự cố cần đến sự tham gia của họ.</w:t>
            </w:r>
          </w:p>
        </w:tc>
      </w:tr>
      <w:tr>
        <w:tc>
          <w:tcPr>
            <w:tcW w:type="dxa" w:w="4680"/>
          </w:tcPr>
          <w:p>
            <w:r/>
            <w:r>
              <w:rPr>
                <w:b w:val="0"/>
                <w:i w:val="0"/>
                <w:sz w:val="19"/>
              </w:rPr>
              <w:t>A-5</w:t>
            </w:r>
          </w:p>
        </w:tc>
        <w:tc>
          <w:tcPr>
            <w:tcW w:type="dxa" w:w="4680"/>
          </w:tcPr>
          <w:p>
            <w:r/>
            <w:r>
              <w:rPr>
                <w:b w:val="0"/>
                <w:i w:val="0"/>
                <w:sz w:val="19"/>
              </w:rPr>
              <w:t>Tài sản của công ty, như sản phẩm, tài sản cố định, nguyên vật liệu và công nghệ, có thể bị đánh cắp, hư hại hoặc bị xâm phạm theo cách khác.</w:t>
            </w:r>
          </w:p>
        </w:tc>
      </w:tr>
      <w:tr>
        <w:tc>
          <w:tcPr>
            <w:tcW w:type="dxa" w:w="4680"/>
          </w:tcPr>
          <w:p>
            <w:r/>
            <w:r>
              <w:rPr>
                <w:b w:val="0"/>
                <w:i w:val="0"/>
                <w:sz w:val="19"/>
              </w:rPr>
              <w:t>A-6</w:t>
            </w:r>
          </w:p>
        </w:tc>
        <w:tc>
          <w:tcPr>
            <w:tcW w:type="dxa" w:w="4680"/>
          </w:tcPr>
          <w:p>
            <w:r/>
            <w:r>
              <w:rPr>
                <w:b w:val="0"/>
                <w:i w:val="0"/>
                <w:sz w:val="19"/>
              </w:rPr>
              <w:t>Việc truy cập trái phép và/hoặc tiết lộ thông tin độc quyền có thể ảnh hưởng tiêu cực đến vị thế cạnh tranh và danh tiếng của công ty.</w:t>
            </w:r>
          </w:p>
        </w:tc>
      </w:tr>
      <w:tr>
        <w:tc>
          <w:tcPr>
            <w:tcW w:type="dxa" w:w="4680"/>
          </w:tcPr>
          <w:p>
            <w:r/>
            <w:r>
              <w:rPr>
                <w:b w:val="0"/>
                <w:i w:val="0"/>
                <w:sz w:val="19"/>
              </w:rPr>
              <w:t>A-7</w:t>
            </w:r>
          </w:p>
        </w:tc>
        <w:tc>
          <w:tcPr>
            <w:tcW w:type="dxa" w:w="4680"/>
          </w:tcPr>
          <w:p>
            <w:r/>
            <w:r>
              <w:rPr>
                <w:b w:val="0"/>
                <w:i w:val="0"/>
                <w:sz w:val="19"/>
              </w:rPr>
              <w:t>Khả năng tiến hành hoạt động kinh doanh của công ty có thể bị suy giảm đáng kể.</w:t>
            </w:r>
          </w:p>
        </w:tc>
      </w:tr>
      <w:tr>
        <w:tc>
          <w:tcPr>
            <w:tcW w:type="dxa" w:w="4680"/>
          </w:tcPr>
          <w:p>
            <w:r/>
            <w:r>
              <w:rPr>
                <w:b w:val="0"/>
                <w:i w:val="0"/>
                <w:sz w:val="19"/>
              </w:rPr>
              <w:t>A-8</w:t>
            </w:r>
          </w:p>
        </w:tc>
        <w:tc>
          <w:tcPr>
            <w:tcW w:type="dxa" w:w="4680"/>
          </w:tcPr>
          <w:p>
            <w:r/>
            <w:r>
              <w:rPr>
                <w:b w:val="0"/>
                <w:i w:val="0"/>
                <w:sz w:val="19"/>
              </w:rPr>
              <w:t>Phản ứng an ninh đối với các sự cố lớn có thể chậm chạp và cuối cùng cản trở việc giải quyết.</w:t>
            </w:r>
          </w:p>
        </w:tc>
      </w:tr>
    </w:tbl>
    <w:p>
      <w:pPr>
        <w:spacing w:after="0"/>
      </w:pPr>
    </w:p>
    <w:p>
      <w:pPr>
        <w:pStyle w:val="Heading2"/>
      </w:pPr>
      <w:r>
        <w:rPr>
          <w:rFonts w:ascii="Calibri" w:hAnsi="Calibri"/>
          <w:b/>
          <w:i w:val="0"/>
          <w:sz w:val="32"/>
        </w:rPr>
        <w:t>11.2 AN NINH VÀNH ĐAI</w:t>
      </w:r>
    </w:p>
    <w:p>
      <w:pPr>
        <w:pStyle w:val="Heading3"/>
      </w:pPr>
      <w:r>
        <w:rPr>
          <w:rFonts w:ascii="Calibri" w:hAnsi="Calibri"/>
          <w:b/>
          <w:i w:val="0"/>
          <w:sz w:val="26"/>
        </w:rPr>
        <w:t>Giới thiệu</w:t>
      </w:r>
    </w:p>
    <w:p>
      <w:pPr>
        <w:spacing w:after="80"/>
      </w:pPr>
      <w:r>
        <w:rPr>
          <w:b w:val="0"/>
          <w:i w:val="0"/>
        </w:rPr>
        <w:t>Khi xác định an ninh vành đai (perimeter security), tất cả các địa điểm của công ty và công ty con (bao gồm cả đất chưa được cải tạo hoặc có vẻ như không được sử dụng), dù thuê hay sở hữu, đều phải trưng bày (các) thông báo phù hợp để xác định cơ sở đó là tài sản của công ty với quyền ra vào và các hoạt động bị giới hạn trong công việc kinh doanh của công ty.</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11.2.1</w:t>
            </w:r>
          </w:p>
        </w:tc>
        <w:tc>
          <w:tcPr>
            <w:tcW w:type="dxa" w:w="4680"/>
          </w:tcPr>
          <w:p>
            <w:r/>
            <w:r>
              <w:rPr>
                <w:b/>
                <w:i w:val="0"/>
                <w:sz w:val="19"/>
              </w:rPr>
              <w:t>Xác định Tài sản Công ty.</w:t>
            </w:r>
            <w:r>
              <w:rPr>
                <w:b w:val="0"/>
                <w:i w:val="0"/>
                <w:sz w:val="19"/>
              </w:rPr>
              <w:t xml:space="preserve"> Vị trí đặt và nội dung của (các) thông báo phải phù hợp và nhất quán với mọi điều khoản hợp đồng thuê áp dụng cũng như các yêu cầu pháp lý địa phương liên quan đến xâm nhập trái phép và luật trách nhiệm. </w:t>
            </w:r>
            <w:r>
              <w:rPr>
                <w:b/>
                <w:i w:val="0"/>
                <w:sz w:val="19"/>
              </w:rPr>
              <w:t>Tham chiếu rủi ro: B-1, B-5, B-8</w:t>
            </w:r>
          </w:p>
        </w:tc>
      </w:tr>
      <w:tr>
        <w:tc>
          <w:tcPr>
            <w:tcW w:type="dxa" w:w="4680"/>
          </w:tcPr>
          <w:p>
            <w:r/>
            <w:r>
              <w:rPr>
                <w:b w:val="0"/>
                <w:i w:val="0"/>
                <w:sz w:val="19"/>
              </w:rPr>
              <w:t>11.2.2</w:t>
              <w:br/>
            </w:r>
          </w:p>
        </w:tc>
        <w:tc>
          <w:tcPr>
            <w:tcW w:type="dxa" w:w="4680"/>
          </w:tcPr>
          <w:p>
            <w:r/>
          </w:p>
        </w:tc>
      </w:tr>
      <w:tr>
        <w:tc>
          <w:tcPr>
            <w:tcW w:type="dxa" w:w="4680"/>
          </w:tcPr>
          <w:p>
            <w:r/>
          </w:p>
        </w:tc>
        <w:tc>
          <w:tcPr>
            <w:tcW w:type="dxa" w:w="4680"/>
          </w:tcPr>
          <w:p>
            <w:r/>
          </w:p>
        </w:tc>
      </w:tr>
      <w:tr>
        <w:tc>
          <w:tcPr>
            <w:tcW w:type="dxa" w:w="4680"/>
          </w:tcPr>
          <w:p>
            <w:r/>
          </w:p>
        </w:tc>
        <w:tc>
          <w:tcPr>
            <w:tcW w:type="dxa" w:w="4680"/>
          </w:tcPr>
          <w:p>
            <w:r/>
          </w:p>
        </w:tc>
      </w:tr>
      <w:tr>
        <w:tc>
          <w:tcPr>
            <w:tcW w:type="dxa" w:w="4680"/>
          </w:tcPr>
          <w:p>
            <w:r/>
          </w:p>
        </w:tc>
        <w:tc>
          <w:tcPr>
            <w:tcW w:type="dxa" w:w="4680"/>
          </w:tcPr>
          <w:p>
            <w:r/>
          </w:p>
        </w:tc>
      </w:tr>
    </w:tbl>
    <w:p>
      <w:pPr>
        <w:spacing w:after="0"/>
      </w:pPr>
    </w:p>
    <w:p>
      <w:pPr>
        <w:pStyle w:val="Heading3"/>
      </w:pPr>
    </w:p>
    <w:tbl>
      <w:tblPr>
        <w:tblStyle w:val="TableGrid"/>
        <w:tblW w:type="auto" w:w="0"/>
        <w:tblLook w:firstColumn="1" w:firstRow="1" w:lastColumn="0" w:lastRow="0" w:noHBand="0" w:noVBand="1" w:val="04A0"/>
      </w:tblPr>
      <w:tblGrid>
        <w:gridCol w:w="4680"/>
        <w:gridCol w:w="4680"/>
      </w:tblGrid>
      <w:tr>
        <w:tc>
          <w:tcPr>
            <w:tcW w:type="dxa" w:w="4680"/>
          </w:tcPr>
          <w:p>
            <w:r/>
          </w:p>
        </w:tc>
        <w:tc>
          <w:tcPr>
            <w:tcW w:type="dxa" w:w="4680"/>
          </w:tcPr>
          <w:p>
            <w:r/>
          </w:p>
        </w:tc>
      </w:tr>
      <w:tr>
        <w:tc>
          <w:tcPr>
            <w:tcW w:type="dxa" w:w="4680"/>
          </w:tcPr>
          <w:p>
            <w:r/>
          </w:p>
        </w:tc>
        <w:tc>
          <w:tcPr>
            <w:tcW w:type="dxa" w:w="4680"/>
          </w:tcPr>
          <w:p>
            <w:r/>
            <w:r>
              <w:rPr>
                <w:b w:val="0"/>
                <w:i w:val="0"/>
                <w:sz w:val="19"/>
              </w:rPr>
              <w:t>Tài sản của công ty, chẳng hạn như sản phẩm, tài sản, vật tư và công nghệ, có thể bị đánh cắp, hư hỏng hoặc bị xâm phạm theo cách khác.</w:t>
            </w:r>
          </w:p>
        </w:tc>
      </w:tr>
      <w:tr>
        <w:tc>
          <w:tcPr>
            <w:tcW w:type="dxa" w:w="4680"/>
          </w:tcPr>
          <w:p>
            <w:r/>
            <w:r>
              <w:rPr>
                <w:b w:val="0"/>
                <w:i w:val="0"/>
                <w:sz w:val="19"/>
              </w:rPr>
              <w:t>B-3</w:t>
            </w:r>
          </w:p>
        </w:tc>
        <w:tc>
          <w:tcPr>
            <w:tcW w:type="dxa" w:w="4680"/>
          </w:tcPr>
          <w:p>
            <w:r/>
            <w:r>
              <w:rPr>
                <w:b w:val="0"/>
                <w:i w:val="0"/>
                <w:sz w:val="19"/>
              </w:rPr>
              <w:t>Hồ sơ và dữ liệu có thể bị phá hủy, đánh cắp hoặc thay đổi bởi những cá nhân không được phép.</w:t>
            </w:r>
          </w:p>
        </w:tc>
      </w:tr>
      <w:tr>
        <w:tc>
          <w:tcPr>
            <w:tcW w:type="dxa" w:w="4680"/>
          </w:tcPr>
          <w:p>
            <w:r/>
            <w:r>
              <w:rPr>
                <w:b w:val="0"/>
                <w:i w:val="0"/>
                <w:sz w:val="19"/>
              </w:rPr>
              <w:t>B-4</w:t>
            </w:r>
          </w:p>
        </w:tc>
        <w:tc>
          <w:tcPr>
            <w:tcW w:type="dxa" w:w="4680"/>
          </w:tcPr>
          <w:p>
            <w:r/>
            <w:r>
              <w:rPr>
                <w:b w:val="0"/>
                <w:i w:val="0"/>
                <w:sz w:val="19"/>
              </w:rPr>
              <w:t>Việc truy cập trái phép và/hoặc tiết lộ thông tin độc quyền có thể ảnh hưởng tiêu cực đến vị thế cạnh tranh và danh tiếng của công ty.</w:t>
            </w:r>
          </w:p>
        </w:tc>
      </w:tr>
      <w:tr>
        <w:tc>
          <w:tcPr>
            <w:tcW w:type="dxa" w:w="4680"/>
          </w:tcPr>
          <w:p>
            <w:r/>
            <w:r>
              <w:rPr>
                <w:b w:val="0"/>
                <w:i w:val="0"/>
                <w:sz w:val="19"/>
              </w:rPr>
              <w:t>B-5</w:t>
            </w:r>
          </w:p>
        </w:tc>
        <w:tc>
          <w:tcPr>
            <w:tcW w:type="dxa" w:w="4680"/>
          </w:tcPr>
          <w:p>
            <w:r/>
            <w:r>
              <w:rPr>
                <w:b w:val="0"/>
                <w:i w:val="0"/>
                <w:sz w:val="19"/>
              </w:rPr>
              <w:t>An ninh cho nhân viên và khách đến thăm công ty có thể không đầy đủ.</w:t>
            </w:r>
          </w:p>
        </w:tc>
      </w:tr>
      <w:tr>
        <w:tc>
          <w:tcPr>
            <w:tcW w:type="dxa" w:w="4680"/>
          </w:tcPr>
          <w:p>
            <w:r/>
            <w:r>
              <w:rPr>
                <w:b w:val="0"/>
                <w:i w:val="0"/>
                <w:sz w:val="19"/>
              </w:rPr>
              <w:t>B-6</w:t>
            </w:r>
          </w:p>
        </w:tc>
        <w:tc>
          <w:tcPr>
            <w:tcW w:type="dxa" w:w="4680"/>
          </w:tcPr>
          <w:p>
            <w:r/>
            <w:r>
              <w:rPr>
                <w:b w:val="0"/>
                <w:i w:val="0"/>
                <w:sz w:val="19"/>
              </w:rPr>
              <w:t>Khả năng tiến hành hoạt động kinh doanh của công ty có thể bị suy giảm đáng kể.</w:t>
            </w:r>
          </w:p>
        </w:tc>
      </w:tr>
      <w:tr>
        <w:tc>
          <w:tcPr>
            <w:tcW w:type="dxa" w:w="4680"/>
          </w:tcPr>
          <w:p>
            <w:r/>
            <w:r>
              <w:rPr>
                <w:b w:val="0"/>
                <w:i w:val="0"/>
                <w:sz w:val="19"/>
              </w:rPr>
              <w:t>B-7</w:t>
            </w:r>
          </w:p>
        </w:tc>
        <w:tc>
          <w:tcPr>
            <w:tcW w:type="dxa" w:w="4680"/>
          </w:tcPr>
          <w:p>
            <w:r/>
            <w:r>
              <w:rPr>
                <w:b w:val="0"/>
                <w:i w:val="0"/>
                <w:sz w:val="19"/>
              </w:rPr>
              <w:t>Tài liệu bắt buộc về việc người không phải nhân viên truy cập vào tài sản của công ty sẽ không được duy trì.</w:t>
            </w:r>
          </w:p>
        </w:tc>
      </w:tr>
      <w:tr>
        <w:tc>
          <w:tcPr>
            <w:tcW w:type="dxa" w:w="4680"/>
          </w:tcPr>
          <w:p>
            <w:r/>
            <w:r>
              <w:rPr>
                <w:b w:val="0"/>
                <w:i w:val="0"/>
                <w:sz w:val="19"/>
              </w:rPr>
              <w:t>B-8</w:t>
            </w:r>
          </w:p>
        </w:tc>
        <w:tc>
          <w:tcPr>
            <w:tcW w:type="dxa" w:w="4680"/>
          </w:tcPr>
          <w:p>
            <w:r/>
            <w:r>
              <w:rPr>
                <w:b w:val="0"/>
                <w:i w:val="0"/>
                <w:sz w:val="19"/>
              </w:rPr>
              <w:t>Không có khả năng ứng phó với các sự cố an ninh.</w:t>
            </w:r>
          </w:p>
        </w:tc>
      </w:tr>
    </w:tbl>
    <w:p>
      <w:pPr>
        <w:spacing w:after="0"/>
      </w:pPr>
    </w:p>
    <w:p>
      <w:pPr>
        <w:pStyle w:val="Heading2"/>
      </w:pPr>
      <w:r>
        <w:rPr>
          <w:rFonts w:ascii="Calibri" w:hAnsi="Calibri"/>
          <w:b/>
          <w:i w:val="0"/>
          <w:sz w:val="32"/>
        </w:rPr>
        <w:t>11.3 AN NINH NỘI BỘ</w:t>
      </w:r>
    </w:p>
    <w:p>
      <w:pPr>
        <w:pStyle w:val="Heading3"/>
      </w:pPr>
      <w:r>
        <w:rPr>
          <w:rFonts w:ascii="Calibri" w:hAnsi="Calibri"/>
          <w:b/>
          <w:i w:val="0"/>
          <w:sz w:val="26"/>
        </w:rPr>
        <w:t>Giới thiệu</w:t>
      </w:r>
    </w:p>
    <w:p>
      <w:pPr>
        <w:spacing w:after="80"/>
      </w:pPr>
      <w:r>
        <w:rPr>
          <w:b w:val="0"/>
          <w:i w:val="0"/>
        </w:rPr>
        <w:t>Mỗi người chỉ được sở hữu một thẻ nhận dạng doanh nghiệp do công ty cấp. Những người chưa được cấp thẻ nhận dạng thường trực sẽ được cấp thẻ khách/thẻ tạm thời để vào các địa điểm và cơ sở của công ty. Thẻ nhận dạng tạm thời cũng có thể được cấp cho nhân viên và người không phải nhân viên khi họ không mang theo thẻ thường trực của mình ngay lúc đó. Thẻ nhận dạng khách/tạm thời phải có tên của người giữ thẻ hoặc một ký hiệu số có thể truy xuất được đến người giữ thẻ. Khi vào một cơ sở của công ty, thẻ nhận dạng do công ty cấp chỉ được sử dụng bởi người có tên và hình ảnh (nếu có) được in trên thẻ. Thẻ nhận dạng phải luôn được nhìn thấy rõ trong suốt thời gian ở trong khuôn viên công ty.</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11.3.1</w:t>
            </w:r>
          </w:p>
        </w:tc>
        <w:tc>
          <w:tcPr>
            <w:tcW w:type="dxa" w:w="4680"/>
          </w:tcPr>
          <w:p>
            <w:r/>
            <w:r>
              <w:rPr>
                <w:b/>
                <w:i w:val="0"/>
                <w:sz w:val="19"/>
              </w:rPr>
              <w:t>Thẻ Nhận dạng.</w:t>
            </w:r>
            <w:r>
              <w:rPr>
                <w:b w:val="0"/>
                <w:i w:val="0"/>
                <w:sz w:val="19"/>
              </w:rPr>
              <w:t xml:space="preserve"> Ban quản lý phải triển khai các quy trình cấp thẻ nhận dạng để kiểm soát ra vào khu vực (ví dụ: bằng hình ảnh hoặc điện tử) cho tất cả nhân viên và người không phải nhân viên. Chỉ được sử dụng hai nhóm thẻ nhận dạng cho mục đích kiểm soát ra vào: thẻ thường trực có ảnh và thẻ khách ra vào hằng ngày/tạm thời. Thẻ nhận dạng thường trực có ảnh phải do hệ thống an ninh của công ty tạo ra và trên mặt thẻ phải có hình ảnh, tên và tên công ty của người giữ thẻ. Thẻ nhận dạng có thể bao gồm dữ liệu điện tử, logo công ty, phù hiệu và chức danh. </w:t>
            </w:r>
            <w:r>
              <w:rPr>
                <w:b/>
                <w:i w:val="0"/>
                <w:sz w:val="19"/>
              </w:rPr>
              <w:t>Tham chiếu rủi ro: C-1, C-2, C-3, C-4, C-5</w:t>
            </w:r>
          </w:p>
        </w:tc>
      </w:tr>
      <w:tr>
        <w:tc>
          <w:tcPr>
            <w:tcW w:type="dxa" w:w="4680"/>
          </w:tcPr>
          <w:p>
            <w:r/>
            <w:r>
              <w:rPr>
                <w:b w:val="0"/>
                <w:i w:val="0"/>
                <w:sz w:val="19"/>
              </w:rPr>
              <w:t>11.3.2</w:t>
            </w:r>
          </w:p>
        </w:tc>
        <w:tc>
          <w:tcPr>
            <w:tcW w:type="dxa" w:w="4680"/>
          </w:tcPr>
          <w:p>
            <w:r/>
            <w:r>
              <w:rPr>
                <w:b/>
                <w:i w:val="0"/>
                <w:sz w:val="19"/>
              </w:rPr>
              <w:t>Thẻ Nhận dạng (tiếp theo).</w:t>
            </w:r>
            <w:r>
              <w:rPr>
                <w:b w:val="0"/>
                <w:i w:val="0"/>
                <w:sz w:val="19"/>
              </w:rPr>
              <w:t xml:space="preserve"> Có một trang web mang tên “Thẻ Nhận dạng do Công ty Cấp” chứa thông tin chi tiết hơn, bao gồm cả hình ảnh minh họa các loại thẻ của công ty. </w:t>
            </w:r>
            <w:r>
              <w:rPr>
                <w:b/>
                <w:i w:val="0"/>
                <w:sz w:val="19"/>
              </w:rPr>
              <w:t>Tham chiếu rủi ro: C-1, C-2, C-3, C-4, C-5</w:t>
            </w:r>
          </w:p>
        </w:tc>
      </w:tr>
      <w:tr>
        <w:tc>
          <w:tcPr>
            <w:tcW w:type="dxa" w:w="4680"/>
          </w:tcPr>
          <w:p>
            <w:r/>
            <w:r>
              <w:rPr>
                <w:b w:val="0"/>
                <w:i w:val="0"/>
                <w:sz w:val="19"/>
              </w:rPr>
              <w:t>11.3.3</w:t>
            </w:r>
          </w:p>
        </w:tc>
        <w:tc>
          <w:tcPr>
            <w:tcW w:type="dxa" w:w="4680"/>
          </w:tcPr>
          <w:p>
            <w:r/>
            <w:r>
              <w:rPr>
                <w:b/>
                <w:i w:val="0"/>
                <w:sz w:val="19"/>
              </w:rPr>
              <w:t>Quyền Ra vào Các Khu vực Nhạy cảm.</w:t>
            </w:r>
            <w:r>
              <w:rPr>
                <w:b w:val="0"/>
                <w:i w:val="0"/>
                <w:sz w:val="19"/>
              </w:rPr>
              <w:t xml:space="preserve"> Thẻ nhận dạng của công ty phải được sử dụng kết hợp với một chương trình kiểm soát ra vào phù hợp để giảm thiểu thất thoát tài sản và giảm thiểu rủi ro tại các khu vực nhạy cảm. Thẻ nhận dạng có thể chứa dữ liệu điện tử hoặc phù hiệu đặc biệt để kiểm soát ra vào các khu vực này, bao gồm phòng thí nghiệm, trung tâm dữ liệu và kho hàng. </w:t>
            </w:r>
            <w:r>
              <w:rPr>
                <w:b/>
                <w:i w:val="0"/>
                <w:sz w:val="19"/>
              </w:rPr>
              <w:t>Tham chiếu rủi ro: C-1, C-2, C-3, C-4, C-5</w:t>
            </w:r>
          </w:p>
        </w:tc>
      </w:tr>
      <w:tr>
        <w:tc>
          <w:tcPr>
            <w:tcW w:type="dxa" w:w="4680"/>
          </w:tcPr>
          <w:p>
            <w:r/>
            <w:r>
              <w:rPr>
                <w:b w:val="0"/>
                <w:i w:val="0"/>
                <w:sz w:val="19"/>
              </w:rPr>
              <w:t>11.3.4</w:t>
            </w:r>
          </w:p>
        </w:tc>
        <w:tc>
          <w:tcPr>
            <w:tcW w:type="dxa" w:w="4680"/>
          </w:tcPr>
          <w:p>
            <w:r/>
            <w:r>
              <w:rPr>
                <w:b w:val="0"/>
                <w:i w:val="0"/>
                <w:sz w:val="19"/>
              </w:rPr>
              <w:t>Kiểm soát Tài sản Giá trị cao. Ban quản lý sẽ duy trì một chương trình để đảm bảo rằng các tài sản giá trị cao có khả năng bị đánh cắp (ví dụ: nguyên vật liệu và thành phẩm) được kiểm soát và bảo vệ thích đáng qua tất cả các giai đoạn của chuỗi cung ứng, bao gồm tiếp nhận, sản xuất, lưu kho và giao hàng. Chương trình sẽ bao gồm:</w:t>
            </w:r>
            <w:r>
              <w:br/>
            </w:r>
            <w:r>
              <w:rPr>
                <w:b w:val="0"/>
                <w:i w:val="0"/>
                <w:sz w:val="19"/>
              </w:rPr>
              <w:t>a. Xác định tất cả các tài sản giá trị cao</w:t>
            </w:r>
            <w:r>
              <w:br/>
            </w:r>
            <w:r>
              <w:rPr>
                <w:b w:val="0"/>
                <w:i w:val="0"/>
                <w:sz w:val="19"/>
              </w:rPr>
              <w:t>b. Một hệ thống theo dõi hàng tồn kho theo dõi tất cả các tài sản giá trị cao từ khi tiếp nhận đến khi giao cho khách hàng</w:t>
            </w:r>
            <w:r>
              <w:br/>
            </w:r>
            <w:r>
              <w:rPr>
                <w:b w:val="0"/>
                <w:i w:val="0"/>
                <w:sz w:val="19"/>
              </w:rPr>
              <w:t>c. Các biện pháp an ninh vật lý đảm bảo tài sản giá trị cao được bảo vệ khỏi truy cập trái phép từ khi tiếp nhận cho đến khi giao cho khách hàng</w:t>
            </w:r>
            <w:r>
              <w:br/>
            </w:r>
            <w:r>
              <w:rPr>
                <w:b w:val="0"/>
                <w:i w:val="0"/>
                <w:sz w:val="19"/>
              </w:rPr>
              <w:t>d. Các biện pháp kiểm soát sàng lọc trước khi cho phép truy cập bao gồm điều tra lý lịch và xét nghiệm ma túy (các biện pháp kiểm soát này cần tuân theo tiêu chí từ chối do công ty quy định)</w:t>
            </w:r>
            <w:r>
              <w:br/>
            </w:r>
            <w:r>
              <w:rPr>
                <w:b w:val="0"/>
                <w:i w:val="0"/>
                <w:sz w:val="19"/>
              </w:rPr>
              <w:t>e. Các biện pháp kiểm soát an ninh hệ thống thông tin để ngăn chặn truy cập trái phép (quyền truy cập phải dựa trên nhu cầu công việc)</w:t>
            </w:r>
            <w:r>
              <w:br/>
            </w:r>
            <w:r>
              <w:rPr>
                <w:b w:val="0"/>
                <w:i w:val="0"/>
                <w:sz w:val="19"/>
              </w:rPr>
              <w:t>f. Các quy trình kiểm soát và đối chiếu hàng tồn kho đang vận chuyển được thực hiện trong khoảng thời gian do chính sách công ty được ủy quyền quy định</w:t>
            </w:r>
            <w:r>
              <w:br/>
            </w:r>
            <w:r>
              <w:rPr>
                <w:b w:val="0"/>
                <w:i w:val="0"/>
                <w:sz w:val="19"/>
              </w:rPr>
              <w:t>g. Một quy trình báo cáo chênh lệch âm bao gồm cả bộ phận an ninh và ban quản lý</w:t>
            </w:r>
            <w:r>
              <w:br/>
            </w:r>
            <w:r>
              <w:rPr>
                <w:b w:val="0"/>
                <w:i w:val="0"/>
                <w:sz w:val="19"/>
              </w:rPr>
              <w:t>h. Một quy trình kiểm đếm để đảm bảo tính khách quan</w:t>
            </w:r>
            <w:r>
              <w:br/>
            </w:r>
            <w:r>
              <w:rPr>
                <w:b w:val="0"/>
                <w:i w:val="0"/>
                <w:sz w:val="19"/>
              </w:rPr>
              <w:t>i. Một quy trình khôi phục sau thảm họa đảm bảo có sẵn các tài sản giá trị cao thay thế</w:t>
            </w:r>
            <w:r>
              <w:br/>
            </w:r>
            <w:r>
              <w:rPr>
                <w:b w:val="0"/>
                <w:i w:val="0"/>
                <w:sz w:val="19"/>
              </w:rPr>
              <w:t>j. Chỉ định trách nhiệm/phân tách nhiệm vụ</w:t>
            </w:r>
            <w:r>
              <w:br/>
            </w:r>
            <w:r>
              <w:rPr>
                <w:b w:val="0"/>
                <w:i w:val="0"/>
                <w:sz w:val="19"/>
              </w:rPr>
              <w:t>k. Các biện pháp kiểm soát nhà thầu phụ để ngăn chặn truy cập trái phép vào tài sản giá trị cao</w:t>
            </w:r>
            <w:r>
              <w:br/>
            </w:r>
            <w:r>
              <w:rPr>
                <w:b w:val="0"/>
                <w:i w:val="0"/>
                <w:sz w:val="19"/>
              </w:rPr>
              <w:t>l. Các biện pháp kiểm soát hàng tồn kho thuộc sở hữu của nhà cung cấp</w:t>
            </w:r>
            <w:r>
              <w:br/>
            </w:r>
            <w:r>
              <w:rPr>
                <w:b w:val="0"/>
                <w:i w:val="0"/>
                <w:sz w:val="19"/>
              </w:rPr>
              <w:t xml:space="preserve">m. Một quy trình tự kiểm tra xác định các lĩnh vực cần cải thiện và các hành động khắc phục liên quan </w:t>
            </w:r>
            <w:r>
              <w:rPr>
                <w:b/>
                <w:i w:val="0"/>
                <w:sz w:val="19"/>
              </w:rPr>
              <w:t>Tham chiếu rủi ro: C-2, C-3</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C-1</w:t>
            </w:r>
          </w:p>
        </w:tc>
        <w:tc>
          <w:tcPr>
            <w:tcW w:type="dxa" w:w="4680"/>
          </w:tcPr>
          <w:p>
            <w:r/>
            <w:r>
              <w:rPr>
                <w:b w:val="0"/>
                <w:i w:val="0"/>
                <w:sz w:val="19"/>
              </w:rPr>
              <w:t>Người không được phép có thể xâm nhập vào khuôn viên.</w:t>
            </w:r>
          </w:p>
        </w:tc>
      </w:tr>
      <w:tr>
        <w:tc>
          <w:tcPr>
            <w:tcW w:type="dxa" w:w="4680"/>
          </w:tcPr>
          <w:p>
            <w:r/>
            <w:r>
              <w:rPr>
                <w:b w:val="0"/>
                <w:i w:val="0"/>
                <w:sz w:val="19"/>
              </w:rPr>
              <w:t>C-2</w:t>
            </w:r>
          </w:p>
        </w:tc>
        <w:tc>
          <w:tcPr>
            <w:tcW w:type="dxa" w:w="4680"/>
          </w:tcPr>
          <w:p>
            <w:r/>
            <w:r>
              <w:rPr>
                <w:b w:val="0"/>
                <w:i w:val="0"/>
                <w:sz w:val="19"/>
              </w:rPr>
              <w:t>Tài sản của công ty, chẳng hạn như sản phẩm, tài sản cố định, nguyên vật liệu và công nghệ, có thể bị đánh cắp, hư hỏng hoặc bị xâm phạm theo cách khác.</w:t>
            </w:r>
          </w:p>
        </w:tc>
      </w:tr>
      <w:tr>
        <w:tc>
          <w:tcPr>
            <w:tcW w:type="dxa" w:w="4680"/>
          </w:tcPr>
          <w:p>
            <w:r/>
            <w:r>
              <w:rPr>
                <w:b w:val="0"/>
                <w:i w:val="0"/>
                <w:sz w:val="19"/>
              </w:rPr>
              <w:t>C-3</w:t>
            </w:r>
          </w:p>
        </w:tc>
        <w:tc>
          <w:tcPr>
            <w:tcW w:type="dxa" w:w="4680"/>
          </w:tcPr>
          <w:p>
            <w:r/>
            <w:r>
              <w:rPr>
                <w:b w:val="0"/>
                <w:i w:val="0"/>
                <w:sz w:val="19"/>
              </w:rPr>
              <w:t>An ninh cho nhân viên và khách ra vào có thể không đầy đủ.</w:t>
            </w:r>
          </w:p>
        </w:tc>
      </w:tr>
      <w:tr>
        <w:tc>
          <w:tcPr>
            <w:tcW w:type="dxa" w:w="4680"/>
          </w:tcPr>
          <w:p>
            <w:r/>
            <w:r>
              <w:rPr>
                <w:b w:val="0"/>
                <w:i w:val="0"/>
                <w:sz w:val="19"/>
              </w:rPr>
              <w:t>C-4</w:t>
            </w:r>
          </w:p>
        </w:tc>
        <w:tc>
          <w:tcPr>
            <w:tcW w:type="dxa" w:w="4680"/>
          </w:tcPr>
          <w:p>
            <w:r/>
            <w:r>
              <w:rPr>
                <w:b w:val="0"/>
                <w:i w:val="0"/>
                <w:sz w:val="19"/>
              </w:rPr>
              <w:t>Việc truy cập trái phép và/hoặc tiết lộ thông tin độc quyền có thể ảnh hưởng tiêu cực đến vị thế cạnh tranh và uy tín.</w:t>
            </w:r>
          </w:p>
        </w:tc>
      </w:tr>
      <w:tr>
        <w:tc>
          <w:tcPr>
            <w:tcW w:type="dxa" w:w="4680"/>
          </w:tcPr>
          <w:p>
            <w:r/>
            <w:r>
              <w:rPr>
                <w:b w:val="0"/>
                <w:i w:val="0"/>
                <w:sz w:val="19"/>
              </w:rPr>
              <w:t>C-5</w:t>
            </w:r>
          </w:p>
        </w:tc>
        <w:tc>
          <w:tcPr>
            <w:tcW w:type="dxa" w:w="4680"/>
          </w:tcPr>
          <w:p>
            <w:r/>
            <w:r>
              <w:rPr>
                <w:b w:val="0"/>
                <w:i w:val="0"/>
                <w:sz w:val="19"/>
              </w:rPr>
              <w:t>Hồ sơ và dữ liệu có thể bị phá hủy, đánh cắp hoặc thay đổi bởi những cá nhân không được phép.</w:t>
            </w:r>
          </w:p>
        </w:tc>
      </w:tr>
    </w:tbl>
    <w:p>
      <w:pPr>
        <w:spacing w:after="0"/>
      </w:pPr>
    </w:p>
    <w:p>
      <w:pPr>
        <w:pStyle w:val="Heading2"/>
      </w:pPr>
      <w:r>
        <w:rPr>
          <w:rFonts w:ascii="Calibri" w:hAnsi="Calibri"/>
          <w:b/>
          <w:i w:val="0"/>
          <w:sz w:val="32"/>
        </w:rPr>
        <w:t>11.4 BẢO VỆ TÀI SẢN TRÍ TUỆ</w:t>
      </w:r>
    </w:p>
    <w:p>
      <w:pPr>
        <w:pStyle w:val="Heading3"/>
      </w:pPr>
      <w:r>
        <w:rPr>
          <w:rFonts w:ascii="Calibri" w:hAnsi="Calibri"/>
          <w:b/>
          <w:i w:val="0"/>
          <w:sz w:val="26"/>
        </w:rPr>
        <w:t>Giới thiệu</w:t>
      </w:r>
    </w:p>
    <w:p>
      <w:pPr>
        <w:spacing w:after="80"/>
      </w:pPr>
      <w:r>
        <w:rPr>
          <w:b w:val="0"/>
          <w:i w:val="0"/>
        </w:rPr>
        <w:t>Ban quản lý phải đảm bảo rằng các thỏa thuận bảo mật ở cấp công ty được thiết lập và cập nhật khi cần thiết cho tất cả nhà cung cấp, đối tác, nhà cung ứng và một số khách hàng được chọn. Ban quản lý phải đảm bảo rằng tất cả nhân viên và người không phải nhân viên làm việc tại các cơ sở thuộc sở hữu hoặc thuê của công ty, những người có quyền truy cập vào tài sản trí tuệ của công ty, phải hoàn thành thỏa thuận bảo mật hoặc không tiết lộ đã được phê duyệt trước khi được cấp quyền truy cập.</w:t>
      </w:r>
    </w:p>
    <w:p>
      <w:pPr>
        <w:spacing w:after="80"/>
      </w:pPr>
      <w:r>
        <w:rPr>
          <w:b w:val="0"/>
          <w:i w:val="0"/>
        </w:rPr>
        <w:t>Ban quản lý phải đảm bảo toàn bộ lực lượng lao động nhận thức được tầm quan trọng của việc bảo vệ tài sản trí tuệ và gìn giữ thông tin độc quyền của công ty, đồng thời có thể xác định đúng tài sản trí tuệ được sử dụng trong công việc của họ.</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11.4.1</w:t>
            </w:r>
          </w:p>
        </w:tc>
        <w:tc>
          <w:tcPr>
            <w:tcW w:type="dxa" w:w="4680"/>
          </w:tcPr>
          <w:p>
            <w:r/>
            <w:r>
              <w:rPr>
                <w:b/>
                <w:i w:val="0"/>
                <w:sz w:val="19"/>
              </w:rPr>
              <w:t>Thỏa thuận Bảo mật.</w:t>
            </w:r>
            <w:r>
              <w:rPr>
                <w:b w:val="0"/>
                <w:i w:val="0"/>
                <w:sz w:val="19"/>
              </w:rPr>
              <w:t xml:space="preserve"> Ban quản lý phải đảm bảo rằng các thỏa thuận bảo mật ở cấp công ty được thiết lập và cập nhật khi cần thiết cho tất cả nhà cung cấp, đối tác, nhà cung ứng và một số khách hàng được chọn. Các thỏa thuận này phải được gia hạn khi cần thiết. </w:t>
            </w:r>
            <w:r>
              <w:rPr>
                <w:b/>
                <w:i w:val="0"/>
                <w:sz w:val="19"/>
              </w:rPr>
              <w:t>Tham chiếu rủi ro: D-1, D-2, D-3, D-6, D-7</w:t>
            </w:r>
          </w:p>
        </w:tc>
      </w:tr>
      <w:tr>
        <w:tc>
          <w:tcPr>
            <w:tcW w:type="dxa" w:w="4680"/>
          </w:tcPr>
          <w:p>
            <w:r/>
            <w:r>
              <w:rPr>
                <w:b w:val="0"/>
                <w:i w:val="0"/>
                <w:sz w:val="19"/>
              </w:rPr>
              <w:t>11.4.2</w:t>
            </w:r>
          </w:p>
        </w:tc>
        <w:tc>
          <w:tcPr>
            <w:tcW w:type="dxa" w:w="4680"/>
          </w:tcPr>
          <w:p>
            <w:r/>
            <w:r>
              <w:rPr>
                <w:b/>
                <w:i w:val="0"/>
                <w:sz w:val="19"/>
              </w:rPr>
              <w:t>Đào tạo và Nâng cao Nhận thức.</w:t>
            </w:r>
            <w:r>
              <w:rPr>
                <w:b w:val="0"/>
                <w:i w:val="0"/>
                <w:sz w:val="19"/>
              </w:rPr>
              <w:t xml:space="preserve"> Ban quản lý phải đảm bảo toàn bộ lực lượng lao động nhận thức được tầm quan trọng của việc bảo vệ tài sản trí tuệ và gìn giữ thông tin độc quyền của công ty, đồng thời có thể xác định đúng tài sản trí tuệ được sử dụng trong công việc của họ. </w:t>
            </w:r>
            <w:r>
              <w:rPr>
                <w:b/>
                <w:i w:val="0"/>
                <w:sz w:val="19"/>
              </w:rPr>
              <w:t>Tham chiếu rủi ro: D-1, D-2, D-3, D-7, D-8</w:t>
            </w:r>
          </w:p>
        </w:tc>
      </w:tr>
      <w:tr>
        <w:tc>
          <w:tcPr>
            <w:tcW w:type="dxa" w:w="4680"/>
          </w:tcPr>
          <w:p>
            <w:r/>
            <w:r>
              <w:rPr>
                <w:b w:val="0"/>
                <w:i w:val="0"/>
                <w:sz w:val="19"/>
              </w:rPr>
              <w:t>11.4.3</w:t>
            </w:r>
          </w:p>
        </w:tc>
        <w:tc>
          <w:tcPr>
            <w:tcW w:type="dxa" w:w="4680"/>
          </w:tcPr>
          <w:p>
            <w:r/>
            <w:r>
              <w:rPr>
                <w:b/>
                <w:i w:val="0"/>
                <w:sz w:val="19"/>
              </w:rPr>
              <w:t>Xử lý và Sử dụng Tài sản Trí tuệ.</w:t>
            </w:r>
            <w:r>
              <w:rPr>
                <w:b w:val="0"/>
                <w:i w:val="0"/>
                <w:sz w:val="19"/>
              </w:rPr>
              <w:t xml:space="preserve"> Ban quản lý phải triển khai các chính sách và quy trình của phòng ban để đảm bảo nhân viên xử lý tài sản trí tuệ giảm thiểu khả năng bị tổn hại trước nguy cơ phá hủy, thao túng và/hoặc mất mát. </w:t>
            </w:r>
            <w:r>
              <w:rPr>
                <w:b/>
                <w:i w:val="0"/>
                <w:sz w:val="19"/>
              </w:rPr>
              <w:t>Tham chiếu rủi ro: D-1, D-2, D-3, D-5, D-6</w:t>
            </w:r>
          </w:p>
        </w:tc>
      </w:tr>
      <w:tr>
        <w:tc>
          <w:tcPr>
            <w:tcW w:type="dxa" w:w="4680"/>
          </w:tcPr>
          <w:p>
            <w:r/>
            <w:r>
              <w:rPr>
                <w:b w:val="0"/>
                <w:i w:val="0"/>
                <w:sz w:val="19"/>
              </w:rPr>
              <w:t>11.4.4</w:t>
            </w:r>
          </w:p>
        </w:tc>
        <w:tc>
          <w:tcPr>
            <w:tcW w:type="dxa" w:w="4680"/>
          </w:tcPr>
          <w:p>
            <w:r/>
            <w:r>
              <w:rPr>
                <w:b/>
                <w:i w:val="0"/>
                <w:sz w:val="19"/>
              </w:rPr>
              <w:t>Lưu trữ thông tin.</w:t>
            </w:r>
            <w:r>
              <w:rPr>
                <w:b w:val="0"/>
                <w:i w:val="0"/>
                <w:sz w:val="19"/>
              </w:rPr>
              <w:t xml:space="preserve"> Thông tin độc quyền phải được bảo mật và lưu trữ để ngăn chặn việc tiết lộ trái phép hoặc vô tình trong mọi lúc và mọi nơi (ví dụ: cả bên ngoài lẫn tại chỗ). </w:t>
            </w:r>
            <w:r>
              <w:rPr>
                <w:b/>
                <w:i w:val="0"/>
                <w:sz w:val="19"/>
              </w:rPr>
              <w:t>Tham khảo các rủi ro: D-1, D-2, D-3, D-7, D-8</w:t>
            </w:r>
          </w:p>
        </w:tc>
      </w:tr>
      <w:tr>
        <w:tc>
          <w:tcPr>
            <w:tcW w:type="dxa" w:w="4680"/>
          </w:tcPr>
          <w:p>
            <w:r/>
            <w:r>
              <w:rPr>
                <w:b w:val="0"/>
                <w:i w:val="0"/>
                <w:sz w:val="19"/>
              </w:rPr>
              <w:t>11.4.5</w:t>
            </w:r>
          </w:p>
        </w:tc>
        <w:tc>
          <w:tcPr>
            <w:tcW w:type="dxa" w:w="4680"/>
          </w:tcPr>
          <w:p>
            <w:r/>
            <w:r>
              <w:rPr>
                <w:b/>
                <w:i w:val="0"/>
                <w:sz w:val="19"/>
              </w:rPr>
              <w:t>Xử lý vật liệu độc quyền.</w:t>
            </w:r>
            <w:r>
              <w:rPr>
                <w:b w:val="0"/>
                <w:i w:val="0"/>
                <w:sz w:val="19"/>
              </w:rPr>
              <w:t xml:space="preserve"> Tất cả các địa điểm sẽ cung cấp một phương tiện an toàn để thu gom và/hoặc tiêu hủy an toàn các vật liệu thải độc quyền và phương tiện lưu trữ. Việc tiêu hủy phải đảm bảo rằng vật liệu bị tiêu hủy không thể tái tạo và nhận dạng được. </w:t>
            </w:r>
            <w:r>
              <w:rPr>
                <w:b/>
                <w:i w:val="0"/>
                <w:sz w:val="19"/>
              </w:rPr>
              <w:t>Tham khảo các rủi ro: D-1, D-2, D-3, D-4</w:t>
            </w:r>
          </w:p>
        </w:tc>
      </w:tr>
      <w:tr>
        <w:tc>
          <w:tcPr>
            <w:tcW w:type="dxa" w:w="4680"/>
          </w:tcPr>
          <w:p>
            <w:r/>
            <w:r>
              <w:rPr>
                <w:b w:val="0"/>
                <w:i w:val="0"/>
                <w:sz w:val="19"/>
              </w:rPr>
              <w:t>11.4.6</w:t>
            </w:r>
          </w:p>
        </w:tc>
        <w:tc>
          <w:tcPr>
            <w:tcW w:type="dxa" w:w="4680"/>
          </w:tcPr>
          <w:p>
            <w:r/>
            <w:r>
              <w:rPr>
                <w:b/>
                <w:i w:val="0"/>
                <w:sz w:val="19"/>
              </w:rPr>
              <w:t>Phân loại thông tin.</w:t>
            </w:r>
            <w:r>
              <w:rPr>
                <w:b w:val="0"/>
                <w:i w:val="0"/>
                <w:sz w:val="19"/>
              </w:rPr>
              <w:t xml:space="preserve"> Thông tin nhạy cảm và độc quyền sẽ được đánh dấu theo hướng dẫn phân loại hiện hành của công ty do bộ phận an ninh doanh nghiệp cung cấp trong lĩnh vực an toàn thông tin. </w:t>
            </w:r>
            <w:r>
              <w:rPr>
                <w:b/>
                <w:i w:val="0"/>
                <w:sz w:val="19"/>
              </w:rPr>
              <w:t>Tham khảo các rủi ro: D-3, D-5</w:t>
            </w:r>
          </w:p>
        </w:tc>
      </w:tr>
      <w:tr>
        <w:tc>
          <w:tcPr>
            <w:tcW w:type="dxa" w:w="4680"/>
          </w:tcPr>
          <w:p>
            <w:r/>
            <w:r>
              <w:rPr>
                <w:b w:val="0"/>
                <w:i w:val="0"/>
                <w:sz w:val="19"/>
              </w:rPr>
              <w:t>11.4.7</w:t>
            </w:r>
          </w:p>
        </w:tc>
        <w:tc>
          <w:tcPr>
            <w:tcW w:type="dxa" w:w="4680"/>
          </w:tcPr>
          <w:p>
            <w:r/>
            <w:r>
              <w:rPr>
                <w:b/>
                <w:i w:val="0"/>
                <w:sz w:val="19"/>
              </w:rPr>
              <w:t>Bảo vệ thông tin của bên thứ hai.</w:t>
            </w:r>
            <w:r>
              <w:rPr>
                <w:b w:val="0"/>
                <w:i w:val="0"/>
                <w:sz w:val="19"/>
              </w:rPr>
              <w:t xml:space="preserve"> Tất cả người lao động có nghĩa vụ bảo vệ thông tin của bên thứ hai được đánh dấu là bảo mật và vật liệu/dữ liệu độc quyền theo cùng cách thức mà thông tin Mật của Công ty được bảo vệ. </w:t>
            </w:r>
            <w:r>
              <w:rPr>
                <w:b/>
                <w:i w:val="0"/>
                <w:sz w:val="19"/>
              </w:rPr>
              <w:t>Tham khảo các rủi ro: D-1, D-3, D-5</w:t>
            </w:r>
          </w:p>
        </w:tc>
      </w:tr>
      <w:tr>
        <w:tc>
          <w:tcPr>
            <w:tcW w:type="dxa" w:w="4680"/>
          </w:tcPr>
          <w:p>
            <w:r/>
            <w:r>
              <w:rPr>
                <w:b w:val="0"/>
                <w:i w:val="0"/>
                <w:sz w:val="19"/>
              </w:rPr>
              <w:t>11.4.8</w:t>
            </w:r>
          </w:p>
        </w:tc>
        <w:tc>
          <w:tcPr>
            <w:tcW w:type="dxa" w:w="4680"/>
          </w:tcPr>
          <w:p>
            <w:r/>
            <w:r>
              <w:rPr>
                <w:b/>
                <w:i w:val="0"/>
                <w:sz w:val="19"/>
              </w:rPr>
              <w:t>Tự đánh giá.</w:t>
            </w:r>
            <w:r>
              <w:rPr>
                <w:b w:val="0"/>
                <w:i w:val="0"/>
                <w:sz w:val="19"/>
              </w:rPr>
              <w:t xml:space="preserve"> Ban quản lý sẽ tiến hành tự đánh giá định kỳ hoạt động của mình để đảm bảo rằng tất cả các tài liệu mật, bao gồm cả bản cứng và bản điện tử, đều được quản lý theo đúng quy trình Bảo vệ Tài sản Độc quyền của Công ty. </w:t>
            </w:r>
            <w:r>
              <w:rPr>
                <w:b/>
                <w:i w:val="0"/>
                <w:sz w:val="19"/>
              </w:rPr>
              <w:t>Tham khảo các Rủi ro: D-1, D-2, D-3, D-4, D-5, D-6</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D-1</w:t>
            </w:r>
          </w:p>
        </w:tc>
        <w:tc>
          <w:tcPr>
            <w:tcW w:type="dxa" w:w="4680"/>
          </w:tcPr>
          <w:p>
            <w:r/>
            <w:r>
              <w:rPr>
                <w:b w:val="0"/>
                <w:i w:val="0"/>
                <w:sz w:val="19"/>
              </w:rPr>
              <w:t>Tài sản của công ty, như sản phẩm, tài sản, vật liệu và công nghệ có thể bị đánh cắp, hư hỏng hoặc bị xâm phạm theo cách khác.</w:t>
            </w:r>
          </w:p>
        </w:tc>
      </w:tr>
      <w:tr>
        <w:tc>
          <w:tcPr>
            <w:tcW w:type="dxa" w:w="4680"/>
          </w:tcPr>
          <w:p>
            <w:r/>
            <w:r>
              <w:rPr>
                <w:b w:val="0"/>
                <w:i w:val="0"/>
                <w:sz w:val="19"/>
              </w:rPr>
              <w:t>D-2</w:t>
            </w:r>
          </w:p>
        </w:tc>
        <w:tc>
          <w:tcPr>
            <w:tcW w:type="dxa" w:w="4680"/>
          </w:tcPr>
          <w:p>
            <w:r/>
            <w:r>
              <w:rPr>
                <w:b w:val="0"/>
                <w:i w:val="0"/>
                <w:sz w:val="19"/>
              </w:rPr>
              <w:t>Hồ sơ có thể bị phá hủy, đánh cắp hoặc thay đổi bởi những người không có thẩm quyền.</w:t>
            </w:r>
          </w:p>
        </w:tc>
      </w:tr>
      <w:tr>
        <w:tc>
          <w:tcPr>
            <w:tcW w:type="dxa" w:w="4680"/>
          </w:tcPr>
          <w:p>
            <w:r/>
            <w:r>
              <w:rPr>
                <w:b w:val="0"/>
                <w:i w:val="0"/>
                <w:sz w:val="19"/>
              </w:rPr>
              <w:t>D-3</w:t>
            </w:r>
          </w:p>
        </w:tc>
        <w:tc>
          <w:tcPr>
            <w:tcW w:type="dxa" w:w="4680"/>
          </w:tcPr>
          <w:p>
            <w:r/>
            <w:r>
              <w:rPr>
                <w:b w:val="0"/>
                <w:i w:val="0"/>
                <w:sz w:val="19"/>
              </w:rPr>
              <w:t>Việc truy cập trái phép và/hoặc tiết lộ thông tin độc quyền có thể ảnh hưởng tiêu cực đến vị thế cạnh tranh và danh tiếng của công ty.</w:t>
            </w:r>
          </w:p>
        </w:tc>
      </w:tr>
      <w:tr>
        <w:tc>
          <w:tcPr>
            <w:tcW w:type="dxa" w:w="4680"/>
          </w:tcPr>
          <w:p>
            <w:r/>
            <w:r>
              <w:rPr>
                <w:b w:val="0"/>
                <w:i w:val="0"/>
                <w:sz w:val="19"/>
              </w:rPr>
              <w:t>D-4</w:t>
            </w:r>
          </w:p>
        </w:tc>
        <w:tc>
          <w:tcPr>
            <w:tcW w:type="dxa" w:w="4680"/>
          </w:tcPr>
          <w:p>
            <w:r/>
            <w:r>
              <w:rPr>
                <w:b w:val="0"/>
                <w:i w:val="0"/>
                <w:sz w:val="19"/>
              </w:rPr>
              <w:t>Các luật và quy định của chính phủ có thể bị vi phạm, dẫn đến tiền phạt, hình phạt, kiện tụng hoặc các khoản nợ tiềm tàng.</w:t>
            </w:r>
          </w:p>
        </w:tc>
      </w:tr>
      <w:tr>
        <w:tc>
          <w:tcPr>
            <w:tcW w:type="dxa" w:w="4680"/>
          </w:tcPr>
          <w:p>
            <w:r/>
            <w:r>
              <w:rPr>
                <w:b w:val="0"/>
                <w:i w:val="0"/>
                <w:sz w:val="19"/>
              </w:rPr>
              <w:t>D-5</w:t>
            </w:r>
          </w:p>
        </w:tc>
        <w:tc>
          <w:tcPr>
            <w:tcW w:type="dxa" w:w="4680"/>
          </w:tcPr>
          <w:p>
            <w:r/>
            <w:r>
              <w:rPr>
                <w:b w:val="0"/>
                <w:i w:val="0"/>
                <w:sz w:val="19"/>
              </w:rPr>
              <w:t>Khả năng tiến hành hoạt động kinh doanh của công ty có thể bị suy giảm nghiêm trọng.</w:t>
            </w:r>
          </w:p>
        </w:tc>
      </w:tr>
      <w:tr>
        <w:tc>
          <w:tcPr>
            <w:tcW w:type="dxa" w:w="4680"/>
          </w:tcPr>
          <w:p>
            <w:r/>
            <w:r>
              <w:rPr>
                <w:b w:val="0"/>
                <w:i w:val="0"/>
                <w:sz w:val="19"/>
              </w:rPr>
              <w:t>D-6</w:t>
            </w:r>
          </w:p>
        </w:tc>
        <w:tc>
          <w:tcPr>
            <w:tcW w:type="dxa" w:w="4680"/>
          </w:tcPr>
          <w:p>
            <w:r/>
            <w:r>
              <w:rPr>
                <w:b w:val="0"/>
                <w:i w:val="0"/>
                <w:sz w:val="19"/>
              </w:rPr>
              <w:t>Khả năng chứng minh quyền sở hữu và kiểm soát các tài sản trí tuệ của công ty bị suy yếu.</w:t>
            </w:r>
          </w:p>
        </w:tc>
      </w:tr>
      <w:tr>
        <w:tc>
          <w:tcPr>
            <w:tcW w:type="dxa" w:w="4680"/>
          </w:tcPr>
          <w:p>
            <w:r/>
            <w:r>
              <w:rPr>
                <w:b w:val="0"/>
                <w:i w:val="0"/>
                <w:sz w:val="19"/>
              </w:rPr>
              <w:t>D-7</w:t>
            </w:r>
          </w:p>
        </w:tc>
        <w:tc>
          <w:tcPr>
            <w:tcW w:type="dxa" w:w="4680"/>
          </w:tcPr>
          <w:p>
            <w:r/>
            <w:r>
              <w:rPr>
                <w:b w:val="0"/>
                <w:i w:val="0"/>
                <w:sz w:val="19"/>
              </w:rPr>
              <w:t>Lợi thế cạnh tranh bị suy yếu.</w:t>
            </w:r>
          </w:p>
        </w:tc>
      </w:tr>
      <w:tr>
        <w:tc>
          <w:tcPr>
            <w:tcW w:type="dxa" w:w="4680"/>
          </w:tcPr>
          <w:p>
            <w:r/>
            <w:r>
              <w:rPr>
                <w:b w:val="0"/>
                <w:i w:val="0"/>
                <w:sz w:val="19"/>
              </w:rPr>
              <w:t>D-8</w:t>
            </w:r>
          </w:p>
        </w:tc>
        <w:tc>
          <w:tcPr>
            <w:tcW w:type="dxa" w:w="4680"/>
          </w:tcPr>
          <w:p>
            <w:r/>
            <w:r>
              <w:rPr>
                <w:b w:val="0"/>
                <w:i w:val="0"/>
                <w:sz w:val="19"/>
              </w:rPr>
              <w:t>Danh tiếng là một nhà lãnh đạo công nghệ cao bị suy yếu nếu công ty không thể chứng minh được tính bảo mật và toàn vẹn của dữ liệu theo yêu cầu tuân thủ quy định.</w:t>
            </w:r>
          </w:p>
        </w:tc>
      </w:tr>
    </w:tbl>
    <w:p>
      <w:pPr>
        <w:spacing w:after="0"/>
      </w:pPr>
    </w:p>
    <w:p>
      <w:pPr>
        <w:pStyle w:val="Heading1"/>
      </w:pPr>
      <w:r>
        <w:rPr>
          <w:rFonts w:ascii="Calibri" w:hAnsi="Calibri"/>
          <w:b/>
          <w:i w:val="0"/>
          <w:sz w:val="40"/>
        </w:rPr>
        <w:t xml:space="preserve">CHƯƠNG 12 </w:t>
      </w:r>
      <w:r>
        <w:br/>
      </w:r>
      <w:r>
        <w:rPr>
          <w:rFonts w:ascii="Calibri" w:hAnsi="Calibri"/>
          <w:b/>
          <w:i w:val="0"/>
          <w:sz w:val="40"/>
        </w:rPr>
        <w:t xml:space="preserve"> Quy trình Bảo hiểm</w:t>
      </w:r>
    </w:p>
    <w:p>
      <w:pPr>
        <w:pStyle w:val="Heading2"/>
      </w:pPr>
      <w:r>
        <w:rPr>
          <w:rFonts w:ascii="Calibri" w:hAnsi="Calibri"/>
          <w:b/>
          <w:i w:val="0"/>
          <w:sz w:val="32"/>
        </w:rPr>
        <w:t>GIỚI THIỆU</w:t>
      </w:r>
    </w:p>
    <w:p>
      <w:pPr>
        <w:spacing w:after="80"/>
      </w:pPr>
      <w:r>
        <w:rPr>
          <w:b w:val="0"/>
          <w:i w:val="0"/>
        </w:rPr>
        <w:t>Quy trình bảo hiểm bao gồm các chức năng cần thiết để tất cả các thành viên trong ban quản lý thực hiện hiệu quả trách nhiệm của mình trong việc bảo vệ tài sản và nhân viên của công ty, tối đa hóa lợi nhuận và nâng cao hiệu quả của kế hoạch duy trì hoạt động kinh doanh liên tục.</w:t>
      </w:r>
    </w:p>
    <w:p>
      <w:pPr>
        <w:pStyle w:val="Heading2"/>
      </w:pPr>
      <w:r>
        <w:rPr>
          <w:rFonts w:ascii="Calibri" w:hAnsi="Calibri"/>
          <w:b/>
          <w:i w:val="0"/>
          <w:sz w:val="32"/>
        </w:rPr>
        <w:t>TỔNG QUAN VỀ QUY TRÌNH</w:t>
      </w:r>
    </w:p>
    <w:p>
      <w:pPr>
        <w:spacing w:after="80"/>
      </w:pPr>
      <w:r>
        <w:rPr>
          <w:b w:val="0"/>
          <w:i w:val="0"/>
        </w:rPr>
        <w:t>Sơ đồ dưới đây cho thấy các yếu tố nền tảng cho quy trình bảo hiểm là Kiểm soát Nội bộ và Tuân thủ, Bảo hiểm Công ty và Duy trì Hoạt động Kinh doanh Liên tục, cùng Quy tắc Ứng xử và “Tông giọng từ Trên xuống.”</w:t>
      </w:r>
    </w:p>
    <w:p>
      <w:pPr>
        <w:jc w:val="center"/>
      </w:pPr>
      <w:r>
        <w:drawing>
          <wp:inline xmlns:a="http://schemas.openxmlformats.org/drawingml/2006/main" xmlns:pic="http://schemas.openxmlformats.org/drawingml/2006/picture">
            <wp:extent cx="5486400" cy="2390428"/>
            <wp:docPr id="14" name="Picture 14"/>
            <wp:cNvGraphicFramePr>
              <a:graphicFrameLocks noChangeAspect="1"/>
            </wp:cNvGraphicFramePr>
            <a:graphic>
              <a:graphicData uri="http://schemas.openxmlformats.org/drawingml/2006/picture">
                <pic:pic>
                  <pic:nvPicPr>
                    <pic:cNvPr id="0" name="Image00015.jpg"/>
                    <pic:cNvPicPr/>
                  </pic:nvPicPr>
                  <pic:blipFill>
                    <a:blip r:embed="rId22"/>
                    <a:stretch>
                      <a:fillRect/>
                    </a:stretch>
                  </pic:blipFill>
                  <pic:spPr>
                    <a:xfrm>
                      <a:off x="0" y="0"/>
                      <a:ext cx="5486400" cy="2390428"/>
                    </a:xfrm>
                    <a:prstGeom prst="rect"/>
                  </pic:spPr>
                </pic:pic>
              </a:graphicData>
            </a:graphic>
          </wp:inline>
        </w:drawing>
      </w:r>
    </w:p>
    <w:p>
      <w:pPr>
        <w:pStyle w:val="Heading2"/>
      </w:pPr>
      <w:r>
        <w:rPr>
          <w:rFonts w:ascii="Calibri" w:hAnsi="Calibri"/>
          <w:b/>
          <w:i w:val="0"/>
          <w:sz w:val="32"/>
        </w:rPr>
        <w:t>CÁC CHỈ SỐ</w:t>
      </w:r>
    </w:p>
    <w:tbl>
      <w:tblPr>
        <w:tblStyle w:val="TableGrid"/>
        <w:tblW w:type="auto" w:w="0"/>
        <w:tblLook w:firstColumn="1" w:firstRow="1" w:lastColumn="0" w:lastRow="0" w:noHBand="0" w:noVBand="1" w:val="04A0"/>
      </w:tblPr>
      <w:tblGrid>
        <w:gridCol w:w="9360"/>
      </w:tblGrid>
      <w:tr>
        <w:tc>
          <w:tcPr>
            <w:tcW w:type="dxa" w:w="9360"/>
          </w:tcPr>
          <w:p>
            <w:r/>
            <w:r>
              <w:rPr>
                <w:b/>
                <w:i w:val="0"/>
                <w:sz w:val="19"/>
              </w:rPr>
              <w:t>Bảng Chỉ số</w:t>
            </w:r>
          </w:p>
        </w:tc>
      </w:tr>
      <w:tr>
        <w:tc>
          <w:tcPr>
            <w:tcW w:type="dxa" w:w="9360"/>
          </w:tcPr>
          <w:p>
            <w:r/>
            <w:r>
              <w:rPr>
                <w:b w:val="0"/>
                <w:i w:val="0"/>
                <w:sz w:val="19"/>
              </w:rPr>
              <w:t>• Số lượng Cơ sở Doanh nghiệp</w:t>
            </w:r>
            <w:r>
              <w:br/>
            </w:r>
            <w:r>
              <w:rPr>
                <w:b w:val="0"/>
                <w:i w:val="0"/>
                <w:sz w:val="19"/>
              </w:rPr>
              <w:t>• Số lượng Cơ sở Trọng yếu với Hoạt động Kinh doanh</w:t>
            </w:r>
            <w:r>
              <w:br/>
            </w:r>
            <w:r>
              <w:rPr>
                <w:b w:val="0"/>
                <w:i w:val="0"/>
                <w:sz w:val="19"/>
              </w:rPr>
              <w:t>• Giá trị Hợp đồng Bảo hiểm trên mỗi Cơ sở</w:t>
            </w:r>
            <w:r>
              <w:br/>
            </w:r>
            <w:r>
              <w:rPr>
                <w:b w:val="0"/>
                <w:i w:val="0"/>
                <w:sz w:val="19"/>
              </w:rPr>
              <w:t>• Số lượng Hợp đồng Bảo hiểm được Rà soát Hàng năm</w:t>
            </w:r>
            <w:r>
              <w:br/>
            </w:r>
            <w:r>
              <w:rPr>
                <w:b w:val="0"/>
                <w:i w:val="0"/>
                <w:sz w:val="19"/>
              </w:rPr>
              <w:t>• Số lượng và Giá trị các Thay đổi đối với Hợp đồng Bảo hiểm Hiện hành</w:t>
            </w:r>
            <w:r>
              <w:br/>
            </w:r>
            <w:r>
              <w:rPr>
                <w:b w:val="0"/>
                <w:i w:val="0"/>
                <w:sz w:val="19"/>
              </w:rPr>
              <w:t>• Số lượng Kế hoạch Duy trì Hoạt động Kinh doanh được Xây dựng</w:t>
            </w:r>
            <w:r>
              <w:br/>
            </w:r>
            <w:r>
              <w:rPr>
                <w:b w:val="0"/>
                <w:i w:val="0"/>
                <w:sz w:val="19"/>
              </w:rPr>
              <w:t>• Số lượng Kế hoạch Duy trì Hoạt động Kinh doanh được Kiểm tra Hàng năm</w:t>
            </w:r>
            <w:r>
              <w:br/>
            </w:r>
            <w:r>
              <w:rPr>
                <w:b w:val="0"/>
                <w:i w:val="0"/>
                <w:sz w:val="19"/>
              </w:rPr>
              <w:t>• Số lượng Kế hoạch Duy trì Hoạt động Kinh doanh được Cập nhật Hàng năm</w:t>
            </w:r>
          </w:p>
        </w:tc>
      </w:tr>
    </w:tbl>
    <w:p>
      <w:pPr>
        <w:spacing w:after="0"/>
      </w:pPr>
    </w:p>
    <w:p>
      <w:pPr>
        <w:pStyle w:val="Heading2"/>
      </w:pPr>
      <w:r>
        <w:rPr>
          <w:rFonts w:ascii="Calibri" w:hAnsi="Calibri"/>
          <w:b/>
          <w:i w:val="0"/>
          <w:sz w:val="32"/>
        </w:rPr>
        <w:t>ÁP DỤNG CÁC KIỂM SOÁT NỘI BỘ</w:t>
      </w:r>
    </w:p>
    <w:p>
      <w:pPr>
        <w:spacing w:after="80"/>
      </w:pPr>
      <w:r>
        <w:rPr>
          <w:b w:val="0"/>
          <w:i w:val="0"/>
        </w:rPr>
        <w:t>Trong việc lựa chọn các thủ tục và kỹ thuật kiểm soát của ban lãnh đạo, mức độ kiểm soát được triển khai là một vấn đề thuộc phán đoán kinh doanh hợp lý. Nguyên tắc chung cần được sử dụng để xác định mức độ triển khai kiểm soát nội bộ là chi phí của một biện pháp kiểm soát không được vượt quá lợi ích thu được. Tuy nhiên, có một bộ kiểm soát tối thiểu cần tồn tại trong môi trường kinh doanh thông thường. Các tiêu chuẩn kiểm soát nội bộ được liệt kê ở đây đại diện cho các kiểm soát tối thiểu cần được triển khai cho quy trình bảo hiểm.</w:t>
      </w:r>
    </w:p>
    <w:p>
      <w:pPr>
        <w:pStyle w:val="Heading2"/>
      </w:pPr>
      <w:r>
        <w:rPr>
          <w:rFonts w:ascii="Calibri" w:hAnsi="Calibri"/>
          <w:b/>
          <w:i w:val="0"/>
          <w:sz w:val="32"/>
        </w:rPr>
        <w:t>CÁC QUY TRÌNH PHỤ</w:t>
      </w:r>
    </w:p>
    <w:p>
      <w:pPr>
        <w:spacing w:after="80"/>
      </w:pPr>
      <w:r>
        <w:rPr>
          <w:b w:val="0"/>
          <w:i w:val="0"/>
        </w:rPr>
        <w:t>Các chức năng cụ thể của quy trình bảo hiểm là:</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12.1</w:t>
            </w:r>
          </w:p>
        </w:tc>
        <w:tc>
          <w:tcPr>
            <w:tcW w:type="dxa" w:w="4680"/>
          </w:tcPr>
          <w:p>
            <w:r/>
            <w:r>
              <w:rPr>
                <w:b w:val="0"/>
                <w:i w:val="0"/>
                <w:sz w:val="19"/>
              </w:rPr>
              <w:t>Bảo vệ Chống lại Thiệt hại Vật chất và các Tai nạn Khác</w:t>
            </w:r>
          </w:p>
        </w:tc>
      </w:tr>
      <w:tr>
        <w:tc>
          <w:tcPr>
            <w:tcW w:type="dxa" w:w="4680"/>
          </w:tcPr>
          <w:p>
            <w:r/>
            <w:r>
              <w:rPr>
                <w:b w:val="0"/>
                <w:i w:val="0"/>
                <w:sz w:val="19"/>
              </w:rPr>
              <w:t>12.2</w:t>
            </w:r>
          </w:p>
        </w:tc>
        <w:tc>
          <w:tcPr>
            <w:tcW w:type="dxa" w:w="4680"/>
          </w:tcPr>
          <w:p>
            <w:r/>
            <w:r>
              <w:rPr>
                <w:b w:val="0"/>
                <w:i w:val="0"/>
                <w:sz w:val="19"/>
              </w:rPr>
              <w:t>Bảo hiểm (Rủi ro Tài sản và Trách nhiệm)</w:t>
            </w:r>
          </w:p>
        </w:tc>
      </w:tr>
      <w:tr>
        <w:tc>
          <w:tcPr>
            <w:tcW w:type="dxa" w:w="4680"/>
          </w:tcPr>
          <w:p>
            <w:r/>
            <w:r>
              <w:rPr>
                <w:b w:val="0"/>
                <w:i w:val="0"/>
                <w:sz w:val="19"/>
              </w:rPr>
              <w:t>12.3</w:t>
            </w:r>
          </w:p>
        </w:tc>
        <w:tc>
          <w:tcPr>
            <w:tcW w:type="dxa" w:w="4680"/>
          </w:tcPr>
          <w:p>
            <w:r/>
            <w:r>
              <w:rPr>
                <w:b w:val="0"/>
                <w:i w:val="0"/>
                <w:sz w:val="19"/>
              </w:rPr>
              <w:t>Duy trì Hoạt động Kinh doanh</w:t>
            </w:r>
          </w:p>
        </w:tc>
      </w:tr>
    </w:tbl>
    <w:p>
      <w:pPr>
        <w:spacing w:after="0"/>
      </w:pPr>
    </w:p>
    <w:p>
      <w:pPr>
        <w:pStyle w:val="Heading2"/>
      </w:pPr>
      <w:r>
        <w:rPr>
          <w:rFonts w:ascii="Calibri" w:hAnsi="Calibri"/>
          <w:b/>
          <w:i w:val="0"/>
          <w:sz w:val="32"/>
        </w:rPr>
        <w:t>12.1 BẢO VỆ CHỐNG LẠI THIỆT HẠI VẬT CHẤT VÀ CÁC TAI NẠN KHÁC</w:t>
      </w:r>
    </w:p>
    <w:p>
      <w:pPr>
        <w:pStyle w:val="Heading3"/>
      </w:pPr>
      <w:r>
        <w:rPr>
          <w:rFonts w:ascii="Calibri" w:hAnsi="Calibri"/>
          <w:b/>
          <w:i w:val="0"/>
          <w:sz w:val="26"/>
        </w:rPr>
        <w:t>Giới thiệu</w:t>
      </w:r>
    </w:p>
    <w:p>
      <w:pPr>
        <w:spacing w:after="80"/>
      </w:pPr>
      <w:r>
        <w:rPr>
          <w:b w:val="0"/>
          <w:i w:val="0"/>
        </w:rPr>
        <w:t>Các cơ sở của công ty sẽ được duy trì theo các tiêu chuẩn bảo vệ liên quan dựa trên mức độ trọng yếu với hoạt động kinh doanh, tất cả các tiêu chuẩn về tính mạng/an toàn và các hướng dẫn pháp lý. Các cơ sở mới của công ty sẽ được thiết kế bao gồm các thông số kỹ thuật về rủi ro được bảo vệ cao (highly protected risks - HPR) dựa trên mức độ trọng yếu với hoạt động kinh doanh.</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12.1.1</w:t>
            </w:r>
          </w:p>
        </w:tc>
        <w:tc>
          <w:tcPr>
            <w:tcW w:type="dxa" w:w="4680"/>
          </w:tcPr>
          <w:p>
            <w:r/>
            <w:r>
              <w:rPr>
                <w:b/>
                <w:i w:val="0"/>
                <w:sz w:val="19"/>
              </w:rPr>
              <w:t>Cải tiến vốn.</w:t>
            </w:r>
            <w:r>
              <w:rPr>
                <w:b w:val="0"/>
                <w:i w:val="0"/>
                <w:sz w:val="19"/>
              </w:rPr>
              <w:t xml:space="preserve"> Mọi kế hoạch cải tiến vốn hoặc sửa đổi nhà máy quan trọng đều phải được các kỹ sư phòng cháy chữa cháy của công ty xem xét trước khi trình yêu cầu phê duyệt vốn, nhằm đảm bảo tuân thủ các tiêu chuẩn bảo vệ của công ty. </w:t>
            </w:r>
            <w:r>
              <w:rPr>
                <w:b/>
                <w:i w:val="0"/>
                <w:sz w:val="19"/>
              </w:rPr>
              <w:t>Tham chiếu rủi ro: A-1, A-2, A-3</w:t>
            </w:r>
          </w:p>
        </w:tc>
      </w:tr>
      <w:tr>
        <w:tc>
          <w:tcPr>
            <w:tcW w:type="dxa" w:w="4680"/>
          </w:tcPr>
          <w:p>
            <w:r/>
            <w:r>
              <w:rPr>
                <w:b w:val="0"/>
                <w:i w:val="0"/>
                <w:sz w:val="19"/>
              </w:rPr>
              <w:t>12.1.2</w:t>
            </w:r>
          </w:p>
        </w:tc>
        <w:tc>
          <w:tcPr>
            <w:tcW w:type="dxa" w:w="4680"/>
          </w:tcPr>
          <w:p>
            <w:r/>
            <w:r>
              <w:rPr>
                <w:b/>
                <w:i w:val="0"/>
                <w:sz w:val="19"/>
              </w:rPr>
              <w:t>Xếp hạng cơ sở.</w:t>
            </w:r>
            <w:r>
              <w:rPr>
                <w:b w:val="0"/>
                <w:i w:val="0"/>
                <w:sz w:val="19"/>
              </w:rPr>
              <w:t xml:space="preserve"> Các nỗ lực sẽ được thực hiện để kiểm soát tổn thất tối đa có thể dự báo trước (MFL) và tổn thất tối đa có khả năng xảy ra (PML) trong phạm vi các tiêu chuẩn do quy trình quản lý rủi ro của tập đoàn đặt ra. </w:t>
            </w:r>
            <w:r>
              <w:rPr>
                <w:b/>
                <w:i w:val="0"/>
                <w:sz w:val="19"/>
              </w:rPr>
              <w:t>Tham chiếu rủi ro: A-1, A-2, A-3</w:t>
            </w:r>
          </w:p>
        </w:tc>
      </w:tr>
      <w:tr>
        <w:tc>
          <w:tcPr>
            <w:tcW w:type="dxa" w:w="4680"/>
          </w:tcPr>
          <w:p>
            <w:r/>
            <w:r>
              <w:rPr>
                <w:b w:val="0"/>
                <w:i w:val="0"/>
                <w:sz w:val="19"/>
              </w:rPr>
              <w:t>12.1.3</w:t>
            </w:r>
          </w:p>
        </w:tc>
        <w:tc>
          <w:tcPr>
            <w:tcW w:type="dxa" w:w="4680"/>
          </w:tcPr>
          <w:p>
            <w:r/>
            <w:r>
              <w:rPr>
                <w:b/>
                <w:i w:val="0"/>
                <w:sz w:val="19"/>
              </w:rPr>
              <w:t>Cơ sở trọng yếu đối với hoạt động kinh doanh.</w:t>
            </w:r>
            <w:r>
              <w:rPr>
                <w:b w:val="0"/>
                <w:i w:val="0"/>
                <w:sz w:val="19"/>
              </w:rPr>
              <w:t xml:space="preserve"> Các cơ sở trọng yếu đối với hoạt động kinh doanh do công ty sở hữu hoặc thuê sẽ được duy trì theo các tiêu chuẩn HPR như được định nghĩa bởi ngành bảo hiểm. </w:t>
            </w:r>
            <w:r>
              <w:rPr>
                <w:b/>
                <w:i w:val="0"/>
                <w:sz w:val="19"/>
              </w:rPr>
              <w:t>Tham chiếu rủi ro: A-1, A-2, A-3</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A-1</w:t>
            </w:r>
          </w:p>
        </w:tc>
        <w:tc>
          <w:tcPr>
            <w:tcW w:type="dxa" w:w="4680"/>
          </w:tcPr>
          <w:p>
            <w:r/>
            <w:r>
              <w:rPr>
                <w:b w:val="0"/>
                <w:i w:val="0"/>
                <w:sz w:val="19"/>
              </w:rPr>
              <w:t>Nếu biện pháp bảo vệ không đầy đủ, một tai nạn có thể gây tổn thất đáng kể về tính mạng, tài sản và hoạt động kinh doanh.</w:t>
            </w:r>
          </w:p>
        </w:tc>
      </w:tr>
      <w:tr>
        <w:tc>
          <w:tcPr>
            <w:tcW w:type="dxa" w:w="4680"/>
          </w:tcPr>
          <w:p>
            <w:r/>
            <w:r>
              <w:rPr>
                <w:b w:val="0"/>
                <w:i w:val="0"/>
                <w:sz w:val="19"/>
              </w:rPr>
              <w:t>A-2</w:t>
            </w:r>
          </w:p>
        </w:tc>
        <w:tc>
          <w:tcPr>
            <w:tcW w:type="dxa" w:w="4680"/>
          </w:tcPr>
          <w:p>
            <w:r/>
            <w:r>
              <w:rPr>
                <w:b w:val="0"/>
                <w:i w:val="0"/>
                <w:sz w:val="19"/>
              </w:rPr>
              <w:t>Nếu biện pháp bảo vệ không đầy đủ, công ty có thể đối mặt với các hình phạt và tiền phạt quy định đáng kể.</w:t>
            </w:r>
          </w:p>
        </w:tc>
      </w:tr>
      <w:tr>
        <w:tc>
          <w:tcPr>
            <w:tcW w:type="dxa" w:w="4680"/>
          </w:tcPr>
          <w:p>
            <w:r/>
            <w:r>
              <w:rPr>
                <w:b w:val="0"/>
                <w:i w:val="0"/>
                <w:sz w:val="19"/>
              </w:rPr>
              <w:t>A-3</w:t>
            </w:r>
          </w:p>
        </w:tc>
        <w:tc>
          <w:tcPr>
            <w:tcW w:type="dxa" w:w="4680"/>
          </w:tcPr>
          <w:p>
            <w:r/>
            <w:r>
              <w:rPr>
                <w:b w:val="0"/>
                <w:i w:val="0"/>
                <w:sz w:val="19"/>
              </w:rPr>
              <w:t>Nếu biện pháp bảo vệ không đầy đủ, công ty có thể chịu tổn hại đáng kể về danh tiếng.</w:t>
            </w:r>
          </w:p>
        </w:tc>
      </w:tr>
    </w:tbl>
    <w:p>
      <w:pPr>
        <w:spacing w:after="0"/>
      </w:pPr>
    </w:p>
    <w:p>
      <w:pPr>
        <w:pStyle w:val="Heading2"/>
      </w:pPr>
      <w:r>
        <w:rPr>
          <w:rFonts w:ascii="Calibri" w:hAnsi="Calibri"/>
          <w:b/>
          <w:i w:val="0"/>
          <w:sz w:val="32"/>
        </w:rPr>
        <w:t>12.2 BẢO HIỂM (RỦI RO TÀI SẢN VÀ TRÁCH NHIỆM)</w:t>
      </w:r>
    </w:p>
    <w:p>
      <w:pPr>
        <w:pStyle w:val="Heading3"/>
      </w:pPr>
      <w:r>
        <w:rPr>
          <w:rFonts w:ascii="Calibri" w:hAnsi="Calibri"/>
          <w:b/>
          <w:i w:val="0"/>
          <w:sz w:val="26"/>
        </w:rPr>
        <w:t>Giới thiệu</w:t>
      </w:r>
    </w:p>
    <w:p>
      <w:pPr>
        <w:spacing w:after="80"/>
      </w:pPr>
      <w:r>
        <w:rPr>
          <w:b w:val="0"/>
          <w:i w:val="0"/>
        </w:rPr>
        <w:t>Bảo hiểm cho các rủi ro tài sản và trách nhiệm sẽ được thiết kế để bảo vệ cổ đông của công ty khỏi tổn thất tài chính đáng kể và đáp ứng mọi yêu cầu pháp lý và quy định. Tất cả bảo hiểm tại Hoa Kỳ sẽ do bộ phận quản lý rủi ro của tập đoàn mua, ngoại trừ bảo hiểm bồi thường cho người lao động tại Hoa Kỳ, và chi phí sẽ được phân bổ tuân thủ các chính sách và quy trình của tập đoàn.</w:t>
      </w:r>
    </w:p>
    <w:p>
      <w:pPr>
        <w:spacing w:after="80"/>
      </w:pPr>
      <w:r>
        <w:rPr>
          <w:b w:val="0"/>
          <w:i w:val="0"/>
        </w:rPr>
        <w:t>Quản lý rủi ro doanh nghiệp sẽ được thông báo về những thay đổi (ví dụ: mua lại, thoái vốn, hoạt động kinh doanh mới, sửa đổi nhà máy, thanh lý tài sản, tổn thất lớn, v.v.) xảy ra trong tập đoàn và các đơn vị trực thuộc để đảm bảo rằng phạm vi bảo hiểm giải quyết thỏa đáng các rủi ro tiềm ẩn.</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12.2.1</w:t>
            </w:r>
          </w:p>
        </w:tc>
        <w:tc>
          <w:tcPr>
            <w:tcW w:type="dxa" w:w="4680"/>
          </w:tcPr>
          <w:p>
            <w:r/>
            <w:r>
              <w:rPr>
                <w:b/>
                <w:i w:val="0"/>
                <w:sz w:val="19"/>
              </w:rPr>
              <w:t>Số tiền bảo hiểm.</w:t>
            </w:r>
            <w:r>
              <w:rPr>
                <w:b w:val="0"/>
                <w:i w:val="0"/>
                <w:sz w:val="19"/>
              </w:rPr>
              <w:t xml:space="preserve"> Phạm vi bảo hiểm đối với rủi ro tài sản và tai nạn sẽ được thiết kế để bảo vệ cổ đông của công ty khỏi tổn thất tài chính đáng kể và đáp ứng mọi yêu cầu pháp lý và quy định. </w:t>
            </w:r>
            <w:r>
              <w:rPr>
                <w:b/>
                <w:i w:val="0"/>
                <w:sz w:val="19"/>
              </w:rPr>
              <w:t>Tham chiếu rủi ro: B-1, B-2</w:t>
            </w:r>
          </w:p>
        </w:tc>
      </w:tr>
      <w:tr>
        <w:tc>
          <w:tcPr>
            <w:tcW w:type="dxa" w:w="4680"/>
          </w:tcPr>
          <w:p>
            <w:r/>
            <w:r>
              <w:rPr>
                <w:b w:val="0"/>
                <w:i w:val="0"/>
                <w:sz w:val="19"/>
              </w:rPr>
              <w:t>12.2.2</w:t>
            </w:r>
          </w:p>
        </w:tc>
        <w:tc>
          <w:tcPr>
            <w:tcW w:type="dxa" w:w="4680"/>
          </w:tcPr>
          <w:p>
            <w:r/>
            <w:r>
              <w:rPr>
                <w:b/>
                <w:i w:val="0"/>
                <w:sz w:val="19"/>
              </w:rPr>
              <w:t>Quyết định Bảo hiểm.</w:t>
            </w:r>
            <w:r>
              <w:rPr>
                <w:b w:val="0"/>
                <w:i w:val="0"/>
                <w:sz w:val="19"/>
              </w:rPr>
              <w:t xml:space="preserve"> Mọi quyết định liên quan đến thiết kế và phạm vi của các chương trình bảo hiểm, ngoại trừ chương trình Bồi thường cho Người lao động Hoa Kỳ, sẽ do bộ phận Quản lý Rủi ro Doanh nghiệp đưa ra tuân theo các chính sách và quy trình của công ty. Các quyết định liên quan đến thiết kế và phạm vi của chương trình bồi thường cho người lao động Hoa Kỳ của công ty sẽ do bộ phận môi trường, sức khỏe, an toàn và an ninh (EHS&amp;S) của công ty đưa ra. </w:t>
            </w:r>
            <w:r>
              <w:rPr>
                <w:b/>
                <w:i w:val="0"/>
                <w:sz w:val="19"/>
              </w:rPr>
              <w:t>Tham chiếu rủi ro: B-1, B-2, B-3</w:t>
            </w:r>
          </w:p>
        </w:tc>
      </w:tr>
      <w:tr>
        <w:tc>
          <w:tcPr>
            <w:tcW w:type="dxa" w:w="4680"/>
          </w:tcPr>
          <w:p>
            <w:r/>
            <w:r>
              <w:rPr>
                <w:b w:val="0"/>
                <w:i w:val="0"/>
                <w:sz w:val="19"/>
              </w:rPr>
              <w:t>12.2.3</w:t>
            </w:r>
          </w:p>
        </w:tc>
        <w:tc>
          <w:tcPr>
            <w:tcW w:type="dxa" w:w="4680"/>
          </w:tcPr>
          <w:p>
            <w:r/>
            <w:r>
              <w:rPr>
                <w:b/>
                <w:i w:val="0"/>
                <w:sz w:val="19"/>
              </w:rPr>
              <w:t>Mua Bảo hiểm tại Hoa Kỳ.</w:t>
            </w:r>
            <w:r>
              <w:rPr>
                <w:b w:val="0"/>
                <w:i w:val="0"/>
                <w:sz w:val="19"/>
              </w:rPr>
              <w:t xml:space="preserve"> Bảo hiểm bồi thường cho người lao động Hoa Kỳ sẽ được mua thông qua bộ phận EHS&amp;S của công ty và chi phí sẽ được phân bổ cho các đơn vị kinh doanh phù hợp. </w:t>
            </w:r>
            <w:r>
              <w:rPr>
                <w:b/>
                <w:i w:val="0"/>
                <w:sz w:val="19"/>
              </w:rPr>
              <w:t>Tham chiếu rủi ro: B-1, B-2, B-3</w:t>
            </w:r>
          </w:p>
        </w:tc>
      </w:tr>
      <w:tr>
        <w:tc>
          <w:tcPr>
            <w:tcW w:type="dxa" w:w="4680"/>
          </w:tcPr>
          <w:p>
            <w:r/>
            <w:r>
              <w:rPr>
                <w:b w:val="0"/>
                <w:i w:val="0"/>
                <w:sz w:val="19"/>
              </w:rPr>
              <w:t>12.2.4</w:t>
            </w:r>
          </w:p>
        </w:tc>
        <w:tc>
          <w:tcPr>
            <w:tcW w:type="dxa" w:w="4680"/>
          </w:tcPr>
          <w:p>
            <w:r/>
            <w:r>
              <w:rPr>
                <w:b/>
                <w:i w:val="0"/>
                <w:sz w:val="19"/>
              </w:rPr>
              <w:t>Mua Bảo hiểm Ngoài Hoa Kỳ.</w:t>
            </w:r>
            <w:r>
              <w:rPr>
                <w:b w:val="0"/>
                <w:i w:val="0"/>
                <w:sz w:val="19"/>
              </w:rPr>
              <w:t xml:space="preserve"> Tất cả bảo hiểm bên ngoài Hoa Kỳ sẽ do bộ phận quản lý rủi ro doanh nghiệp mua hoặc phối hợp với các chính sách do bộ phận này thu xếp. Trong trường hợp cần có bảo hiểm khác vì lý do luật định, pháp lý hoặc hợp đồng, việc này sẽ tuân thủ các chính sách và quy trình của công ty và phải được bộ phận quản lý rủi ro doanh nghiệp xem xét trước. Nếu chi phí cho bảo hiểm đó do bộ phận quản lý rủi ro doanh nghiệp chi trả, chi phí sẽ được phân bổ tuân theo các chính sách và quy trình của công ty. </w:t>
            </w:r>
            <w:r>
              <w:rPr>
                <w:b/>
                <w:i w:val="0"/>
                <w:sz w:val="19"/>
              </w:rPr>
              <w:t>Tham chiếu rủi ro: B-1, B-2, B-3</w:t>
            </w:r>
          </w:p>
        </w:tc>
      </w:tr>
      <w:tr>
        <w:tc>
          <w:tcPr>
            <w:tcW w:type="dxa" w:w="4680"/>
          </w:tcPr>
          <w:p>
            <w:r/>
            <w:r>
              <w:rPr>
                <w:b w:val="0"/>
                <w:i w:val="0"/>
                <w:sz w:val="19"/>
              </w:rPr>
              <w:t>12.2.5</w:t>
            </w:r>
          </w:p>
        </w:tc>
        <w:tc>
          <w:tcPr>
            <w:tcW w:type="dxa" w:w="4680"/>
          </w:tcPr>
          <w:p>
            <w:r/>
            <w:r>
              <w:rPr>
                <w:b/>
                <w:i w:val="0"/>
                <w:sz w:val="19"/>
              </w:rPr>
              <w:t>Thay đổi Phạm vi Bảo hiểm.</w:t>
            </w:r>
            <w:r>
              <w:rPr>
                <w:b w:val="0"/>
                <w:i w:val="0"/>
                <w:sz w:val="19"/>
              </w:rPr>
              <w:t xml:space="preserve"> Quản lý rủi ro doanh nghiệp sẽ được thông báo về những thay đổi (ví dụ: mua lại, thoái vốn, hoạt động kinh doanh mới, sửa đổi nhà máy, thanh lý tài sản, tổn thất lớn, v.v.) xảy ra trong tập đoàn và các đơn vị trực thuộc để đảm bảo rằng phạm vi bảo hiểm giải quyết thỏa đáng các rủi ro tiềm ẩn. </w:t>
            </w:r>
            <w:r>
              <w:rPr>
                <w:b/>
                <w:i w:val="0"/>
                <w:sz w:val="19"/>
              </w:rPr>
              <w:t>Tham chiếu rủi ro: B-1, B-2</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B-1</w:t>
            </w:r>
          </w:p>
        </w:tc>
        <w:tc>
          <w:tcPr>
            <w:tcW w:type="dxa" w:w="4680"/>
          </w:tcPr>
          <w:p>
            <w:r/>
            <w:r>
              <w:rPr>
                <w:b w:val="0"/>
                <w:i w:val="0"/>
                <w:sz w:val="19"/>
              </w:rPr>
              <w:t>Phạm vi bảo hiểm hiện có có thể không đầy đủ hoặc thậm chí bị hủy bỏ, khiến cổ đông phải chịu tổn thất quá mức.</w:t>
            </w:r>
          </w:p>
        </w:tc>
      </w:tr>
      <w:tr>
        <w:tc>
          <w:tcPr>
            <w:tcW w:type="dxa" w:w="4680"/>
          </w:tcPr>
          <w:p>
            <w:r/>
            <w:r>
              <w:rPr>
                <w:b w:val="0"/>
                <w:i w:val="0"/>
                <w:sz w:val="19"/>
              </w:rPr>
              <w:t>B-2</w:t>
            </w:r>
          </w:p>
        </w:tc>
        <w:tc>
          <w:tcPr>
            <w:tcW w:type="dxa" w:w="4680"/>
          </w:tcPr>
          <w:p>
            <w:r/>
            <w:r>
              <w:rPr>
                <w:b w:val="0"/>
                <w:i w:val="0"/>
                <w:sz w:val="19"/>
              </w:rPr>
              <w:t>Có thể mua bảo hiểm quá mức, dẫn đến việc trả phí bảo hiểm vượt mức cần thiết. Điều này có thể làm tăng chi phí quản lý và ảnh hưởng tiêu cực đến vị thế cạnh tranh.</w:t>
            </w:r>
          </w:p>
        </w:tc>
      </w:tr>
      <w:tr>
        <w:tc>
          <w:tcPr>
            <w:tcW w:type="dxa" w:w="4680"/>
          </w:tcPr>
          <w:p>
            <w:r/>
            <w:r>
              <w:rPr>
                <w:b w:val="0"/>
                <w:i w:val="0"/>
                <w:sz w:val="19"/>
              </w:rPr>
              <w:t>B-3</w:t>
            </w:r>
          </w:p>
        </w:tc>
        <w:tc>
          <w:tcPr>
            <w:tcW w:type="dxa" w:w="4680"/>
          </w:tcPr>
          <w:p>
            <w:r/>
            <w:r>
              <w:rPr>
                <w:b w:val="0"/>
                <w:i w:val="0"/>
                <w:sz w:val="19"/>
              </w:rPr>
              <w:t>Việc trùng lặp bảo hiểm có thể gây ra sự chậm trễ đáng kể trong việc thu hồi các khoản thanh toán bảo hiểm và có thể cản trở đáng kể dòng tiền.</w:t>
            </w:r>
          </w:p>
        </w:tc>
      </w:tr>
    </w:tbl>
    <w:p>
      <w:pPr>
        <w:spacing w:after="0"/>
      </w:pPr>
    </w:p>
    <w:p>
      <w:pPr>
        <w:pStyle w:val="Heading2"/>
      </w:pPr>
      <w:r>
        <w:rPr>
          <w:rFonts w:ascii="Calibri" w:hAnsi="Calibri"/>
          <w:b/>
          <w:i w:val="0"/>
          <w:sz w:val="32"/>
        </w:rPr>
        <w:t>12.3 DUY TRÌ HOẠT ĐỘNG LIÊN TỤC</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12.3.1</w:t>
            </w:r>
          </w:p>
        </w:tc>
        <w:tc>
          <w:tcPr>
            <w:tcW w:type="dxa" w:w="4680"/>
          </w:tcPr>
          <w:p>
            <w:r/>
            <w:r>
              <w:rPr>
                <w:b/>
                <w:i w:val="0"/>
                <w:sz w:val="19"/>
              </w:rPr>
              <w:t>Chiến lược Duy trì Hoạt động Liên tục.</w:t>
            </w:r>
            <w:r>
              <w:rPr>
                <w:b w:val="0"/>
                <w:i w:val="0"/>
                <w:sz w:val="19"/>
              </w:rPr>
              <w:t xml:space="preserve"> Mỗi đơn vị kinh doanh toàn cầu sẽ xây dựng và duy trì các chiến lược duy trì hoạt động liên tục được ghi chép thành văn bản để đảm bảo rằng các sản phẩm và/hoặc dịch vụ quan trọng vẫn tiếp tục được cung cấp thông suốt cho khách hàng trong trường hợp xảy ra thảm họa. </w:t>
            </w:r>
            <w:r>
              <w:rPr>
                <w:b/>
                <w:i w:val="0"/>
                <w:sz w:val="19"/>
              </w:rPr>
              <w:t>Tham chiếu rủi ro: C-1</w:t>
            </w:r>
          </w:p>
        </w:tc>
      </w:tr>
      <w:tr>
        <w:tc>
          <w:tcPr>
            <w:tcW w:type="dxa" w:w="4680"/>
          </w:tcPr>
          <w:p>
            <w:r/>
            <w:r>
              <w:rPr>
                <w:b w:val="0"/>
                <w:i w:val="0"/>
                <w:sz w:val="19"/>
              </w:rPr>
              <w:t>12.3.2</w:t>
            </w:r>
          </w:p>
        </w:tc>
        <w:tc>
          <w:tcPr>
            <w:tcW w:type="dxa" w:w="4680"/>
          </w:tcPr>
          <w:p>
            <w:r/>
            <w:r>
              <w:rPr>
                <w:b/>
                <w:i w:val="0"/>
                <w:sz w:val="19"/>
              </w:rPr>
              <w:t>Kế hoạch Khôi phục Sau Thảm họa và Kế hoạch Dự phòng.</w:t>
            </w:r>
            <w:r>
              <w:rPr>
                <w:b w:val="0"/>
                <w:i w:val="0"/>
                <w:sz w:val="19"/>
              </w:rPr>
              <w:t xml:space="preserve"> Mỗi địa điểm trọng yếu, theo định nghĩa của chiến lược duy trì hoạt động liên tục, phải duy trì các kế hoạch gửi hàng, nhận hàng, khôi phục sau thảm họa và dự phòng được ghi chép thành văn bản. </w:t>
            </w:r>
            <w:r>
              <w:rPr>
                <w:b/>
                <w:i w:val="0"/>
                <w:sz w:val="19"/>
              </w:rPr>
              <w:t>Tham chiếu rủi ro: C-2</w:t>
            </w:r>
          </w:p>
        </w:tc>
      </w:tr>
      <w:tr>
        <w:tc>
          <w:tcPr>
            <w:tcW w:type="dxa" w:w="4680"/>
          </w:tcPr>
          <w:p>
            <w:r/>
            <w:r>
              <w:rPr>
                <w:b w:val="0"/>
                <w:i w:val="0"/>
                <w:sz w:val="19"/>
              </w:rPr>
              <w:t>12.3.3</w:t>
            </w:r>
          </w:p>
        </w:tc>
        <w:tc>
          <w:tcPr>
            <w:tcW w:type="dxa" w:w="4680"/>
          </w:tcPr>
          <w:p>
            <w:r/>
            <w:r>
              <w:rPr>
                <w:b/>
                <w:i w:val="0"/>
                <w:sz w:val="19"/>
              </w:rPr>
              <w:t>Tiêu chuẩn Kiểm thử Kế hoạch.</w:t>
            </w:r>
            <w:r>
              <w:rPr>
                <w:b w:val="0"/>
                <w:i w:val="0"/>
                <w:sz w:val="19"/>
              </w:rPr>
              <w:t xml:space="preserve"> Tất cả các kế hoạch phải tuân thủ các tiêu chuẩn và chính sách kiểm thử cũng như ghi chép của công ty về quản lý rủi ro. </w:t>
            </w:r>
            <w:r>
              <w:rPr>
                <w:b/>
                <w:i w:val="0"/>
                <w:sz w:val="19"/>
              </w:rPr>
              <w:t>Tham chiếu rủi ro: C-2</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C-1</w:t>
            </w:r>
          </w:p>
        </w:tc>
        <w:tc>
          <w:tcPr>
            <w:tcW w:type="dxa" w:w="4680"/>
          </w:tcPr>
          <w:p>
            <w:r/>
            <w:r>
              <w:rPr>
                <w:b w:val="0"/>
                <w:i w:val="0"/>
                <w:sz w:val="19"/>
              </w:rPr>
              <w:t>Một chiến lược không đầy đủ có thể gây tổn hại không thể khắc phục đối với thị phần, dẫn đến tổn thất tài chính đáng kể cho các cổ đông của chúng ta.</w:t>
            </w:r>
          </w:p>
        </w:tc>
      </w:tr>
      <w:tr>
        <w:tc>
          <w:tcPr>
            <w:tcW w:type="dxa" w:w="4680"/>
          </w:tcPr>
          <w:p>
            <w:r/>
            <w:r>
              <w:rPr>
                <w:b w:val="0"/>
                <w:i w:val="0"/>
                <w:sz w:val="19"/>
              </w:rPr>
              <w:t>C-2</w:t>
            </w:r>
          </w:p>
        </w:tc>
        <w:tc>
          <w:tcPr>
            <w:tcW w:type="dxa" w:w="4680"/>
          </w:tcPr>
          <w:p>
            <w:r/>
            <w:r>
              <w:rPr>
                <w:b w:val="0"/>
                <w:i w:val="0"/>
                <w:sz w:val="19"/>
              </w:rPr>
              <w:t>Các kế hoạch không đầy đủ có thể gây ra sự chậm trễ đáng kể trong việc thực hiện chiến lược duy trì hoạt động liên tục và gây tổn hại đến uy tín cũng như lợi thế cạnh tranh của công ty, dẫn đến tổn thất kinh doanh đáng kể.</w:t>
            </w:r>
          </w:p>
        </w:tc>
      </w:tr>
    </w:tbl>
    <w:p>
      <w:pPr>
        <w:spacing w:after="0"/>
      </w:pPr>
    </w:p>
    <w:p>
      <w:pPr>
        <w:pStyle w:val="Heading1"/>
      </w:pPr>
      <w:r>
        <w:rPr>
          <w:rFonts w:ascii="Calibri" w:hAnsi="Calibri"/>
          <w:b/>
          <w:i w:val="0"/>
          <w:sz w:val="40"/>
        </w:rPr>
        <w:t xml:space="preserve">CHƯƠNG 13 </w:t>
      </w:r>
      <w:r>
        <w:br/>
      </w:r>
      <w:r>
        <w:rPr>
          <w:rFonts w:ascii="Calibri" w:hAnsi="Calibri"/>
          <w:b/>
          <w:i w:val="0"/>
          <w:sz w:val="40"/>
        </w:rPr>
        <w:t xml:space="preserve"> Môi trường, Sức khỏe và An toàn (EH&amp;S)</w:t>
      </w:r>
    </w:p>
    <w:p>
      <w:pPr>
        <w:pStyle w:val="Heading2"/>
      </w:pPr>
      <w:r>
        <w:rPr>
          <w:rFonts w:ascii="Calibri" w:hAnsi="Calibri"/>
          <w:b/>
          <w:i w:val="0"/>
          <w:sz w:val="32"/>
        </w:rPr>
        <w:t>GIỚI THIỆU</w:t>
      </w:r>
    </w:p>
    <w:p>
      <w:pPr>
        <w:spacing w:after="80"/>
      </w:pPr>
      <w:r>
        <w:rPr>
          <w:b w:val="0"/>
          <w:i w:val="0"/>
        </w:rPr>
        <w:t>Chính sách của công ty là thực hiện các hoạt động kinh doanh theo cách phù hợp với các Chính sách và Tiêu chuẩn EH&amp;S đúng đắn. Theo Wikipedia, môi trường, sức khỏe và an toàn (EH&amp;S) là bộ môn và chuyên ngành nghiên cứu và triển khai các khía cạnh thực tiễn của việc bảo vệ môi trường và an toàn tại nơi làm việc. Nói một cách đơn giản, đó là những gì các tổ chức phải làm để đảm bảo rằng các hoạt động của họ không gây hại cho bất kỳ ai và tuân thủ các yêu cầu pháp lý.</w:t>
      </w:r>
    </w:p>
    <w:p>
      <w:pPr>
        <w:pStyle w:val="Heading2"/>
      </w:pPr>
      <w:r>
        <w:rPr>
          <w:rFonts w:ascii="Calibri" w:hAnsi="Calibri"/>
          <w:b/>
          <w:i w:val="0"/>
          <w:sz w:val="32"/>
        </w:rPr>
        <w:t>TỔNG QUAN QUY TRÌNH</w:t>
      </w:r>
    </w:p>
    <w:p>
      <w:pPr>
        <w:spacing w:after="80"/>
      </w:pPr>
      <w:r>
        <w:rPr>
          <w:b w:val="0"/>
          <w:i w:val="0"/>
        </w:rPr>
        <w:t>Sơ đồ dưới đây cho thấy các yếu tố nền tảng hỗ trợ các yêu cầu EH&amp;S là Kiểm soát Nội bộ và Tuân thủ, Tuân thủ EH&amp;S, và Quy tắc Ứng xử cùng "Tone at the Top" (Tông giọng từ cấp cao nhất).</w:t>
      </w:r>
    </w:p>
    <w:p>
      <w:pPr>
        <w:jc w:val="center"/>
      </w:pPr>
      <w:r>
        <w:drawing>
          <wp:inline xmlns:a="http://schemas.openxmlformats.org/drawingml/2006/main" xmlns:pic="http://schemas.openxmlformats.org/drawingml/2006/picture">
            <wp:extent cx="5486400" cy="2385162"/>
            <wp:docPr id="15" name="Picture 15"/>
            <wp:cNvGraphicFramePr>
              <a:graphicFrameLocks noChangeAspect="1"/>
            </wp:cNvGraphicFramePr>
            <a:graphic>
              <a:graphicData uri="http://schemas.openxmlformats.org/drawingml/2006/picture">
                <pic:pic>
                  <pic:nvPicPr>
                    <pic:cNvPr id="0" name="Image00016.jpg"/>
                    <pic:cNvPicPr/>
                  </pic:nvPicPr>
                  <pic:blipFill>
                    <a:blip r:embed="rId23"/>
                    <a:stretch>
                      <a:fillRect/>
                    </a:stretch>
                  </pic:blipFill>
                  <pic:spPr>
                    <a:xfrm>
                      <a:off x="0" y="0"/>
                      <a:ext cx="5486400" cy="2385162"/>
                    </a:xfrm>
                    <a:prstGeom prst="rect"/>
                  </pic:spPr>
                </pic:pic>
              </a:graphicData>
            </a:graphic>
          </wp:inline>
        </w:drawing>
      </w:r>
    </w:p>
    <w:p>
      <w:pPr>
        <w:pStyle w:val="Heading2"/>
      </w:pPr>
      <w:r>
        <w:rPr>
          <w:rFonts w:ascii="Calibri" w:hAnsi="Calibri"/>
          <w:b/>
          <w:i w:val="0"/>
          <w:sz w:val="32"/>
        </w:rPr>
        <w:t>CÁC CHỈ SỐ ĐO LƯỜNG</w:t>
      </w:r>
    </w:p>
    <w:tbl>
      <w:tblPr>
        <w:tblStyle w:val="TableGrid"/>
        <w:tblW w:type="auto" w:w="0"/>
        <w:tblLook w:firstColumn="1" w:firstRow="1" w:lastColumn="0" w:lastRow="0" w:noHBand="0" w:noVBand="1" w:val="04A0"/>
      </w:tblPr>
      <w:tblGrid>
        <w:gridCol w:w="9360"/>
      </w:tblGrid>
      <w:tr>
        <w:tc>
          <w:tcPr>
            <w:tcW w:type="dxa" w:w="9360"/>
          </w:tcPr>
          <w:p>
            <w:r/>
            <w:r>
              <w:rPr>
                <w:b/>
                <w:i w:val="0"/>
                <w:sz w:val="19"/>
              </w:rPr>
              <w:t>Bảng Chỉ số Đo lường</w:t>
            </w:r>
          </w:p>
        </w:tc>
      </w:tr>
      <w:tr>
        <w:tc>
          <w:tcPr>
            <w:tcW w:type="dxa" w:w="9360"/>
          </w:tcPr>
          <w:p>
            <w:r/>
            <w:r>
              <w:rPr>
                <w:b w:val="0"/>
                <w:i w:val="0"/>
                <w:sz w:val="19"/>
              </w:rPr>
              <w:t xml:space="preserve">•  </w:t>
            </w:r>
            <w:r>
              <w:rPr>
                <w:b/>
                <w:i w:val="0"/>
                <w:sz w:val="19"/>
              </w:rPr>
              <w:t>Số lượng Đánh giá EHS&amp;S được Thực hiện Hàng năm</w:t>
            </w:r>
            <w:r>
              <w:rPr>
                <w:b w:val="0"/>
                <w:i w:val="0"/>
                <w:sz w:val="19"/>
              </w:rPr>
              <w:t xml:space="preserve"> —Số lượng đánh giá được hoàn thành hàng năm.</w:t>
            </w:r>
            <w:r>
              <w:br/>
            </w:r>
            <w:r>
              <w:rPr>
                <w:b w:val="0"/>
                <w:i w:val="0"/>
                <w:sz w:val="19"/>
              </w:rPr>
              <w:t xml:space="preserve">•  </w:t>
            </w:r>
            <w:r>
              <w:rPr>
                <w:b/>
                <w:i w:val="0"/>
                <w:sz w:val="19"/>
              </w:rPr>
              <w:t>Số lượng Rủi ro được Xác định theo Đơn vị Kinh doanh</w:t>
            </w:r>
            <w:r>
              <w:rPr>
                <w:b w:val="0"/>
                <w:i w:val="0"/>
                <w:sz w:val="19"/>
              </w:rPr>
              <w:t xml:space="preserve"> —Kết quả của quá trình đánh giá, đây là số lượng rủi ro được xác định bởi các đơn vị kinh doanh của công ty.</w:t>
            </w:r>
            <w:r>
              <w:br/>
            </w:r>
            <w:r>
              <w:rPr>
                <w:b w:val="0"/>
                <w:i w:val="0"/>
                <w:sz w:val="19"/>
              </w:rPr>
              <w:t xml:space="preserve">•  </w:t>
            </w:r>
            <w:r>
              <w:rPr>
                <w:b/>
                <w:i w:val="0"/>
                <w:sz w:val="19"/>
              </w:rPr>
              <w:t>Số lượng Vấn đề Tuân thủ được Xác định</w:t>
            </w:r>
            <w:r>
              <w:rPr>
                <w:b w:val="0"/>
                <w:i w:val="0"/>
                <w:sz w:val="19"/>
              </w:rPr>
              <w:t xml:space="preserve"> —Số lượng vấn đề tuân thủ được xác định theo quá trình đánh giá.</w:t>
            </w:r>
            <w:r>
              <w:br/>
            </w:r>
            <w:r>
              <w:rPr>
                <w:b w:val="0"/>
                <w:i w:val="0"/>
                <w:sz w:val="19"/>
              </w:rPr>
              <w:t xml:space="preserve">•  </w:t>
            </w:r>
            <w:r>
              <w:rPr>
                <w:b/>
                <w:i w:val="0"/>
                <w:sz w:val="19"/>
              </w:rPr>
              <w:t>Số lượng Vấn đề Tuân thủ được Giảm thiểu</w:t>
            </w:r>
            <w:r>
              <w:rPr>
                <w:b w:val="0"/>
                <w:i w:val="0"/>
                <w:sz w:val="19"/>
              </w:rPr>
              <w:t xml:space="preserve"> —Số lượng vấn đề tuân thủ được giải quyết và giảm thiểu.</w:t>
            </w:r>
            <w:r>
              <w:br/>
            </w:r>
            <w:r>
              <w:rPr>
                <w:b w:val="0"/>
                <w:i w:val="0"/>
                <w:sz w:val="19"/>
              </w:rPr>
              <w:t xml:space="preserve">•  </w:t>
            </w:r>
            <w:r>
              <w:rPr>
                <w:b/>
                <w:i w:val="0"/>
                <w:sz w:val="19"/>
              </w:rPr>
              <w:t>Giá trị Tiền phạt Tuân thủ đã Nộp (theo Cơ quan)</w:t>
            </w:r>
            <w:r>
              <w:rPr>
                <w:b w:val="0"/>
                <w:i w:val="0"/>
                <w:sz w:val="19"/>
              </w:rPr>
              <w:t xml:space="preserve"> —Giá trị tiền phạt tuân thủ và cơ quan nhận tiền phạt.</w:t>
            </w:r>
            <w:r>
              <w:br/>
            </w:r>
            <w:r>
              <w:rPr>
                <w:b w:val="0"/>
                <w:i w:val="0"/>
                <w:sz w:val="19"/>
              </w:rPr>
              <w:t xml:space="preserve">•  </w:t>
            </w:r>
            <w:r>
              <w:rPr>
                <w:b/>
                <w:i w:val="0"/>
                <w:sz w:val="19"/>
              </w:rPr>
              <w:t>Số lượng Buổi Đào tạo được Tổ chức</w:t>
            </w:r>
            <w:r>
              <w:rPr>
                <w:b w:val="0"/>
                <w:i w:val="0"/>
                <w:sz w:val="19"/>
              </w:rPr>
              <w:t xml:space="preserve"> —Số lượng buổi đào tạo EH&amp;S được tổ chức theo kỳ tài chính đã định.</w:t>
            </w:r>
            <w:r>
              <w:br/>
            </w:r>
            <w:r>
              <w:rPr>
                <w:b w:val="0"/>
                <w:i w:val="0"/>
                <w:sz w:val="19"/>
              </w:rPr>
              <w:t xml:space="preserve">•  </w:t>
            </w:r>
            <w:r>
              <w:rPr>
                <w:b/>
                <w:i w:val="0"/>
                <w:sz w:val="19"/>
              </w:rPr>
              <w:t>Tỷ lệ Phần trăm Nhân viên được Đào tạo</w:t>
            </w:r>
            <w:r>
              <w:rPr>
                <w:b w:val="0"/>
                <w:i w:val="0"/>
                <w:sz w:val="19"/>
              </w:rPr>
              <w:t xml:space="preserve"> —Tỷ lệ phần trăm nhân viên trên tổng số nhân viên công ty đã hoàn thành đào tạo EH&amp;S.</w:t>
            </w:r>
          </w:p>
        </w:tc>
      </w:tr>
    </w:tbl>
    <w:p>
      <w:pPr>
        <w:spacing w:after="0"/>
      </w:pPr>
    </w:p>
    <w:p>
      <w:pPr>
        <w:pStyle w:val="Heading2"/>
      </w:pPr>
      <w:r>
        <w:rPr>
          <w:rFonts w:ascii="Calibri" w:hAnsi="Calibri"/>
          <w:b/>
          <w:i w:val="0"/>
          <w:sz w:val="32"/>
        </w:rPr>
        <w:t>ÁP DỤNG KIỂM SOÁT NỘI BỘ</w:t>
      </w:r>
    </w:p>
    <w:p>
      <w:pPr>
        <w:spacing w:after="80"/>
      </w:pPr>
      <w:r>
        <w:rPr>
          <w:b w:val="0"/>
          <w:i w:val="0"/>
        </w:rPr>
        <w:t>Các yêu cầu pháp lý đóng vai trò quan trọng trong bộ môn EH&amp;S và các nhà quản lý EH&amp;S phải xác định và hiểu rõ các quy định EH&amp;S liên quan, những hàm ý của chúng phải được truyền đạt đến ban điều hành để công ty có thể triển khai các biện pháp phù hợp. Các tổ chức có trụ sở tại Hoa Kỳ phải tuân theo các quy định EH&amp;S trong Bộ luật Quy định Liên bang (Code of Federal Regulations), đặc biệt là CFR 29, 40 và 49. Quản lý EH&amp;S không chỉ giới hạn ở việc tuân thủ pháp luật và các công ty nên được khuyến khích làm nhiều hơn những gì luật pháp yêu cầu, nếu phù hợp.</w:t>
      </w:r>
    </w:p>
    <w:p>
      <w:pPr>
        <w:pStyle w:val="Heading2"/>
      </w:pPr>
      <w:r>
        <w:rPr>
          <w:rFonts w:ascii="Calibri" w:hAnsi="Calibri"/>
          <w:b/>
          <w:i w:val="0"/>
          <w:sz w:val="32"/>
        </w:rPr>
        <w:t>CÁC QUY TRÌNH CON</w:t>
      </w:r>
    </w:p>
    <w:p>
      <w:pPr>
        <w:spacing w:after="80"/>
      </w:pPr>
      <w:r>
        <w:rPr>
          <w:b w:val="0"/>
          <w:i w:val="0"/>
        </w:rPr>
        <w:t>Chức năng cụ thể trong phần này là:</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13.1</w:t>
            </w:r>
          </w:p>
        </w:tc>
        <w:tc>
          <w:tcPr>
            <w:tcW w:type="dxa" w:w="4680"/>
          </w:tcPr>
          <w:p>
            <w:r/>
            <w:r>
              <w:rPr>
                <w:b w:val="0"/>
                <w:i w:val="0"/>
                <w:sz w:val="19"/>
              </w:rPr>
              <w:t>Kiểm soát Chung</w:t>
            </w:r>
          </w:p>
        </w:tc>
      </w:tr>
    </w:tbl>
    <w:p>
      <w:pPr>
        <w:spacing w:after="0"/>
      </w:pPr>
    </w:p>
    <w:p>
      <w:pPr>
        <w:pStyle w:val="Heading2"/>
      </w:pPr>
      <w:r>
        <w:rPr>
          <w:rFonts w:ascii="Calibri" w:hAnsi="Calibri"/>
          <w:b/>
          <w:i w:val="0"/>
          <w:sz w:val="32"/>
        </w:rPr>
        <w:t>13.1 KIỂM SOÁT CHUNG</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13.1.1</w:t>
            </w:r>
          </w:p>
        </w:tc>
        <w:tc>
          <w:tcPr>
            <w:tcW w:type="dxa" w:w="4680"/>
          </w:tcPr>
          <w:p>
            <w:r/>
            <w:r>
              <w:rPr>
                <w:b/>
                <w:i w:val="0"/>
                <w:sz w:val="19"/>
              </w:rPr>
              <w:t>Chính sách.</w:t>
            </w:r>
            <w:r>
              <w:rPr>
                <w:b w:val="0"/>
                <w:i w:val="0"/>
                <w:sz w:val="19"/>
              </w:rPr>
              <w:t xml:space="preserve"> Chính sách EH&amp;S sẽ được đội ngũ quản lý EH&amp;S của công ty thiết lập và ghi thành văn bản. </w:t>
            </w:r>
            <w:r>
              <w:rPr>
                <w:b/>
                <w:i w:val="0"/>
                <w:sz w:val="19"/>
              </w:rPr>
              <w:t>Tham chiếu các rủi ro: A-1, A-2, A-5, A-7</w:t>
            </w:r>
          </w:p>
        </w:tc>
      </w:tr>
      <w:tr>
        <w:tc>
          <w:tcPr>
            <w:tcW w:type="dxa" w:w="4680"/>
          </w:tcPr>
          <w:p>
            <w:r/>
            <w:r>
              <w:rPr>
                <w:b w:val="0"/>
                <w:i w:val="0"/>
                <w:sz w:val="19"/>
              </w:rPr>
              <w:t>13.1.2</w:t>
            </w:r>
          </w:p>
        </w:tc>
        <w:tc>
          <w:tcPr>
            <w:tcW w:type="dxa" w:w="4680"/>
          </w:tcPr>
          <w:p>
            <w:r/>
            <w:r>
              <w:rPr>
                <w:b/>
                <w:i w:val="0"/>
                <w:sz w:val="19"/>
              </w:rPr>
              <w:t>Hệ thống quản lý.</w:t>
            </w:r>
            <w:r>
              <w:rPr>
                <w:b w:val="0"/>
                <w:i w:val="0"/>
                <w:sz w:val="19"/>
              </w:rPr>
              <w:t xml:space="preserve"> Mỗi đơn vị vận hành sẽ thiết lập một hệ thống quản lý bao gồm các chương trình và quy trình để đáp ứng các tiêu chuẩn EH&amp;S của công ty. Hệ thống quản lý sẽ dựa trên các rủi ro và tác động EH&amp;S đã được xác định đối với hoạt động kinh doanh. </w:t>
            </w:r>
            <w:r>
              <w:rPr>
                <w:b/>
                <w:i w:val="0"/>
                <w:sz w:val="19"/>
              </w:rPr>
              <w:t>Tham chiếu các rủi ro: A-1, A-2, A-3</w:t>
            </w:r>
          </w:p>
        </w:tc>
      </w:tr>
      <w:tr>
        <w:tc>
          <w:tcPr>
            <w:tcW w:type="dxa" w:w="4680"/>
          </w:tcPr>
          <w:p>
            <w:r/>
            <w:r>
              <w:rPr>
                <w:b w:val="0"/>
                <w:i w:val="0"/>
                <w:sz w:val="19"/>
              </w:rPr>
              <w:t>13.1.3</w:t>
            </w:r>
          </w:p>
        </w:tc>
        <w:tc>
          <w:tcPr>
            <w:tcW w:type="dxa" w:w="4680"/>
          </w:tcPr>
          <w:p>
            <w:r/>
            <w:r>
              <w:rPr>
                <w:b/>
                <w:i w:val="0"/>
                <w:sz w:val="19"/>
              </w:rPr>
              <w:t>Luật và Quy định.</w:t>
            </w:r>
            <w:r>
              <w:rPr>
                <w:b w:val="0"/>
                <w:i w:val="0"/>
                <w:sz w:val="19"/>
              </w:rPr>
              <w:t xml:space="preserve"> Việc tuân thủ luật và quy định về EH&amp;S là trách nhiệm của từng đơn vị vận hành. </w:t>
            </w:r>
            <w:r>
              <w:rPr>
                <w:b/>
                <w:i w:val="0"/>
                <w:sz w:val="19"/>
              </w:rPr>
              <w:t>Tham chiếu các rủi ro: A-1, A-2, A-3, A-4, A-6, A-7</w:t>
            </w:r>
          </w:p>
        </w:tc>
      </w:tr>
      <w:tr>
        <w:tc>
          <w:tcPr>
            <w:tcW w:type="dxa" w:w="4680"/>
          </w:tcPr>
          <w:p>
            <w:r/>
            <w:r>
              <w:rPr>
                <w:b w:val="0"/>
                <w:i w:val="0"/>
                <w:sz w:val="19"/>
              </w:rPr>
              <w:t>13.1.4</w:t>
            </w:r>
          </w:p>
        </w:tc>
        <w:tc>
          <w:tcPr>
            <w:tcW w:type="dxa" w:w="4680"/>
          </w:tcPr>
          <w:p>
            <w:r/>
            <w:r>
              <w:rPr>
                <w:b/>
                <w:i w:val="0"/>
                <w:sz w:val="19"/>
              </w:rPr>
              <w:t>Tiêu chuẩn EH&amp;S.</w:t>
            </w:r>
            <w:r>
              <w:rPr>
                <w:b w:val="0"/>
                <w:i w:val="0"/>
                <w:sz w:val="19"/>
              </w:rPr>
              <w:t xml:space="preserve"> Tất cả các đơn vị vận hành phải tuân theo các tiêu chuẩn EH&amp;S hiện hành của công ty. </w:t>
            </w:r>
            <w:r>
              <w:rPr>
                <w:b/>
                <w:i w:val="0"/>
                <w:sz w:val="19"/>
              </w:rPr>
              <w:t>Tham chiếu các rủi ro: A-1, A-2, A-3, A-5, A-6, A-7</w:t>
            </w:r>
          </w:p>
        </w:tc>
      </w:tr>
      <w:tr>
        <w:tc>
          <w:tcPr>
            <w:tcW w:type="dxa" w:w="4680"/>
          </w:tcPr>
          <w:p>
            <w:r/>
            <w:r>
              <w:rPr>
                <w:b w:val="0"/>
                <w:i w:val="0"/>
                <w:sz w:val="19"/>
              </w:rPr>
              <w:t>13.1.5</w:t>
            </w:r>
          </w:p>
        </w:tc>
        <w:tc>
          <w:tcPr>
            <w:tcW w:type="dxa" w:w="4680"/>
          </w:tcPr>
          <w:p>
            <w:r/>
            <w:r>
              <w:rPr>
                <w:b/>
                <w:i w:val="0"/>
                <w:sz w:val="19"/>
              </w:rPr>
              <w:t>Đánh giá.</w:t>
            </w:r>
            <w:r>
              <w:rPr>
                <w:b w:val="0"/>
                <w:i w:val="0"/>
                <w:sz w:val="19"/>
              </w:rPr>
              <w:t xml:space="preserve"> Việc đánh giá các mối nguy và rủi ro EH&amp;S sẽ được thực hiện tại tất cả các đơn vị vận hành. Các kết quả đánh giá sẽ được ghi thành văn bản và thông báo cho đội ngũ quản lý của đơn vị vận hành. Bộ phận EH&amp;S sẽ kiểm toán các cơ sở lắp đặt lớn và các đơn vị vận hành dựa trên rủi ro và hiệu suất trong quá khứ. </w:t>
            </w:r>
            <w:r>
              <w:rPr>
                <w:b/>
                <w:i w:val="0"/>
                <w:sz w:val="19"/>
              </w:rPr>
              <w:t>Tham chiếu các rủi ro: A-1, A-2, A-3, A-4, A-5</w:t>
            </w:r>
          </w:p>
        </w:tc>
      </w:tr>
      <w:tr>
        <w:tc>
          <w:tcPr>
            <w:tcW w:type="dxa" w:w="4680"/>
          </w:tcPr>
          <w:p>
            <w:r/>
            <w:r>
              <w:rPr>
                <w:b w:val="0"/>
                <w:i w:val="0"/>
                <w:sz w:val="19"/>
              </w:rPr>
              <w:t>13.1.6</w:t>
            </w:r>
          </w:p>
        </w:tc>
        <w:tc>
          <w:tcPr>
            <w:tcW w:type="dxa" w:w="4680"/>
          </w:tcPr>
          <w:p>
            <w:r/>
            <w:r>
              <w:rPr>
                <w:b/>
                <w:i w:val="0"/>
                <w:sz w:val="19"/>
              </w:rPr>
              <w:t>Thông báo.</w:t>
            </w:r>
            <w:r>
              <w:rPr>
                <w:b w:val="0"/>
                <w:i w:val="0"/>
                <w:sz w:val="19"/>
              </w:rPr>
              <w:t xml:space="preserve"> Các yêu cầu thông báo được nêu rõ trong tiêu chuẩn EH&amp;S của công ty và sẽ được tuân theo dựa trên các chi tiết cụ thể của từng sự cố EH&amp;S. </w:t>
            </w:r>
            <w:r>
              <w:rPr>
                <w:b/>
                <w:i w:val="0"/>
                <w:sz w:val="19"/>
              </w:rPr>
              <w:t>Tham chiếu các rủi ro: A-1, A-2, A-3, A-4, A-6, A-7</w:t>
            </w:r>
          </w:p>
        </w:tc>
      </w:tr>
      <w:tr>
        <w:tc>
          <w:tcPr>
            <w:tcW w:type="dxa" w:w="4680"/>
          </w:tcPr>
          <w:p>
            <w:r/>
            <w:r>
              <w:rPr>
                <w:b w:val="0"/>
                <w:i w:val="0"/>
                <w:sz w:val="19"/>
              </w:rPr>
              <w:t>13.1.7</w:t>
            </w:r>
          </w:p>
        </w:tc>
        <w:tc>
          <w:tcPr>
            <w:tcW w:type="dxa" w:w="4680"/>
          </w:tcPr>
          <w:p>
            <w:r/>
            <w:r>
              <w:rPr>
                <w:b/>
                <w:i w:val="0"/>
                <w:sz w:val="19"/>
              </w:rPr>
              <w:t>Đào tạo.</w:t>
            </w:r>
            <w:r>
              <w:rPr>
                <w:b w:val="0"/>
                <w:i w:val="0"/>
                <w:sz w:val="19"/>
              </w:rPr>
              <w:t xml:space="preserve"> Việc đào tạo EH&amp;S cho nhân viên là trách nhiệm của đơn vị vận hành. Các yêu cầu đào tạo cụ thể được nêu rõ trong các tiêu chuẩn EH&amp;S. </w:t>
            </w:r>
            <w:r>
              <w:rPr>
                <w:b/>
                <w:i w:val="0"/>
                <w:sz w:val="19"/>
              </w:rPr>
              <w:t>Tham chiếu các rủi ro: A-1, A-2, A-3, A-4, A-5, A-6, A-7</w:t>
            </w:r>
          </w:p>
        </w:tc>
      </w:tr>
      <w:tr>
        <w:tc>
          <w:tcPr>
            <w:tcW w:type="dxa" w:w="4680"/>
          </w:tcPr>
          <w:p>
            <w:r/>
            <w:r>
              <w:rPr>
                <w:b w:val="0"/>
                <w:i w:val="0"/>
                <w:sz w:val="19"/>
              </w:rPr>
              <w:t>13.1.8</w:t>
            </w:r>
          </w:p>
        </w:tc>
        <w:tc>
          <w:tcPr>
            <w:tcW w:type="dxa" w:w="4680"/>
          </w:tcPr>
          <w:p>
            <w:r/>
            <w:r>
              <w:rPr>
                <w:b/>
                <w:i w:val="0"/>
                <w:sz w:val="19"/>
              </w:rPr>
              <w:t>Mua lại và Thoái vốn.</w:t>
            </w:r>
            <w:r>
              <w:rPr>
                <w:b w:val="0"/>
                <w:i w:val="0"/>
                <w:sz w:val="19"/>
              </w:rPr>
              <w:t xml:space="preserve"> Bộ phận EH&amp;S phải được thông báo kịp thời về các kế hoạch mua lại hoặc thoái vốn tài sản, doanh nghiệp hoặc các tài sản khác. Khi thích hợp, bộ phận EH&amp;S sẽ thông báo cho đơn vị vận hành phụ trách các hành động đó về những trách nhiệm pháp lý tiềm ẩn liên quan đến EH&amp;S có thể phát sinh và các phương pháp giảm thiểu được đề xuất. </w:t>
            </w:r>
            <w:r>
              <w:rPr>
                <w:b/>
                <w:i w:val="0"/>
                <w:sz w:val="19"/>
              </w:rPr>
              <w:t>Tham chiếu các rủi ro: A-1, A-2, A-4, A-6, A-7</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A-1</w:t>
            </w:r>
          </w:p>
        </w:tc>
        <w:tc>
          <w:tcPr>
            <w:tcW w:type="dxa" w:w="4680"/>
          </w:tcPr>
          <w:p>
            <w:r/>
            <w:r>
              <w:rPr>
                <w:b w:val="0"/>
                <w:i w:val="0"/>
                <w:sz w:val="19"/>
              </w:rPr>
              <w:t>Việc cân nhắc không đúng mức có thể góp phần gây tổn hại đến môi trường hoặc nhân viên, hoặc làm mất mát tài sản quan trọng của công ty.</w:t>
            </w:r>
          </w:p>
        </w:tc>
      </w:tr>
      <w:tr>
        <w:tc>
          <w:tcPr>
            <w:tcW w:type="dxa" w:w="4680"/>
          </w:tcPr>
          <w:p>
            <w:r/>
            <w:r>
              <w:rPr>
                <w:b w:val="0"/>
                <w:i w:val="0"/>
                <w:sz w:val="19"/>
              </w:rPr>
              <w:t>A-2</w:t>
            </w:r>
          </w:p>
        </w:tc>
        <w:tc>
          <w:tcPr>
            <w:tcW w:type="dxa" w:w="4680"/>
          </w:tcPr>
          <w:p>
            <w:r/>
            <w:r>
              <w:rPr>
                <w:b w:val="0"/>
                <w:i w:val="0"/>
                <w:sz w:val="19"/>
              </w:rPr>
              <w:t>Có thể vi phạm luật pháp và các yêu cầu quy định của chính phủ.</w:t>
            </w:r>
          </w:p>
        </w:tc>
      </w:tr>
      <w:tr>
        <w:tc>
          <w:tcPr>
            <w:tcW w:type="dxa" w:w="4680"/>
          </w:tcPr>
          <w:p>
            <w:r/>
            <w:r>
              <w:rPr>
                <w:b w:val="0"/>
                <w:i w:val="0"/>
                <w:sz w:val="19"/>
              </w:rPr>
              <w:t>A-3</w:t>
            </w:r>
          </w:p>
        </w:tc>
        <w:tc>
          <w:tcPr>
            <w:tcW w:type="dxa" w:w="4680"/>
          </w:tcPr>
          <w:p>
            <w:r/>
            <w:r>
              <w:rPr>
                <w:b w:val="0"/>
                <w:i w:val="0"/>
                <w:sz w:val="19"/>
              </w:rPr>
              <w:t>Có thể xảy ra các hình phạt dân sự, hình sự và tiền phạt đối với công ty và/hoặc từng nhân viên.</w:t>
            </w:r>
          </w:p>
        </w:tc>
      </w:tr>
      <w:tr>
        <w:tc>
          <w:tcPr>
            <w:tcW w:type="dxa" w:w="4680"/>
          </w:tcPr>
          <w:p>
            <w:r/>
            <w:r>
              <w:rPr>
                <w:b w:val="0"/>
                <w:i w:val="0"/>
                <w:sz w:val="19"/>
              </w:rPr>
              <w:t>A-4</w:t>
            </w:r>
          </w:p>
        </w:tc>
        <w:tc>
          <w:tcPr>
            <w:tcW w:type="dxa" w:w="4680"/>
          </w:tcPr>
          <w:p>
            <w:r/>
            <w:r>
              <w:rPr>
                <w:b w:val="0"/>
                <w:i w:val="0"/>
                <w:sz w:val="19"/>
              </w:rPr>
              <w:t>Có thể bị cấm hoặc đình chỉ việc nhận các hợp đồng chính phủ.</w:t>
            </w:r>
          </w:p>
        </w:tc>
      </w:tr>
      <w:tr>
        <w:tc>
          <w:tcPr>
            <w:tcW w:type="dxa" w:w="4680"/>
          </w:tcPr>
          <w:p>
            <w:r/>
            <w:r>
              <w:rPr>
                <w:b w:val="0"/>
                <w:i w:val="0"/>
                <w:sz w:val="19"/>
              </w:rPr>
              <w:t>A-5</w:t>
            </w:r>
          </w:p>
        </w:tc>
        <w:tc>
          <w:tcPr>
            <w:tcW w:type="dxa" w:w="4680"/>
          </w:tcPr>
          <w:p>
            <w:r/>
            <w:r>
              <w:rPr>
                <w:b w:val="0"/>
                <w:i w:val="0"/>
                <w:sz w:val="19"/>
              </w:rPr>
              <w:t>Các quyết định quan trọng có thể dựa trên thông tin sai lệch.</w:t>
            </w:r>
          </w:p>
        </w:tc>
      </w:tr>
      <w:tr>
        <w:tc>
          <w:tcPr>
            <w:tcW w:type="dxa" w:w="4680"/>
          </w:tcPr>
          <w:p>
            <w:r/>
            <w:r>
              <w:rPr>
                <w:b w:val="0"/>
                <w:i w:val="0"/>
                <w:sz w:val="19"/>
              </w:rPr>
              <w:t>A-6</w:t>
            </w:r>
          </w:p>
        </w:tc>
        <w:tc>
          <w:tcPr>
            <w:tcW w:type="dxa" w:w="4680"/>
          </w:tcPr>
          <w:p>
            <w:r/>
            <w:r>
              <w:rPr>
                <w:b w:val="0"/>
                <w:i w:val="0"/>
                <w:sz w:val="19"/>
              </w:rPr>
              <w:t>Có thể ảnh hưởng tiêu cực đến danh tiếng và hình ảnh thương hiệu của công ty.</w:t>
            </w:r>
          </w:p>
        </w:tc>
      </w:tr>
      <w:tr>
        <w:tc>
          <w:tcPr>
            <w:tcW w:type="dxa" w:w="4680"/>
          </w:tcPr>
          <w:p>
            <w:r/>
            <w:r>
              <w:rPr>
                <w:b w:val="0"/>
                <w:i w:val="0"/>
                <w:sz w:val="19"/>
              </w:rPr>
              <w:t>A-7</w:t>
            </w:r>
          </w:p>
        </w:tc>
        <w:tc>
          <w:tcPr>
            <w:tcW w:type="dxa" w:w="4680"/>
          </w:tcPr>
          <w:p>
            <w:r/>
            <w:r>
              <w:rPr>
                <w:b w:val="0"/>
                <w:i w:val="0"/>
                <w:sz w:val="19"/>
              </w:rPr>
              <w:t>Có thể dẫn đến chi phí không tạo ra giá trị cho doanh nghiệp.</w:t>
            </w:r>
          </w:p>
        </w:tc>
      </w:tr>
    </w:tbl>
    <w:p>
      <w:pPr>
        <w:spacing w:after="0"/>
      </w:pPr>
    </w:p>
    <w:p>
      <w:pPr>
        <w:pStyle w:val="Heading2"/>
      </w:pPr>
      <w:r>
        <w:rPr>
          <w:rFonts w:ascii="Calibri" w:hAnsi="Calibri"/>
          <w:b/>
          <w:i w:val="0"/>
          <w:sz w:val="32"/>
        </w:rPr>
        <w:t>LƯU Ý</w:t>
      </w:r>
    </w:p>
    <w:p>
      <w:pPr>
        <w:pStyle w:val="Heading1"/>
      </w:pPr>
      <w:r>
        <w:rPr>
          <w:rFonts w:ascii="Calibri" w:hAnsi="Calibri"/>
          <w:b/>
          <w:i w:val="0"/>
          <w:sz w:val="40"/>
        </w:rPr>
        <w:t xml:space="preserve">CHƯƠNG 14 </w:t>
      </w:r>
      <w:r>
        <w:br/>
      </w:r>
      <w:r>
        <w:rPr>
          <w:rFonts w:ascii="Calibri" w:hAnsi="Calibri"/>
          <w:b/>
          <w:i w:val="0"/>
          <w:sz w:val="40"/>
        </w:rPr>
        <w:t xml:space="preserve"> Dịch vụ Khách hàng</w:t>
      </w:r>
    </w:p>
    <w:p>
      <w:pPr>
        <w:pStyle w:val="Heading2"/>
      </w:pPr>
      <w:r>
        <w:rPr>
          <w:rFonts w:ascii="Calibri" w:hAnsi="Calibri"/>
          <w:b/>
          <w:i w:val="0"/>
          <w:sz w:val="32"/>
        </w:rPr>
        <w:t>GIỚI THIỆU</w:t>
      </w:r>
    </w:p>
    <w:p>
      <w:pPr>
        <w:spacing w:after="80"/>
      </w:pPr>
      <w:r>
        <w:rPr>
          <w:b w:val="0"/>
          <w:i w:val="0"/>
        </w:rPr>
        <w:t>Tất cả các chính sách dịch vụ khách hàng sẽ tuân thủ đầy đủ tất cả các chính sách khác của công ty. Người phụ trách chính sách, làm việc cùng với nhà tài trợ chính sách, đảm bảo đạt được kết quả dự kiến của chính sách và đảm bảo rằng chính sách đó chính xác và cập nhật.</w:t>
      </w:r>
    </w:p>
    <w:p>
      <w:pPr>
        <w:spacing w:after="80"/>
      </w:pPr>
      <w:r>
        <w:rPr>
          <w:b w:val="0"/>
          <w:i w:val="0"/>
        </w:rPr>
        <w:t>Nhân viên trung tâm hỗ trợ khách hàng cần có kiến thức chuyên sâu và có khả năng đáp ứng yêu cầu của khách hàng một cách nhanh chóng đồng thời cung cấp dịch vụ chất lượng.</w:t>
      </w:r>
    </w:p>
    <w:p>
      <w:pPr>
        <w:pStyle w:val="Heading2"/>
      </w:pPr>
      <w:r>
        <w:rPr>
          <w:rFonts w:ascii="Calibri" w:hAnsi="Calibri"/>
          <w:b/>
          <w:i w:val="0"/>
          <w:sz w:val="32"/>
        </w:rPr>
        <w:t>TỔNG QUAN VỀ QUY TRÌNH</w:t>
      </w:r>
    </w:p>
    <w:p>
      <w:pPr>
        <w:spacing w:after="80"/>
      </w:pPr>
      <w:r>
        <w:rPr>
          <w:b w:val="0"/>
          <w:i w:val="0"/>
        </w:rPr>
        <w:t>Sơ đồ dưới đây cho thấy các yếu tố nền tảng hỗ trợ quy trình dịch vụ khách hàng là Kiểm soát Nội bộ và Tuân thủ, Quy trình và Kiểm soát Dịch vụ Khách hàng, và Quy tắc Ứng xử cùng "Tone at the Top" (Văn hóa từ cấp lãnh đạo cao nhất).</w:t>
      </w:r>
    </w:p>
    <w:p>
      <w:pPr>
        <w:jc w:val="center"/>
      </w:pPr>
      <w:r>
        <w:drawing>
          <wp:inline xmlns:a="http://schemas.openxmlformats.org/drawingml/2006/main" xmlns:pic="http://schemas.openxmlformats.org/drawingml/2006/picture">
            <wp:extent cx="5486400" cy="2453611"/>
            <wp:docPr id="16" name="Picture 16"/>
            <wp:cNvGraphicFramePr>
              <a:graphicFrameLocks noChangeAspect="1"/>
            </wp:cNvGraphicFramePr>
            <a:graphic>
              <a:graphicData uri="http://schemas.openxmlformats.org/drawingml/2006/picture">
                <pic:pic>
                  <pic:nvPicPr>
                    <pic:cNvPr id="0" name="Image00017.jpg"/>
                    <pic:cNvPicPr/>
                  </pic:nvPicPr>
                  <pic:blipFill>
                    <a:blip r:embed="rId24"/>
                    <a:stretch>
                      <a:fillRect/>
                    </a:stretch>
                  </pic:blipFill>
                  <pic:spPr>
                    <a:xfrm>
                      <a:off x="0" y="0"/>
                      <a:ext cx="5486400" cy="2453611"/>
                    </a:xfrm>
                    <a:prstGeom prst="rect"/>
                  </pic:spPr>
                </pic:pic>
              </a:graphicData>
            </a:graphic>
          </wp:inline>
        </w:drawing>
      </w:r>
    </w:p>
    <w:p>
      <w:pPr>
        <w:pStyle w:val="Heading2"/>
      </w:pPr>
      <w:r>
        <w:rPr>
          <w:rFonts w:ascii="Calibri" w:hAnsi="Calibri"/>
          <w:b/>
          <w:i w:val="0"/>
          <w:sz w:val="32"/>
        </w:rPr>
        <w:t>CÁC CHỈ SỐ ĐO LƯỜNG</w:t>
      </w:r>
    </w:p>
    <w:tbl>
      <w:tblPr>
        <w:tblStyle w:val="TableGrid"/>
        <w:tblW w:type="auto" w:w="0"/>
        <w:tblLook w:firstColumn="1" w:firstRow="1" w:lastColumn="0" w:lastRow="0" w:noHBand="0" w:noVBand="1" w:val="04A0"/>
      </w:tblPr>
      <w:tblGrid>
        <w:gridCol w:w="9360"/>
      </w:tblGrid>
      <w:tr>
        <w:tc>
          <w:tcPr>
            <w:tcW w:type="dxa" w:w="9360"/>
          </w:tcPr>
          <w:p>
            <w:r/>
            <w:r>
              <w:rPr>
                <w:b/>
                <w:i w:val="0"/>
                <w:sz w:val="19"/>
              </w:rPr>
              <w:t>Bảng Chỉ số Đo lường</w:t>
            </w:r>
          </w:p>
        </w:tc>
      </w:tr>
      <w:tr>
        <w:tc>
          <w:tcPr>
            <w:tcW w:type="dxa" w:w="9360"/>
          </w:tcPr>
          <w:p>
            <w:r/>
            <w:r>
              <w:rPr>
                <w:b/>
                <w:i w:val="0"/>
                <w:sz w:val="19"/>
              </w:rPr>
              <w:t>Dịch vụ Khách hàng</w:t>
            </w:r>
          </w:p>
        </w:tc>
      </w:tr>
      <w:tr>
        <w:tc>
          <w:tcPr>
            <w:tcW w:type="dxa" w:w="9360"/>
          </w:tcPr>
          <w:p>
            <w:r/>
            <w:r>
              <w:rPr>
                <w:b w:val="0"/>
                <w:i w:val="0"/>
                <w:sz w:val="19"/>
              </w:rPr>
              <w:t xml:space="preserve">•  </w:t>
            </w:r>
            <w:r>
              <w:rPr>
                <w:b/>
                <w:i w:val="0"/>
                <w:sz w:val="19"/>
              </w:rPr>
              <w:t>Điểm Hài lòng của Khách hàng (CAS)</w:t>
            </w:r>
            <w:r>
              <w:rPr>
                <w:b w:val="0"/>
                <w:i w:val="0"/>
                <w:sz w:val="19"/>
              </w:rPr>
              <w:t xml:space="preserve"> —Đây là chỉ số hiệu suất chính thường được sử dụng để theo dõi mức độ hài lòng của khách hàng đối với sản phẩm và/hoặc dịch vụ của tổ chức bạn.</w:t>
            </w:r>
            <w:r>
              <w:br/>
            </w:r>
            <w:r>
              <w:rPr>
                <w:b w:val="0"/>
                <w:i w:val="0"/>
                <w:sz w:val="19"/>
              </w:rPr>
              <w:t xml:space="preserve">•  </w:t>
            </w:r>
            <w:r>
              <w:rPr>
                <w:b/>
                <w:i w:val="0"/>
                <w:sz w:val="19"/>
              </w:rPr>
              <w:t>Số Cuộc gọi Nhận được</w:t>
            </w:r>
            <w:r>
              <w:rPr>
                <w:b w:val="0"/>
                <w:i w:val="0"/>
                <w:sz w:val="19"/>
              </w:rPr>
              <w:t xml:space="preserve"> —Số cuộc gọi nhận được trong mỗi kỳ.</w:t>
            </w:r>
            <w:r>
              <w:br/>
            </w:r>
            <w:r>
              <w:rPr>
                <w:b w:val="0"/>
                <w:i w:val="0"/>
                <w:sz w:val="19"/>
              </w:rPr>
              <w:t xml:space="preserve">•  </w:t>
            </w:r>
            <w:r>
              <w:rPr>
                <w:b/>
                <w:i w:val="0"/>
                <w:sz w:val="19"/>
              </w:rPr>
              <w:t>Thời gian Phản hồi Cuộc gọi (theo Loại)</w:t>
            </w:r>
            <w:r>
              <w:rPr>
                <w:b w:val="0"/>
                <w:i w:val="0"/>
                <w:sz w:val="19"/>
              </w:rPr>
              <w:t xml:space="preserve"> —Thời gian phản hồi một vấn đề đang mở.</w:t>
            </w:r>
            <w:r>
              <w:br/>
            </w:r>
            <w:r>
              <w:rPr>
                <w:b w:val="0"/>
                <w:i w:val="0"/>
                <w:sz w:val="19"/>
              </w:rPr>
              <w:t xml:space="preserve">•  </w:t>
            </w:r>
            <w:r>
              <w:rPr>
                <w:b/>
                <w:i w:val="0"/>
                <w:sz w:val="19"/>
              </w:rPr>
              <w:t>Số "Ticket" Đang Mở</w:t>
            </w:r>
            <w:r>
              <w:rPr>
                <w:b w:val="0"/>
                <w:i w:val="0"/>
                <w:sz w:val="19"/>
              </w:rPr>
              <w:t xml:space="preserve"> —Số vấn đề hoặc ticket đang mở trong mỗi kỳ.</w:t>
            </w:r>
            <w:r>
              <w:br/>
            </w:r>
            <w:r>
              <w:rPr>
                <w:b w:val="0"/>
                <w:i w:val="0"/>
                <w:sz w:val="19"/>
              </w:rPr>
              <w:t xml:space="preserve">•  </w:t>
            </w:r>
            <w:r>
              <w:rPr>
                <w:b/>
                <w:i w:val="0"/>
                <w:sz w:val="19"/>
              </w:rPr>
              <w:t>Điểm Nỗ lực của Khách hàng (CES)</w:t>
            </w:r>
            <w:r>
              <w:rPr>
                <w:b w:val="0"/>
                <w:i w:val="0"/>
                <w:sz w:val="19"/>
              </w:rPr>
              <w:t xml:space="preserve"> —CES là một chỉ số đơn lẻ đo lường mức độ nỗ lực mà khách hàng phải bỏ ra để giải quyết một vấn đề, đáp ứng một yêu cầu, mua/trả lại sản phẩm, hoặc được trả lời một câu hỏi. Ý tưởng ở đây là khách hàng sẽ trung thành hơn với những thương hiệu dễ giao dịch hơn. Bằng cách tập trung vào việc giảm bớt nỗ lực của khách hàng, bạn sẽ tạo ra trải nghiệm tốt hơn cho khách hàng của mình.</w:t>
            </w:r>
            <w:r>
              <w:br/>
            </w:r>
            <w:r>
              <w:rPr>
                <w:b w:val="0"/>
                <w:i w:val="0"/>
                <w:sz w:val="19"/>
              </w:rPr>
              <w:t xml:space="preserve">•  </w:t>
            </w:r>
            <w:r>
              <w:rPr>
                <w:b/>
                <w:i w:val="0"/>
                <w:sz w:val="19"/>
              </w:rPr>
              <w:t>Tỷ lệ Rời bỏ Khách hàng (Customer Churn)</w:t>
            </w:r>
            <w:r>
              <w:rPr>
                <w:b w:val="0"/>
                <w:i w:val="0"/>
                <w:sz w:val="19"/>
              </w:rPr>
              <w:t xml:space="preserve"> —Tỷ lệ rời bỏ khách hàng, còn được gọi là customer attrition, ở dạng cơ bản nhất, là khi một khách hàng chọn ngừng sử dụng sản phẩm hoặc dịch vụ của bạn.</w:t>
            </w:r>
          </w:p>
        </w:tc>
      </w:tr>
      <w:tr>
        <w:tc>
          <w:tcPr>
            <w:tcW w:type="dxa" w:w="9360"/>
          </w:tcPr>
          <w:p>
            <w:r/>
            <w:r>
              <w:rPr>
                <w:b/>
                <w:i w:val="0"/>
                <w:sz w:val="19"/>
              </w:rPr>
              <w:t>Bảo hành</w:t>
            </w:r>
          </w:p>
        </w:tc>
      </w:tr>
      <w:tr>
        <w:tc>
          <w:tcPr>
            <w:tcW w:type="dxa" w:w="9360"/>
          </w:tcPr>
          <w:p>
            <w:r/>
            <w:r>
              <w:rPr>
                <w:b w:val="0"/>
                <w:i w:val="0"/>
                <w:sz w:val="19"/>
              </w:rPr>
              <w:t xml:space="preserve">•  </w:t>
            </w:r>
            <w:r>
              <w:rPr>
                <w:b/>
                <w:i w:val="0"/>
                <w:sz w:val="19"/>
              </w:rPr>
              <w:t>Chi phí Bảo hành trên Đơn vị</w:t>
            </w:r>
            <w:r>
              <w:rPr>
                <w:b w:val="0"/>
                <w:i w:val="0"/>
                <w:sz w:val="19"/>
              </w:rPr>
              <w:t xml:space="preserve"> —Tổng Chi phí Bảo hành/Số Đơn vị.</w:t>
            </w:r>
            <w:r>
              <w:br/>
            </w:r>
            <w:r>
              <w:rPr>
                <w:b w:val="0"/>
                <w:i w:val="0"/>
                <w:sz w:val="19"/>
              </w:rPr>
              <w:t xml:space="preserve">•  </w:t>
            </w:r>
            <w:r>
              <w:rPr>
                <w:b/>
                <w:i w:val="0"/>
                <w:sz w:val="19"/>
              </w:rPr>
              <w:t>Chi phí Bảo hành theo % Doanh thu</w:t>
            </w:r>
            <w:r>
              <w:rPr>
                <w:b w:val="0"/>
                <w:i w:val="0"/>
                <w:sz w:val="19"/>
              </w:rPr>
              <w:t xml:space="preserve"> —Chi phí Bảo hành Hàng năm/Doanh thu Hàng năm</w:t>
            </w:r>
            <w:r>
              <w:br/>
            </w:r>
            <w:r>
              <w:rPr>
                <w:b w:val="0"/>
                <w:i w:val="0"/>
                <w:sz w:val="19"/>
              </w:rPr>
              <w:t xml:space="preserve">•  </w:t>
            </w:r>
            <w:r>
              <w:rPr>
                <w:b/>
                <w:i w:val="0"/>
                <w:sz w:val="19"/>
              </w:rPr>
              <w:t>Thu hồi từ Nhà cung cấp</w:t>
            </w:r>
            <w:r>
              <w:rPr>
                <w:b w:val="0"/>
                <w:i w:val="0"/>
                <w:sz w:val="19"/>
              </w:rPr>
              <w:t xml:space="preserve"> —Thu hồi từ Nhà cung cấp/Tổng Chi phí Bảo hành</w:t>
            </w:r>
            <w:r>
              <w:br/>
            </w:r>
            <w:r>
              <w:rPr>
                <w:b w:val="0"/>
                <w:i w:val="0"/>
                <w:sz w:val="19"/>
              </w:rPr>
              <w:t xml:space="preserve">•  </w:t>
            </w:r>
            <w:r>
              <w:rPr>
                <w:b/>
                <w:i w:val="0"/>
                <w:sz w:val="19"/>
              </w:rPr>
              <w:t>Tỷ lệ Đóng góp Bảo hành</w:t>
            </w:r>
            <w:r>
              <w:rPr>
                <w:b w:val="0"/>
                <w:i w:val="0"/>
                <w:sz w:val="19"/>
              </w:rPr>
              <w:t xml:space="preserve"> —Chi phí Bảo hành cho một Khu vực Cụ thể/Tổng Chi phí Bảo hành</w:t>
            </w:r>
            <w:r>
              <w:br/>
            </w:r>
            <w:r>
              <w:rPr>
                <w:b w:val="0"/>
                <w:i w:val="0"/>
                <w:sz w:val="19"/>
              </w:rPr>
              <w:t xml:space="preserve">•  </w:t>
            </w:r>
            <w:r>
              <w:rPr>
                <w:b/>
                <w:i w:val="0"/>
                <w:sz w:val="19"/>
              </w:rPr>
              <w:t>Tần suất Khiếu nại</w:t>
            </w:r>
            <w:r>
              <w:rPr>
                <w:b w:val="0"/>
                <w:i w:val="0"/>
                <w:sz w:val="19"/>
              </w:rPr>
              <w:t xml:space="preserve"> —Số Khiếu nại/Số Đơn vị</w:t>
            </w:r>
          </w:p>
        </w:tc>
      </w:tr>
    </w:tbl>
    <w:p>
      <w:pPr>
        <w:spacing w:after="0"/>
      </w:pPr>
    </w:p>
    <w:p>
      <w:pPr>
        <w:pStyle w:val="Heading2"/>
      </w:pPr>
      <w:r>
        <w:rPr>
          <w:rFonts w:ascii="Calibri" w:hAnsi="Calibri"/>
          <w:b/>
          <w:i w:val="0"/>
          <w:sz w:val="32"/>
        </w:rPr>
        <w:t>ÁP DỤNG KIỂM SOÁT NỘI BỘ</w:t>
      </w:r>
    </w:p>
    <w:p>
      <w:pPr>
        <w:spacing w:after="80"/>
      </w:pPr>
      <w:r>
        <w:rPr>
          <w:b w:val="0"/>
          <w:i w:val="0"/>
        </w:rPr>
        <w:t>Trong việc lựa chọn các thủ tục và kỹ thuật kiểm soát của ban quản lý, mức độ kiểm soát được triển khai là vấn đề phán đoán kinh doanh hợp lý. Nguyên tắc chung cần được sử dụng để xác định mức độ triển khai kiểm soát nội bộ là chi phí của một biện pháp kiểm soát không được vượt quá lợi ích thu được. Có một bộ biện pháp kiểm soát cần tồn tại trong một môi trường kinh doanh bình thường. Các tiêu chuẩn kiểm soát nội bộ được liệt kê ở đây đại diện cho các biện pháp kiểm soát tối thiểu cần được triển khai trong quy trình dịch vụ khách hàng.</w:t>
      </w:r>
    </w:p>
    <w:p>
      <w:pPr>
        <w:pStyle w:val="Heading2"/>
      </w:pPr>
      <w:r>
        <w:rPr>
          <w:rFonts w:ascii="Calibri" w:hAnsi="Calibri"/>
          <w:b/>
          <w:i w:val="0"/>
          <w:sz w:val="32"/>
        </w:rPr>
        <w:t>CÁC QUY TRÌNH CON</w:t>
      </w:r>
    </w:p>
    <w:p>
      <w:pPr>
        <w:spacing w:after="80"/>
      </w:pPr>
      <w:r>
        <w:rPr>
          <w:b w:val="0"/>
          <w:i w:val="0"/>
        </w:rPr>
        <w:t>Các quy trình con cụ thể được bao gồm là:</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14.1</w:t>
            </w:r>
          </w:p>
        </w:tc>
        <w:tc>
          <w:tcPr>
            <w:tcW w:type="dxa" w:w="4680"/>
          </w:tcPr>
          <w:p>
            <w:r/>
            <w:r>
              <w:rPr>
                <w:b w:val="0"/>
                <w:i w:val="0"/>
                <w:sz w:val="19"/>
              </w:rPr>
              <w:t>Chính sách</w:t>
            </w:r>
          </w:p>
        </w:tc>
      </w:tr>
      <w:tr>
        <w:tc>
          <w:tcPr>
            <w:tcW w:type="dxa" w:w="4680"/>
          </w:tcPr>
          <w:p>
            <w:r/>
            <w:r>
              <w:rPr>
                <w:b w:val="0"/>
                <w:i w:val="0"/>
                <w:sz w:val="19"/>
              </w:rPr>
              <w:t>14.2</w:t>
            </w:r>
          </w:p>
        </w:tc>
        <w:tc>
          <w:tcPr>
            <w:tcW w:type="dxa" w:w="4680"/>
          </w:tcPr>
          <w:p>
            <w:r/>
            <w:r>
              <w:rPr>
                <w:b w:val="0"/>
                <w:i w:val="0"/>
                <w:sz w:val="19"/>
              </w:rPr>
              <w:t>Quản lý trung tâm cuộc gọi</w:t>
            </w:r>
          </w:p>
        </w:tc>
      </w:tr>
      <w:tr>
        <w:tc>
          <w:tcPr>
            <w:tcW w:type="dxa" w:w="4680"/>
          </w:tcPr>
          <w:p>
            <w:r/>
            <w:r>
              <w:rPr>
                <w:b w:val="0"/>
                <w:i w:val="0"/>
                <w:sz w:val="19"/>
              </w:rPr>
              <w:t>14.3</w:t>
            </w:r>
          </w:p>
        </w:tc>
        <w:tc>
          <w:tcPr>
            <w:tcW w:type="dxa" w:w="4680"/>
          </w:tcPr>
          <w:p>
            <w:r/>
            <w:r>
              <w:rPr>
                <w:b w:val="0"/>
                <w:i w:val="0"/>
                <w:sz w:val="19"/>
              </w:rPr>
              <w:t>Bảo hành</w:t>
            </w:r>
          </w:p>
        </w:tc>
      </w:tr>
      <w:tr>
        <w:tc>
          <w:tcPr>
            <w:tcW w:type="dxa" w:w="4680"/>
          </w:tcPr>
          <w:p>
            <w:r/>
            <w:r>
              <w:rPr>
                <w:b w:val="0"/>
                <w:i w:val="0"/>
                <w:sz w:val="19"/>
              </w:rPr>
              <w:t>14.4</w:t>
            </w:r>
          </w:p>
        </w:tc>
        <w:tc>
          <w:tcPr>
            <w:tcW w:type="dxa" w:w="4680"/>
          </w:tcPr>
          <w:p>
            <w:r/>
            <w:r>
              <w:rPr>
                <w:b w:val="0"/>
                <w:i w:val="0"/>
                <w:sz w:val="19"/>
              </w:rPr>
              <w:t>Hỗ trợ bán hàng</w:t>
            </w:r>
          </w:p>
        </w:tc>
      </w:tr>
    </w:tbl>
    <w:p>
      <w:pPr>
        <w:spacing w:after="0"/>
      </w:pPr>
    </w:p>
    <w:p>
      <w:pPr>
        <w:pStyle w:val="Heading2"/>
      </w:pPr>
      <w:r>
        <w:rPr>
          <w:rFonts w:ascii="Calibri" w:hAnsi="Calibri"/>
          <w:b/>
          <w:i w:val="0"/>
          <w:sz w:val="32"/>
        </w:rPr>
        <w:t>14.1 CHÍNH SÁCH</w:t>
      </w:r>
    </w:p>
    <w:p>
      <w:pPr>
        <w:pStyle w:val="Heading3"/>
      </w:pPr>
      <w:r>
        <w:rPr>
          <w:rFonts w:ascii="Calibri" w:hAnsi="Calibri"/>
          <w:b/>
          <w:i w:val="0"/>
          <w:sz w:val="26"/>
        </w:rPr>
        <w:t>Giới thiệu</w:t>
      </w:r>
    </w:p>
    <w:p>
      <w:pPr>
        <w:spacing w:after="80"/>
      </w:pPr>
      <w:r>
        <w:rPr>
          <w:b w:val="0"/>
          <w:i w:val="0"/>
        </w:rPr>
        <w:t>Tất cả các chính sách dịch vụ khách hàng sẽ tuân thủ đầy đủ mọi chính sách và tiêu chuẩn khác của công ty. Người phụ trách chính sách, phối hợp với người bảo trợ chính sách, đảm bảo đạt được kết quả mong muốn của chính sách và đảm bảo chính sách chính xác và cập nhật.</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14.1.1</w:t>
            </w:r>
          </w:p>
        </w:tc>
        <w:tc>
          <w:tcPr>
            <w:tcW w:type="dxa" w:w="4680"/>
          </w:tcPr>
          <w:p>
            <w:r/>
            <w:r>
              <w:rPr>
                <w:b/>
                <w:i w:val="0"/>
                <w:sz w:val="19"/>
              </w:rPr>
              <w:t>Chính sách dịch vụ khách hàng.</w:t>
            </w:r>
            <w:r>
              <w:rPr>
                <w:b w:val="0"/>
                <w:i w:val="0"/>
                <w:sz w:val="19"/>
              </w:rPr>
              <w:t xml:space="preserve"> Người phụ trách chính sách chịu trách nhiệm duy trì, gia hạn và phê duyệt nội dung kỹ thuật của chính sách. Một chính sách có hiệu lực kể từ ngày ký phê duyệt cuối cùng hoặc vào một ngày được xác định cụ thể sau lần phê duyệt cuối cùng. Mỗi chính sách hết hiệu lực hai năm sau lần phê duyệt cuối cùng. Chính sách chỉ được xóa khỏi hệ thống chính sách khi có sự phê duyệt của người phụ trách chính sách và người bảo trợ. </w:t>
            </w:r>
            <w:r>
              <w:rPr>
                <w:b/>
                <w:i w:val="0"/>
                <w:sz w:val="19"/>
              </w:rPr>
              <w:t>Tham chiếu rủi ro: A-9</w:t>
            </w:r>
          </w:p>
        </w:tc>
      </w:tr>
      <w:tr>
        <w:tc>
          <w:tcPr>
            <w:tcW w:type="dxa" w:w="4680"/>
          </w:tcPr>
          <w:p>
            <w:r/>
            <w:r>
              <w:rPr>
                <w:b w:val="0"/>
                <w:i w:val="0"/>
                <w:sz w:val="19"/>
              </w:rPr>
              <w:t>14.1.2</w:t>
            </w:r>
          </w:p>
        </w:tc>
        <w:tc>
          <w:tcPr>
            <w:tcW w:type="dxa" w:w="4680"/>
          </w:tcPr>
          <w:p>
            <w:r/>
            <w:r>
              <w:rPr>
                <w:b/>
                <w:i w:val="0"/>
                <w:sz w:val="19"/>
              </w:rPr>
              <w:t>Dịch vụ trọn gói.</w:t>
            </w:r>
            <w:r>
              <w:rPr>
                <w:b w:val="0"/>
                <w:i w:val="0"/>
                <w:sz w:val="19"/>
              </w:rPr>
              <w:t xml:space="preserve"> Chỉ những dịch vụ trọn gói kết hợp từ hai ưu đãi trở lên mới có thể được áp dụng chiết khấu gói. Dịch vụ trọn gói được định giá bằng tổng giá của các phần cấu thành và có thể được chiết khấu trong khoảng từ 0% đến 15%. Mức chiết khấu phải được quản lý phù hợp phê duyệt, được xác định trong hướng dẫn gói, người này xem xét cả lý do kinh doanh lẫn phân tích rủi ro thị trường của công ty, trong đó đề cập cụ thể đến bốn lĩnh vực sau: cơ cấu thị trường liên quan, sản phẩm độc quyền so với việc giảm giá, sự hiện diện trên thị trường và tác động thị trường. </w:t>
            </w:r>
            <w:r>
              <w:rPr>
                <w:b/>
                <w:i w:val="0"/>
                <w:sz w:val="19"/>
              </w:rPr>
              <w:t>Tham chiếu rủi ro: A-1</w:t>
            </w:r>
          </w:p>
        </w:tc>
      </w:tr>
      <w:tr>
        <w:tc>
          <w:tcPr>
            <w:tcW w:type="dxa" w:w="4680"/>
          </w:tcPr>
          <w:p>
            <w:r/>
            <w:r>
              <w:rPr>
                <w:b w:val="0"/>
                <w:i w:val="0"/>
                <w:sz w:val="19"/>
              </w:rPr>
              <w:t>14.1.3</w:t>
            </w:r>
          </w:p>
        </w:tc>
        <w:tc>
          <w:tcPr>
            <w:tcW w:type="dxa" w:w="4680"/>
          </w:tcPr>
          <w:p>
            <w:r/>
            <w:r>
              <w:rPr>
                <w:b/>
                <w:i w:val="0"/>
                <w:sz w:val="19"/>
              </w:rPr>
              <w:t>Dịch vụ bảo trì.</w:t>
            </w:r>
            <w:r>
              <w:rPr>
                <w:b w:val="0"/>
                <w:i w:val="0"/>
                <w:sz w:val="19"/>
              </w:rPr>
              <w:t xml:space="preserve"> Công ty phải cung cấp dịch vụ bảo trì (ví dụ: bảo hành) trong khoảng thời gian tối thiểu được quy định sau ngày bán sản phẩm lần cuối theo định nghĩa. </w:t>
            </w:r>
            <w:r>
              <w:rPr>
                <w:b/>
                <w:i w:val="0"/>
                <w:sz w:val="19"/>
              </w:rPr>
              <w:t>Tham chiếu rủi ro: A-1</w:t>
            </w:r>
          </w:p>
        </w:tc>
      </w:tr>
      <w:tr>
        <w:tc>
          <w:tcPr>
            <w:tcW w:type="dxa" w:w="4680"/>
          </w:tcPr>
          <w:p>
            <w:r/>
            <w:r>
              <w:rPr>
                <w:b w:val="0"/>
                <w:i w:val="0"/>
                <w:sz w:val="19"/>
              </w:rPr>
              <w:t>14.1.4</w:t>
            </w:r>
          </w:p>
        </w:tc>
        <w:tc>
          <w:tcPr>
            <w:tcW w:type="dxa" w:w="4680"/>
          </w:tcPr>
          <w:p>
            <w:r/>
            <w:r>
              <w:rPr>
                <w:b/>
                <w:i w:val="0"/>
                <w:sz w:val="19"/>
              </w:rPr>
              <w:t>Thông báo ngừng dịch vụ.</w:t>
            </w:r>
            <w:r>
              <w:rPr>
                <w:b w:val="0"/>
                <w:i w:val="0"/>
                <w:sz w:val="19"/>
              </w:rPr>
              <w:t xml:space="preserve"> Công ty phải thông báo trước cho khách hàng ít nhất một năm về ý định ngừng các dịch vụ bảo trì tiêu chuẩn do nhu cầu kinh doanh thay đổi. </w:t>
            </w:r>
            <w:r>
              <w:rPr>
                <w:b/>
                <w:i w:val="0"/>
                <w:sz w:val="19"/>
              </w:rPr>
              <w:t>Tham chiếu rủi ro: A-2</w:t>
            </w:r>
          </w:p>
        </w:tc>
      </w:tr>
      <w:tr>
        <w:tc>
          <w:tcPr>
            <w:tcW w:type="dxa" w:w="4680"/>
          </w:tcPr>
          <w:p>
            <w:r/>
            <w:r>
              <w:rPr>
                <w:b w:val="0"/>
                <w:i w:val="0"/>
                <w:sz w:val="19"/>
              </w:rPr>
              <w:t>14.1.5</w:t>
            </w:r>
          </w:p>
        </w:tc>
        <w:tc>
          <w:tcPr>
            <w:tcW w:type="dxa" w:w="4680"/>
          </w:tcPr>
          <w:p>
            <w:r/>
            <w:r>
              <w:rPr>
                <w:b/>
                <w:i w:val="0"/>
                <w:sz w:val="19"/>
              </w:rPr>
              <w:t>Các trường hợp ngoại lệ đối với Điều khoản và Điều kiện cam kết.</w:t>
            </w:r>
            <w:r>
              <w:rPr>
                <w:b w:val="0"/>
                <w:i w:val="0"/>
                <w:sz w:val="19"/>
              </w:rPr>
              <w:t xml:space="preserve"> Các trường hợp ngoại lệ đối với chính sách điều khoản và điều kiện cam kết, chẳng hạn như cam kết cung cấp hoặc sẵn sàng cung cấp các dịch vụ bảo trì phần cứng tùy chỉnh hoặc mở rộng vượt quá thời hạn được chính sách này cho phép, phải được phê duyệt bởi cấp quản lý phù hợp trong công ty. </w:t>
            </w:r>
            <w:r>
              <w:rPr>
                <w:b/>
                <w:i w:val="0"/>
                <w:sz w:val="19"/>
              </w:rPr>
              <w:t>Tham chiếu rủi ro: A-3, A-4</w:t>
            </w:r>
          </w:p>
        </w:tc>
      </w:tr>
      <w:tr>
        <w:tc>
          <w:tcPr>
            <w:tcW w:type="dxa" w:w="4680"/>
          </w:tcPr>
          <w:p>
            <w:r/>
            <w:r>
              <w:rPr>
                <w:b w:val="0"/>
                <w:i w:val="0"/>
                <w:sz w:val="19"/>
              </w:rPr>
              <w:t>14.1.6</w:t>
            </w:r>
          </w:p>
        </w:tc>
        <w:tc>
          <w:tcPr>
            <w:tcW w:type="dxa" w:w="4680"/>
          </w:tcPr>
          <w:p>
            <w:r/>
            <w:r>
              <w:rPr>
                <w:b/>
                <w:i w:val="0"/>
                <w:sz w:val="19"/>
              </w:rPr>
              <w:t>Các khoản ưu đãi quốc tế.</w:t>
            </w:r>
            <w:r>
              <w:rPr>
                <w:b w:val="0"/>
                <w:i w:val="0"/>
                <w:sz w:val="19"/>
              </w:rPr>
              <w:t xml:space="preserve"> Mọi sai lệch làm giảm giá sản phẩm hoặc dịch vụ, hoặc tăng cường phạm vi cung cấp dịch vụ hay tính năng sản phẩm mà không tăng giá tương ứng, chỉ được chấp thuận nếu có áp lực cạnh tranh. Điều này phải được ghi nhận và thông báo đến các quốc gia/vùng lãnh thổ bị ảnh hưởng trong vòng hai tuần. Các khoản ưu đãi quốc tế này không nên được thực hiện nếu các nhà quản lý quốc gia/vùng lãnh thổ phù hợp có thể đồng ý và phê duyệt các yêu cầu ưu đãi riêng cho từng quốc gia phù hợp với các chính sách hiện hành cũng như chính sách và thông lệ của quốc gia họ. </w:t>
            </w:r>
            <w:r>
              <w:rPr>
                <w:b/>
                <w:i w:val="0"/>
                <w:sz w:val="19"/>
              </w:rPr>
              <w:t>Tham chiếu rủi ro: A-5</w:t>
            </w:r>
          </w:p>
        </w:tc>
      </w:tr>
      <w:tr>
        <w:tc>
          <w:tcPr>
            <w:tcW w:type="dxa" w:w="4680"/>
          </w:tcPr>
          <w:p>
            <w:r/>
            <w:r>
              <w:rPr>
                <w:b w:val="0"/>
                <w:i w:val="0"/>
                <w:sz w:val="19"/>
              </w:rPr>
              <w:t>14.1.7</w:t>
            </w:r>
          </w:p>
        </w:tc>
        <w:tc>
          <w:tcPr>
            <w:tcW w:type="dxa" w:w="4680"/>
          </w:tcPr>
          <w:p>
            <w:r/>
            <w:r>
              <w:rPr>
                <w:b/>
                <w:i w:val="0"/>
                <w:sz w:val="19"/>
              </w:rPr>
              <w:t>Hợp đồng với nhà cung cấp dịch vụ.</w:t>
            </w:r>
            <w:r>
              <w:rPr>
                <w:b w:val="0"/>
                <w:i w:val="0"/>
                <w:sz w:val="19"/>
              </w:rPr>
              <w:t xml:space="preserve"> Hợp đồng với nhà cung cấp dịch vụ phải bao gồm các điều khoản xác định cụ thể chính sách lưu trữ hồ sơ. </w:t>
            </w:r>
            <w:r>
              <w:rPr>
                <w:b/>
                <w:i w:val="0"/>
                <w:sz w:val="19"/>
              </w:rPr>
              <w:t>Tham chiếu rủi ro: A-1</w:t>
            </w:r>
          </w:p>
        </w:tc>
      </w:tr>
      <w:tr>
        <w:tc>
          <w:tcPr>
            <w:tcW w:type="dxa" w:w="4680"/>
          </w:tcPr>
          <w:p>
            <w:r/>
            <w:r>
              <w:rPr>
                <w:b w:val="0"/>
                <w:i w:val="0"/>
                <w:sz w:val="19"/>
              </w:rPr>
              <w:t>14.1.8</w:t>
            </w:r>
          </w:p>
        </w:tc>
        <w:tc>
          <w:tcPr>
            <w:tcW w:type="dxa" w:w="4680"/>
          </w:tcPr>
          <w:p>
            <w:r/>
            <w:r>
              <w:rPr>
                <w:b/>
                <w:i w:val="0"/>
                <w:sz w:val="19"/>
              </w:rPr>
              <w:t>Nhân viên trung tâm cuộc gọi.</w:t>
            </w:r>
            <w:r>
              <w:rPr>
                <w:b w:val="0"/>
                <w:i w:val="0"/>
                <w:sz w:val="19"/>
              </w:rPr>
              <w:t xml:space="preserve"> Cần tổ chức đào tạo về dịch vụ khách hàng cho nhân viên trung tâm cuộc gọi. Các chuyên gia về lĩnh vực cụ thể cần sẵn sàng và được sử dụng làm điểm leo thang kỹ thuật khi cần thiết. </w:t>
            </w:r>
            <w:r>
              <w:rPr>
                <w:b/>
                <w:i w:val="0"/>
                <w:sz w:val="19"/>
              </w:rPr>
              <w:t>Tham chiếu rủi ro: A-1</w:t>
            </w:r>
          </w:p>
        </w:tc>
      </w:tr>
      <w:tr>
        <w:tc>
          <w:tcPr>
            <w:tcW w:type="dxa" w:w="4680"/>
          </w:tcPr>
          <w:p>
            <w:r/>
            <w:r>
              <w:rPr>
                <w:b w:val="0"/>
                <w:i w:val="0"/>
                <w:sz w:val="19"/>
              </w:rPr>
              <w:t>14.1.9</w:t>
            </w:r>
          </w:p>
        </w:tc>
        <w:tc>
          <w:tcPr>
            <w:tcW w:type="dxa" w:w="4680"/>
          </w:tcPr>
          <w:p>
            <w:r/>
            <w:r>
              <w:rPr>
                <w:b/>
                <w:i w:val="0"/>
                <w:sz w:val="19"/>
              </w:rPr>
              <w:t>Yêu cầu nhận diện khách hàng.</w:t>
            </w:r>
            <w:r>
              <w:rPr>
                <w:b w:val="0"/>
                <w:i w:val="0"/>
                <w:sz w:val="19"/>
              </w:rPr>
              <w:t xml:space="preserve"> Nên sử dụng một quy trình đăng ký và nhận diện khách hàng duy nhất để xử lý mọi khía cạnh tương tác điện tử với khách hàng. Khách hàng cần có khả năng tự nhận diện duy nhất bản thân mình bất cứ lúc nào và cảm thấy được ghi nhận mà không phải liên tục tự nhận diện. </w:t>
            </w:r>
            <w:r>
              <w:rPr>
                <w:b/>
                <w:i w:val="0"/>
                <w:sz w:val="19"/>
              </w:rPr>
              <w:t>Tham chiếu rủi ro: A-1</w:t>
            </w:r>
          </w:p>
        </w:tc>
      </w:tr>
      <w:tr>
        <w:tc>
          <w:tcPr>
            <w:tcW w:type="dxa" w:w="4680"/>
          </w:tcPr>
          <w:p>
            <w:r/>
            <w:r>
              <w:rPr>
                <w:b w:val="0"/>
                <w:i w:val="0"/>
                <w:sz w:val="19"/>
              </w:rPr>
              <w:t>14.1.10</w:t>
            </w:r>
          </w:p>
        </w:tc>
        <w:tc>
          <w:tcPr>
            <w:tcW w:type="dxa" w:w="4680"/>
          </w:tcPr>
          <w:p>
            <w:r/>
            <w:r>
              <w:rPr>
                <w:b/>
                <w:i w:val="0"/>
                <w:sz w:val="19"/>
              </w:rPr>
              <w:t>Yêu cầu theo dõi cuộc gọi.</w:t>
            </w:r>
            <w:r>
              <w:rPr>
                <w:b w:val="0"/>
                <w:i w:val="0"/>
                <w:sz w:val="19"/>
              </w:rPr>
              <w:t xml:space="preserve"> Các cam kết với khách hàng cần là một quy trình khép kín, trong đó mọi cam kết với khách hàng (ví dụ: gọi lại, đến tận nơi, cung cấp thông tin, v.v.) trong trường hợp có sự kiện/yêu cầu cần cung cấp khả năng theo dõi và thông báo để có thể nắm bắt đầy đủ tình hình. Các thông báo về những cam kết bị bỏ lỡ hoặc có nguy cơ bị bỏ lỡ cần được báo cáo lên chuỗi chỉ huy cho đến khi cam kết được thực hiện. </w:t>
            </w:r>
            <w:r>
              <w:rPr>
                <w:b/>
                <w:i w:val="0"/>
                <w:sz w:val="19"/>
              </w:rPr>
              <w:t>Tham chiếu rủi ro: A-1</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A-1</w:t>
            </w:r>
          </w:p>
        </w:tc>
        <w:tc>
          <w:tcPr>
            <w:tcW w:type="dxa" w:w="4680"/>
          </w:tcPr>
          <w:p>
            <w:r/>
            <w:r>
              <w:rPr>
                <w:b w:val="0"/>
                <w:i w:val="0"/>
                <w:sz w:val="19"/>
              </w:rPr>
              <w:t>Công ty và các đối tác dịch vụ của mình có thể không thực hiện đúng cam kết, dẫn đến mức độ hài lòng của khách hàng thấp, mất đi lòng trung thành của khách hàng, hoặc chi phí cao hơn.</w:t>
            </w:r>
          </w:p>
        </w:tc>
      </w:tr>
      <w:tr>
        <w:tc>
          <w:tcPr>
            <w:tcW w:type="dxa" w:w="4680"/>
          </w:tcPr>
          <w:p>
            <w:r/>
            <w:r>
              <w:rPr>
                <w:b w:val="0"/>
                <w:i w:val="0"/>
                <w:sz w:val="19"/>
              </w:rPr>
              <w:t>A-2</w:t>
            </w:r>
          </w:p>
        </w:tc>
        <w:tc>
          <w:tcPr>
            <w:tcW w:type="dxa" w:w="4680"/>
          </w:tcPr>
          <w:p>
            <w:r/>
            <w:r>
              <w:rPr>
                <w:b w:val="0"/>
                <w:i w:val="0"/>
                <w:sz w:val="19"/>
              </w:rPr>
              <w:t>Giảm mức độ hài lòng của khách hàng.</w:t>
            </w:r>
          </w:p>
        </w:tc>
      </w:tr>
      <w:tr>
        <w:tc>
          <w:tcPr>
            <w:tcW w:type="dxa" w:w="4680"/>
          </w:tcPr>
          <w:p>
            <w:r/>
            <w:r>
              <w:rPr>
                <w:b w:val="0"/>
                <w:i w:val="0"/>
                <w:sz w:val="19"/>
              </w:rPr>
              <w:t>A-3</w:t>
            </w:r>
          </w:p>
        </w:tc>
        <w:tc>
          <w:tcPr>
            <w:tcW w:type="dxa" w:w="4680"/>
          </w:tcPr>
          <w:p>
            <w:r/>
            <w:r>
              <w:rPr>
                <w:b w:val="0"/>
                <w:i w:val="0"/>
                <w:sz w:val="19"/>
              </w:rPr>
              <w:t>Có thể phát sinh chi phí sửa chữa không được phép.</w:t>
            </w:r>
          </w:p>
        </w:tc>
      </w:tr>
      <w:tr>
        <w:tc>
          <w:tcPr>
            <w:tcW w:type="dxa" w:w="4680"/>
          </w:tcPr>
          <w:p>
            <w:r/>
            <w:r>
              <w:rPr>
                <w:b w:val="0"/>
                <w:i w:val="0"/>
                <w:sz w:val="19"/>
              </w:rPr>
              <w:t>A-4</w:t>
            </w:r>
          </w:p>
        </w:tc>
        <w:tc>
          <w:tcPr>
            <w:tcW w:type="dxa" w:w="4680"/>
          </w:tcPr>
          <w:p>
            <w:r/>
            <w:r>
              <w:rPr>
                <w:b w:val="0"/>
                <w:i w:val="0"/>
                <w:sz w:val="19"/>
              </w:rPr>
              <w:t>Có thể xảy ra việc bảo trì sản phẩm không được phép.</w:t>
            </w:r>
          </w:p>
        </w:tc>
      </w:tr>
      <w:tr>
        <w:tc>
          <w:tcPr>
            <w:tcW w:type="dxa" w:w="4680"/>
          </w:tcPr>
          <w:p>
            <w:r/>
            <w:r>
              <w:rPr>
                <w:b w:val="0"/>
                <w:i w:val="0"/>
                <w:sz w:val="19"/>
              </w:rPr>
              <w:t>A-5</w:t>
            </w:r>
          </w:p>
        </w:tc>
        <w:tc>
          <w:tcPr>
            <w:tcW w:type="dxa" w:w="4680"/>
          </w:tcPr>
          <w:p>
            <w:r/>
            <w:r>
              <w:rPr>
                <w:b w:val="0"/>
                <w:i w:val="0"/>
                <w:sz w:val="19"/>
              </w:rPr>
              <w:t>Việc thiếu tài liệu về các sai lệch giá hoặc phạm vi cung cấp dịch vụ có thể dẫn đến các giao dịch dịch vụ gian lận hoặc không phù hợp.</w:t>
            </w:r>
          </w:p>
        </w:tc>
      </w:tr>
      <w:tr>
        <w:tc>
          <w:tcPr>
            <w:tcW w:type="dxa" w:w="4680"/>
          </w:tcPr>
          <w:p>
            <w:r/>
            <w:r>
              <w:rPr>
                <w:b w:val="0"/>
                <w:i w:val="0"/>
                <w:sz w:val="19"/>
              </w:rPr>
              <w:t>A-9</w:t>
            </w:r>
          </w:p>
        </w:tc>
        <w:tc>
          <w:tcPr>
            <w:tcW w:type="dxa" w:w="4680"/>
          </w:tcPr>
          <w:p>
            <w:r/>
            <w:r>
              <w:rPr>
                <w:b w:val="0"/>
                <w:i w:val="0"/>
                <w:sz w:val="19"/>
              </w:rPr>
              <w:t>Các chính sách dịch vụ khách hàng có thể không được duy trì đúng cách.</w:t>
            </w:r>
          </w:p>
        </w:tc>
      </w:tr>
    </w:tbl>
    <w:p>
      <w:pPr>
        <w:spacing w:after="0"/>
      </w:pPr>
    </w:p>
    <w:p>
      <w:pPr>
        <w:pStyle w:val="Heading2"/>
      </w:pPr>
      <w:r>
        <w:rPr>
          <w:rFonts w:ascii="Calibri" w:hAnsi="Calibri"/>
          <w:b/>
          <w:i w:val="0"/>
          <w:sz w:val="32"/>
        </w:rPr>
        <w:t>14.2 QUẢN LÝ TRUNG TÂM CUỘC GỌI</w:t>
      </w:r>
    </w:p>
    <w:p>
      <w:pPr>
        <w:pStyle w:val="Heading3"/>
      </w:pPr>
      <w:r>
        <w:rPr>
          <w:rFonts w:ascii="Calibri" w:hAnsi="Calibri"/>
          <w:b/>
          <w:i w:val="0"/>
          <w:sz w:val="26"/>
        </w:rPr>
        <w:t>Giới thiệu</w:t>
      </w:r>
    </w:p>
    <w:p>
      <w:pPr>
        <w:spacing w:after="80"/>
      </w:pPr>
      <w:r>
        <w:rPr>
          <w:b w:val="0"/>
          <w:i w:val="0"/>
        </w:rPr>
        <w:t>Để đảm bảo dịch vụ khách hàng tốt như yêu cầu của chính sách công ty, các trung tâm cuộc gọi sẽ được thành lập và quản lý nhằm vượt qua kỳ vọng về dịch vụ, các chỉ số đã đề ra và các kiểm soát nội bộ.</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14.2.1</w:t>
            </w:r>
          </w:p>
        </w:tc>
        <w:tc>
          <w:tcPr>
            <w:tcW w:type="dxa" w:w="4680"/>
          </w:tcPr>
          <w:p>
            <w:r/>
            <w:r>
              <w:rPr>
                <w:b/>
                <w:i w:val="0"/>
                <w:sz w:val="19"/>
              </w:rPr>
              <w:t>Khảo sát Mức độ Hài lòng của Khách hàng.</w:t>
            </w:r>
            <w:r>
              <w:rPr>
                <w:b w:val="0"/>
                <w:i w:val="0"/>
                <w:sz w:val="19"/>
              </w:rPr>
              <w:t xml:space="preserve"> Các cuộc khảo sát chất lượng dịch vụ/khảo sát mức độ hài lòng của khách hàng nên được thực hiện sau khi hoàn thành công việc dịch vụ. </w:t>
            </w:r>
            <w:r>
              <w:rPr>
                <w:b/>
                <w:i w:val="0"/>
                <w:sz w:val="19"/>
              </w:rPr>
              <w:t>Tham chiếu rủi ro: B-1</w:t>
            </w:r>
          </w:p>
        </w:tc>
      </w:tr>
      <w:tr>
        <w:tc>
          <w:tcPr>
            <w:tcW w:type="dxa" w:w="4680"/>
          </w:tcPr>
          <w:p>
            <w:r/>
            <w:r>
              <w:rPr>
                <w:b w:val="0"/>
                <w:i w:val="0"/>
                <w:sz w:val="19"/>
              </w:rPr>
              <w:t>14.2.2</w:t>
            </w:r>
          </w:p>
        </w:tc>
        <w:tc>
          <w:tcPr>
            <w:tcW w:type="dxa" w:w="4680"/>
          </w:tcPr>
          <w:p>
            <w:r/>
            <w:r>
              <w:rPr>
                <w:b/>
                <w:i w:val="0"/>
                <w:sz w:val="19"/>
              </w:rPr>
              <w:t>Hợp đồng với Trung tâm Thực hiện Dịch vụ.</w:t>
            </w:r>
            <w:r>
              <w:rPr>
                <w:b w:val="0"/>
                <w:i w:val="0"/>
                <w:sz w:val="19"/>
              </w:rPr>
              <w:t xml:space="preserve"> Cần có hợp đồng với tất cả các Trung tâm Thực hiện Dịch vụ (SFC) để đảm bảo thiết lập các chỉ số hợp lý và có thể đạt được nhằm đáp ứng hoặc vượt tỷ lệ lấp đầy theo hợp đồng. Hợp đồng cũng nên ràng buộc trách nhiệm tài chính đối với các SFC về tỷ lệ lấp đầy theo hợp đồng khi chỉ số này giảm xuống dưới một ngưỡng nhất định. </w:t>
            </w:r>
            <w:r>
              <w:rPr>
                <w:b/>
                <w:i w:val="0"/>
                <w:sz w:val="19"/>
              </w:rPr>
              <w:t>Tham chiếu rủi ro: B-1</w:t>
            </w:r>
          </w:p>
        </w:tc>
      </w:tr>
      <w:tr>
        <w:tc>
          <w:tcPr>
            <w:tcW w:type="dxa" w:w="4680"/>
          </w:tcPr>
          <w:p>
            <w:r/>
            <w:r>
              <w:rPr>
                <w:b w:val="0"/>
                <w:i w:val="0"/>
                <w:sz w:val="19"/>
              </w:rPr>
              <w:t>14.2.3</w:t>
            </w:r>
          </w:p>
        </w:tc>
        <w:tc>
          <w:tcPr>
            <w:tcW w:type="dxa" w:w="4680"/>
          </w:tcPr>
          <w:p>
            <w:r/>
            <w:r>
              <w:rPr>
                <w:b/>
                <w:i w:val="0"/>
                <w:sz w:val="19"/>
              </w:rPr>
              <w:t>Thị trường Xám.</w:t>
            </w:r>
            <w:r>
              <w:rPr>
                <w:b w:val="0"/>
                <w:i w:val="0"/>
                <w:sz w:val="19"/>
              </w:rPr>
              <w:t xml:space="preserve"> Cần có chính sách không khoan nhượng đối với bất kỳ nhân viên nào tham gia vào các hành vi dẫn đến sản phẩm của công ty bị chuyển hướng vào thị trường xám. Tất cả nhân viên nên tuân thủ các hành vi sau: thẩm định kỹ lưỡng mọi yêu cầu giảm giá đặc biệt dù cho khách hàng, nhà bán lại hay nhà phân phối bằng cách đảm bảo việc giảm giá là cần thiết và là một quyết định kinh doanh tốt trước khi đồng ý giảm biên lợi nhuận của công ty trên bất kỳ sản phẩm nào; kiểm tra các dấu hiệu cho thấy sản phẩm có thể đang chảy vào thị trường xám từ các chương trình giảm giá đặc biệt đang diễn ra; và báo cáo mọi hoạt động đáng ngờ ngay khi phát hiện. Báo cáo ngay mọi sự cố hoặc nghi ngờ có sự cố liên quan đến hoạt động thị trường xám cho quản lý của bạn, và thông báo cho Văn phòng Chương trình Xuyên Biên giới qua e-mail hoặc thư thoại. </w:t>
            </w:r>
            <w:r>
              <w:rPr>
                <w:b/>
                <w:i w:val="0"/>
                <w:sz w:val="19"/>
              </w:rPr>
              <w:t>Tham chiếu rủi ro: B-2</w:t>
            </w:r>
          </w:p>
        </w:tc>
      </w:tr>
      <w:tr>
        <w:tc>
          <w:tcPr>
            <w:tcW w:type="dxa" w:w="4680"/>
          </w:tcPr>
          <w:p>
            <w:r/>
            <w:r>
              <w:rPr>
                <w:b w:val="0"/>
                <w:i w:val="0"/>
                <w:sz w:val="19"/>
              </w:rPr>
              <w:t>14.2.4</w:t>
            </w:r>
          </w:p>
        </w:tc>
        <w:tc>
          <w:tcPr>
            <w:tcW w:type="dxa" w:w="4680"/>
          </w:tcPr>
          <w:p>
            <w:r/>
            <w:r>
              <w:rPr>
                <w:b/>
                <w:i w:val="0"/>
                <w:sz w:val="19"/>
              </w:rPr>
              <w:t>An ninh Trung tâm Dịch vụ.</w:t>
            </w:r>
            <w:r>
              <w:rPr>
                <w:b w:val="0"/>
                <w:i w:val="0"/>
                <w:sz w:val="19"/>
              </w:rPr>
              <w:t xml:space="preserve"> Hệ thống báo động nên được lắp đặt trên tất cả các cửa ra vào và cửa sổ, bao gồm cả báo động cưỡng bức có khả năng chuyển mạch. Các hệ thống này nên được kiểm tra định kỳ để đảm bảo chúng hoạt động đúng chức năng. Hệ thống camera an ninh được công ty phê duyệt cũng nên được lắp đặt và kiểm tra định kỳ để đảm bảo hoạt động đúng chức năng. Băng ghi hình an ninh nên được xem xét định kỳ. </w:t>
            </w:r>
            <w:r>
              <w:rPr>
                <w:b/>
                <w:i w:val="0"/>
                <w:sz w:val="19"/>
              </w:rPr>
              <w:t>Tham chiếu rủi ro: B-3</w:t>
            </w:r>
          </w:p>
        </w:tc>
      </w:tr>
      <w:tr>
        <w:tc>
          <w:tcPr>
            <w:tcW w:type="dxa" w:w="4680"/>
          </w:tcPr>
          <w:p>
            <w:r/>
            <w:r>
              <w:rPr>
                <w:b w:val="0"/>
                <w:i w:val="0"/>
                <w:sz w:val="19"/>
              </w:rPr>
              <w:t>14.2.5</w:t>
            </w:r>
          </w:p>
        </w:tc>
        <w:tc>
          <w:tcPr>
            <w:tcW w:type="dxa" w:w="4680"/>
          </w:tcPr>
          <w:p>
            <w:r/>
            <w:r>
              <w:rPr>
                <w:b/>
                <w:i w:val="0"/>
                <w:sz w:val="19"/>
              </w:rPr>
              <w:t>An toàn Trung tâm Dịch vụ.</w:t>
            </w:r>
            <w:r>
              <w:rPr>
                <w:b w:val="0"/>
                <w:i w:val="0"/>
                <w:sz w:val="19"/>
              </w:rPr>
              <w:t xml:space="preserve"> Các lối thoát hiểm nên được đánh dấu rõ ràng bằng biển báo phù hợp, và các quy trình khẩn cấp cùng số điện thoại nên được niêm yết đúng cách. Đầu báo khói và/hoặc đầu báo cháy nên được đặt tại các khu vực trung tâm dịch vụ, và bình chữa cháy nên được dán nhãn đúng cách và kiểm tra định kỳ. </w:t>
            </w:r>
            <w:r>
              <w:rPr>
                <w:b/>
                <w:i w:val="0"/>
                <w:sz w:val="19"/>
              </w:rPr>
              <w:t>Tham chiếu rủi ro: B-3, B-4</w:t>
            </w:r>
          </w:p>
        </w:tc>
      </w:tr>
      <w:tr>
        <w:tc>
          <w:tcPr>
            <w:tcW w:type="dxa" w:w="4680"/>
          </w:tcPr>
          <w:p>
            <w:r/>
            <w:r>
              <w:rPr>
                <w:b w:val="0"/>
                <w:i w:val="0"/>
                <w:sz w:val="19"/>
              </w:rPr>
              <w:t>14.2.6</w:t>
            </w:r>
          </w:p>
        </w:tc>
        <w:tc>
          <w:tcPr>
            <w:tcW w:type="dxa" w:w="4680"/>
          </w:tcPr>
          <w:p>
            <w:r/>
            <w:r>
              <w:rPr>
                <w:b/>
                <w:i w:val="0"/>
                <w:sz w:val="19"/>
              </w:rPr>
              <w:t>Quyền Ra vào Trung tâm Dịch vụ.</w:t>
            </w:r>
            <w:r>
              <w:rPr>
                <w:b w:val="0"/>
                <w:i w:val="0"/>
                <w:sz w:val="19"/>
              </w:rPr>
              <w:t xml:space="preserve"> Nếu sử dụng chìa khóa hoặc thẻ ra vào để vào cửa, mã ra vào nên được thay đổi thường xuyên và cần lưu giữ hồ sơ về việc nhân viên nào giữ chìa khóa. </w:t>
            </w:r>
            <w:r>
              <w:rPr>
                <w:b/>
                <w:i w:val="0"/>
                <w:sz w:val="19"/>
              </w:rPr>
              <w:t>Tham chiếu rủi ro: B-5</w:t>
            </w:r>
          </w:p>
        </w:tc>
      </w:tr>
      <w:tr>
        <w:tc>
          <w:tcPr>
            <w:tcW w:type="dxa" w:w="4680"/>
          </w:tcPr>
          <w:p>
            <w:r/>
            <w:r>
              <w:rPr>
                <w:b w:val="0"/>
                <w:i w:val="0"/>
                <w:sz w:val="19"/>
              </w:rPr>
              <w:t>14.2.7</w:t>
            </w:r>
          </w:p>
        </w:tc>
        <w:tc>
          <w:tcPr>
            <w:tcW w:type="dxa" w:w="4680"/>
          </w:tcPr>
          <w:p>
            <w:r/>
            <w:r>
              <w:rPr>
                <w:b/>
                <w:i w:val="0"/>
                <w:sz w:val="19"/>
              </w:rPr>
              <w:t>Xử lý Tiền mặt.</w:t>
            </w:r>
            <w:r>
              <w:rPr>
                <w:b w:val="0"/>
                <w:i w:val="0"/>
                <w:sz w:val="19"/>
              </w:rPr>
              <w:t xml:space="preserve"> Nếu các giao dịch tiền mặt được xử lý tại trung tâm dịch vụ, việc sử dụng két sắt là bắt buộc. Quyền truy cập vào két sắt nên được hạn chế. Nhân viên xử lý tiền mặt nên được bảo lãnh, và ngăn kéo tiền mặt nên được đối chiếu vào cuối mỗi ngày với báo cáo của hệ thống điểm bán hàng (POS). Sau đó tiền mặt nên được đặt vào két sắt cho đến khi được dịch vụ xe bọc thép đến lấy. </w:t>
            </w:r>
            <w:r>
              <w:rPr>
                <w:b/>
                <w:i w:val="0"/>
                <w:sz w:val="19"/>
              </w:rPr>
              <w:t>Tham chiếu rủi ro: B-3, B-6</w:t>
            </w:r>
          </w:p>
        </w:tc>
      </w:tr>
      <w:tr>
        <w:tc>
          <w:tcPr>
            <w:tcW w:type="dxa" w:w="4680"/>
          </w:tcPr>
          <w:p>
            <w:r/>
            <w:r>
              <w:rPr>
                <w:b w:val="0"/>
                <w:i w:val="0"/>
                <w:sz w:val="19"/>
              </w:rPr>
              <w:t>14.2.8</w:t>
            </w:r>
          </w:p>
        </w:tc>
        <w:tc>
          <w:tcPr>
            <w:tcW w:type="dxa" w:w="4680"/>
          </w:tcPr>
          <w:p>
            <w:r/>
            <w:r>
              <w:rPr>
                <w:b/>
                <w:i w:val="0"/>
                <w:sz w:val="19"/>
              </w:rPr>
              <w:t>Đào tạo.</w:t>
            </w:r>
            <w:r>
              <w:rPr>
                <w:b w:val="0"/>
                <w:i w:val="0"/>
                <w:sz w:val="19"/>
              </w:rPr>
              <w:t xml:space="preserve"> Tất cả nhân viên trung tâm dịch vụ của công ty cần được đào tạo bài bản về Quy tắc Ứng xử Kinh doanh (Code of Business Conduct), Quy trình Bán hàng Bán lẻ (Retail Sales Procedures), hệ thống Điểm bán hàng (Point-of-Sales), Chi phí Đi lại/Công tác (Travel/Business Expenses), Kiểm soát Hàng tồn kho (Inventory Control), Quy trình Khẩn cấp (Emergency Procedures), An ninh (Security), và Quy trình Tài chính (Financial Procedures). </w:t>
            </w:r>
            <w:r>
              <w:rPr>
                <w:b/>
                <w:i w:val="0"/>
                <w:sz w:val="19"/>
              </w:rPr>
              <w:t>Tham khảo rủi ro: B-7</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B-1</w:t>
            </w:r>
          </w:p>
        </w:tc>
        <w:tc>
          <w:tcPr>
            <w:tcW w:type="dxa" w:w="4680"/>
          </w:tcPr>
          <w:p>
            <w:r/>
            <w:r>
              <w:rPr>
                <w:b w:val="0"/>
                <w:i w:val="0"/>
                <w:sz w:val="19"/>
              </w:rPr>
              <w:t>Giảm mức độ hài lòng của khách hàng.</w:t>
            </w:r>
          </w:p>
        </w:tc>
      </w:tr>
      <w:tr>
        <w:tc>
          <w:tcPr>
            <w:tcW w:type="dxa" w:w="4680"/>
          </w:tcPr>
          <w:p>
            <w:r/>
            <w:r>
              <w:rPr>
                <w:b w:val="0"/>
                <w:i w:val="0"/>
                <w:sz w:val="19"/>
              </w:rPr>
              <w:t>B-2</w:t>
            </w:r>
          </w:p>
        </w:tc>
        <w:tc>
          <w:tcPr>
            <w:tcW w:type="dxa" w:w="4680"/>
          </w:tcPr>
          <w:p>
            <w:r/>
            <w:r>
              <w:rPr>
                <w:b w:val="0"/>
                <w:i w:val="0"/>
                <w:sz w:val="19"/>
              </w:rPr>
              <w:t>Mất biên lợi nhuận.</w:t>
            </w:r>
          </w:p>
        </w:tc>
      </w:tr>
      <w:tr>
        <w:tc>
          <w:tcPr>
            <w:tcW w:type="dxa" w:w="4680"/>
          </w:tcPr>
          <w:p>
            <w:r/>
            <w:r>
              <w:rPr>
                <w:b w:val="0"/>
                <w:i w:val="0"/>
                <w:sz w:val="19"/>
              </w:rPr>
              <w:t>B-3</w:t>
            </w:r>
          </w:p>
        </w:tc>
        <w:tc>
          <w:tcPr>
            <w:tcW w:type="dxa" w:w="4680"/>
          </w:tcPr>
          <w:p>
            <w:r/>
            <w:r>
              <w:rPr>
                <w:b w:val="0"/>
                <w:i w:val="0"/>
                <w:sz w:val="19"/>
              </w:rPr>
              <w:t>Tài sản có thể không được bảo vệ đúng cách.</w:t>
            </w:r>
          </w:p>
        </w:tc>
      </w:tr>
      <w:tr>
        <w:tc>
          <w:tcPr>
            <w:tcW w:type="dxa" w:w="4680"/>
          </w:tcPr>
          <w:p>
            <w:r/>
            <w:r>
              <w:rPr>
                <w:b w:val="0"/>
                <w:i w:val="0"/>
                <w:sz w:val="19"/>
              </w:rPr>
              <w:t>B-4</w:t>
            </w:r>
          </w:p>
        </w:tc>
        <w:tc>
          <w:tcPr>
            <w:tcW w:type="dxa" w:w="4680"/>
          </w:tcPr>
          <w:p>
            <w:r/>
            <w:r>
              <w:rPr>
                <w:b w:val="0"/>
                <w:i w:val="0"/>
                <w:sz w:val="19"/>
              </w:rPr>
              <w:t>Công ty có thể chịu tổn thất tài chính đáng kể và các khoản tiền phạt theo quy định nếu hàng tồn kho và thiết bị bị hư hỏng hoặc phá hủy nghiêm trọng.</w:t>
            </w:r>
          </w:p>
        </w:tc>
      </w:tr>
      <w:tr>
        <w:tc>
          <w:tcPr>
            <w:tcW w:type="dxa" w:w="4680"/>
          </w:tcPr>
          <w:p>
            <w:r/>
            <w:r>
              <w:rPr>
                <w:b w:val="0"/>
                <w:i w:val="0"/>
                <w:sz w:val="19"/>
              </w:rPr>
              <w:t>B-5</w:t>
            </w:r>
          </w:p>
        </w:tc>
        <w:tc>
          <w:tcPr>
            <w:tcW w:type="dxa" w:w="4680"/>
          </w:tcPr>
          <w:p>
            <w:r/>
            <w:r>
              <w:rPr>
                <w:b w:val="0"/>
                <w:i w:val="0"/>
                <w:sz w:val="19"/>
              </w:rPr>
              <w:t>Có thể bị truy cập trái phép vào các trung tâm dịch vụ.</w:t>
            </w:r>
          </w:p>
        </w:tc>
      </w:tr>
      <w:tr>
        <w:tc>
          <w:tcPr>
            <w:tcW w:type="dxa" w:w="4680"/>
          </w:tcPr>
          <w:p>
            <w:r/>
            <w:r>
              <w:rPr>
                <w:b w:val="0"/>
                <w:i w:val="0"/>
                <w:sz w:val="19"/>
              </w:rPr>
              <w:t>B-6</w:t>
            </w:r>
          </w:p>
        </w:tc>
        <w:tc>
          <w:tcPr>
            <w:tcW w:type="dxa" w:w="4680"/>
          </w:tcPr>
          <w:p>
            <w:r/>
            <w:r>
              <w:rPr>
                <w:b w:val="0"/>
                <w:i w:val="0"/>
                <w:sz w:val="19"/>
              </w:rPr>
              <w:t>Mất doanh thu do chấp nhận séc không đủ tiền, xử lý giao dịch thẻ tín dụng không đúng cách, xử lý sai các giao dịch bán hàng bằng tiền mặt, hoặc hoàn tiền trái phép.</w:t>
            </w:r>
          </w:p>
        </w:tc>
      </w:tr>
      <w:tr>
        <w:tc>
          <w:tcPr>
            <w:tcW w:type="dxa" w:w="4680"/>
          </w:tcPr>
          <w:p>
            <w:r/>
            <w:r>
              <w:rPr>
                <w:b w:val="0"/>
                <w:i w:val="0"/>
                <w:sz w:val="19"/>
              </w:rPr>
              <w:t>B-7</w:t>
            </w:r>
          </w:p>
        </w:tc>
        <w:tc>
          <w:tcPr>
            <w:tcW w:type="dxa" w:w="4680"/>
          </w:tcPr>
          <w:p>
            <w:r/>
            <w:r>
              <w:rPr>
                <w:b w:val="0"/>
                <w:i w:val="0"/>
                <w:sz w:val="19"/>
              </w:rPr>
              <w:t>Nhân viên có thể không được đào tạo bài bản, dẫn đến rủi ro tài chính cho công ty.</w:t>
            </w:r>
          </w:p>
        </w:tc>
      </w:tr>
    </w:tbl>
    <w:p>
      <w:pPr>
        <w:spacing w:after="0"/>
      </w:pPr>
    </w:p>
    <w:p>
      <w:pPr>
        <w:pStyle w:val="Heading2"/>
      </w:pPr>
      <w:r>
        <w:rPr>
          <w:rFonts w:ascii="Calibri" w:hAnsi="Calibri"/>
          <w:b/>
          <w:i w:val="0"/>
          <w:sz w:val="32"/>
        </w:rPr>
        <w:t>14.3 BẢO HÀNH</w:t>
      </w:r>
    </w:p>
    <w:p>
      <w:pPr>
        <w:pStyle w:val="Heading3"/>
      </w:pPr>
      <w:r>
        <w:rPr>
          <w:rFonts w:ascii="Calibri" w:hAnsi="Calibri"/>
          <w:b/>
          <w:i w:val="0"/>
          <w:sz w:val="26"/>
        </w:rPr>
        <w:t>Giới thiệu</w:t>
      </w:r>
    </w:p>
    <w:p>
      <w:pPr>
        <w:spacing w:after="80"/>
      </w:pPr>
      <w:r>
        <w:rPr>
          <w:b w:val="0"/>
          <w:i w:val="0"/>
        </w:rPr>
        <w:t>Tất cả các chính sách bảo hành sản phẩm của công ty nên được hỗ trợ một cách nhất quán trên toàn bộ cơ sở khách hàng mà không phân biệt quốc gia xuất xứ hay điểm mua sản phẩm ban đầu. Các trường hợp ngoại lệ có thể tồn tại trong một số quốc gia cụ thể theo quy định của pháp luật và thông lệ cạnh tranh.</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14.3.1</w:t>
            </w:r>
          </w:p>
        </w:tc>
        <w:tc>
          <w:tcPr>
            <w:tcW w:type="dxa" w:w="4680"/>
          </w:tcPr>
          <w:p>
            <w:r/>
            <w:r>
              <w:rPr>
                <w:b/>
                <w:i w:val="0"/>
                <w:sz w:val="19"/>
              </w:rPr>
              <w:t>Hỗ trợ Bảo hành Sản phẩm.</w:t>
            </w:r>
            <w:r>
              <w:rPr>
                <w:b w:val="0"/>
                <w:i w:val="0"/>
                <w:sz w:val="19"/>
              </w:rPr>
              <w:t xml:space="preserve"> Sự sẵn lòng của khách hàng trong việc chấp nhận các điều khoản bảo hành từ quốc gia xuất xứ, ngoại trừ các giới hạn pháp lý, là yếu tố quyết định quan trọng nhất khi tồn tại những điểm không nhất quán. </w:t>
            </w:r>
            <w:r>
              <w:rPr>
                <w:b/>
                <w:i w:val="0"/>
                <w:sz w:val="19"/>
              </w:rPr>
              <w:t>Tham khảo rủi ro: C-1</w:t>
            </w:r>
          </w:p>
        </w:tc>
      </w:tr>
      <w:tr>
        <w:tc>
          <w:tcPr>
            <w:tcW w:type="dxa" w:w="4680"/>
          </w:tcPr>
          <w:p>
            <w:r/>
            <w:r>
              <w:rPr>
                <w:b w:val="0"/>
                <w:i w:val="0"/>
                <w:sz w:val="19"/>
              </w:rPr>
              <w:t>14.3.2</w:t>
            </w:r>
          </w:p>
        </w:tc>
        <w:tc>
          <w:tcPr>
            <w:tcW w:type="dxa" w:w="4680"/>
          </w:tcPr>
          <w:p>
            <w:r/>
            <w:r>
              <w:rPr>
                <w:b/>
                <w:i w:val="0"/>
                <w:sz w:val="19"/>
              </w:rPr>
              <w:t>Định giá Dịch vụ Bảo hành.</w:t>
            </w:r>
            <w:r>
              <w:rPr>
                <w:b w:val="0"/>
                <w:i w:val="0"/>
                <w:sz w:val="19"/>
              </w:rPr>
              <w:t xml:space="preserve"> Bộ phận quản lý và phát triển sản phẩm dịch vụ khách hàng của công ty chịu trách nhiệm đàm phán giá cho dịch vụ bảo hành dựa trên chi phí và giá cả thị trường liên quan đến việc cung cấp bảo hành sản phẩm. </w:t>
            </w:r>
            <w:r>
              <w:rPr>
                <w:b/>
                <w:i w:val="0"/>
                <w:sz w:val="19"/>
              </w:rPr>
              <w:t>Tham khảo rủi ro: C-2</w:t>
            </w:r>
          </w:p>
        </w:tc>
      </w:tr>
      <w:tr>
        <w:tc>
          <w:tcPr>
            <w:tcW w:type="dxa" w:w="4680"/>
          </w:tcPr>
          <w:p>
            <w:r/>
            <w:r>
              <w:rPr>
                <w:b w:val="0"/>
                <w:i w:val="0"/>
                <w:sz w:val="19"/>
              </w:rPr>
              <w:t>14.3.3</w:t>
            </w:r>
          </w:p>
        </w:tc>
        <w:tc>
          <w:tcPr>
            <w:tcW w:type="dxa" w:w="4680"/>
          </w:tcPr>
          <w:p>
            <w:r/>
            <w:r>
              <w:rPr>
                <w:b/>
                <w:i w:val="0"/>
                <w:sz w:val="19"/>
              </w:rPr>
              <w:t>Quy trình Bảo hành.</w:t>
            </w:r>
            <w:r>
              <w:rPr>
                <w:b w:val="0"/>
                <w:i w:val="0"/>
                <w:sz w:val="19"/>
              </w:rPr>
              <w:t xml:space="preserve"> Phải có các quy trình chính thức để xác thực và chấp nhận các yêu cầu bảo hành. Những quy trình này nên bao gồm việc chỉ xử lý những yêu cầu có kèm theo linh kiện hỏng và tài liệu. Ngoài ra, chỉ những linh kiện có số sê-ri hợp lệ mới được xử lý. </w:t>
            </w:r>
            <w:r>
              <w:rPr>
                <w:b/>
                <w:i w:val="0"/>
                <w:sz w:val="19"/>
              </w:rPr>
              <w:t>Tham khảo rủi ro: C-3</w:t>
            </w:r>
          </w:p>
        </w:tc>
      </w:tr>
      <w:tr>
        <w:tc>
          <w:tcPr>
            <w:tcW w:type="dxa" w:w="4680"/>
          </w:tcPr>
          <w:p>
            <w:r/>
            <w:r>
              <w:rPr>
                <w:b w:val="0"/>
                <w:i w:val="0"/>
                <w:sz w:val="19"/>
              </w:rPr>
              <w:t>14.3.4</w:t>
            </w:r>
          </w:p>
        </w:tc>
        <w:tc>
          <w:tcPr>
            <w:tcW w:type="dxa" w:w="4680"/>
          </w:tcPr>
          <w:p>
            <w:r/>
            <w:r>
              <w:rPr>
                <w:b/>
                <w:i w:val="0"/>
                <w:sz w:val="19"/>
              </w:rPr>
              <w:t>Yêu cầu Bảo hành.</w:t>
            </w:r>
            <w:r>
              <w:rPr>
                <w:b w:val="0"/>
                <w:i w:val="0"/>
                <w:sz w:val="19"/>
              </w:rPr>
              <w:t xml:space="preserve"> Đại lý chỉ nên được ghi có cho các yêu cầu bảo hành được gửi kèm theo linh kiện hỏng. </w:t>
            </w:r>
            <w:r>
              <w:rPr>
                <w:b/>
                <w:i w:val="0"/>
                <w:sz w:val="19"/>
              </w:rPr>
              <w:t>Tham khảo rủi ro: C-3, C-4</w:t>
            </w:r>
          </w:p>
        </w:tc>
      </w:tr>
      <w:tr>
        <w:tc>
          <w:tcPr>
            <w:tcW w:type="dxa" w:w="4680"/>
          </w:tcPr>
          <w:p>
            <w:r/>
            <w:r>
              <w:rPr>
                <w:b w:val="0"/>
                <w:i w:val="0"/>
                <w:sz w:val="19"/>
              </w:rPr>
              <w:t>14.3.5</w:t>
            </w:r>
          </w:p>
        </w:tc>
        <w:tc>
          <w:tcPr>
            <w:tcW w:type="dxa" w:w="4680"/>
          </w:tcPr>
          <w:p>
            <w:r/>
            <w:r>
              <w:rPr>
                <w:b/>
                <w:i w:val="0"/>
                <w:sz w:val="19"/>
              </w:rPr>
              <w:t>Đào tạo Dịch vụ Khách hàng.</w:t>
            </w:r>
            <w:r>
              <w:rPr>
                <w:b w:val="0"/>
                <w:i w:val="0"/>
                <w:sz w:val="19"/>
              </w:rPr>
              <w:t xml:space="preserve"> Nhân viên dịch vụ của công ty nên hiểu đầy đủ về các điều khoản bảo hành của công ty và toàn bộ quy trình trả hàng. </w:t>
            </w:r>
            <w:r>
              <w:rPr>
                <w:b/>
                <w:i w:val="0"/>
                <w:sz w:val="19"/>
              </w:rPr>
              <w:t>Tham khảo rủi ro: C-3, C-5</w:t>
            </w:r>
          </w:p>
        </w:tc>
      </w:tr>
      <w:tr>
        <w:tc>
          <w:tcPr>
            <w:tcW w:type="dxa" w:w="4680"/>
          </w:tcPr>
          <w:p>
            <w:r/>
            <w:r>
              <w:rPr>
                <w:b w:val="0"/>
                <w:i w:val="0"/>
                <w:sz w:val="19"/>
              </w:rPr>
              <w:t>14.3.6</w:t>
            </w:r>
          </w:p>
        </w:tc>
        <w:tc>
          <w:tcPr>
            <w:tcW w:type="dxa" w:w="4680"/>
          </w:tcPr>
          <w:p>
            <w:r/>
            <w:r>
              <w:rPr>
                <w:b/>
                <w:i w:val="0"/>
                <w:sz w:val="19"/>
              </w:rPr>
              <w:t>Hợp đồng Xử lý Phế liệu.</w:t>
            </w:r>
            <w:r>
              <w:rPr>
                <w:b w:val="0"/>
                <w:i w:val="0"/>
                <w:sz w:val="19"/>
              </w:rPr>
              <w:t xml:space="preserve"> Cần có hợp đồng bằng văn bản với tất cả các nhà cung cấp bên thứ ba về việc xử lý hàng hóa. </w:t>
            </w:r>
            <w:r>
              <w:rPr>
                <w:b/>
                <w:i w:val="0"/>
                <w:sz w:val="19"/>
              </w:rPr>
              <w:t>Tham khảo rủi ro: C-6, C-7</w:t>
            </w:r>
          </w:p>
        </w:tc>
      </w:tr>
      <w:tr>
        <w:tc>
          <w:tcPr>
            <w:tcW w:type="dxa" w:w="4680"/>
          </w:tcPr>
          <w:p>
            <w:r/>
            <w:r>
              <w:rPr>
                <w:b w:val="0"/>
                <w:i w:val="0"/>
                <w:sz w:val="19"/>
              </w:rPr>
              <w:t>14.3.7</w:t>
            </w:r>
          </w:p>
        </w:tc>
        <w:tc>
          <w:tcPr>
            <w:tcW w:type="dxa" w:w="4680"/>
          </w:tcPr>
          <w:p>
            <w:r/>
            <w:r>
              <w:rPr>
                <w:b/>
                <w:i w:val="0"/>
                <w:sz w:val="19"/>
              </w:rPr>
              <w:t>Tỷ lệ hỏng hóc theo năm.</w:t>
            </w:r>
            <w:r>
              <w:rPr>
                <w:b w:val="0"/>
                <w:i w:val="0"/>
                <w:sz w:val="19"/>
              </w:rPr>
              <w:t xml:space="preserve"> Tỷ lệ hỏng hóc theo năm (Annualized Failure Rates - AFR) của sản phẩm cần được thiết lập và so sánh với mục tiêu của công ty, sau khi sản phẩm đã được sản xuất trong một số tháng định trước, để xác định xem sản phẩm đã hoạt động trên hay dưới mục tiêu của công ty. Điều này sẽ giúp xác định kịp thời liệu có cần thực hiện các hành động khắc phục liên quan đến kỹ thuật, thiết kế hoặc thay thế linh kiện nhằm ngăn chặn sự lây nhiễm cho toàn bộ một dòng sản phẩm hoặc kiểu máy hay không. </w:t>
            </w:r>
            <w:r>
              <w:rPr>
                <w:b/>
                <w:i w:val="0"/>
                <w:sz w:val="19"/>
              </w:rPr>
              <w:t>Tham chiếu rủi ro: C-8, C-9</w:t>
            </w:r>
          </w:p>
        </w:tc>
      </w:tr>
      <w:tr>
        <w:tc>
          <w:tcPr>
            <w:tcW w:type="dxa" w:w="4680"/>
          </w:tcPr>
          <w:p>
            <w:r/>
            <w:r>
              <w:rPr>
                <w:b w:val="0"/>
                <w:i w:val="0"/>
                <w:sz w:val="19"/>
              </w:rPr>
              <w:t>14.3.8</w:t>
            </w:r>
          </w:p>
        </w:tc>
        <w:tc>
          <w:tcPr>
            <w:tcW w:type="dxa" w:w="4680"/>
          </w:tcPr>
          <w:p>
            <w:r/>
            <w:r>
              <w:rPr>
                <w:b/>
                <w:i w:val="0"/>
                <w:sz w:val="19"/>
              </w:rPr>
              <w:t>Ngưỡng yêu cầu bảo hành.</w:t>
            </w:r>
            <w:r>
              <w:rPr>
                <w:b w:val="0"/>
                <w:i w:val="0"/>
                <w:sz w:val="19"/>
              </w:rPr>
              <w:t xml:space="preserve"> Ban quản lý cần thiết lập một ngưỡng yêu cầu bảo hành trung bình để theo dõi các yêu cầu bảo hành. Ngưỡng này sẽ giúp nhận diện các hành vi lạm dụng tiềm ẩn của các đại lý dịch vụ và xác định khi nào cần tiếp cận các đại lý về các yêu cầu bảo hành của họ. </w:t>
            </w:r>
            <w:r>
              <w:rPr>
                <w:b/>
                <w:i w:val="0"/>
                <w:sz w:val="19"/>
              </w:rPr>
              <w:t>Tham chiếu rủi ro: C-3</w:t>
            </w:r>
          </w:p>
        </w:tc>
      </w:tr>
      <w:tr>
        <w:tc>
          <w:tcPr>
            <w:tcW w:type="dxa" w:w="4680"/>
          </w:tcPr>
          <w:p>
            <w:r/>
            <w:r>
              <w:rPr>
                <w:b w:val="0"/>
                <w:i w:val="0"/>
                <w:sz w:val="19"/>
              </w:rPr>
              <w:t>14.3.9</w:t>
            </w:r>
          </w:p>
        </w:tc>
        <w:tc>
          <w:tcPr>
            <w:tcW w:type="dxa" w:w="4680"/>
          </w:tcPr>
          <w:p>
            <w:r/>
            <w:r>
              <w:rPr>
                <w:b/>
                <w:i w:val="0"/>
                <w:sz w:val="19"/>
              </w:rPr>
              <w:t>Số sê-ri.</w:t>
            </w:r>
            <w:r>
              <w:rPr>
                <w:b w:val="0"/>
                <w:i w:val="0"/>
                <w:sz w:val="19"/>
              </w:rPr>
              <w:t xml:space="preserve"> Các linh kiện có giá trị cao được sử dụng trong quy trình lắp ráp của công ty, bất kể nhà sản xuất là ai, bao gồm màn hình, bo mạch hệ thống và các linh kiện liên quan đến bộ nhớ, đều phải có số sê-ri. Việc đánh số sê-ri cho các linh kiện trên một mức giá trị nhất định cần được khắc hoặc gắn cố định vĩnh viễn lên linh kiện để ngăn chặn sự can thiệp trái phép (không được sử dụng thẻ dán). Quy trình cần bao gồm việc xác thực số sê-ri của linh kiện trước khi xử lý yêu cầu bảo hành. </w:t>
            </w:r>
            <w:r>
              <w:rPr>
                <w:b/>
                <w:i w:val="0"/>
                <w:sz w:val="19"/>
              </w:rPr>
              <w:t>Tham chiếu rủi ro: C-3, C-5</w:t>
            </w:r>
          </w:p>
        </w:tc>
      </w:tr>
      <w:tr>
        <w:tc>
          <w:tcPr>
            <w:tcW w:type="dxa" w:w="4680"/>
          </w:tcPr>
          <w:p>
            <w:r/>
            <w:r>
              <w:rPr>
                <w:b w:val="0"/>
                <w:i w:val="0"/>
                <w:sz w:val="19"/>
              </w:rPr>
              <w:t>14.3.10</w:t>
            </w:r>
          </w:p>
        </w:tc>
        <w:tc>
          <w:tcPr>
            <w:tcW w:type="dxa" w:w="4680"/>
          </w:tcPr>
          <w:p>
            <w:r/>
            <w:r>
              <w:rPr>
                <w:b/>
                <w:i w:val="0"/>
                <w:sz w:val="19"/>
              </w:rPr>
              <w:t>Chính sách bảo hành.</w:t>
            </w:r>
            <w:r>
              <w:rPr>
                <w:b w:val="0"/>
                <w:i w:val="0"/>
                <w:sz w:val="19"/>
              </w:rPr>
              <w:t xml:space="preserve"> Cần có các chính sách và quy trình thiết lập hướng dẫn để cung cấp cho người dùng cuối một mức độ bảo hành đối với tất cả các sản phẩm mang thương hiệu của công ty. Dịch vụ khách hàng phải cung cấp mức độ dịch vụ cần thiết để hỗ trợ chính sách bảo hành sản phẩm. Những dịch vụ này sẽ được cung cấp cho người dùng cuối là những người nắm giữ bảo hành hợp lệ của công ty. Người dùng cuối là những khách hàng sẽ sử dụng sản phẩm cuối cùng và không bao gồm các đối tác bán hàng, nhà phân phối, VAR, nhà tích hợp và các đối tác kênh khác. </w:t>
            </w:r>
            <w:r>
              <w:rPr>
                <w:b/>
                <w:i w:val="0"/>
                <w:sz w:val="19"/>
              </w:rPr>
              <w:t>Tham chiếu rủi ro: C-3</w:t>
            </w:r>
          </w:p>
        </w:tc>
      </w:tr>
      <w:tr>
        <w:tc>
          <w:tcPr>
            <w:tcW w:type="dxa" w:w="4680"/>
          </w:tcPr>
          <w:p>
            <w:r/>
            <w:r>
              <w:rPr>
                <w:b w:val="0"/>
                <w:i w:val="0"/>
                <w:sz w:val="19"/>
              </w:rPr>
              <w:t>14.3.11</w:t>
            </w:r>
          </w:p>
        </w:tc>
        <w:tc>
          <w:tcPr>
            <w:tcW w:type="dxa" w:w="4680"/>
          </w:tcPr>
          <w:p>
            <w:r/>
            <w:r>
              <w:rPr>
                <w:b w:val="0"/>
                <w:i w:val="0"/>
                <w:sz w:val="19"/>
              </w:rPr>
              <w:t>Ghi nhận doanh thu. Bảo hành đảm bảo mang lại cho khách hàng sự đảm bảo rằng sản phẩm liên quan sẽ hoạt động đúng như các bên mong muốn vì nó tuân thủ các thông số kỹ thuật đã thỏa thuận. Bảo hành dịch vụ cung cấp cho khách hàng một dịch vụ bổ sung ngoài sự đảm bảo rằng sản phẩm tuân thủ các thông số kỹ thuật đã thỏa thuận. Các phương pháp ghi nhận doanh thu sẽ khác nhau tùy thuộc vào loại bảo hành được cung cấp. Sau đây là các trích đoạn từ ASC 606 làm rõ các tình huống chung:</w:t>
            </w:r>
            <w:r>
              <w:br/>
            </w:r>
            <w:r>
              <w:rPr>
                <w:b w:val="0"/>
                <w:i w:val="0"/>
                <w:sz w:val="19"/>
              </w:rPr>
              <w:t>• Nếu khách hàng có quyền lựa chọn mua bảo hành riêng (ví dụ, vì bảo hành được định giá hoặc thương lượng riêng), thì bảo hành đó là một dịch vụ riêng biệt vì đơn vị cam kết cung cấp dịch vụ cho khách hàng ngoài sản phẩm có chức năng được mô tả trong hợp đồng. Trong những trường hợp đó, đơn vị nên hạch toán bảo hành đã cam kết như một nghĩa vụ thực hiện.</w:t>
            </w:r>
            <w:r>
              <w:br/>
            </w:r>
            <w:r>
              <w:rPr>
                <w:b w:val="0"/>
                <w:i w:val="0"/>
                <w:sz w:val="19"/>
              </w:rPr>
              <w:t xml:space="preserve">• Nếu một bảo hành, hoặc một phần của bảo hành, cung cấp cho khách hàng một dịch vụ bổ sung ngoài sự đảm bảo rằng sản phẩm tuân thủ các thông số kỹ thuật đã thỏa thuận, thì dịch vụ đã cam kết là một nghĩa vụ thực hiện. Nếu một đơn vị cam kết cả bảo hành loại đảm bảo lẫn bảo hành loại dịch vụ nhưng không thể hạch toán chúng một cách hợp lý riêng rẽ, thì đơn vị nên hạch toán cả hai loại bảo hành cùng nhau như một nghĩa vụ thực hiện duy nhất. </w:t>
            </w:r>
            <w:r>
              <w:rPr>
                <w:b/>
                <w:i w:val="0"/>
                <w:sz w:val="19"/>
              </w:rPr>
              <w:t>Tham chiếu rủi ro: C-10</w:t>
            </w:r>
          </w:p>
        </w:tc>
      </w:tr>
      <w:tr>
        <w:tc>
          <w:tcPr>
            <w:tcW w:type="dxa" w:w="4680"/>
          </w:tcPr>
          <w:p>
            <w:r/>
            <w:r>
              <w:rPr>
                <w:b w:val="0"/>
                <w:i w:val="0"/>
                <w:sz w:val="19"/>
              </w:rPr>
              <w:t>14.3.12</w:t>
            </w:r>
          </w:p>
        </w:tc>
        <w:tc>
          <w:tcPr>
            <w:tcW w:type="dxa" w:w="4680"/>
          </w:tcPr>
          <w:p>
            <w:r/>
            <w:r>
              <w:rPr>
                <w:b/>
                <w:i w:val="0"/>
                <w:sz w:val="19"/>
              </w:rPr>
              <w:t>Theo dõi linh kiện và phụ tùng đang vận chuyển.</w:t>
            </w:r>
            <w:r>
              <w:rPr>
                <w:b w:val="0"/>
                <w:i w:val="0"/>
                <w:sz w:val="19"/>
              </w:rPr>
              <w:t xml:space="preserve"> Các phương tiện trực tuyến và điện tử được sử dụng để khách hàng kiểm tra tình trạng vận chuyển linh kiện và phụ tùng phải cung cấp một dấu vết giấy tờ về các hoạt động và hành động. </w:t>
            </w:r>
            <w:r>
              <w:rPr>
                <w:b/>
                <w:i w:val="0"/>
                <w:sz w:val="19"/>
              </w:rPr>
              <w:t>Tham chiếu rủi ro: C-1, C-11</w:t>
            </w:r>
          </w:p>
        </w:tc>
      </w:tr>
      <w:tr>
        <w:tc>
          <w:tcPr>
            <w:tcW w:type="dxa" w:w="4680"/>
          </w:tcPr>
          <w:p>
            <w:r/>
            <w:r>
              <w:rPr>
                <w:b w:val="0"/>
                <w:i w:val="0"/>
                <w:sz w:val="19"/>
              </w:rPr>
              <w:t>14.3.13</w:t>
            </w:r>
          </w:p>
        </w:tc>
        <w:tc>
          <w:tcPr>
            <w:tcW w:type="dxa" w:w="4680"/>
          </w:tcPr>
          <w:p>
            <w:r/>
            <w:r>
              <w:rPr>
                <w:b/>
                <w:i w:val="0"/>
                <w:sz w:val="19"/>
              </w:rPr>
              <w:t>Tài liệu.</w:t>
            </w:r>
            <w:r>
              <w:rPr>
                <w:b w:val="0"/>
                <w:i w:val="0"/>
                <w:sz w:val="19"/>
              </w:rPr>
              <w:t xml:space="preserve"> Tài liệu đầy đủ và chính xác cần được lưu trữ cùng với tất cả các yêu cầu bảo hành và đổi hàng có yêu cầu biểu mẫu. Những biểu mẫu này cần bao gồm số linh kiện và thông tin khách hàng để thực hiện các quy trình xác minh chất lượng và các quy trình xác minh khác. </w:t>
            </w:r>
            <w:r>
              <w:rPr>
                <w:b/>
                <w:i w:val="0"/>
                <w:sz w:val="19"/>
              </w:rPr>
              <w:t>Tham chiếu rủi ro: C-3, C-7</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C-1</w:t>
            </w:r>
          </w:p>
        </w:tc>
        <w:tc>
          <w:tcPr>
            <w:tcW w:type="dxa" w:w="4680"/>
          </w:tcPr>
          <w:p>
            <w:r/>
            <w:r>
              <w:rPr>
                <w:b w:val="0"/>
                <w:i w:val="0"/>
                <w:sz w:val="19"/>
              </w:rPr>
              <w:t>Mức độ hài lòng của khách hàng thấp do việc trả lại sản phẩm để sửa chữa không kịp thời.</w:t>
            </w:r>
          </w:p>
        </w:tc>
      </w:tr>
      <w:tr>
        <w:tc>
          <w:tcPr>
            <w:tcW w:type="dxa" w:w="4680"/>
          </w:tcPr>
          <w:p>
            <w:r/>
            <w:r>
              <w:rPr>
                <w:b w:val="0"/>
                <w:i w:val="0"/>
                <w:sz w:val="19"/>
              </w:rPr>
              <w:t>C-2</w:t>
            </w:r>
          </w:p>
        </w:tc>
        <w:tc>
          <w:tcPr>
            <w:tcW w:type="dxa" w:w="4680"/>
          </w:tcPr>
          <w:p>
            <w:r/>
            <w:r>
              <w:rPr>
                <w:b w:val="0"/>
                <w:i w:val="0"/>
                <w:sz w:val="19"/>
              </w:rPr>
              <w:t>Công ty có thể phát sinh những chi phí không cần thiết liên quan đến việc quản lý và phát triển sản phẩm do đàm phán giá cũng như phân tích chi phí/thị trường kém hiệu quả.</w:t>
            </w:r>
          </w:p>
        </w:tc>
      </w:tr>
      <w:tr>
        <w:tc>
          <w:tcPr>
            <w:tcW w:type="dxa" w:w="4680"/>
          </w:tcPr>
          <w:p>
            <w:r/>
            <w:r>
              <w:rPr>
                <w:b w:val="0"/>
                <w:i w:val="0"/>
                <w:sz w:val="19"/>
              </w:rPr>
              <w:t>C-3</w:t>
            </w:r>
          </w:p>
        </w:tc>
        <w:tc>
          <w:tcPr>
            <w:tcW w:type="dxa" w:w="4680"/>
          </w:tcPr>
          <w:p>
            <w:r/>
            <w:r>
              <w:rPr>
                <w:b w:val="0"/>
                <w:i w:val="0"/>
                <w:sz w:val="19"/>
              </w:rPr>
              <w:t>Công ty có thể phát sinh những chi phí bảo hành gian lận hoặc không cần thiết.</w:t>
            </w:r>
          </w:p>
        </w:tc>
      </w:tr>
      <w:tr>
        <w:tc>
          <w:tcPr>
            <w:tcW w:type="dxa" w:w="4680"/>
          </w:tcPr>
          <w:p>
            <w:r/>
            <w:r>
              <w:rPr>
                <w:b w:val="0"/>
                <w:i w:val="0"/>
                <w:sz w:val="19"/>
              </w:rPr>
              <w:t>C-4</w:t>
            </w:r>
          </w:p>
        </w:tc>
        <w:tc>
          <w:tcPr>
            <w:tcW w:type="dxa" w:w="4680"/>
          </w:tcPr>
          <w:p>
            <w:r/>
            <w:r>
              <w:rPr>
                <w:b w:val="0"/>
                <w:i w:val="0"/>
                <w:sz w:val="19"/>
              </w:rPr>
              <w:t>Có thể xảy ra tranh chấp với nhà cung cấp dịch vụ.</w:t>
            </w:r>
          </w:p>
        </w:tc>
      </w:tr>
      <w:tr>
        <w:tc>
          <w:tcPr>
            <w:tcW w:type="dxa" w:w="4680"/>
          </w:tcPr>
          <w:p>
            <w:r/>
            <w:r>
              <w:rPr>
                <w:b w:val="0"/>
                <w:i w:val="0"/>
                <w:sz w:val="19"/>
              </w:rPr>
              <w:t>C-5</w:t>
            </w:r>
          </w:p>
        </w:tc>
        <w:tc>
          <w:tcPr>
            <w:tcW w:type="dxa" w:w="4680"/>
          </w:tcPr>
          <w:p>
            <w:r/>
            <w:r>
              <w:rPr>
                <w:b w:val="0"/>
                <w:i w:val="0"/>
                <w:sz w:val="19"/>
              </w:rPr>
              <w:t>Các vụ trả hàng gian lận có thể không bị phát hiện.</w:t>
            </w:r>
          </w:p>
        </w:tc>
      </w:tr>
      <w:tr>
        <w:tc>
          <w:tcPr>
            <w:tcW w:type="dxa" w:w="4680"/>
          </w:tcPr>
          <w:p>
            <w:r/>
            <w:r>
              <w:rPr>
                <w:b w:val="0"/>
                <w:i w:val="0"/>
                <w:sz w:val="19"/>
              </w:rPr>
              <w:t>C-6</w:t>
            </w:r>
          </w:p>
        </w:tc>
        <w:tc>
          <w:tcPr>
            <w:tcW w:type="dxa" w:w="4680"/>
          </w:tcPr>
          <w:p>
            <w:r/>
            <w:r>
              <w:rPr>
                <w:b w:val="0"/>
                <w:i w:val="0"/>
                <w:sz w:val="19"/>
              </w:rPr>
              <w:t>Hàng hóa đã qua xử lý tiêu hủy có thể quay trở lại quy trình trả hàng hoặc bị bán ra thị trường xám.</w:t>
            </w:r>
          </w:p>
        </w:tc>
      </w:tr>
      <w:tr>
        <w:tc>
          <w:tcPr>
            <w:tcW w:type="dxa" w:w="4680"/>
          </w:tcPr>
          <w:p>
            <w:r/>
            <w:r>
              <w:rPr>
                <w:b w:val="0"/>
                <w:i w:val="0"/>
                <w:sz w:val="19"/>
              </w:rPr>
              <w:t>C-7</w:t>
            </w:r>
          </w:p>
        </w:tc>
        <w:tc>
          <w:tcPr>
            <w:tcW w:type="dxa" w:w="4680"/>
          </w:tcPr>
          <w:p>
            <w:r/>
            <w:r>
              <w:rPr>
                <w:b w:val="0"/>
                <w:i w:val="0"/>
                <w:sz w:val="19"/>
              </w:rPr>
              <w:t>Khả năng kiểm soát mức độ dịch vụ của đại lý và bên bảo trì thứ ba của công ty có thể bị suy giảm.</w:t>
            </w:r>
          </w:p>
        </w:tc>
      </w:tr>
      <w:tr>
        <w:tc>
          <w:tcPr>
            <w:tcW w:type="dxa" w:w="4680"/>
          </w:tcPr>
          <w:p>
            <w:r/>
            <w:r>
              <w:rPr>
                <w:b w:val="0"/>
                <w:i w:val="0"/>
                <w:sz w:val="19"/>
              </w:rPr>
              <w:t>C-8</w:t>
            </w:r>
          </w:p>
        </w:tc>
        <w:tc>
          <w:tcPr>
            <w:tcW w:type="dxa" w:w="4680"/>
          </w:tcPr>
          <w:p>
            <w:r/>
            <w:r>
              <w:rPr>
                <w:b w:val="0"/>
                <w:i w:val="0"/>
                <w:sz w:val="19"/>
              </w:rPr>
              <w:t>Bộ phận kỹ thuật có thể không đưa ra các hành động khắc phục kịp thời nếu hiệu suất sản phẩm không được đo lường theo tiêu chuẩn của công ty.</w:t>
            </w:r>
          </w:p>
        </w:tc>
      </w:tr>
      <w:tr>
        <w:tc>
          <w:tcPr>
            <w:tcW w:type="dxa" w:w="4680"/>
          </w:tcPr>
          <w:p>
            <w:r/>
            <w:r>
              <w:rPr>
                <w:b w:val="0"/>
                <w:i w:val="0"/>
                <w:sz w:val="19"/>
              </w:rPr>
              <w:t>C-9</w:t>
            </w:r>
          </w:p>
        </w:tc>
        <w:tc>
          <w:tcPr>
            <w:tcW w:type="dxa" w:w="4680"/>
          </w:tcPr>
          <w:p>
            <w:r/>
            <w:r>
              <w:rPr>
                <w:b w:val="0"/>
                <w:i w:val="0"/>
                <w:sz w:val="19"/>
              </w:rPr>
              <w:t>Ban lãnh đạo có thể không đánh giá được mô hình kinh doanh của mình để xác định hiệu quả tổng thể.</w:t>
            </w:r>
          </w:p>
        </w:tc>
      </w:tr>
      <w:tr>
        <w:tc>
          <w:tcPr>
            <w:tcW w:type="dxa" w:w="4680"/>
          </w:tcPr>
          <w:p>
            <w:r/>
            <w:r>
              <w:rPr>
                <w:b w:val="0"/>
                <w:i w:val="0"/>
                <w:sz w:val="19"/>
              </w:rPr>
              <w:t>C-10</w:t>
            </w:r>
          </w:p>
        </w:tc>
        <w:tc>
          <w:tcPr>
            <w:tcW w:type="dxa" w:w="4680"/>
          </w:tcPr>
          <w:p>
            <w:r/>
            <w:r>
              <w:rPr>
                <w:b w:val="0"/>
                <w:i w:val="0"/>
                <w:sz w:val="19"/>
              </w:rPr>
              <w:t>Báo cáo tài chính bị trình bày sai.</w:t>
            </w:r>
          </w:p>
        </w:tc>
      </w:tr>
      <w:tr>
        <w:tc>
          <w:tcPr>
            <w:tcW w:type="dxa" w:w="4680"/>
          </w:tcPr>
          <w:p>
            <w:r/>
            <w:r>
              <w:rPr>
                <w:b w:val="0"/>
                <w:i w:val="0"/>
                <w:sz w:val="19"/>
              </w:rPr>
              <w:t>C-11</w:t>
            </w:r>
          </w:p>
        </w:tc>
        <w:tc>
          <w:tcPr>
            <w:tcW w:type="dxa" w:w="4680"/>
          </w:tcPr>
          <w:p>
            <w:r/>
            <w:r>
              <w:rPr>
                <w:b w:val="0"/>
                <w:i w:val="0"/>
                <w:sz w:val="19"/>
              </w:rPr>
              <w:t>Tính xác thực hoặc tính toàn vẹn của giao dịch có thể không được đảm bảo, làm giảm độ tin cậy của thông tin.</w:t>
            </w:r>
          </w:p>
        </w:tc>
      </w:tr>
    </w:tbl>
    <w:p>
      <w:pPr>
        <w:spacing w:after="0"/>
      </w:pPr>
    </w:p>
    <w:p>
      <w:pPr>
        <w:pStyle w:val="Heading2"/>
      </w:pPr>
      <w:r>
        <w:rPr>
          <w:rFonts w:ascii="Calibri" w:hAnsi="Calibri"/>
          <w:b/>
          <w:i w:val="0"/>
          <w:sz w:val="32"/>
        </w:rPr>
        <w:t>14.4 HỖ TRỢ BÁN HÀNG</w:t>
      </w:r>
    </w:p>
    <w:p>
      <w:pPr>
        <w:pStyle w:val="Heading3"/>
      </w:pPr>
      <w:r>
        <w:rPr>
          <w:rFonts w:ascii="Calibri" w:hAnsi="Calibri"/>
          <w:b/>
          <w:i w:val="0"/>
          <w:sz w:val="26"/>
        </w:rPr>
        <w:t>Giới thiệu</w:t>
      </w:r>
    </w:p>
    <w:p>
      <w:pPr>
        <w:spacing w:after="80"/>
      </w:pPr>
      <w:r>
        <w:rPr>
          <w:b w:val="0"/>
          <w:i w:val="0"/>
        </w:rPr>
        <w:t>Các hướng dẫn về bán hàng cho khách và hoàn tiền phải luôn được tuân thủ và ghi nhận đúng cách để đảm bảo tính minh bạch.</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14.4.1</w:t>
            </w:r>
          </w:p>
        </w:tc>
        <w:tc>
          <w:tcPr>
            <w:tcW w:type="dxa" w:w="4680"/>
          </w:tcPr>
          <w:p>
            <w:r/>
            <w:r>
              <w:rPr>
                <w:b/>
                <w:i w:val="0"/>
                <w:sz w:val="19"/>
              </w:rPr>
              <w:t>Hoàn tiền.</w:t>
            </w:r>
            <w:r>
              <w:rPr>
                <w:b w:val="0"/>
                <w:i w:val="0"/>
                <w:sz w:val="19"/>
              </w:rPr>
              <w:t xml:space="preserve"> Người quản lý nên phê duyệt tất cả các khoản hoàn tiền và phải duy trì hồ sơ đầy đủ về tất cả các khoản hoàn tiền. </w:t>
            </w:r>
            <w:r>
              <w:rPr>
                <w:b/>
                <w:i w:val="0"/>
                <w:sz w:val="19"/>
              </w:rPr>
              <w:t>Tham khảo rủi ro: D-1</w:t>
            </w:r>
          </w:p>
        </w:tc>
      </w:tr>
      <w:tr>
        <w:tc>
          <w:tcPr>
            <w:tcW w:type="dxa" w:w="4680"/>
          </w:tcPr>
          <w:p>
            <w:r/>
            <w:r>
              <w:rPr>
                <w:b w:val="0"/>
                <w:i w:val="0"/>
                <w:sz w:val="19"/>
              </w:rPr>
              <w:t>14.4.2</w:t>
            </w:r>
          </w:p>
        </w:tc>
        <w:tc>
          <w:tcPr>
            <w:tcW w:type="dxa" w:w="4680"/>
          </w:tcPr>
          <w:p>
            <w:r/>
            <w:r>
              <w:rPr>
                <w:b/>
                <w:i w:val="0"/>
                <w:sz w:val="19"/>
              </w:rPr>
              <w:t>Doanh thu hỗ trợ.</w:t>
            </w:r>
            <w:r>
              <w:rPr>
                <w:b w:val="0"/>
                <w:i w:val="0"/>
                <w:sz w:val="19"/>
              </w:rPr>
              <w:t xml:space="preserve"> Doanh thu là một trong những thước đo quan trọng nhất được nhà đầu tư sử dụng để đánh giá hiệu quả hoạt động và triển vọng của một công ty. Tuy nhiên, hướng dẫn ghi nhận doanh thu trước đây có sự khác biệt giữa Nguyên tắc Kế toán được Chấp nhận Chung (GAAP) và Chuẩn mực Báo cáo Tài chính Quốc tế (IFRS). </w:t>
            </w:r>
            <w:r>
              <w:rPr>
                <w:b/>
                <w:i w:val="0"/>
                <w:sz w:val="19"/>
              </w:rPr>
              <w:t>Tham khảo rủi ro: D-2</w:t>
            </w:r>
          </w:p>
        </w:tc>
      </w:tr>
      <w:tr>
        <w:tc>
          <w:tcPr>
            <w:tcW w:type="dxa" w:w="4680"/>
          </w:tcPr>
          <w:p>
            <w:r/>
            <w:r>
              <w:rPr>
                <w:b w:val="0"/>
                <w:i w:val="0"/>
                <w:sz w:val="19"/>
              </w:rPr>
              <w:t>14.4.3</w:t>
            </w:r>
          </w:p>
        </w:tc>
        <w:tc>
          <w:tcPr>
            <w:tcW w:type="dxa" w:w="4680"/>
          </w:tcPr>
          <w:p>
            <w:r/>
            <w:r>
              <w:rPr>
                <w:b/>
                <w:i w:val="0"/>
                <w:sz w:val="19"/>
              </w:rPr>
              <w:t>Xử lý séc.</w:t>
            </w:r>
            <w:r>
              <w:rPr>
                <w:b w:val="0"/>
                <w:i w:val="0"/>
                <w:sz w:val="19"/>
              </w:rPr>
              <w:t xml:space="preserve"> Tất cả các tấm séc cho các giao dịch mua vượt quá một ngưỡng đô-la nhất định nên được phê duyệt thông qua TeleCheck. Sau đó, séc nên được ký hậu với dòng chữ “Deposit Only” (Chỉ để gửi tiền) và số tài khoản của cửa hàng. </w:t>
            </w:r>
            <w:r>
              <w:rPr>
                <w:b/>
                <w:i w:val="0"/>
                <w:sz w:val="19"/>
              </w:rPr>
              <w:t>Tham khảo rủi ro: D-1</w:t>
            </w:r>
          </w:p>
        </w:tc>
      </w:tr>
      <w:tr>
        <w:tc>
          <w:tcPr>
            <w:tcW w:type="dxa" w:w="4680"/>
          </w:tcPr>
          <w:p>
            <w:r/>
            <w:r>
              <w:rPr>
                <w:b w:val="0"/>
                <w:i w:val="0"/>
                <w:sz w:val="19"/>
              </w:rPr>
              <w:t>14.4.4</w:t>
            </w:r>
          </w:p>
        </w:tc>
        <w:tc>
          <w:tcPr>
            <w:tcW w:type="dxa" w:w="4680"/>
          </w:tcPr>
          <w:p>
            <w:r/>
            <w:r>
              <w:rPr>
                <w:b/>
                <w:i w:val="0"/>
                <w:sz w:val="19"/>
              </w:rPr>
              <w:t>Giao dịch thẻ tín dụng.</w:t>
            </w:r>
            <w:r>
              <w:rPr>
                <w:b w:val="0"/>
                <w:i w:val="0"/>
                <w:sz w:val="19"/>
              </w:rPr>
              <w:t xml:space="preserve"> Giao dịch thẻ tín dụng cần được đối chiếu hàng ngày với hệ thống POS (point of sale - điểm bán hàng). Tất cả giao dịch thẻ tín dụng phải được xác minh trước khi xử lý và được cất giữ trong két an toàn sau giờ mở cửa. Chữ ký của khách hàng cho các giao dịch mua bằng thẻ tín dụng cần được đối chiếu với chữ ký ở mặt sau thẻ. </w:t>
            </w:r>
            <w:r>
              <w:rPr>
                <w:b/>
                <w:i w:val="0"/>
                <w:sz w:val="19"/>
              </w:rPr>
              <w:t>Tham khảo các rủi ro: D-1, D-3</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D-1</w:t>
            </w:r>
          </w:p>
        </w:tc>
        <w:tc>
          <w:tcPr>
            <w:tcW w:type="dxa" w:w="4680"/>
          </w:tcPr>
          <w:p>
            <w:r/>
            <w:r>
              <w:rPr>
                <w:b w:val="0"/>
                <w:i w:val="0"/>
                <w:sz w:val="19"/>
              </w:rPr>
              <w:t>Mất doanh thu do chấp nhận séc không đủ tiền, xử lý giao dịch thẻ tín dụng không đúng cách, xử lý sai các giao dịch bán hàng bằng tiền mặt, hoặc hoàn tiền trái phép.</w:t>
            </w:r>
          </w:p>
        </w:tc>
      </w:tr>
      <w:tr>
        <w:tc>
          <w:tcPr>
            <w:tcW w:type="dxa" w:w="4680"/>
          </w:tcPr>
          <w:p>
            <w:r/>
            <w:r>
              <w:rPr>
                <w:b w:val="0"/>
                <w:i w:val="0"/>
                <w:sz w:val="19"/>
              </w:rPr>
              <w:t>D-2</w:t>
            </w:r>
          </w:p>
        </w:tc>
        <w:tc>
          <w:tcPr>
            <w:tcW w:type="dxa" w:w="4680"/>
          </w:tcPr>
          <w:p>
            <w:r/>
            <w:r>
              <w:rPr>
                <w:b w:val="0"/>
                <w:i w:val="0"/>
                <w:sz w:val="19"/>
              </w:rPr>
              <w:t>Báo cáo tài chính bị trình bày sai.</w:t>
            </w:r>
          </w:p>
        </w:tc>
      </w:tr>
      <w:tr>
        <w:tc>
          <w:tcPr>
            <w:tcW w:type="dxa" w:w="4680"/>
          </w:tcPr>
          <w:p>
            <w:r/>
            <w:r>
              <w:rPr>
                <w:b w:val="0"/>
                <w:i w:val="0"/>
                <w:sz w:val="19"/>
              </w:rPr>
              <w:t>D-3</w:t>
            </w:r>
          </w:p>
        </w:tc>
        <w:tc>
          <w:tcPr>
            <w:tcW w:type="dxa" w:w="4680"/>
          </w:tcPr>
          <w:p>
            <w:r/>
            <w:r>
              <w:rPr>
                <w:b w:val="0"/>
                <w:i w:val="0"/>
                <w:sz w:val="19"/>
              </w:rPr>
              <w:t>Thông tin thẻ tín dụng của khách hàng có thể không được bảo vệ đúng cách.</w:t>
            </w:r>
          </w:p>
        </w:tc>
      </w:tr>
    </w:tbl>
    <w:p>
      <w:pPr>
        <w:spacing w:after="0"/>
      </w:pPr>
    </w:p>
    <w:p>
      <w:pPr>
        <w:pStyle w:val="Heading1"/>
      </w:pPr>
      <w:r>
        <w:rPr>
          <w:rFonts w:ascii="Calibri" w:hAnsi="Calibri"/>
          <w:b/>
          <w:i w:val="0"/>
          <w:sz w:val="40"/>
        </w:rPr>
        <w:t xml:space="preserve">CHƯƠNG 15 </w:t>
      </w:r>
      <w:r>
        <w:br/>
      </w:r>
      <w:r>
        <w:rPr>
          <w:rFonts w:ascii="Calibri" w:hAnsi="Calibri"/>
          <w:b/>
          <w:i w:val="0"/>
          <w:sz w:val="40"/>
        </w:rPr>
        <w:t xml:space="preserve"> Dịch vụ Chuyên nghiệp (PS)</w:t>
      </w:r>
    </w:p>
    <w:p>
      <w:pPr>
        <w:pStyle w:val="Heading2"/>
      </w:pPr>
      <w:r>
        <w:rPr>
          <w:rFonts w:ascii="Calibri" w:hAnsi="Calibri"/>
          <w:b/>
          <w:i w:val="0"/>
          <w:sz w:val="32"/>
        </w:rPr>
        <w:t>GIỚI THIỆU</w:t>
      </w:r>
    </w:p>
    <w:p>
      <w:pPr>
        <w:spacing w:after="80"/>
      </w:pPr>
      <w:r>
        <w:rPr>
          <w:b w:val="0"/>
          <w:i w:val="0"/>
        </w:rPr>
        <w:t>Các dịch vụ chuyên nghiệp (PS) có mặt trong nhiều ngành khác nhau. Những dịch vụ này bao gồm luật sư, chuyên gia quảng cáo, kiến trúc sư, kế toán, cố vấn tài chính, kỹ sư và chuyên gia tư vấn. Như một biện pháp kiểm soát cơ bản, mọi cơ hội kinh doanh PS đều phải được lập kế hoạch và triển khai tuân thủ các chính sách của công ty. Các chính sách và tiêu chuẩn PS không được phép ghi đè lên chính sách của công ty.</w:t>
      </w:r>
    </w:p>
    <w:p>
      <w:pPr>
        <w:spacing w:after="80"/>
      </w:pPr>
      <w:r>
        <w:rPr>
          <w:b w:val="0"/>
          <w:i w:val="0"/>
        </w:rPr>
        <w:t>Phần này tập trung vào các tiểu quy trình hỗ trợ việc cung cấp dịch vụ tùy chỉnh, dựa trên tri thức cho khách hàng trong ngành công nghệ.</w:t>
      </w:r>
    </w:p>
    <w:p>
      <w:pPr>
        <w:pStyle w:val="Heading2"/>
      </w:pPr>
      <w:r>
        <w:rPr>
          <w:rFonts w:ascii="Calibri" w:hAnsi="Calibri"/>
          <w:b/>
          <w:i w:val="0"/>
          <w:sz w:val="32"/>
        </w:rPr>
        <w:t>TỔNG QUAN QUY TRÌNH</w:t>
      </w:r>
    </w:p>
    <w:p>
      <w:pPr>
        <w:spacing w:after="80"/>
      </w:pPr>
      <w:r>
        <w:rPr>
          <w:b w:val="0"/>
          <w:i w:val="0"/>
        </w:rPr>
        <w:t>Sơ đồ dưới đây cho thấy các yếu tố nền tảng hỗ trợ các quy trình dịch vụ chuyên nghiệp là Kiểm soát Nội bộ và Tuân thủ, Kiểm soát Dịch vụ Chuyên nghiệp, và Quy tắc Ứng xử cùng "Tone at the Top" (Tấm gương từ cấp lãnh đạo).</w:t>
      </w:r>
    </w:p>
    <w:p>
      <w:pPr>
        <w:jc w:val="center"/>
      </w:pPr>
      <w:r>
        <w:drawing>
          <wp:inline xmlns:a="http://schemas.openxmlformats.org/drawingml/2006/main" xmlns:pic="http://schemas.openxmlformats.org/drawingml/2006/picture">
            <wp:extent cx="5486400" cy="2400958"/>
            <wp:docPr id="17" name="Picture 17"/>
            <wp:cNvGraphicFramePr>
              <a:graphicFrameLocks noChangeAspect="1"/>
            </wp:cNvGraphicFramePr>
            <a:graphic>
              <a:graphicData uri="http://schemas.openxmlformats.org/drawingml/2006/picture">
                <pic:pic>
                  <pic:nvPicPr>
                    <pic:cNvPr id="0" name="Image00018.jpg"/>
                    <pic:cNvPicPr/>
                  </pic:nvPicPr>
                  <pic:blipFill>
                    <a:blip r:embed="rId25"/>
                    <a:stretch>
                      <a:fillRect/>
                    </a:stretch>
                  </pic:blipFill>
                  <pic:spPr>
                    <a:xfrm>
                      <a:off x="0" y="0"/>
                      <a:ext cx="5486400" cy="2400958"/>
                    </a:xfrm>
                    <a:prstGeom prst="rect"/>
                  </pic:spPr>
                </pic:pic>
              </a:graphicData>
            </a:graphic>
          </wp:inline>
        </w:drawing>
      </w:r>
    </w:p>
    <w:p>
      <w:pPr>
        <w:pStyle w:val="Heading2"/>
      </w:pPr>
      <w:r>
        <w:rPr>
          <w:rFonts w:ascii="Calibri" w:hAnsi="Calibri"/>
          <w:b/>
          <w:i w:val="0"/>
          <w:sz w:val="32"/>
        </w:rPr>
        <w:t>CÁC CHỈ SỐ ĐO LƯỜNG</w:t>
      </w:r>
    </w:p>
    <w:tbl>
      <w:tblPr>
        <w:tblStyle w:val="TableGrid"/>
        <w:tblW w:type="auto" w:w="0"/>
        <w:tblLook w:firstColumn="1" w:firstRow="1" w:lastColumn="0" w:lastRow="0" w:noHBand="0" w:noVBand="1" w:val="04A0"/>
      </w:tblPr>
      <w:tblGrid>
        <w:gridCol w:w="9360"/>
      </w:tblGrid>
      <w:tr>
        <w:tc>
          <w:tcPr>
            <w:tcW w:type="dxa" w:w="9360"/>
          </w:tcPr>
          <w:p>
            <w:r/>
            <w:r>
              <w:rPr>
                <w:b/>
                <w:i w:val="0"/>
                <w:sz w:val="19"/>
              </w:rPr>
              <w:t>Bảng Chỉ số Đo lường</w:t>
            </w:r>
          </w:p>
        </w:tc>
      </w:tr>
      <w:tr>
        <w:tc>
          <w:tcPr>
            <w:tcW w:type="dxa" w:w="9360"/>
          </w:tcPr>
          <w:p>
            <w:r/>
            <w:r>
              <w:rPr>
                <w:b w:val="0"/>
                <w:i w:val="0"/>
                <w:sz w:val="19"/>
              </w:rPr>
              <w:t xml:space="preserve">•  </w:t>
            </w:r>
            <w:r>
              <w:rPr>
                <w:b/>
                <w:i w:val="0"/>
                <w:sz w:val="19"/>
              </w:rPr>
              <w:t>Số lượng hồ sơ dự thầu PS phát hành mỗi năm</w:t>
            </w:r>
            <w:r>
              <w:rPr>
                <w:b w:val="0"/>
                <w:i w:val="0"/>
                <w:sz w:val="19"/>
              </w:rPr>
              <w:t xml:space="preserve"> — Cho biết số lượng hồ sơ dự thầu được phát hành hoặc phản hồi mỗi năm.</w:t>
            </w:r>
            <w:r>
              <w:br/>
            </w:r>
            <w:r>
              <w:rPr>
                <w:b w:val="0"/>
                <w:i w:val="0"/>
                <w:sz w:val="19"/>
              </w:rPr>
              <w:t xml:space="preserve">•  </w:t>
            </w:r>
            <w:r>
              <w:rPr>
                <w:b/>
                <w:i w:val="0"/>
                <w:sz w:val="19"/>
              </w:rPr>
              <w:t>Số lượng hợp đồng PS khởi tạo hằng năm</w:t>
            </w:r>
            <w:r>
              <w:rPr>
                <w:b w:val="0"/>
                <w:i w:val="0"/>
                <w:sz w:val="19"/>
              </w:rPr>
              <w:t xml:space="preserve"> — Cho biết số lượng hợp đồng hoặc hồ sơ dự thầu thắng được tính theo năm.</w:t>
            </w:r>
            <w:r>
              <w:br/>
            </w:r>
            <w:r>
              <w:rPr>
                <w:b w:val="0"/>
                <w:i w:val="0"/>
                <w:sz w:val="19"/>
              </w:rPr>
              <w:t xml:space="preserve">•  </w:t>
            </w:r>
            <w:r>
              <w:rPr>
                <w:b/>
                <w:i w:val="0"/>
                <w:sz w:val="19"/>
              </w:rPr>
              <w:t>Số lượng hồ sơ dự thầu PS bị mất mỗi năm</w:t>
            </w:r>
            <w:r>
              <w:rPr>
                <w:b w:val="0"/>
                <w:i w:val="0"/>
                <w:sz w:val="19"/>
              </w:rPr>
              <w:t xml:space="preserve"> — Cho biết số lượng hồ sơ dự thầu bị mất tính theo năm.</w:t>
            </w:r>
            <w:r>
              <w:br/>
            </w:r>
            <w:r>
              <w:rPr>
                <w:b w:val="0"/>
                <w:i w:val="0"/>
                <w:sz w:val="19"/>
              </w:rPr>
              <w:t xml:space="preserve">•  </w:t>
            </w:r>
            <w:r>
              <w:rPr>
                <w:b/>
                <w:i w:val="0"/>
                <w:sz w:val="19"/>
              </w:rPr>
              <w:t>Số lượng nhân viên mỗi dự án</w:t>
            </w:r>
            <w:r>
              <w:rPr>
                <w:b w:val="0"/>
                <w:i w:val="0"/>
                <w:sz w:val="19"/>
              </w:rPr>
              <w:t xml:space="preserve"> — Xác định số lượng nhân viên trung bình được phân công cho một dự án.</w:t>
            </w:r>
            <w:r>
              <w:br/>
            </w:r>
            <w:r>
              <w:rPr>
                <w:b w:val="0"/>
                <w:i w:val="0"/>
                <w:sz w:val="19"/>
              </w:rPr>
              <w:t xml:space="preserve">•  </w:t>
            </w:r>
            <w:r>
              <w:rPr>
                <w:b/>
                <w:i w:val="0"/>
                <w:sz w:val="19"/>
              </w:rPr>
              <w:t>Tỷ lệ nghỉ việc/giữ chân nhân viên</w:t>
            </w:r>
            <w:r>
              <w:rPr>
                <w:b w:val="0"/>
                <w:i w:val="0"/>
                <w:sz w:val="19"/>
              </w:rPr>
              <w:t xml:space="preserve"> — Thể hiện xu hướng nghỉ việc và giữ chân nhân viên PS.</w:t>
            </w:r>
            <w:r>
              <w:br/>
            </w:r>
            <w:r>
              <w:rPr>
                <w:b w:val="0"/>
                <w:i w:val="0"/>
                <w:sz w:val="19"/>
              </w:rPr>
              <w:t xml:space="preserve">•  </w:t>
            </w:r>
            <w:r>
              <w:rPr>
                <w:b/>
                <w:i w:val="0"/>
                <w:sz w:val="19"/>
              </w:rPr>
              <w:t>Điểm đánh giá mức độ hài lòng của khách hàng</w:t>
            </w:r>
            <w:r>
              <w:rPr>
                <w:b w:val="0"/>
                <w:i w:val="0"/>
                <w:sz w:val="19"/>
              </w:rPr>
              <w:t xml:space="preserve"> — Xác định mức độ hài lòng của khách hàng.</w:t>
            </w:r>
            <w:r>
              <w:br/>
            </w:r>
            <w:r>
              <w:rPr>
                <w:b w:val="0"/>
                <w:i w:val="0"/>
                <w:sz w:val="19"/>
              </w:rPr>
              <w:t xml:space="preserve">•  </w:t>
            </w:r>
            <w:r>
              <w:rPr>
                <w:b/>
                <w:i w:val="0"/>
                <w:sz w:val="19"/>
              </w:rPr>
              <w:t>Điểm đánh giá mức độ hài lòng của nhân viên</w:t>
            </w:r>
            <w:r>
              <w:rPr>
                <w:b w:val="0"/>
                <w:i w:val="0"/>
                <w:sz w:val="19"/>
              </w:rPr>
              <w:t xml:space="preserve"> — Phản ánh mức độ hài lòng của nhân viên và có thể là yếu tố thúc đẩy tỷ lệ nghỉ việc và giữ chân nhân viên.</w:t>
            </w:r>
            <w:r>
              <w:br/>
            </w:r>
            <w:r>
              <w:rPr>
                <w:b w:val="0"/>
                <w:i w:val="0"/>
                <w:sz w:val="19"/>
              </w:rPr>
              <w:t xml:space="preserve">•  </w:t>
            </w:r>
            <w:r>
              <w:rPr>
                <w:b/>
                <w:i w:val="0"/>
                <w:sz w:val="19"/>
              </w:rPr>
              <w:t>Doanh thu hằng năm trên mỗi tư vấn viên có thể tính phí</w:t>
            </w:r>
            <w:r>
              <w:rPr>
                <w:b w:val="0"/>
                <w:i w:val="0"/>
                <w:sz w:val="19"/>
              </w:rPr>
              <w:t xml:space="preserve"> — Cho biết doanh thu hằng năm mà một tư vấn viên có thể tính phí tạo ra.</w:t>
            </w:r>
            <w:r>
              <w:br/>
            </w:r>
            <w:r>
              <w:rPr>
                <w:b w:val="0"/>
                <w:i w:val="0"/>
                <w:sz w:val="19"/>
              </w:rPr>
              <w:t xml:space="preserve">•  </w:t>
            </w:r>
            <w:r>
              <w:rPr>
                <w:b/>
                <w:i w:val="0"/>
                <w:sz w:val="19"/>
              </w:rPr>
              <w:t>Doanh thu hằng năm trên mỗi nhân viên PS</w:t>
            </w:r>
            <w:r>
              <w:rPr>
                <w:b w:val="0"/>
                <w:i w:val="0"/>
                <w:sz w:val="19"/>
              </w:rPr>
              <w:t xml:space="preserve"> — Theo dõi doanh thu của nhân viên PS.</w:t>
            </w:r>
            <w:r>
              <w:br/>
            </w:r>
            <w:r>
              <w:rPr>
                <w:b w:val="0"/>
                <w:i w:val="0"/>
                <w:sz w:val="19"/>
              </w:rPr>
              <w:t xml:space="preserve">•  </w:t>
            </w:r>
            <w:r>
              <w:rPr>
                <w:b/>
                <w:i w:val="0"/>
                <w:sz w:val="19"/>
              </w:rPr>
              <w:t>Xu hướng doanh thu so với cùng kỳ năm trước</w:t>
            </w:r>
            <w:r>
              <w:rPr>
                <w:b w:val="0"/>
                <w:i w:val="0"/>
                <w:sz w:val="19"/>
              </w:rPr>
              <w:t xml:space="preserve"> — Chỉ số này phản ánh hiệu quả bán hàng và nhu cầu về các kỹ năng mà công ty cung cấp tính theo năm.</w:t>
            </w:r>
            <w:r>
              <w:br/>
            </w:r>
            <w:r>
              <w:rPr>
                <w:b w:val="0"/>
                <w:i w:val="0"/>
                <w:sz w:val="19"/>
              </w:rPr>
              <w:t xml:space="preserve">•  </w:t>
            </w:r>
            <w:r>
              <w:rPr>
                <w:b/>
                <w:i w:val="0"/>
                <w:sz w:val="19"/>
              </w:rPr>
              <w:t>Tỷ lệ sử dụng có thể tính phí</w:t>
            </w:r>
            <w:r>
              <w:rPr>
                <w:b w:val="0"/>
                <w:i w:val="0"/>
                <w:sz w:val="19"/>
              </w:rPr>
              <w:t xml:space="preserve"> — Tỷ lệ sử dụng có thể tính phí là chỉ số quan trọng về cơ hội và cân bằng khối lượng công việc, đồng thời là chỉ số để xác định việc mở rộng lực lượng lao động.</w:t>
            </w:r>
            <w:r>
              <w:br/>
            </w:r>
            <w:r>
              <w:rPr>
                <w:b w:val="0"/>
                <w:i w:val="0"/>
                <w:sz w:val="19"/>
              </w:rPr>
              <w:t xml:space="preserve">•  </w:t>
            </w:r>
            <w:r>
              <w:rPr>
                <w:b/>
                <w:i w:val="0"/>
                <w:sz w:val="19"/>
              </w:rPr>
              <w:t>Số lượng dự án vượt tiến độ</w:t>
            </w:r>
            <w:r>
              <w:rPr>
                <w:b w:val="0"/>
                <w:i w:val="0"/>
                <w:sz w:val="19"/>
              </w:rPr>
              <w:t xml:space="preserve"> — Thể hiện số lượng dự án được bàn giao vượt tiến độ đã cam kết.</w:t>
            </w:r>
            <w:r>
              <w:br/>
            </w:r>
            <w:r>
              <w:rPr>
                <w:b w:val="0"/>
                <w:i w:val="0"/>
                <w:sz w:val="19"/>
              </w:rPr>
              <w:t xml:space="preserve">•  </w:t>
            </w:r>
            <w:r>
              <w:rPr>
                <w:b/>
                <w:i w:val="0"/>
                <w:sz w:val="19"/>
              </w:rPr>
              <w:t>Số lượng dự án bị dừng</w:t>
            </w:r>
            <w:r>
              <w:rPr>
                <w:b w:val="0"/>
                <w:i w:val="0"/>
                <w:sz w:val="19"/>
              </w:rPr>
              <w:t xml:space="preserve"> — Theo dõi số lượng dự án bị dừng trong một kỳ tài chính xác định.</w:t>
            </w:r>
            <w:r>
              <w:br/>
            </w:r>
            <w:r>
              <w:rPr>
                <w:b w:val="0"/>
                <w:i w:val="0"/>
                <w:sz w:val="19"/>
              </w:rPr>
              <w:t xml:space="preserve">•  </w:t>
            </w:r>
            <w:r>
              <w:rPr>
                <w:b/>
                <w:i w:val="0"/>
                <w:sz w:val="19"/>
              </w:rPr>
              <w:t>Giá trị các dự án bị dừng</w:t>
            </w:r>
            <w:r>
              <w:rPr>
                <w:b w:val="0"/>
                <w:i w:val="0"/>
                <w:sz w:val="19"/>
              </w:rPr>
              <w:t xml:space="preserve"> — Theo dõi giá trị các dự án bị dừng trong một kỳ tài chính xác định.</w:t>
            </w:r>
            <w:r>
              <w:br/>
            </w:r>
            <w:r>
              <w:rPr>
                <w:b w:val="0"/>
                <w:i w:val="0"/>
                <w:sz w:val="19"/>
              </w:rPr>
              <w:t xml:space="preserve">•  </w:t>
            </w:r>
            <w:r>
              <w:rPr>
                <w:b/>
                <w:i w:val="0"/>
                <w:sz w:val="19"/>
              </w:rPr>
              <w:t>Giá trị vượt chi của dự án</w:t>
            </w:r>
            <w:r>
              <w:rPr>
                <w:b w:val="0"/>
                <w:i w:val="0"/>
                <w:sz w:val="19"/>
              </w:rPr>
              <w:t xml:space="preserve"> — Xác định tổng giá trị vượt chi của dự án.</w:t>
            </w:r>
            <w:r>
              <w:br/>
            </w:r>
            <w:r>
              <w:rPr>
                <w:b w:val="0"/>
                <w:i w:val="0"/>
                <w:sz w:val="19"/>
              </w:rPr>
              <w:t xml:space="preserve">•  </w:t>
            </w:r>
            <w:r>
              <w:rPr>
                <w:b/>
                <w:i w:val="0"/>
                <w:sz w:val="19"/>
              </w:rPr>
              <w:t>Biên lợi nhuận mỗi dự án</w:t>
            </w:r>
            <w:r>
              <w:rPr>
                <w:b w:val="0"/>
                <w:i w:val="0"/>
                <w:sz w:val="19"/>
              </w:rPr>
              <w:t xml:space="preserve"> — Thể hiện biên lợi nhuận mỗi dự án.</w:t>
            </w:r>
            <w:r>
              <w:br/>
            </w:r>
            <w:r>
              <w:rPr>
                <w:b w:val="0"/>
                <w:i w:val="0"/>
                <w:sz w:val="19"/>
              </w:rPr>
              <w:t xml:space="preserve">•  </w:t>
            </w:r>
            <w:r>
              <w:rPr>
                <w:b/>
                <w:i w:val="0"/>
                <w:sz w:val="19"/>
              </w:rPr>
              <w:t>Lỗ lợi nhuận mỗi dự án</w:t>
            </w:r>
            <w:r>
              <w:rPr>
                <w:b w:val="0"/>
                <w:i w:val="0"/>
                <w:sz w:val="19"/>
              </w:rPr>
              <w:t xml:space="preserve"> — Cho biết lỗ lợi nhuận mỗi dự án.</w:t>
            </w:r>
          </w:p>
        </w:tc>
      </w:tr>
    </w:tbl>
    <w:p>
      <w:pPr>
        <w:spacing w:after="0"/>
      </w:pPr>
    </w:p>
    <w:p>
      <w:pPr>
        <w:pStyle w:val="Heading2"/>
      </w:pPr>
      <w:r>
        <w:rPr>
          <w:rFonts w:ascii="Calibri" w:hAnsi="Calibri"/>
          <w:b/>
          <w:i w:val="0"/>
          <w:sz w:val="32"/>
        </w:rPr>
        <w:t>ÁP DỤNG KIỂM SOÁT NỘI BỘ</w:t>
      </w:r>
    </w:p>
    <w:p>
      <w:pPr>
        <w:spacing w:after="80"/>
      </w:pPr>
      <w:r>
        <w:rPr>
          <w:b w:val="0"/>
          <w:i w:val="0"/>
        </w:rPr>
        <w:t>Trong việc lựa chọn các thủ tục và kỹ thuật kiểm soát của ban quản lý, mức độ kiểm soát được triển khai là vấn đề phán đoán kinh doanh hợp lý. Nguyên tắc chung cần được sử dụng để xác định mức độ triển khai kiểm soát nội bộ là chi phí của một biện pháp kiểm soát không được vượt quá lợi ích thu được. Có một bộ kiểm soát tối thiểu cần tồn tại trong môi trường kinh doanh thông thường. Các tiêu chuẩn kiểm soát nội bộ được liệt kê ở đây đại diện cho các kiểm soát tối thiểu cần được triển khai trong quy trình PS.</w:t>
      </w:r>
    </w:p>
    <w:p>
      <w:pPr>
        <w:pStyle w:val="Heading2"/>
      </w:pPr>
      <w:r>
        <w:rPr>
          <w:rFonts w:ascii="Calibri" w:hAnsi="Calibri"/>
          <w:b/>
          <w:i w:val="0"/>
          <w:sz w:val="32"/>
        </w:rPr>
        <w:t>CÁC QUY TRÌNH CON</w:t>
      </w:r>
    </w:p>
    <w:p>
      <w:pPr>
        <w:spacing w:after="80"/>
      </w:pPr>
      <w:r>
        <w:rPr>
          <w:b w:val="0"/>
          <w:i w:val="0"/>
        </w:rPr>
        <w:t>Các quy trình con cụ thể được bao gồm trong quy trình dịch vụ chuyên nghiệp là:</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15.1</w:t>
            </w:r>
          </w:p>
        </w:tc>
        <w:tc>
          <w:tcPr>
            <w:tcW w:type="dxa" w:w="4680"/>
          </w:tcPr>
          <w:p>
            <w:r/>
            <w:r>
              <w:rPr>
                <w:b w:val="0"/>
                <w:i w:val="0"/>
                <w:sz w:val="19"/>
              </w:rPr>
              <w:t>Kiểm soát chung</w:t>
            </w:r>
          </w:p>
        </w:tc>
      </w:tr>
      <w:tr>
        <w:tc>
          <w:tcPr>
            <w:tcW w:type="dxa" w:w="4680"/>
          </w:tcPr>
          <w:p>
            <w:r/>
            <w:r>
              <w:rPr>
                <w:b w:val="0"/>
                <w:i w:val="0"/>
                <w:sz w:val="19"/>
              </w:rPr>
              <w:t>15.2</w:t>
            </w:r>
          </w:p>
        </w:tc>
        <w:tc>
          <w:tcPr>
            <w:tcW w:type="dxa" w:w="4680"/>
          </w:tcPr>
          <w:p>
            <w:r/>
            <w:r>
              <w:rPr>
                <w:b w:val="0"/>
                <w:i w:val="0"/>
                <w:sz w:val="19"/>
              </w:rPr>
              <w:t>Quy trình cơ hội - dự thầu</w:t>
            </w:r>
          </w:p>
        </w:tc>
      </w:tr>
      <w:tr>
        <w:tc>
          <w:tcPr>
            <w:tcW w:type="dxa" w:w="4680"/>
          </w:tcPr>
          <w:p>
            <w:r/>
            <w:r>
              <w:rPr>
                <w:b w:val="0"/>
                <w:i w:val="0"/>
                <w:sz w:val="19"/>
              </w:rPr>
              <w:t>15.3</w:t>
            </w:r>
          </w:p>
        </w:tc>
        <w:tc>
          <w:tcPr>
            <w:tcW w:type="dxa" w:w="4680"/>
          </w:tcPr>
          <w:p>
            <w:r/>
            <w:r>
              <w:rPr>
                <w:b w:val="0"/>
                <w:i w:val="0"/>
                <w:sz w:val="19"/>
              </w:rPr>
              <w:t>Quản lý chương trình</w:t>
            </w:r>
          </w:p>
        </w:tc>
      </w:tr>
      <w:tr>
        <w:tc>
          <w:tcPr>
            <w:tcW w:type="dxa" w:w="4680"/>
          </w:tcPr>
          <w:p>
            <w:r/>
            <w:r>
              <w:rPr>
                <w:b w:val="0"/>
                <w:i w:val="0"/>
                <w:sz w:val="19"/>
              </w:rPr>
              <w:t>15.4</w:t>
            </w:r>
          </w:p>
        </w:tc>
        <w:tc>
          <w:tcPr>
            <w:tcW w:type="dxa" w:w="4680"/>
          </w:tcPr>
          <w:p>
            <w:r/>
            <w:r>
              <w:rPr>
                <w:b w:val="0"/>
                <w:i w:val="0"/>
                <w:sz w:val="19"/>
              </w:rPr>
              <w:t>Quản lý đơn hàng khách hàng</w:t>
            </w:r>
          </w:p>
        </w:tc>
      </w:tr>
    </w:tbl>
    <w:p>
      <w:pPr>
        <w:spacing w:after="0"/>
      </w:pPr>
    </w:p>
    <w:p>
      <w:pPr>
        <w:pStyle w:val="Heading2"/>
      </w:pPr>
      <w:r>
        <w:rPr>
          <w:rFonts w:ascii="Calibri" w:hAnsi="Calibri"/>
          <w:b/>
          <w:i w:val="0"/>
          <w:sz w:val="32"/>
        </w:rPr>
        <w:t>15.1 KIỂM SOÁT CHUNG</w:t>
      </w:r>
    </w:p>
    <w:p>
      <w:pPr>
        <w:pStyle w:val="Heading3"/>
      </w:pPr>
      <w:r>
        <w:rPr>
          <w:rFonts w:ascii="Calibri" w:hAnsi="Calibri"/>
          <w:b/>
          <w:i w:val="0"/>
          <w:sz w:val="26"/>
        </w:rPr>
        <w:t>Giới thiệu</w:t>
      </w:r>
    </w:p>
    <w:p>
      <w:pPr>
        <w:spacing w:after="80"/>
      </w:pPr>
      <w:r>
        <w:rPr>
          <w:b w:val="0"/>
          <w:i w:val="0"/>
        </w:rPr>
        <w:t>Các chính sách và thủ tục sẽ được xây dựng để hỗ trợ hoạt động kinh doanh PS của công ty với quy trình đào tạo, kiểm soát nội bộ và quản lý rủi ro phù hợp. Cần triển khai các thủ tục đầy đủ để giám sát và ghi nhận một cách hiệu quả việc hoàn thành các yêu cầu đào tạo.</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15.1.1</w:t>
            </w:r>
          </w:p>
        </w:tc>
        <w:tc>
          <w:tcPr>
            <w:tcW w:type="dxa" w:w="4680"/>
          </w:tcPr>
          <w:p>
            <w:r/>
            <w:r>
              <w:rPr>
                <w:b/>
                <w:i w:val="0"/>
                <w:sz w:val="19"/>
              </w:rPr>
              <w:t>Chính sách và Quy trình.</w:t>
            </w:r>
            <w:r>
              <w:rPr>
                <w:b w:val="0"/>
                <w:i w:val="0"/>
                <w:sz w:val="19"/>
              </w:rPr>
              <w:t xml:space="preserve"> Việc miễn tuân thủ một chính sách hoặc tiêu chuẩn PS chỉ có thể được chấp thuận thông qua yêu cầu miễn trừ. Cần có các quy trình để đảm bảo rằng ngân sách được xây dựng và phê duyệt nhằm hỗ trợ kế hoạch kinh doanh PS trong toàn công ty. </w:t>
            </w:r>
            <w:r>
              <w:rPr>
                <w:b/>
                <w:i w:val="0"/>
                <w:sz w:val="19"/>
              </w:rPr>
              <w:t>Tham chiếu rủi ro: A-1, A-2, A-3</w:t>
            </w:r>
          </w:p>
        </w:tc>
      </w:tr>
      <w:tr>
        <w:tc>
          <w:tcPr>
            <w:tcW w:type="dxa" w:w="4680"/>
          </w:tcPr>
          <w:p>
            <w:r/>
            <w:r>
              <w:rPr>
                <w:b w:val="0"/>
                <w:i w:val="0"/>
                <w:sz w:val="19"/>
              </w:rPr>
              <w:t>15.1.2</w:t>
            </w:r>
          </w:p>
        </w:tc>
        <w:tc>
          <w:tcPr>
            <w:tcW w:type="dxa" w:w="4680"/>
          </w:tcPr>
          <w:p>
            <w:r/>
            <w:r>
              <w:rPr>
                <w:b/>
                <w:i w:val="0"/>
                <w:sz w:val="19"/>
              </w:rPr>
              <w:t>Quyền Truy cập Thông tin PS.</w:t>
            </w:r>
            <w:r>
              <w:rPr>
                <w:b w:val="0"/>
                <w:i w:val="0"/>
                <w:sz w:val="19"/>
              </w:rPr>
              <w:t xml:space="preserve"> Tất cả thông tin PS chính thức trên toàn cầu bao gồm chính sách, hướng dẫn và tiêu chuẩn nên được lưu trữ trong một kho duy nhất và thông tin đó phải được cung cấp cho tất cả nhân viên. </w:t>
            </w:r>
            <w:r>
              <w:rPr>
                <w:b/>
                <w:i w:val="0"/>
                <w:sz w:val="19"/>
              </w:rPr>
              <w:t>Tham chiếu rủi ro: A-1, A-2, A-3</w:t>
            </w:r>
          </w:p>
        </w:tc>
      </w:tr>
      <w:tr>
        <w:tc>
          <w:tcPr>
            <w:tcW w:type="dxa" w:w="4680"/>
          </w:tcPr>
          <w:p>
            <w:r/>
            <w:r>
              <w:rPr>
                <w:b w:val="0"/>
                <w:i w:val="0"/>
                <w:sz w:val="19"/>
              </w:rPr>
              <w:t>15.1.3</w:t>
            </w:r>
          </w:p>
        </w:tc>
        <w:tc>
          <w:tcPr>
            <w:tcW w:type="dxa" w:w="4680"/>
          </w:tcPr>
          <w:p>
            <w:r/>
            <w:r>
              <w:rPr>
                <w:b/>
                <w:i w:val="0"/>
                <w:sz w:val="19"/>
              </w:rPr>
              <w:t>Đào tạo Nhân viên.</w:t>
            </w:r>
            <w:r>
              <w:rPr>
                <w:b w:val="0"/>
                <w:i w:val="0"/>
                <w:sz w:val="19"/>
              </w:rPr>
              <w:t xml:space="preserve"> Mỗi đơn vị kinh doanh PS phải xây dựng, ghi chép và giám sát các yêu cầu đào tạo, bao gồm cả tần suất, cho nhân sự PS. Ban quản lý đơn vị kinh doanh phải đảm bảo tất cả nhân sự PS được đào tạo đầy đủ và khuyến khích, đo lường việc tham gia của nhân sự vào các chương trình chứng nhận chuyên môn. </w:t>
            </w:r>
            <w:r>
              <w:rPr>
                <w:b/>
                <w:i w:val="0"/>
                <w:sz w:val="19"/>
              </w:rPr>
              <w:t>Tham chiếu rủi ro: A-2, A-4, A-5, A-6</w:t>
            </w:r>
          </w:p>
        </w:tc>
      </w:tr>
      <w:tr>
        <w:tc>
          <w:tcPr>
            <w:tcW w:type="dxa" w:w="4680"/>
          </w:tcPr>
          <w:p>
            <w:r/>
            <w:r>
              <w:rPr>
                <w:b w:val="0"/>
                <w:i w:val="0"/>
                <w:sz w:val="19"/>
              </w:rPr>
              <w:t>15.1.4</w:t>
            </w:r>
          </w:p>
        </w:tc>
        <w:tc>
          <w:tcPr>
            <w:tcW w:type="dxa" w:w="4680"/>
          </w:tcPr>
          <w:p>
            <w:r/>
            <w:r>
              <w:rPr>
                <w:b/>
                <w:i w:val="0"/>
                <w:sz w:val="19"/>
              </w:rPr>
              <w:t>Phản hồi của Khách hàng.</w:t>
            </w:r>
            <w:r>
              <w:rPr>
                <w:b w:val="0"/>
                <w:i w:val="0"/>
                <w:sz w:val="19"/>
              </w:rPr>
              <w:t xml:space="preserve"> Nên triển khai một chương trình phản hồi khách hàng trên toàn cầu để đo lường hiệu suất. Thông tin phản hồi này nên được sử dụng để cải thiện chất lượng dịch vụ cung cấp, nâng cao hiệu quả kinh doanh và giành lợi thế cạnh tranh thông qua việc nâng cao mức độ hài lòng của khách hàng. </w:t>
            </w:r>
            <w:r>
              <w:rPr>
                <w:b/>
                <w:i w:val="0"/>
                <w:sz w:val="19"/>
              </w:rPr>
              <w:t>Tham chiếu rủi ro: A-2, A-4, A-5, A-6</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A-1</w:t>
            </w:r>
          </w:p>
        </w:tc>
        <w:tc>
          <w:tcPr>
            <w:tcW w:type="dxa" w:w="4680"/>
          </w:tcPr>
          <w:p>
            <w:r/>
            <w:r>
              <w:rPr>
                <w:b w:val="0"/>
                <w:i w:val="0"/>
                <w:sz w:val="19"/>
              </w:rPr>
              <w:t>Các kiểm soát nội bộ trong kinh doanh có thể bị lách qua hoặc không được tuân thủ.</w:t>
            </w:r>
          </w:p>
        </w:tc>
      </w:tr>
      <w:tr>
        <w:tc>
          <w:tcPr>
            <w:tcW w:type="dxa" w:w="4680"/>
          </w:tcPr>
          <w:p>
            <w:r/>
            <w:r>
              <w:rPr>
                <w:b w:val="0"/>
                <w:i w:val="0"/>
                <w:sz w:val="19"/>
              </w:rPr>
              <w:t>A-2</w:t>
            </w:r>
          </w:p>
        </w:tc>
        <w:tc>
          <w:tcPr>
            <w:tcW w:type="dxa" w:w="4680"/>
          </w:tcPr>
          <w:p>
            <w:r/>
            <w:r>
              <w:rPr>
                <w:b w:val="0"/>
                <w:i w:val="0"/>
                <w:sz w:val="19"/>
              </w:rPr>
              <w:t>Vị thế cạnh tranh hoặc danh tiếng của công ty có thể bị ảnh hưởng tiêu cực.</w:t>
            </w:r>
          </w:p>
        </w:tc>
      </w:tr>
      <w:tr>
        <w:tc>
          <w:tcPr>
            <w:tcW w:type="dxa" w:w="4680"/>
          </w:tcPr>
          <w:p>
            <w:r/>
            <w:r>
              <w:rPr>
                <w:b w:val="0"/>
                <w:i w:val="0"/>
                <w:sz w:val="19"/>
              </w:rPr>
              <w:t>A-3</w:t>
            </w:r>
          </w:p>
        </w:tc>
        <w:tc>
          <w:tcPr>
            <w:tcW w:type="dxa" w:w="4680"/>
          </w:tcPr>
          <w:p>
            <w:r/>
            <w:r>
              <w:rPr>
                <w:b w:val="0"/>
                <w:i w:val="0"/>
                <w:sz w:val="19"/>
              </w:rPr>
              <w:t>Các hoạt động kinh doanh bị quản lý kém có thể dẫn đến lợi nhuận thấp và ảnh hưởng đến sự liên tục của hoạt động kinh doanh.</w:t>
            </w:r>
          </w:p>
        </w:tc>
      </w:tr>
      <w:tr>
        <w:tc>
          <w:tcPr>
            <w:tcW w:type="dxa" w:w="4680"/>
          </w:tcPr>
          <w:p>
            <w:r/>
            <w:r>
              <w:rPr>
                <w:b w:val="0"/>
                <w:i w:val="0"/>
                <w:sz w:val="19"/>
              </w:rPr>
              <w:t>A-4</w:t>
            </w:r>
          </w:p>
        </w:tc>
        <w:tc>
          <w:tcPr>
            <w:tcW w:type="dxa" w:w="4680"/>
          </w:tcPr>
          <w:p>
            <w:r/>
            <w:r>
              <w:rPr>
                <w:b w:val="0"/>
                <w:i w:val="0"/>
                <w:sz w:val="19"/>
              </w:rPr>
              <w:t>Việc không thể cung cấp dịch vụ chất lượng hoặc không đáp ứng các tiêu chuẩn/mốc tiến độ của chương trình có thể dẫn đến các hình phạt pháp lý do khách hàng khởi xướng.</w:t>
            </w:r>
          </w:p>
        </w:tc>
      </w:tr>
      <w:tr>
        <w:tc>
          <w:tcPr>
            <w:tcW w:type="dxa" w:w="4680"/>
          </w:tcPr>
          <w:p>
            <w:r/>
            <w:r>
              <w:rPr>
                <w:b w:val="0"/>
                <w:i w:val="0"/>
                <w:sz w:val="19"/>
              </w:rPr>
              <w:t>A-5</w:t>
            </w:r>
          </w:p>
        </w:tc>
        <w:tc>
          <w:tcPr>
            <w:tcW w:type="dxa" w:w="4680"/>
          </w:tcPr>
          <w:p>
            <w:r/>
            <w:r>
              <w:rPr>
                <w:b w:val="0"/>
                <w:i w:val="0"/>
                <w:sz w:val="19"/>
              </w:rPr>
              <w:t>Hiệu suất thực hiện dịch vụ thấp hơn kỳ vọng, dẫn đến mất đi sự hài lòng của khách hàng.</w:t>
            </w:r>
          </w:p>
        </w:tc>
      </w:tr>
      <w:tr>
        <w:tc>
          <w:tcPr>
            <w:tcW w:type="dxa" w:w="4680"/>
          </w:tcPr>
          <w:p>
            <w:r/>
            <w:r>
              <w:rPr>
                <w:b w:val="0"/>
                <w:i w:val="0"/>
                <w:sz w:val="19"/>
              </w:rPr>
              <w:t>A-6</w:t>
            </w:r>
          </w:p>
        </w:tc>
        <w:tc>
          <w:tcPr>
            <w:tcW w:type="dxa" w:w="4680"/>
          </w:tcPr>
          <w:p>
            <w:r/>
            <w:r>
              <w:rPr>
                <w:b w:val="0"/>
                <w:i w:val="0"/>
                <w:sz w:val="19"/>
              </w:rPr>
              <w:t>Mất đi các cơ hội kinh doanh trong tương lai, ảnh hưởng đến doanh thu và lợi nhuận của bộ phận PS.</w:t>
            </w:r>
          </w:p>
        </w:tc>
      </w:tr>
    </w:tbl>
    <w:p>
      <w:pPr>
        <w:spacing w:after="0"/>
      </w:pPr>
    </w:p>
    <w:p>
      <w:pPr>
        <w:pStyle w:val="Heading2"/>
      </w:pPr>
      <w:r>
        <w:rPr>
          <w:rFonts w:ascii="Calibri" w:hAnsi="Calibri"/>
          <w:b/>
          <w:i w:val="0"/>
          <w:sz w:val="32"/>
        </w:rPr>
        <w:t>15.2 QUY TRÌNH ĐẤU THẦU CƠ HỘI</w:t>
      </w:r>
    </w:p>
    <w:p>
      <w:pPr>
        <w:pStyle w:val="Heading3"/>
      </w:pPr>
      <w:r>
        <w:rPr>
          <w:rFonts w:ascii="Calibri" w:hAnsi="Calibri"/>
          <w:b/>
          <w:i w:val="0"/>
          <w:sz w:val="26"/>
        </w:rPr>
        <w:t>Giới thiệu</w:t>
      </w:r>
    </w:p>
    <w:p>
      <w:pPr>
        <w:spacing w:after="80"/>
      </w:pPr>
      <w:r>
        <w:rPr>
          <w:b w:val="0"/>
          <w:i w:val="0"/>
        </w:rPr>
        <w:t>Tất cả các cơ hội kinh doanh của PS đều yêu cầu phê duyệt dự án. Các yêu cầu miễn trừ để sử dụng công cụ báo cáo khác phải được sự phê duyệt của bộ phận vận hành PS toàn cầu.</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15.2.1</w:t>
            </w:r>
          </w:p>
        </w:tc>
        <w:tc>
          <w:tcPr>
            <w:tcW w:type="dxa" w:w="4680"/>
          </w:tcPr>
          <w:p>
            <w:r/>
            <w:r>
              <w:rPr>
                <w:b/>
                <w:i w:val="0"/>
                <w:sz w:val="19"/>
              </w:rPr>
              <w:t>Theo dõi Cơ hội.</w:t>
            </w:r>
            <w:r>
              <w:rPr>
                <w:b w:val="0"/>
                <w:i w:val="0"/>
                <w:sz w:val="19"/>
              </w:rPr>
              <w:t xml:space="preserve"> Sau khi một cơ hội đã được báo cáo, cơ hội đó không nên bị xóa khỏi hệ thống theo dõi cho đến khi được ghi nhận là đã trúng thầu hoặc đã mất, bị khách hàng rút lại, hoặc không đấu thầu dựa trên quyết định của công ty hoặc do một chỉnh sửa hành chính đã được phê duyệt. </w:t>
            </w:r>
            <w:r>
              <w:rPr>
                <w:b/>
                <w:i w:val="0"/>
                <w:sz w:val="19"/>
              </w:rPr>
              <w:t>Tham khảo rủi ro: B-1, B-2, B-3</w:t>
            </w:r>
          </w:p>
        </w:tc>
      </w:tr>
      <w:tr>
        <w:tc>
          <w:tcPr>
            <w:tcW w:type="dxa" w:w="4680"/>
          </w:tcPr>
          <w:p>
            <w:r/>
            <w:r>
              <w:rPr>
                <w:b w:val="0"/>
                <w:i w:val="0"/>
                <w:sz w:val="19"/>
              </w:rPr>
              <w:t>15.2.2</w:t>
            </w:r>
          </w:p>
        </w:tc>
        <w:tc>
          <w:tcPr>
            <w:tcW w:type="dxa" w:w="4680"/>
          </w:tcPr>
          <w:p>
            <w:r/>
            <w:r>
              <w:rPr>
                <w:b/>
                <w:i w:val="0"/>
                <w:sz w:val="19"/>
              </w:rPr>
              <w:t>Dữ liệu Theo dõi Cơ hội.</w:t>
            </w:r>
            <w:r>
              <w:rPr>
                <w:b w:val="0"/>
                <w:i w:val="0"/>
                <w:sz w:val="19"/>
              </w:rPr>
              <w:t xml:space="preserve"> Các yêu cầu thông tin để theo dõi và báo cáo các cơ hội kinh doanh mới trong PS cần được thiết lập rõ ràng và tuân thủ nghiêm ngặt. </w:t>
            </w:r>
            <w:r>
              <w:rPr>
                <w:b/>
                <w:i w:val="0"/>
                <w:sz w:val="19"/>
              </w:rPr>
              <w:t>Tham khảo rủi ro: B-1, B-2, B-3</w:t>
            </w:r>
          </w:p>
        </w:tc>
      </w:tr>
      <w:tr>
        <w:tc>
          <w:tcPr>
            <w:tcW w:type="dxa" w:w="4680"/>
          </w:tcPr>
          <w:p>
            <w:r/>
            <w:r>
              <w:rPr>
                <w:b w:val="0"/>
                <w:i w:val="0"/>
                <w:sz w:val="19"/>
              </w:rPr>
              <w:t>15.2.3</w:t>
            </w:r>
          </w:p>
        </w:tc>
        <w:tc>
          <w:tcPr>
            <w:tcW w:type="dxa" w:w="4680"/>
          </w:tcPr>
          <w:p>
            <w:r/>
            <w:r>
              <w:rPr>
                <w:b/>
                <w:i w:val="0"/>
                <w:sz w:val="19"/>
              </w:rPr>
              <w:t>Lập Ngân sách Đấu thầu.</w:t>
            </w:r>
            <w:r>
              <w:rPr>
                <w:b w:val="0"/>
                <w:i w:val="0"/>
                <w:sz w:val="19"/>
              </w:rPr>
              <w:t xml:space="preserve"> Một ngân sách chương trình phải được thiết lập cho việc đấu thầu các chương trình PS. Các ngân sách này phải bao gồm tất cả các chi phí liên quan đến nỗ lực đấu thầu chương trình phát sinh trong quá trình phát triển đề xuất và đàm phán hợp đồng, bao gồm chi phí nhân công của đội ngũ đề xuất; thiết bị đi lại và lưu trú; bảo lãnh dự thầu; mua dịch vụ bên ngoài như cố vấn pháp lý bên ngoài, sản phẩm và vật tư; đánh giá so sánh chuẩn (benchmarking); và chi phí trình diễn hoặc chứng minh khái niệm (proof of concept) không được tính cho khách hàng. </w:t>
            </w:r>
            <w:r>
              <w:rPr>
                <w:b/>
                <w:i w:val="0"/>
                <w:sz w:val="19"/>
              </w:rPr>
              <w:t>Tham khảo rủi ro: B-4, B-5, B-6</w:t>
            </w:r>
          </w:p>
        </w:tc>
      </w:tr>
      <w:tr>
        <w:tc>
          <w:tcPr>
            <w:tcW w:type="dxa" w:w="4680"/>
          </w:tcPr>
          <w:p>
            <w:r/>
            <w:r>
              <w:rPr>
                <w:b w:val="0"/>
                <w:i w:val="0"/>
                <w:sz w:val="19"/>
              </w:rPr>
              <w:t>15.2.4</w:t>
            </w:r>
          </w:p>
        </w:tc>
        <w:tc>
          <w:tcPr>
            <w:tcW w:type="dxa" w:w="4680"/>
          </w:tcPr>
          <w:p>
            <w:r/>
            <w:r>
              <w:rPr>
                <w:b/>
                <w:i w:val="0"/>
                <w:sz w:val="19"/>
              </w:rPr>
              <w:t>Trách nhiệm lập ngân sách đấu thầu.</w:t>
            </w:r>
            <w:r>
              <w:rPr>
                <w:b w:val="0"/>
                <w:i w:val="0"/>
                <w:sz w:val="19"/>
              </w:rPr>
              <w:t xml:space="preserve"> Người quản lý cơ hội phải chuẩn bị ngân sách đấu thầu và xin phê duyệt trước khi chi bất kỳ công sức và chi phí nào để chuẩn bị hồ sơ dự thầu. Người quản lý cơ hội chịu trách nhiệm quản lý chi tiêu cho đề xuất dự thầu theo ngân sách đã lập. </w:t>
            </w:r>
            <w:r>
              <w:rPr>
                <w:b/>
                <w:i w:val="0"/>
                <w:sz w:val="19"/>
              </w:rPr>
              <w:t>Tham khảo rủi ro: B-4, B-5, B-6</w:t>
            </w:r>
          </w:p>
        </w:tc>
      </w:tr>
      <w:tr>
        <w:tc>
          <w:tcPr>
            <w:tcW w:type="dxa" w:w="4680"/>
          </w:tcPr>
          <w:p>
            <w:r/>
            <w:r>
              <w:rPr>
                <w:b w:val="0"/>
                <w:i w:val="0"/>
                <w:sz w:val="19"/>
              </w:rPr>
              <w:t>15.2.5</w:t>
            </w:r>
          </w:p>
        </w:tc>
        <w:tc>
          <w:tcPr>
            <w:tcW w:type="dxa" w:w="4680"/>
          </w:tcPr>
          <w:p>
            <w:r/>
            <w:r>
              <w:rPr>
                <w:b/>
                <w:i w:val="0"/>
                <w:sz w:val="19"/>
              </w:rPr>
              <w:t>Định giá và tính chi phí cho đấu thầu.</w:t>
            </w:r>
            <w:r>
              <w:rPr>
                <w:b w:val="0"/>
                <w:i w:val="0"/>
                <w:sz w:val="19"/>
              </w:rPr>
              <w:t xml:space="preserve"> Phải thiết lập các phương pháp định giá và tính chi phí nhất quán, thống nhất cho tất cả các cơ hội dịch vụ chuyên nghiệp. Tất cả cá nhân tham gia chuẩn bị hồ sơ dự thầu PS phải tuân thủ các tiêu chuẩn định giá và tính chi phí. Các yếu tố chi phí thực tế đặc thù của từng quốc gia/khu vực phải được ghi nhận và áp dụng ở cấp đơn vị vận hành quốc gia. </w:t>
            </w:r>
            <w:r>
              <w:rPr>
                <w:b/>
                <w:i w:val="0"/>
                <w:sz w:val="19"/>
              </w:rPr>
              <w:t>Tham khảo rủi ro: B-6, B-7, B-8, B-9</w:t>
            </w:r>
          </w:p>
        </w:tc>
      </w:tr>
      <w:tr>
        <w:tc>
          <w:tcPr>
            <w:tcW w:type="dxa" w:w="4680"/>
          </w:tcPr>
          <w:p>
            <w:r/>
            <w:r>
              <w:rPr>
                <w:b w:val="0"/>
                <w:i w:val="0"/>
                <w:sz w:val="19"/>
              </w:rPr>
              <w:t>15.2.6</w:t>
            </w:r>
          </w:p>
        </w:tc>
        <w:tc>
          <w:tcPr>
            <w:tcW w:type="dxa" w:w="4680"/>
          </w:tcPr>
          <w:p>
            <w:r/>
            <w:r>
              <w:rPr>
                <w:b/>
                <w:i w:val="0"/>
                <w:sz w:val="19"/>
              </w:rPr>
              <w:t>Thẩm định kỹ lưỡng.</w:t>
            </w:r>
            <w:r>
              <w:rPr>
                <w:b w:val="0"/>
                <w:i w:val="0"/>
                <w:sz w:val="19"/>
              </w:rPr>
              <w:t xml:space="preserve"> Phải thiết lập các quy trình đầy đủ để đảm bảo việc thẩm định kỹ lưỡng có chất lượng và phù hợp cho tất cả các chương trình/cơ hội của khách hàng. Cần thiết lập một quy trình nhất quán cho các kế hoạch thẩm định kỹ lưỡng nhằm đạt được lợi nhuận cần thiết, tránh rủi ro và kiểm soát tốt. Kế hoạch thẩm định kỹ lưỡng phải được hoàn thành và sẵn sàng cho đề xuất tương ứng. </w:t>
            </w:r>
            <w:r>
              <w:rPr>
                <w:b/>
                <w:i w:val="0"/>
                <w:sz w:val="19"/>
              </w:rPr>
              <w:t>Tham khảo rủi ro: B-2, B-10, B-11, B-12</w:t>
            </w:r>
          </w:p>
        </w:tc>
      </w:tr>
      <w:tr>
        <w:tc>
          <w:tcPr>
            <w:tcW w:type="dxa" w:w="4680"/>
          </w:tcPr>
          <w:p>
            <w:r/>
            <w:r>
              <w:rPr>
                <w:b w:val="0"/>
                <w:i w:val="0"/>
                <w:sz w:val="19"/>
              </w:rPr>
              <w:t>15.2.7</w:t>
            </w:r>
          </w:p>
        </w:tc>
        <w:tc>
          <w:tcPr>
            <w:tcW w:type="dxa" w:w="4680"/>
          </w:tcPr>
          <w:p>
            <w:r/>
            <w:r>
              <w:rPr>
                <w:b/>
                <w:i w:val="0"/>
                <w:sz w:val="19"/>
              </w:rPr>
              <w:t>Chương trình thành công của khách hàng.</w:t>
            </w:r>
            <w:r>
              <w:rPr>
                <w:b w:val="0"/>
                <w:i w:val="0"/>
                <w:sz w:val="19"/>
              </w:rPr>
              <w:t xml:space="preserve"> Mọi thắng lợi quan trọng của PS và thông tin về thành công của khách hàng cần được xác định và cung cấp sẵn sàng cho PS và phần còn lại của công ty để có thể giới thiệu cho khách hàng tiềm năng, đối tác, truyền thông và các nhà phân tích. Mọi tài khoản PS quan trọng đều nên có thể làm tài liệu tham chiếu để rút ngắn chu kỳ bán hàng trong tương lai và giúp mọi người đạt được mục tiêu chính là chốt được hợp đồng kinh doanh có lãi. </w:t>
            </w:r>
            <w:r>
              <w:rPr>
                <w:b/>
                <w:i w:val="0"/>
                <w:sz w:val="19"/>
              </w:rPr>
              <w:t>Tham khảo rủi ro: B-13, B-14, B-15, B-16</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B-1</w:t>
            </w:r>
          </w:p>
        </w:tc>
        <w:tc>
          <w:tcPr>
            <w:tcW w:type="dxa" w:w="4680"/>
          </w:tcPr>
          <w:p>
            <w:r/>
            <w:r>
              <w:rPr>
                <w:b w:val="0"/>
                <w:i w:val="0"/>
                <w:sz w:val="19"/>
              </w:rPr>
              <w:t>Các cơ hội kinh doanh không được nhận diện và nắm bắt kịp thời, ảnh hưởng tiêu cực đến doanh thu và vị thế thị phần của công ty.</w:t>
            </w:r>
          </w:p>
        </w:tc>
      </w:tr>
      <w:tr>
        <w:tc>
          <w:tcPr>
            <w:tcW w:type="dxa" w:w="4680"/>
          </w:tcPr>
          <w:p>
            <w:r/>
            <w:r>
              <w:rPr>
                <w:b w:val="0"/>
                <w:i w:val="0"/>
                <w:sz w:val="19"/>
              </w:rPr>
              <w:t>B-2</w:t>
            </w:r>
          </w:p>
        </w:tc>
        <w:tc>
          <w:tcPr>
            <w:tcW w:type="dxa" w:w="4680"/>
          </w:tcPr>
          <w:p>
            <w:r/>
            <w:r>
              <w:rPr>
                <w:b w:val="0"/>
                <w:i w:val="0"/>
                <w:sz w:val="19"/>
              </w:rPr>
              <w:t>Không thể tận dụng lợi thế trong đàm phán giá và điều khoản, điều này có thể ảnh hưởng bất lợi đến lợi nhuận trong các giao dịch với khách hàng.</w:t>
            </w:r>
          </w:p>
        </w:tc>
      </w:tr>
      <w:tr>
        <w:tc>
          <w:tcPr>
            <w:tcW w:type="dxa" w:w="4680"/>
          </w:tcPr>
          <w:p>
            <w:r/>
            <w:r>
              <w:rPr>
                <w:b w:val="0"/>
                <w:i w:val="0"/>
                <w:sz w:val="19"/>
              </w:rPr>
              <w:t>B-3</w:t>
            </w:r>
          </w:p>
        </w:tc>
        <w:tc>
          <w:tcPr>
            <w:tcW w:type="dxa" w:w="4680"/>
          </w:tcPr>
          <w:p>
            <w:r/>
            <w:r>
              <w:rPr>
                <w:b w:val="0"/>
                <w:i w:val="0"/>
                <w:sz w:val="19"/>
              </w:rPr>
              <w:t>Danh tiếng kinh doanh và lợi thế cạnh tranh của công ty có thể bị ảnh hưởng bất lợi.</w:t>
            </w:r>
          </w:p>
        </w:tc>
      </w:tr>
      <w:tr>
        <w:tc>
          <w:tcPr>
            <w:tcW w:type="dxa" w:w="4680"/>
          </w:tcPr>
          <w:p>
            <w:r/>
            <w:r>
              <w:rPr>
                <w:b w:val="0"/>
                <w:i w:val="0"/>
                <w:sz w:val="19"/>
              </w:rPr>
              <w:t>B-4</w:t>
            </w:r>
          </w:p>
        </w:tc>
        <w:tc>
          <w:tcPr>
            <w:tcW w:type="dxa" w:w="4680"/>
          </w:tcPr>
          <w:p>
            <w:r/>
            <w:r>
              <w:rPr>
                <w:b w:val="0"/>
                <w:i w:val="0"/>
                <w:sz w:val="19"/>
              </w:rPr>
              <w:t>Chi phí cho các đề xuất không được phép hoặc không được chấp nhận phát sinh đối với nhân sự quản lý quy trình cơ hội/đấu thầu do thiếu công cụ giám sát.</w:t>
            </w:r>
          </w:p>
        </w:tc>
      </w:tr>
      <w:tr>
        <w:tc>
          <w:tcPr>
            <w:tcW w:type="dxa" w:w="4680"/>
          </w:tcPr>
          <w:p>
            <w:r/>
            <w:r>
              <w:rPr>
                <w:b w:val="0"/>
                <w:i w:val="0"/>
                <w:sz w:val="19"/>
              </w:rPr>
              <w:t>B-5</w:t>
            </w:r>
          </w:p>
        </w:tc>
        <w:tc>
          <w:tcPr>
            <w:tcW w:type="dxa" w:w="4680"/>
          </w:tcPr>
          <w:p>
            <w:r/>
            <w:r>
              <w:rPr>
                <w:b w:val="0"/>
                <w:i w:val="0"/>
                <w:sz w:val="19"/>
              </w:rPr>
              <w:t>Chi phí ngoài kế hoạch/quá mức có thể ảnh hưởng tiêu cực đến doanh thu và lợi nhuận của chương trình.</w:t>
            </w:r>
          </w:p>
        </w:tc>
      </w:tr>
      <w:tr>
        <w:tc>
          <w:tcPr>
            <w:tcW w:type="dxa" w:w="4680"/>
          </w:tcPr>
          <w:p>
            <w:r/>
            <w:r>
              <w:rPr>
                <w:b w:val="0"/>
                <w:i w:val="0"/>
                <w:sz w:val="19"/>
              </w:rPr>
              <w:t>B-6</w:t>
            </w:r>
          </w:p>
        </w:tc>
        <w:tc>
          <w:tcPr>
            <w:tcW w:type="dxa" w:w="4680"/>
          </w:tcPr>
          <w:p>
            <w:r/>
            <w:r>
              <w:rPr>
                <w:b w:val="0"/>
                <w:i w:val="0"/>
                <w:sz w:val="19"/>
              </w:rPr>
              <w:t>Việc quản lý sai quy trình cơ hội/đấu thầu có thể ảnh hưởng đến lợi nhuận cũng như dẫn đến sự kém hiệu quả trong hoạt động kinh doanh dịch vụ chuyên nghiệp.</w:t>
            </w:r>
          </w:p>
        </w:tc>
      </w:tr>
      <w:tr>
        <w:tc>
          <w:tcPr>
            <w:tcW w:type="dxa" w:w="4680"/>
          </w:tcPr>
          <w:p>
            <w:r/>
            <w:r>
              <w:rPr>
                <w:b w:val="0"/>
                <w:i w:val="0"/>
                <w:sz w:val="19"/>
              </w:rPr>
              <w:t>B-7</w:t>
              <w:br/>
              <w:br/>
              <w:t>Việc bị xử phạt tiền và/hoặc các hình phạt khác có thể xảy ra.</w:t>
            </w:r>
          </w:p>
        </w:tc>
        <w:tc>
          <w:tcPr>
            <w:tcW w:type="dxa" w:w="4680"/>
          </w:tcPr>
          <w:p>
            <w:r/>
            <w:r>
              <w:rPr>
                <w:b w:val="0"/>
                <w:i w:val="0"/>
                <w:sz w:val="19"/>
              </w:rPr>
              <w:t>B-8</w:t>
            </w:r>
          </w:p>
        </w:tc>
      </w:tr>
      <w:tr>
        <w:tc>
          <w:tcPr>
            <w:tcW w:type="dxa" w:w="4680"/>
          </w:tcPr>
          <w:p>
            <w:r/>
            <w:r>
              <w:rPr>
                <w:b w:val="0"/>
                <w:i w:val="0"/>
                <w:sz w:val="19"/>
              </w:rPr>
              <w:t>Các mức giá và phương pháp tính chi phí khác nhau tạo ra khó khăn về định giá ở phạm vi địa phương, và có thể cả toàn cầu. Ngoài ra, việc áp dụng các mức giá khác nhau cho cùng một sản phẩm đối với những khách hàng tương tự có thể là bất hợp pháp và dẫn đến các hình phạt đối với công ty.</w:t>
            </w:r>
          </w:p>
        </w:tc>
        <w:tc>
          <w:tcPr>
            <w:tcW w:type="dxa" w:w="4680"/>
          </w:tcPr>
          <w:p>
            <w:r/>
            <w:r>
              <w:rPr>
                <w:b w:val="0"/>
                <w:i w:val="0"/>
                <w:sz w:val="19"/>
              </w:rPr>
              <w:t>B-9</w:t>
            </w:r>
          </w:p>
        </w:tc>
      </w:tr>
      <w:tr>
        <w:tc>
          <w:tcPr>
            <w:tcW w:type="dxa" w:w="4680"/>
          </w:tcPr>
          <w:p>
            <w:r/>
            <w:r>
              <w:rPr>
                <w:b w:val="0"/>
                <w:i w:val="0"/>
                <w:sz w:val="19"/>
              </w:rPr>
              <w:t>Giá có thể bị giảm và/hoặc chi phí bị từ chối do không tuân thủ, định giá sai lệch, và/hoặc tài liệu chứng minh không đầy đủ cho các chi phí được báo cáo.</w:t>
            </w:r>
          </w:p>
        </w:tc>
        <w:tc>
          <w:tcPr>
            <w:tcW w:type="dxa" w:w="4680"/>
          </w:tcPr>
          <w:p>
            <w:r/>
            <w:r>
              <w:rPr>
                <w:b w:val="0"/>
                <w:i w:val="0"/>
                <w:sz w:val="19"/>
              </w:rPr>
              <w:t>B-10</w:t>
            </w:r>
          </w:p>
        </w:tc>
      </w:tr>
      <w:tr>
        <w:tc>
          <w:tcPr>
            <w:tcW w:type="dxa" w:w="4680"/>
          </w:tcPr>
          <w:p>
            <w:r/>
            <w:r>
              <w:rPr>
                <w:b w:val="0"/>
                <w:i w:val="0"/>
                <w:sz w:val="19"/>
              </w:rPr>
              <w:t>Dịch vụ có thể bị bán cho một khách hàng không được phép hoặc có rủi ro tín dụng không thể chấp nhận.</w:t>
            </w:r>
          </w:p>
        </w:tc>
        <w:tc>
          <w:tcPr>
            <w:tcW w:type="dxa" w:w="4680"/>
          </w:tcPr>
          <w:p>
            <w:r/>
            <w:r>
              <w:rPr>
                <w:b w:val="0"/>
                <w:i w:val="0"/>
                <w:sz w:val="19"/>
              </w:rPr>
              <w:t>B-11</w:t>
            </w:r>
          </w:p>
        </w:tc>
      </w:tr>
      <w:tr>
        <w:tc>
          <w:tcPr>
            <w:tcW w:type="dxa" w:w="4680"/>
          </w:tcPr>
          <w:p>
            <w:r/>
            <w:r>
              <w:rPr>
                <w:b w:val="0"/>
                <w:i w:val="0"/>
                <w:sz w:val="19"/>
              </w:rPr>
              <w:t>Bộ phận PS và công ty có thể đối mặt với những rủi ro kinh doanh và pháp lý ngoài dự kiến trong các giao dịch với khách hàng.</w:t>
            </w:r>
          </w:p>
        </w:tc>
        <w:tc>
          <w:tcPr>
            <w:tcW w:type="dxa" w:w="4680"/>
          </w:tcPr>
          <w:p>
            <w:r/>
            <w:r>
              <w:rPr>
                <w:b w:val="0"/>
                <w:i w:val="0"/>
                <w:sz w:val="19"/>
              </w:rPr>
              <w:t>B-12</w:t>
            </w:r>
          </w:p>
        </w:tc>
      </w:tr>
      <w:tr>
        <w:tc>
          <w:tcPr>
            <w:tcW w:type="dxa" w:w="4680"/>
          </w:tcPr>
          <w:p>
            <w:r/>
          </w:p>
        </w:tc>
        <w:tc>
          <w:tcPr>
            <w:tcW w:type="dxa" w:w="4680"/>
          </w:tcPr>
          <w:p>
            <w:r/>
            <w:r>
              <w:rPr>
                <w:b w:val="0"/>
                <w:i w:val="0"/>
                <w:sz w:val="19"/>
              </w:rPr>
              <w:t>Những đặc điểm kinh doanh không lường trước của khách hàng không được xem xét khi PS và khách hàng đặt ra kỳ vọng cho chương trình.</w:t>
            </w:r>
          </w:p>
        </w:tc>
      </w:tr>
      <w:tr>
        <w:tc>
          <w:tcPr>
            <w:tcW w:type="dxa" w:w="4680"/>
          </w:tcPr>
          <w:p>
            <w:r/>
            <w:r>
              <w:rPr>
                <w:b w:val="0"/>
                <w:i w:val="0"/>
                <w:sz w:val="19"/>
              </w:rPr>
              <w:t>B-13</w:t>
            </w:r>
          </w:p>
        </w:tc>
        <w:tc>
          <w:tcPr>
            <w:tcW w:type="dxa" w:w="4680"/>
          </w:tcPr>
          <w:p>
            <w:r/>
            <w:r>
              <w:rPr>
                <w:b w:val="0"/>
                <w:i w:val="0"/>
                <w:sz w:val="19"/>
              </w:rPr>
              <w:t>Không có khả năng hiển thị và ghi nhận ngay lập tức cho sự thành công của các dự án khách hàng.</w:t>
            </w:r>
          </w:p>
        </w:tc>
      </w:tr>
      <w:tr>
        <w:tc>
          <w:tcPr>
            <w:tcW w:type="dxa" w:w="4680"/>
          </w:tcPr>
          <w:p>
            <w:r/>
            <w:r>
              <w:rPr>
                <w:b w:val="0"/>
                <w:i w:val="0"/>
                <w:sz w:val="19"/>
              </w:rPr>
              <w:t>B-14</w:t>
            </w:r>
          </w:p>
        </w:tc>
        <w:tc>
          <w:tcPr>
            <w:tcW w:type="dxa" w:w="4680"/>
          </w:tcPr>
          <w:p>
            <w:r/>
            <w:r>
              <w:rPr>
                <w:b w:val="0"/>
                <w:i w:val="0"/>
                <w:sz w:val="19"/>
              </w:rPr>
              <w:t>Công ty không sử dụng những thắng lợi từ khách hàng như một hình thức tiếp thị tức thì và ít tốn kém.</w:t>
            </w:r>
          </w:p>
        </w:tc>
      </w:tr>
      <w:tr>
        <w:tc>
          <w:tcPr>
            <w:tcW w:type="dxa" w:w="4680"/>
          </w:tcPr>
          <w:p>
            <w:r/>
            <w:r>
              <w:rPr>
                <w:b w:val="0"/>
                <w:i w:val="0"/>
                <w:sz w:val="19"/>
              </w:rPr>
              <w:t>B-15</w:t>
            </w:r>
          </w:p>
        </w:tc>
        <w:tc>
          <w:tcPr>
            <w:tcW w:type="dxa" w:w="4680"/>
          </w:tcPr>
          <w:p>
            <w:r/>
            <w:r>
              <w:rPr>
                <w:b w:val="0"/>
                <w:i w:val="0"/>
                <w:sz w:val="19"/>
              </w:rPr>
              <w:t>Việc thiếu chuyển giao kiến thức và học hỏi chung trong PS có thể dẫn đến mất đi các cơ hội kinh doanh trong tương lai.</w:t>
            </w:r>
          </w:p>
        </w:tc>
      </w:tr>
      <w:tr>
        <w:tc>
          <w:tcPr>
            <w:tcW w:type="dxa" w:w="4680"/>
          </w:tcPr>
          <w:p>
            <w:r/>
            <w:r>
              <w:rPr>
                <w:b w:val="0"/>
                <w:i w:val="0"/>
                <w:sz w:val="19"/>
              </w:rPr>
              <w:t>B-16</w:t>
            </w:r>
          </w:p>
        </w:tc>
        <w:tc>
          <w:tcPr>
            <w:tcW w:type="dxa" w:w="4680"/>
          </w:tcPr>
          <w:p>
            <w:r/>
            <w:r>
              <w:rPr>
                <w:b w:val="0"/>
                <w:i w:val="0"/>
                <w:sz w:val="19"/>
              </w:rPr>
              <w:t>Thiếu sự hiện diện với các nhà phân tích tài chính và ban giám đốc của công ty.</w:t>
            </w:r>
          </w:p>
        </w:tc>
      </w:tr>
    </w:tbl>
    <w:p>
      <w:pPr>
        <w:spacing w:after="0"/>
      </w:pPr>
    </w:p>
    <w:p>
      <w:pPr>
        <w:pStyle w:val="Heading2"/>
      </w:pPr>
      <w:r>
        <w:rPr>
          <w:rFonts w:ascii="Calibri" w:hAnsi="Calibri"/>
          <w:b/>
          <w:i w:val="0"/>
          <w:sz w:val="32"/>
        </w:rPr>
        <w:t>15.3 QUẢN LÝ CHƯƠNG TRÌNH</w:t>
      </w:r>
    </w:p>
    <w:p>
      <w:pPr>
        <w:pStyle w:val="Heading3"/>
      </w:pPr>
      <w:r>
        <w:rPr>
          <w:rFonts w:ascii="Calibri" w:hAnsi="Calibri"/>
          <w:b/>
          <w:i w:val="0"/>
          <w:sz w:val="26"/>
        </w:rPr>
        <w:t>Giới thiệu</w:t>
      </w:r>
    </w:p>
    <w:p>
      <w:pPr>
        <w:spacing w:after="80"/>
      </w:pPr>
      <w:r>
        <w:rPr>
          <w:b w:val="0"/>
          <w:i w:val="0"/>
        </w:rPr>
        <w:t>Một kế hoạch dự án bằng văn bản là bắt buộc cho tất cả các dự án và tiểu dự án. Các hoạt động lập kế hoạch dự án nên bắt đầu sau các cuộc họp ban đầu với khách hàng và tiếp tục trong suốt vòng đời của dự án. Kế hoạch dự án phải được duy trì để phản ánh thông tin hiện tại và hiệu suất trong quá khứ. Các hoạt động lập kế hoạch phải giải quyết phạm vi, nỗ lực, nguồn lực, trách nhiệm, lịch trình ngân sách và, nếu có thể áp dụng, chiến lược bán hàng và các quy trình thẩm định. Kết quả từ việc lập kế hoạch dự án phải thiết lập các đường cơ sở (baseline) để từ đó các đề xuất được đưa ra, hợp đồng được thống nhất, các thay đổi được kiểm soát và hiệu suất được đo lường.</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15.3.1</w:t>
            </w:r>
          </w:p>
        </w:tc>
        <w:tc>
          <w:tcPr>
            <w:tcW w:type="dxa" w:w="4680"/>
          </w:tcPr>
          <w:p>
            <w:r/>
            <w:r>
              <w:rPr>
                <w:b/>
                <w:i w:val="0"/>
                <w:sz w:val="19"/>
              </w:rPr>
              <w:t>Phương pháp luận Chương trình Chất lượng.</w:t>
            </w:r>
            <w:r>
              <w:rPr>
                <w:b w:val="0"/>
                <w:i w:val="0"/>
                <w:sz w:val="19"/>
              </w:rPr>
              <w:t xml:space="preserve"> Phương pháp luận chương trình chất lượng của công ty phải được sử dụng cho việc lập kế hoạch, quản lý và triển khai các chương trình PS. Các phương pháp thay thế có thể được sử dụng vì lý do cụ thể của khách hàng, nhưng phải được ghi lại trong kế hoạch dự án và được phê duyệt tương ứng. </w:t>
            </w:r>
            <w:r>
              <w:rPr>
                <w:b/>
                <w:i w:val="0"/>
                <w:sz w:val="19"/>
              </w:rPr>
              <w:t>Tham khảo các rủi ro: C-3, C-4, C-8</w:t>
            </w:r>
          </w:p>
        </w:tc>
      </w:tr>
      <w:tr>
        <w:tc>
          <w:tcPr>
            <w:tcW w:type="dxa" w:w="4680"/>
          </w:tcPr>
          <w:p>
            <w:r/>
            <w:r>
              <w:rPr>
                <w:b w:val="0"/>
                <w:i w:val="0"/>
                <w:sz w:val="19"/>
              </w:rPr>
              <w:t>15.3.2</w:t>
            </w:r>
          </w:p>
        </w:tc>
        <w:tc>
          <w:tcPr>
            <w:tcW w:type="dxa" w:w="4680"/>
          </w:tcPr>
          <w:p>
            <w:r/>
            <w:r>
              <w:rPr>
                <w:b/>
                <w:i w:val="0"/>
                <w:sz w:val="19"/>
              </w:rPr>
              <w:t>Lập kế hoạch dự án.</w:t>
            </w:r>
            <w:r>
              <w:rPr>
                <w:b w:val="0"/>
                <w:i w:val="0"/>
                <w:sz w:val="19"/>
              </w:rPr>
              <w:t xml:space="preserve"> Cần áp dụng các kỹ thuật tiêu chuẩn chuyên môn của ngành và quản lý dự án trong việc xây dựng cấu trúc phân chia công việc. </w:t>
            </w:r>
            <w:r>
              <w:rPr>
                <w:b/>
                <w:i w:val="0"/>
                <w:sz w:val="19"/>
              </w:rPr>
              <w:t>Tham chiếu rủi ro: C-1, C-3, C-4, C-6, C-8</w:t>
            </w:r>
          </w:p>
        </w:tc>
      </w:tr>
      <w:tr>
        <w:tc>
          <w:tcPr>
            <w:tcW w:type="dxa" w:w="4680"/>
          </w:tcPr>
          <w:p>
            <w:r/>
            <w:r>
              <w:rPr>
                <w:b w:val="0"/>
                <w:i w:val="0"/>
                <w:sz w:val="19"/>
              </w:rPr>
              <w:t>15.3.3</w:t>
            </w:r>
          </w:p>
        </w:tc>
        <w:tc>
          <w:tcPr>
            <w:tcW w:type="dxa" w:w="4680"/>
          </w:tcPr>
          <w:p>
            <w:r/>
            <w:r>
              <w:rPr>
                <w:b w:val="0"/>
                <w:i w:val="0"/>
                <w:sz w:val="19"/>
              </w:rPr>
              <w:t>Lập ngân sách. Phải thiết lập ngân sách chương trình cho việc triển khai tất cả các chương trình PS. Ngân sách chương trình phải bao gồm: doanh thu, dựa trên lịch trình theo cột mốc/kỳ; chi phí, dựa trên lịch trình phân chia công việc; và khoản dự phòng rủi ro tương xứng với mức xếp hạng rủi ro áp dụng. Ngân sách cũng phải đáp ứng các yêu cầu ghi nhận doanh thu. Ngân sách phải bao gồm doanh thu và chi phí cho:</w:t>
            </w:r>
            <w:r>
              <w:br/>
            </w:r>
            <w:r>
              <w:rPr>
                <w:b w:val="0"/>
                <w:i w:val="0"/>
                <w:sz w:val="19"/>
              </w:rPr>
              <w:t>• Nỗ lực cung cấp dịch vụ dựa trên tiêu chuẩn chi phí nhân công, bao gồm quản lý chương trình</w:t>
            </w:r>
            <w:r>
              <w:br/>
            </w:r>
            <w:r>
              <w:rPr>
                <w:b w:val="0"/>
                <w:i w:val="0"/>
                <w:sz w:val="19"/>
              </w:rPr>
              <w:t>• Sản phẩm phần cứng và phần mềm của công ty</w:t>
            </w:r>
            <w:r>
              <w:br/>
            </w:r>
            <w:r>
              <w:rPr>
                <w:b w:val="0"/>
                <w:i w:val="0"/>
                <w:sz w:val="19"/>
              </w:rPr>
              <w:t>• Thiết bị và vật tư đi lại</w:t>
            </w:r>
            <w:r>
              <w:br/>
            </w:r>
            <w:r>
              <w:rPr>
                <w:b w:val="0"/>
                <w:i w:val="0"/>
                <w:sz w:val="19"/>
              </w:rPr>
              <w:t>• Chi phí hành chính trực tiếp, bảo lãnh thực hiện hợp đồng, FRCPM, hoặc các khoản khuyến khích liên quan đến triển khai khác</w:t>
            </w:r>
            <w:r>
              <w:br/>
            </w:r>
            <w:r>
              <w:rPr>
                <w:b w:val="0"/>
                <w:i w:val="0"/>
                <w:sz w:val="19"/>
              </w:rPr>
              <w:t>• Dịch vụ và sản phẩm của bên thứ ba</w:t>
            </w:r>
            <w:r>
              <w:br/>
            </w:r>
            <w:r>
              <w:rPr>
                <w:b w:val="0"/>
                <w:i w:val="0"/>
                <w:sz w:val="19"/>
              </w:rPr>
              <w:t>• Kiểm thử nghiệm thu, bảo hành và hỗ trợ bảo trì</w:t>
            </w:r>
            <w:r>
              <w:br/>
            </w:r>
            <w:r>
              <w:rPr>
                <w:b w:val="0"/>
                <w:i w:val="0"/>
                <w:sz w:val="19"/>
              </w:rPr>
              <w:t>• Dự phòng rủi ro</w:t>
            </w:r>
            <w:r>
              <w:br/>
            </w:r>
            <w:r>
              <w:rPr>
                <w:b w:val="0"/>
                <w:i w:val="0"/>
                <w:sz w:val="19"/>
              </w:rPr>
              <w:t xml:space="preserve">• Các chi phí liên quan khác </w:t>
            </w:r>
            <w:r>
              <w:rPr>
                <w:b/>
                <w:i w:val="0"/>
                <w:sz w:val="19"/>
              </w:rPr>
              <w:t>Tham chiếu rủi ro: C-1, C-2</w:t>
            </w:r>
          </w:p>
        </w:tc>
      </w:tr>
      <w:tr>
        <w:tc>
          <w:tcPr>
            <w:tcW w:type="dxa" w:w="4680"/>
          </w:tcPr>
          <w:p>
            <w:r/>
            <w:r>
              <w:rPr>
                <w:b w:val="0"/>
                <w:i w:val="0"/>
                <w:sz w:val="19"/>
              </w:rPr>
              <w:t>15.3.4</w:t>
            </w:r>
          </w:p>
        </w:tc>
        <w:tc>
          <w:tcPr>
            <w:tcW w:type="dxa" w:w="4680"/>
          </w:tcPr>
          <w:p>
            <w:r/>
            <w:r>
              <w:rPr>
                <w:b/>
                <w:i w:val="0"/>
                <w:sz w:val="19"/>
              </w:rPr>
              <w:t>Trách nhiệm lập ngân sách.</w:t>
            </w:r>
            <w:r>
              <w:rPr>
                <w:b w:val="0"/>
                <w:i w:val="0"/>
                <w:sz w:val="19"/>
              </w:rPr>
              <w:t xml:space="preserve"> Người quản lý cơ hội phải chuẩn bị ngân sách chương trình và được phê duyệt trước khi chi bất kỳ nỗ lực và chi phí nào cho việc triển khai chương trình, đồng thời phải được phê duyệt cho các lệnh thay đổi. Người quản lý cơ hội chịu trách nhiệm quản lý nỗ lực triển khai dựa trên ngân sách chương trình về doanh thu, biên lợi nhuận và dòng tiền. </w:t>
            </w:r>
            <w:r>
              <w:rPr>
                <w:b/>
                <w:i w:val="0"/>
                <w:sz w:val="19"/>
              </w:rPr>
              <w:t>Tham chiếu rủi ro: C-1, C-2</w:t>
            </w:r>
          </w:p>
        </w:tc>
      </w:tr>
      <w:tr>
        <w:tc>
          <w:tcPr>
            <w:tcW w:type="dxa" w:w="4680"/>
          </w:tcPr>
          <w:p>
            <w:r/>
            <w:r>
              <w:rPr>
                <w:b w:val="0"/>
                <w:i w:val="0"/>
                <w:sz w:val="19"/>
              </w:rPr>
              <w:t>15.3.5</w:t>
            </w:r>
          </w:p>
        </w:tc>
        <w:tc>
          <w:tcPr>
            <w:tcW w:type="dxa" w:w="4680"/>
          </w:tcPr>
          <w:p>
            <w:r/>
            <w:r>
              <w:rPr>
                <w:b/>
                <w:i w:val="0"/>
                <w:sz w:val="19"/>
              </w:rPr>
              <w:t>Nhận diện dự án.</w:t>
            </w:r>
            <w:r>
              <w:rPr>
                <w:b w:val="0"/>
                <w:i w:val="0"/>
                <w:sz w:val="19"/>
              </w:rPr>
              <w:t xml:space="preserve"> Sau khi nhận được phê duyệt đầu tư đấu thầu, tất cả các dự án khách hàng và mỗi cột mốc hợp đồng phải được nhận diện bằng một mã định danh duy nhất và được cung cấp cho hệ thống quản lý dự án theo định dạng yêu cầu. </w:t>
            </w:r>
            <w:r>
              <w:rPr>
                <w:b/>
                <w:i w:val="0"/>
                <w:sz w:val="19"/>
              </w:rPr>
              <w:t>Tham chiếu rủi ro: C-3, C-4, C-5</w:t>
            </w:r>
          </w:p>
        </w:tc>
      </w:tr>
      <w:tr>
        <w:tc>
          <w:tcPr>
            <w:tcW w:type="dxa" w:w="4680"/>
          </w:tcPr>
          <w:p>
            <w:r/>
            <w:r>
              <w:rPr>
                <w:b w:val="0"/>
                <w:i w:val="0"/>
                <w:sz w:val="19"/>
              </w:rPr>
              <w:t>15.3.6</w:t>
            </w:r>
          </w:p>
        </w:tc>
        <w:tc>
          <w:tcPr>
            <w:tcW w:type="dxa" w:w="4680"/>
          </w:tcPr>
          <w:p>
            <w:r/>
            <w:r>
              <w:rPr>
                <w:b/>
                <w:i w:val="0"/>
                <w:sz w:val="19"/>
              </w:rPr>
              <w:t>Tài liệu hợp đồng.</w:t>
            </w:r>
            <w:r>
              <w:rPr>
                <w:b w:val="0"/>
                <w:i w:val="0"/>
                <w:sz w:val="19"/>
              </w:rPr>
              <w:t xml:space="preserve"> Một Thỏa thuận mức dịch vụ (SLA) chi tiết hoặc Tuyên bố công việc (SOW) cùng với Đặc tả chức năng (hoặc tài liệu yêu cầu của khách hàng) phải được xây dựng và đưa vào hợp đồng gốc, nhằm xác định đường cơ sở để quản lý các thay đổi về phạm vi. Nếu SLA, SOW hoặc các tài liệu khác chưa được hoàn thành trước khi ký kết, hợp đồng phải quy định một quy trình để hoàn thành chúng. </w:t>
            </w:r>
            <w:r>
              <w:rPr>
                <w:b/>
                <w:i w:val="0"/>
                <w:sz w:val="19"/>
              </w:rPr>
              <w:t>Tham chiếu rủi ro: C-1, C-3, C-4, C-6, C-7, C-8</w:t>
            </w:r>
          </w:p>
        </w:tc>
      </w:tr>
      <w:tr>
        <w:tc>
          <w:tcPr>
            <w:tcW w:type="dxa" w:w="4680"/>
          </w:tcPr>
          <w:p>
            <w:r/>
            <w:r>
              <w:rPr>
                <w:b w:val="0"/>
                <w:i w:val="0"/>
                <w:sz w:val="19"/>
              </w:rPr>
              <w:t>15.3.7</w:t>
            </w:r>
          </w:p>
        </w:tc>
        <w:tc>
          <w:tcPr>
            <w:tcW w:type="dxa" w:w="4680"/>
          </w:tcPr>
          <w:p>
            <w:r/>
            <w:r>
              <w:rPr>
                <w:b/>
                <w:i w:val="0"/>
                <w:sz w:val="19"/>
              </w:rPr>
              <w:t>Theo dõi dự án.</w:t>
            </w:r>
            <w:r>
              <w:rPr>
                <w:b w:val="0"/>
                <w:i w:val="0"/>
                <w:sz w:val="19"/>
              </w:rPr>
              <w:t xml:space="preserve"> Tất cả các dự án khách hàng phải được theo dõi và báo cáo về doanh thu thực tế, chi phí, tài sản trực tiếp và các khoản nợ phải trả. </w:t>
            </w:r>
            <w:r>
              <w:rPr>
                <w:b/>
                <w:i w:val="0"/>
                <w:sz w:val="19"/>
              </w:rPr>
              <w:t>Tham chiếu rủi ro: C-9, C-10</w:t>
            </w:r>
          </w:p>
        </w:tc>
      </w:tr>
      <w:tr>
        <w:tc>
          <w:tcPr>
            <w:tcW w:type="dxa" w:w="4680"/>
          </w:tcPr>
          <w:p>
            <w:r/>
            <w:r>
              <w:rPr>
                <w:b w:val="0"/>
                <w:i w:val="0"/>
                <w:sz w:val="19"/>
              </w:rPr>
              <w:t>15.3.8</w:t>
            </w:r>
          </w:p>
        </w:tc>
        <w:tc>
          <w:tcPr>
            <w:tcW w:type="dxa" w:w="4680"/>
          </w:tcPr>
          <w:p>
            <w:r/>
            <w:r>
              <w:rPr>
                <w:b w:val="0"/>
                <w:i w:val="0"/>
                <w:sz w:val="19"/>
              </w:rPr>
              <w:t>Ghi nhận thời gian. Tất cả nhân viên PS trong một đơn vị toàn cầu hoặc thực địa đều phải ghi nhận nỗ lực của mình theo tuần, trừ khi bị luật địa phương cấm. Thông tin cần ghi nhận bao gồm:</w:t>
            </w:r>
            <w:r>
              <w:br/>
            </w:r>
            <w:r>
              <w:rPr>
                <w:b w:val="0"/>
                <w:i w:val="0"/>
                <w:sz w:val="19"/>
              </w:rPr>
              <w:t>a. Mã số nhân viên công ty</w:t>
            </w:r>
            <w:r>
              <w:br/>
            </w:r>
            <w:r>
              <w:rPr>
                <w:b w:val="0"/>
                <w:i w:val="0"/>
                <w:sz w:val="19"/>
              </w:rPr>
              <w:t>b. Ngày kết thúc tuần tài chính hoặc ngày cụ thể của hoạt động</w:t>
            </w:r>
            <w:r>
              <w:br/>
            </w:r>
            <w:r>
              <w:rPr>
                <w:b w:val="0"/>
                <w:i w:val="0"/>
                <w:sz w:val="19"/>
              </w:rPr>
              <w:t>c. Mã hoạt động (loại Điểm danh/Vắng mặt)</w:t>
            </w:r>
            <w:r>
              <w:br/>
            </w:r>
            <w:r>
              <w:rPr>
                <w:b w:val="0"/>
                <w:i w:val="0"/>
                <w:sz w:val="19"/>
              </w:rPr>
              <w:t>d. Mã định danh thành phần chương trình (PCI) hoặc ID Cấu trúc phân chia công việc (WBS)</w:t>
            </w:r>
            <w:r>
              <w:br/>
            </w:r>
            <w:r>
              <w:rPr>
                <w:b w:val="0"/>
                <w:i w:val="0"/>
                <w:sz w:val="19"/>
              </w:rPr>
              <w:t>e. Số giờ thực tế đã làm việc hoặc vắng mặt</w:t>
            </w:r>
            <w:r>
              <w:br/>
            </w:r>
            <w:r>
              <w:rPr>
                <w:b w:val="0"/>
                <w:i w:val="0"/>
                <w:sz w:val="19"/>
              </w:rPr>
              <w:t xml:space="preserve">f. Mã phân đoạn đơn vị kinh doanhNgười giám sát trực tiếp của nhân viên hoặc nhà thầu và người giám sát trực tiếp công việc được thực hiện chịu trách nhiệm về tính chính xác của thời gian được ghi nhận. </w:t>
            </w:r>
            <w:r>
              <w:rPr>
                <w:b/>
                <w:i w:val="0"/>
                <w:sz w:val="19"/>
              </w:rPr>
              <w:t>Tham chiếu rủi ro: C-9, C-11</w:t>
            </w:r>
          </w:p>
        </w:tc>
      </w:tr>
      <w:tr>
        <w:tc>
          <w:tcPr>
            <w:tcW w:type="dxa" w:w="4680"/>
          </w:tcPr>
          <w:p>
            <w:r/>
            <w:r>
              <w:rPr>
                <w:b w:val="0"/>
                <w:i w:val="0"/>
                <w:sz w:val="19"/>
              </w:rPr>
              <w:t>15.3.9</w:t>
            </w:r>
          </w:p>
        </w:tc>
        <w:tc>
          <w:tcPr>
            <w:tcW w:type="dxa" w:w="4680"/>
          </w:tcPr>
          <w:p>
            <w:r/>
            <w:r>
              <w:rPr>
                <w:b/>
                <w:i w:val="0"/>
                <w:sz w:val="19"/>
              </w:rPr>
              <w:t>Theo dõi doanh thu và chi phí.</w:t>
            </w:r>
            <w:r>
              <w:rPr>
                <w:b w:val="0"/>
                <w:i w:val="0"/>
                <w:sz w:val="19"/>
              </w:rPr>
              <w:t xml:space="preserve"> Các hoạt động doanh thu bao gồm nhập đơn hàng, xuất hóa đơn, ghi nhận doanh thu, bút toán hoãn lại và điều chỉnh doanh thu. Tất cả chi phí trực tiếp liên quan đến một chương trình hoặc dự án khách hàng phải được theo dõi cho chương trình hoặc dự án đó, tối thiểu là theo cột mốc chương trình và đơn vị tổ chức. </w:t>
            </w:r>
            <w:r>
              <w:rPr>
                <w:b/>
                <w:i w:val="0"/>
                <w:sz w:val="19"/>
              </w:rPr>
              <w:t>Tham chiếu rủi ro: C-9, C-11, C-12, C-13, C-14</w:t>
            </w:r>
          </w:p>
        </w:tc>
      </w:tr>
      <w:tr>
        <w:tc>
          <w:tcPr>
            <w:tcW w:type="dxa" w:w="4680"/>
          </w:tcPr>
          <w:p>
            <w:r/>
            <w:r>
              <w:rPr>
                <w:b w:val="0"/>
                <w:i w:val="0"/>
                <w:sz w:val="19"/>
              </w:rPr>
              <w:t>15.3.10</w:t>
            </w:r>
          </w:p>
        </w:tc>
        <w:tc>
          <w:tcPr>
            <w:tcW w:type="dxa" w:w="4680"/>
          </w:tcPr>
          <w:p>
            <w:r/>
            <w:r>
              <w:rPr>
                <w:b/>
                <w:i w:val="0"/>
                <w:sz w:val="19"/>
              </w:rPr>
              <w:t>Ngừng cung cấp dịch vụ.</w:t>
            </w:r>
            <w:r>
              <w:rPr>
                <w:b w:val="0"/>
                <w:i w:val="0"/>
                <w:sz w:val="19"/>
              </w:rPr>
              <w:t xml:space="preserve"> Cần thiết lập và triển khai các quy trình phù hợp để đánh giá và xác nhận các chương trình khách hàng trên 100K có thể được dự báo rơi vào tình trạng lỗ. Phải lập các khoản dự phòng lỗ đầy đủ cho những dự án khách hàng như vậy và thông báo đầy đủ sau khi tiến hành thẩm định kỹ lưỡng thông qua đánh giá chuyên môn, kỹ thuật và tài chính. Tất cả các dự án hiện đang có khoản dự phòng lỗ hoặc vừa rơi vào tình trạng lỗ phải báo cáo tình trạng tài chính của mình, bao gồm kế hoạch cải thiện hàng tháng, sử dụng các báo cáo ngoại lệ tiêu chuẩn. Việc báo cáo dự án nên do Trưởng chương trình (Program Manager) thực hiện cho các Trưởng bộ phận Thực hành và Tài chính Quốc gia/Khu vực. </w:t>
            </w:r>
            <w:r>
              <w:rPr>
                <w:b/>
                <w:i w:val="0"/>
                <w:sz w:val="19"/>
              </w:rPr>
              <w:t>Tham khảo các rủi ro: C-3, C-6, C-9, C-13</w:t>
            </w:r>
          </w:p>
        </w:tc>
      </w:tr>
      <w:tr>
        <w:tc>
          <w:tcPr>
            <w:tcW w:type="dxa" w:w="4680"/>
          </w:tcPr>
          <w:p>
            <w:r/>
            <w:r>
              <w:rPr>
                <w:b w:val="0"/>
                <w:i w:val="0"/>
                <w:sz w:val="19"/>
              </w:rPr>
              <w:t>15.3.11</w:t>
            </w:r>
          </w:p>
        </w:tc>
        <w:tc>
          <w:tcPr>
            <w:tcW w:type="dxa" w:w="4680"/>
          </w:tcPr>
          <w:p>
            <w:r/>
            <w:r>
              <w:rPr>
                <w:b w:val="0"/>
                <w:i w:val="0"/>
                <w:sz w:val="19"/>
              </w:rPr>
              <w:t>Quản lý kiểm soát thay đổi. Mọi thay đổi trong phạm vi dự án khách hàng, dù do khách hàng, công ty hay nhà thầu phụ bên thứ ba của công ty khởi xướng, đều phải được ghi vào nhật ký kiểm soát thay đổi và cần:</w:t>
            </w:r>
            <w:r>
              <w:br/>
            </w:r>
            <w:r>
              <w:rPr>
                <w:b w:val="0"/>
                <w:i w:val="0"/>
                <w:sz w:val="19"/>
              </w:rPr>
              <w:t>a. Tuân theo Kỹ thuật Kiểm soát Thay đổi QPM (hoặc quy trình khác mà khách hàng yêu cầu).</w:t>
            </w:r>
            <w:r>
              <w:br/>
            </w:r>
            <w:r>
              <w:rPr>
                <w:b w:val="0"/>
                <w:i w:val="0"/>
                <w:sz w:val="19"/>
              </w:rPr>
              <w:t>b. Được quản lý để đảm bảo công ty được đền bù đầy đủ cho mọi thay đổi.[</w:t>
            </w:r>
            <w:r>
              <w:br/>
            </w:r>
            <w:r>
              <w:rPr>
                <w:b w:val="0"/>
                <w:i w:val="0"/>
                <w:sz w:val="19"/>
              </w:rPr>
              <w:t>c. Đạt được sự hài lòng của khách hàng.Những thay đổi dẫn đến tăng hoặc giảm công sức, chi phí hoặc giá của giải pháp cuối cùng phải được báo cáo theo giá gộp đầy đủ. Mọi khoản giảm so với giá đó phải được phản ánh như một khoản trợ cấp theo định nghĩa của chính sách trợ cấp phù hợp.Trưởng dự án và khách hàng phải phê duyệt mọi thay đổi. Mọi thay đổi quan trọng cần sửa đổi hợp đồng phải được phê duyệt ở cấp phù hợp theo các chính sách đã thiết lập.Công ty và khách hàng mỗi bên phải chỉ định một đầu mối liên hệ duy nhất để quản lý quá trình thay đổi. Các thay đổi dự án đã được phê duyệt phải được ghi lại trong SLA, SOW, đặc tả chức năng và/hoặc đặc tả kiểm thử nghiệm thu. Cần có sửa đổi hợp đồng (thay đổi phạm vi), được cả hai bên ký, nếu thay đổi được yêu cầu dẫn đến bất kỳ điều nào sau đây:</w:t>
            </w:r>
            <w:r>
              <w:br/>
            </w:r>
            <w:r>
              <w:rPr>
                <w:b w:val="0"/>
                <w:i w:val="0"/>
                <w:sz w:val="19"/>
              </w:rPr>
              <w:t>a. Tăng hoặc giảm doanh thu hợp đồng</w:t>
            </w:r>
            <w:r>
              <w:br/>
            </w:r>
            <w:r>
              <w:rPr>
                <w:b w:val="0"/>
                <w:i w:val="0"/>
                <w:sz w:val="19"/>
              </w:rPr>
              <w:t>b. Thay đổi điều khoản thanh toán</w:t>
            </w:r>
            <w:r>
              <w:br/>
            </w:r>
            <w:r>
              <w:rPr>
                <w:b w:val="0"/>
                <w:i w:val="0"/>
                <w:sz w:val="19"/>
              </w:rPr>
              <w:t>c. Thay đổi tiến độ đối với các sản phẩm bàn giao theo hợp đồng</w:t>
            </w:r>
            <w:r>
              <w:br/>
            </w:r>
            <w:r>
              <w:rPr>
                <w:b w:val="0"/>
                <w:i w:val="0"/>
                <w:sz w:val="19"/>
              </w:rPr>
              <w:t xml:space="preserve">d. Bất kỳ thay đổi nào khác đối với quyền, nghĩa vụ hoặc trách nhiệm của công ty hoặc khách hàng theo hợp đồng có thể ảnh hưởng đến khả năng thực hiện hoặc được đền bù của công ty cho các dịch vụ đã cung cấp </w:t>
            </w:r>
            <w:r>
              <w:rPr>
                <w:b/>
                <w:i w:val="0"/>
                <w:sz w:val="19"/>
              </w:rPr>
              <w:t>Tham khảo các rủi ro: C-1, C-3, C-4, C-6, C-7, C-8</w:t>
            </w:r>
          </w:p>
        </w:tc>
      </w:tr>
      <w:tr>
        <w:tc>
          <w:tcPr>
            <w:tcW w:type="dxa" w:w="4680"/>
          </w:tcPr>
          <w:p>
            <w:r/>
            <w:r>
              <w:rPr>
                <w:b w:val="0"/>
                <w:i w:val="0"/>
                <w:sz w:val="19"/>
              </w:rPr>
              <w:t>15.3.12</w:t>
            </w:r>
          </w:p>
        </w:tc>
        <w:tc>
          <w:tcPr>
            <w:tcW w:type="dxa" w:w="4680"/>
          </w:tcPr>
          <w:p>
            <w:r/>
            <w:r>
              <w:rPr>
                <w:b/>
                <w:i w:val="0"/>
                <w:sz w:val="19"/>
              </w:rPr>
              <w:t>Hồ sơ dự án khách hàng.</w:t>
            </w:r>
            <w:r>
              <w:rPr>
                <w:b w:val="0"/>
                <w:i w:val="0"/>
                <w:sz w:val="19"/>
              </w:rPr>
              <w:t xml:space="preserve"> Mọi dự án khách hàng đều phải có một hồ sơ dự án khách hàng được duy trì xuyên suốt quá trình thực hiện. Hồ sơ dự án khách hàng phải sẵn sàng để xem xét theo các yêu cầu kiểm toán và pháp lý, và phải được lưu trữ sau khi hoàn thành dự án trong số năm dựa trên các yêu cầu quản lý hồ sơ và pháp lý của công ty và địa phương. </w:t>
            </w:r>
            <w:r>
              <w:rPr>
                <w:b/>
                <w:i w:val="0"/>
                <w:sz w:val="19"/>
              </w:rPr>
              <w:t>Tham khảo các rủi ro: C-3, C-4, C-6</w:t>
            </w:r>
          </w:p>
        </w:tc>
      </w:tr>
      <w:tr>
        <w:tc>
          <w:tcPr>
            <w:tcW w:type="dxa" w:w="4680"/>
          </w:tcPr>
          <w:p>
            <w:r/>
            <w:r>
              <w:rPr>
                <w:b w:val="0"/>
                <w:i w:val="0"/>
                <w:sz w:val="19"/>
              </w:rPr>
              <w:t>15.3.13</w:t>
            </w:r>
          </w:p>
        </w:tc>
        <w:tc>
          <w:tcPr>
            <w:tcW w:type="dxa" w:w="4680"/>
          </w:tcPr>
          <w:p>
            <w:r/>
            <w:r>
              <w:rPr>
                <w:b/>
                <w:i w:val="0"/>
                <w:sz w:val="19"/>
              </w:rPr>
              <w:t>Bảo mật thông tin dự án khách hàng.</w:t>
            </w:r>
            <w:r>
              <w:rPr>
                <w:b w:val="0"/>
                <w:i w:val="0"/>
                <w:sz w:val="19"/>
              </w:rPr>
              <w:t xml:space="preserve"> Mọi thông tin dự án khách hàng, bao gồm báo cáo tài chính, lịch trình, cấu trúc phân chia công việc, hợp đồng, chiến lược bán hàng, chiến lược đàm phán, tài liệu giải pháp kỹ thuật và bất kỳ tài liệu nào khác có thể áp dụng cho dự án, đều phải tuân thủ các tiêu chuẩn phân loại bảo mật của công ty. </w:t>
            </w:r>
            <w:r>
              <w:rPr>
                <w:b/>
                <w:i w:val="0"/>
                <w:sz w:val="19"/>
              </w:rPr>
              <w:t>Tham khảo các rủi ro: C-14, C-15</w:t>
            </w:r>
          </w:p>
        </w:tc>
      </w:tr>
      <w:tr>
        <w:tc>
          <w:tcPr>
            <w:tcW w:type="dxa" w:w="4680"/>
          </w:tcPr>
          <w:p>
            <w:r/>
            <w:r>
              <w:rPr>
                <w:b w:val="0"/>
                <w:i w:val="0"/>
                <w:sz w:val="19"/>
              </w:rPr>
              <w:t>15.3.14</w:t>
            </w:r>
          </w:p>
        </w:tc>
        <w:tc>
          <w:tcPr>
            <w:tcW w:type="dxa" w:w="4680"/>
          </w:tcPr>
          <w:p>
            <w:r/>
            <w:r>
              <w:rPr>
                <w:b/>
                <w:i w:val="0"/>
                <w:sz w:val="19"/>
              </w:rPr>
              <w:t>Giao tiếp.</w:t>
            </w:r>
            <w:r>
              <w:rPr>
                <w:b w:val="0"/>
                <w:i w:val="0"/>
                <w:sz w:val="19"/>
              </w:rPr>
              <w:t xml:space="preserve"> Cần xây dựng và triển khai các quy trình chính thức để truyền đạt và quản lý các phụ thuộc sản phẩm nội bộ trong công ty, vốn rất quan trọng đối với chức năng tương lai của một dự án khách hàng. </w:t>
            </w:r>
            <w:r>
              <w:rPr>
                <w:b/>
                <w:i w:val="0"/>
                <w:sz w:val="19"/>
              </w:rPr>
              <w:t>Tham khảo các rủi ro: C-3, C-4</w:t>
            </w:r>
          </w:p>
        </w:tc>
      </w:tr>
      <w:tr>
        <w:tc>
          <w:tcPr>
            <w:tcW w:type="dxa" w:w="4680"/>
          </w:tcPr>
          <w:p>
            <w:r/>
            <w:r>
              <w:rPr>
                <w:b w:val="0"/>
                <w:i w:val="0"/>
                <w:sz w:val="19"/>
              </w:rPr>
              <w:t>15.3.15</w:t>
            </w:r>
          </w:p>
        </w:tc>
        <w:tc>
          <w:tcPr>
            <w:tcW w:type="dxa" w:w="4680"/>
          </w:tcPr>
          <w:p>
            <w:r/>
            <w:r>
              <w:rPr>
                <w:b/>
                <w:i w:val="0"/>
                <w:sz w:val="19"/>
              </w:rPr>
              <w:t>Tìm nguồn lực.</w:t>
            </w:r>
            <w:r>
              <w:rPr>
                <w:b w:val="0"/>
                <w:i w:val="0"/>
                <w:sz w:val="19"/>
              </w:rPr>
              <w:t xml:space="preserve"> Trưởng dự án khách hàng chịu trách nhiệm tìm nguồn cho các yêu cầu nguồn lực của dự án. Trưởng dự án khách hàng nên đàm phán thời gian thực hiện dự án với trưởng bộ phận cung cấp nguồn lực. Trưởng bộ phận cho mượn nguồn lực nên được giảm chi phí theo mức chi phí chuẩn mỗi giờ do quốc gia thiết lập dựa trên mã công việc. Trưởng bộ phận cho mượn nguồn lực phải được ghi nhận đầy đủ vào mục tiêu khả năng tính phí của mình khi nhiệm vụ được tính phí cho khách hàng. </w:t>
            </w:r>
            <w:r>
              <w:rPr>
                <w:b/>
                <w:i w:val="0"/>
                <w:sz w:val="19"/>
              </w:rPr>
              <w:t>Tham khảo các rủi ro: C-3, C-4, C-9</w:t>
            </w:r>
          </w:p>
        </w:tc>
      </w:tr>
      <w:tr>
        <w:tc>
          <w:tcPr>
            <w:tcW w:type="dxa" w:w="4680"/>
          </w:tcPr>
          <w:p>
            <w:r/>
            <w:r>
              <w:rPr>
                <w:b w:val="0"/>
                <w:i w:val="0"/>
                <w:sz w:val="19"/>
              </w:rPr>
              <w:t>15.3.16</w:t>
            </w:r>
          </w:p>
        </w:tc>
        <w:tc>
          <w:tcPr>
            <w:tcW w:type="dxa" w:w="4680"/>
          </w:tcPr>
          <w:p>
            <w:r/>
            <w:r>
              <w:rPr>
                <w:b/>
                <w:i w:val="0"/>
                <w:sz w:val="19"/>
              </w:rPr>
              <w:t>Báo cáo tình trạng dự án.</w:t>
            </w:r>
            <w:r>
              <w:rPr>
                <w:b w:val="0"/>
                <w:i w:val="0"/>
                <w:sz w:val="19"/>
              </w:rPr>
              <w:t xml:space="preserve"> Cần thiết lập một quy trình được định nghĩa rõ ràng để đảm bảo các báo cáo tình trạng hàng tháng nhất quán và đều đặn cũng như dòng thông tin tình trạng điện tử tiêu chuẩn, khi cần thiết, được truyền đạt đến mọi cấp quản lý PS. Báo cáo tình trạng dự án nên do trưởng dự án duy trì và nộp cho trưởng bộ phận của mình để xem xét. </w:t>
            </w:r>
            <w:r>
              <w:rPr>
                <w:b/>
                <w:i w:val="0"/>
                <w:sz w:val="19"/>
              </w:rPr>
              <w:t>Tham khảo các rủi ro: C-3, C-4, C-6</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C-1</w:t>
            </w:r>
          </w:p>
        </w:tc>
        <w:tc>
          <w:tcPr>
            <w:tcW w:type="dxa" w:w="4680"/>
          </w:tcPr>
          <w:p>
            <w:r/>
            <w:r>
              <w:rPr>
                <w:b w:val="0"/>
                <w:i w:val="0"/>
                <w:sz w:val="19"/>
              </w:rPr>
              <w:t>Các hợp đồng dự án khách hàng có thể được thực hiện với mức giá và/hoặc điều khoản, điều kiện không đủ bù đắp chi phí chương trình.</w:t>
            </w:r>
          </w:p>
        </w:tc>
      </w:tr>
      <w:tr>
        <w:tc>
          <w:tcPr>
            <w:tcW w:type="dxa" w:w="4680"/>
          </w:tcPr>
          <w:p>
            <w:r/>
            <w:r>
              <w:rPr>
                <w:b w:val="0"/>
                <w:i w:val="0"/>
                <w:sz w:val="19"/>
              </w:rPr>
              <w:t>C-2</w:t>
            </w:r>
          </w:p>
        </w:tc>
        <w:tc>
          <w:tcPr>
            <w:tcW w:type="dxa" w:w="4680"/>
          </w:tcPr>
          <w:p>
            <w:r/>
            <w:r>
              <w:rPr>
                <w:b w:val="0"/>
                <w:i w:val="0"/>
                <w:sz w:val="19"/>
              </w:rPr>
              <w:t>Chi phí không theo kế hoạch/phát sinh quá mức có thể ảnh hưởng tiêu cực đến doanh thu và lợi nhuận của chương trình.</w:t>
            </w:r>
          </w:p>
        </w:tc>
      </w:tr>
      <w:tr>
        <w:tc>
          <w:tcPr>
            <w:tcW w:type="dxa" w:w="4680"/>
          </w:tcPr>
          <w:p>
            <w:r/>
            <w:r>
              <w:rPr>
                <w:b w:val="0"/>
                <w:i w:val="0"/>
                <w:sz w:val="19"/>
              </w:rPr>
              <w:t>C-3</w:t>
            </w:r>
          </w:p>
        </w:tc>
        <w:tc>
          <w:tcPr>
            <w:tcW w:type="dxa" w:w="4680"/>
          </w:tcPr>
          <w:p>
            <w:r/>
            <w:r>
              <w:rPr>
                <w:b w:val="0"/>
                <w:i w:val="0"/>
                <w:sz w:val="19"/>
              </w:rPr>
              <w:t>Việc bị phạt tiền hoặc chịu hình phạt và tổn thất uy tín có thể xảy ra do không đạt được các cột mốc dịch vụ.</w:t>
            </w:r>
          </w:p>
        </w:tc>
      </w:tr>
      <w:tr>
        <w:tc>
          <w:tcPr>
            <w:tcW w:type="dxa" w:w="4680"/>
          </w:tcPr>
          <w:p>
            <w:r/>
            <w:r>
              <w:rPr>
                <w:b w:val="0"/>
                <w:i w:val="0"/>
                <w:sz w:val="19"/>
              </w:rPr>
              <w:t>C-4</w:t>
            </w:r>
          </w:p>
        </w:tc>
        <w:tc>
          <w:tcPr>
            <w:tcW w:type="dxa" w:w="4680"/>
          </w:tcPr>
          <w:p>
            <w:r/>
            <w:r>
              <w:rPr>
                <w:b w:val="0"/>
                <w:i w:val="0"/>
                <w:sz w:val="19"/>
              </w:rPr>
              <w:t>Khách hàng có thể không hài lòng.</w:t>
            </w:r>
          </w:p>
        </w:tc>
      </w:tr>
      <w:tr>
        <w:tc>
          <w:tcPr>
            <w:tcW w:type="dxa" w:w="4680"/>
          </w:tcPr>
          <w:p>
            <w:r/>
            <w:r>
              <w:rPr>
                <w:b w:val="0"/>
                <w:i w:val="0"/>
                <w:sz w:val="19"/>
              </w:rPr>
              <w:t>C-6</w:t>
            </w:r>
          </w:p>
        </w:tc>
        <w:tc>
          <w:tcPr>
            <w:tcW w:type="dxa" w:w="4680"/>
          </w:tcPr>
          <w:p>
            <w:r/>
            <w:r>
              <w:rPr>
                <w:b w:val="0"/>
                <w:i w:val="0"/>
                <w:sz w:val="19"/>
              </w:rPr>
              <w:t>Công ty có thể phải chịu trách nhiệm cho sự cẩu thả, sai sót hoặc thiếu sót của bên khác, dẫn đến tổn thất tài chính cho các cổ đông của chúng ta.</w:t>
            </w:r>
          </w:p>
        </w:tc>
      </w:tr>
      <w:tr>
        <w:tc>
          <w:tcPr>
            <w:tcW w:type="dxa" w:w="4680"/>
          </w:tcPr>
          <w:p>
            <w:r/>
            <w:r>
              <w:rPr>
                <w:b w:val="0"/>
                <w:i w:val="0"/>
                <w:sz w:val="19"/>
              </w:rPr>
              <w:t>C-7</w:t>
            </w:r>
          </w:p>
        </w:tc>
        <w:tc>
          <w:tcPr>
            <w:tcW w:type="dxa" w:w="4680"/>
          </w:tcPr>
          <w:p>
            <w:r/>
            <w:r>
              <w:rPr>
                <w:b w:val="0"/>
                <w:i w:val="0"/>
                <w:sz w:val="19"/>
              </w:rPr>
              <w:t>Nếu hợp đồng không nhất quán về các điều khoản trách nhiệm, hợp đồng có thể không có hiệu lực thi hành.</w:t>
            </w:r>
          </w:p>
        </w:tc>
      </w:tr>
      <w:tr>
        <w:tc>
          <w:tcPr>
            <w:tcW w:type="dxa" w:w="4680"/>
          </w:tcPr>
          <w:p>
            <w:r/>
            <w:r>
              <w:rPr>
                <w:b w:val="0"/>
                <w:i w:val="0"/>
                <w:sz w:val="19"/>
              </w:rPr>
              <w:t>C-8</w:t>
            </w:r>
          </w:p>
        </w:tc>
        <w:tc>
          <w:tcPr>
            <w:tcW w:type="dxa" w:w="4680"/>
          </w:tcPr>
          <w:p>
            <w:r/>
            <w:r>
              <w:rPr>
                <w:b w:val="0"/>
                <w:i w:val="0"/>
                <w:sz w:val="19"/>
              </w:rPr>
              <w:t>Vị thế cạnh tranh hoặc uy tín của công ty có thể bị ảnh hưởng tiêu cực.</w:t>
            </w:r>
          </w:p>
        </w:tc>
      </w:tr>
      <w:tr>
        <w:tc>
          <w:tcPr>
            <w:tcW w:type="dxa" w:w="4680"/>
          </w:tcPr>
          <w:p>
            <w:r/>
            <w:r>
              <w:rPr>
                <w:b w:val="0"/>
                <w:i w:val="0"/>
                <w:sz w:val="19"/>
              </w:rPr>
              <w:t>C-9</w:t>
            </w:r>
          </w:p>
        </w:tc>
        <w:tc>
          <w:tcPr>
            <w:tcW w:type="dxa" w:w="4680"/>
          </w:tcPr>
          <w:p>
            <w:r/>
            <w:r>
              <w:rPr>
                <w:b w:val="0"/>
                <w:i w:val="0"/>
                <w:sz w:val="19"/>
              </w:rPr>
              <w:t>Chi phí hoặc doanh thu không chính xác được ghi nhận vào các dự án khách hàng và ảnh hưởng tiêu cực đến lợi nhuận.</w:t>
            </w:r>
          </w:p>
        </w:tc>
      </w:tr>
      <w:tr>
        <w:tc>
          <w:tcPr>
            <w:tcW w:type="dxa" w:w="4680"/>
          </w:tcPr>
          <w:p>
            <w:r/>
            <w:r>
              <w:rPr>
                <w:b w:val="0"/>
                <w:i w:val="0"/>
                <w:sz w:val="19"/>
              </w:rPr>
              <w:t>C-10</w:t>
            </w:r>
          </w:p>
        </w:tc>
        <w:tc>
          <w:tcPr>
            <w:tcW w:type="dxa" w:w="4680"/>
          </w:tcPr>
          <w:p>
            <w:r/>
            <w:r>
              <w:rPr>
                <w:b w:val="0"/>
                <w:i w:val="0"/>
                <w:sz w:val="19"/>
              </w:rPr>
              <w:t>Các sai sót cố ý hoặc hành vi biển thủ tài sản có thể không bị phát hiện.</w:t>
            </w:r>
          </w:p>
        </w:tc>
      </w:tr>
      <w:tr>
        <w:tc>
          <w:tcPr>
            <w:tcW w:type="dxa" w:w="4680"/>
          </w:tcPr>
          <w:p>
            <w:r/>
            <w:r>
              <w:rPr>
                <w:b w:val="0"/>
                <w:i w:val="0"/>
                <w:sz w:val="19"/>
              </w:rPr>
              <w:t>C-11</w:t>
            </w:r>
          </w:p>
        </w:tc>
        <w:tc>
          <w:tcPr>
            <w:tcW w:type="dxa" w:w="4680"/>
          </w:tcPr>
          <w:p>
            <w:r/>
            <w:r>
              <w:rPr>
                <w:b w:val="0"/>
                <w:i w:val="0"/>
                <w:sz w:val="19"/>
              </w:rPr>
              <w:t>Có thể phát sinh các chi phí không được phép, và tiền có thể bị sử dụng sai mục đích.</w:t>
            </w:r>
          </w:p>
        </w:tc>
      </w:tr>
      <w:tr>
        <w:tc>
          <w:tcPr>
            <w:tcW w:type="dxa" w:w="4680"/>
          </w:tcPr>
          <w:p>
            <w:r/>
            <w:r>
              <w:rPr>
                <w:b w:val="0"/>
                <w:i w:val="0"/>
                <w:sz w:val="19"/>
              </w:rPr>
              <w:t>C-12</w:t>
            </w:r>
          </w:p>
        </w:tc>
        <w:tc>
          <w:tcPr>
            <w:tcW w:type="dxa" w:w="4680"/>
          </w:tcPr>
          <w:p>
            <w:r/>
            <w:r>
              <w:rPr>
                <w:b w:val="0"/>
                <w:i w:val="0"/>
                <w:sz w:val="19"/>
              </w:rPr>
              <w:t>Thông tin trong hồ sơ kế toán của công ty có thể không chính xác, và báo cáo tài chính có thể không được trình bày trung thực.</w:t>
            </w:r>
          </w:p>
        </w:tc>
      </w:tr>
      <w:tr>
        <w:tc>
          <w:tcPr>
            <w:tcW w:type="dxa" w:w="4680"/>
          </w:tcPr>
          <w:p>
            <w:r/>
            <w:r>
              <w:rPr>
                <w:b w:val="0"/>
                <w:i w:val="0"/>
                <w:sz w:val="19"/>
              </w:rPr>
              <w:t>C-13</w:t>
            </w:r>
          </w:p>
        </w:tc>
        <w:tc>
          <w:tcPr>
            <w:tcW w:type="dxa" w:w="4680"/>
          </w:tcPr>
          <w:p>
            <w:r/>
            <w:r>
              <w:rPr>
                <w:b w:val="0"/>
                <w:i w:val="0"/>
                <w:sz w:val="19"/>
              </w:rPr>
              <w:t>Các quyết định tài chính của ban lãnh đạo công ty có thể bị sai lệch do sử dụng dữ liệu tài chính không chính xác hoặc không nhất quán.</w:t>
            </w:r>
          </w:p>
        </w:tc>
      </w:tr>
      <w:tr>
        <w:tc>
          <w:tcPr>
            <w:tcW w:type="dxa" w:w="4680"/>
          </w:tcPr>
          <w:p>
            <w:r/>
            <w:r>
              <w:rPr>
                <w:b w:val="0"/>
                <w:i w:val="0"/>
                <w:sz w:val="19"/>
              </w:rPr>
              <w:t>C-14</w:t>
            </w:r>
          </w:p>
        </w:tc>
        <w:tc>
          <w:tcPr>
            <w:tcW w:type="dxa" w:w="4680"/>
          </w:tcPr>
          <w:p>
            <w:r/>
            <w:r>
              <w:rPr>
                <w:b w:val="0"/>
                <w:i w:val="0"/>
                <w:sz w:val="19"/>
              </w:rPr>
              <w:t>Giá hợp đồng có thể bị giảm và/hoặc chi phí bị từ chối do không tuân thủ, định giá sai lệch, và/hoặc tài liệu chứng minh không đầy đủ cho các chi phí được báo cáo.</w:t>
            </w:r>
          </w:p>
        </w:tc>
      </w:tr>
      <w:tr>
        <w:tc>
          <w:tcPr>
            <w:tcW w:type="dxa" w:w="4680"/>
          </w:tcPr>
          <w:p>
            <w:r/>
            <w:r>
              <w:rPr>
                <w:b w:val="0"/>
                <w:i w:val="0"/>
                <w:sz w:val="19"/>
              </w:rPr>
              <w:t>C-15</w:t>
            </w:r>
          </w:p>
        </w:tc>
        <w:tc>
          <w:tcPr>
            <w:tcW w:type="dxa" w:w="4680"/>
          </w:tcPr>
          <w:p>
            <w:r/>
            <w:r>
              <w:rPr>
                <w:b w:val="0"/>
                <w:i w:val="0"/>
                <w:sz w:val="19"/>
              </w:rPr>
              <w:t>Việc sử dụng trái phép thông tin khách hàng mật có thể dẫn đến các hình phạt pháp lý và có thể ảnh hưởng tiêu cực đến uy tín và vị thế cạnh tranh của công ty.</w:t>
            </w:r>
          </w:p>
        </w:tc>
      </w:tr>
    </w:tbl>
    <w:p>
      <w:pPr>
        <w:spacing w:after="0"/>
      </w:pPr>
    </w:p>
    <w:p>
      <w:pPr>
        <w:pStyle w:val="Heading2"/>
      </w:pPr>
      <w:r>
        <w:rPr>
          <w:rFonts w:ascii="Calibri" w:hAnsi="Calibri"/>
          <w:b/>
          <w:i w:val="0"/>
          <w:sz w:val="32"/>
        </w:rPr>
        <w:t>15.4 QUẢN LÝ ĐƠN HÀNG KHÁCH HÀNG</w:t>
      </w:r>
    </w:p>
    <w:p>
      <w:pPr>
        <w:pStyle w:val="Heading3"/>
      </w:pPr>
      <w:r>
        <w:rPr>
          <w:rFonts w:ascii="Calibri" w:hAnsi="Calibri"/>
          <w:b/>
          <w:i w:val="0"/>
          <w:sz w:val="26"/>
        </w:rPr>
        <w:t>Giới thiệu</w:t>
      </w:r>
    </w:p>
    <w:p>
      <w:pPr>
        <w:spacing w:after="80"/>
      </w:pPr>
      <w:r>
        <w:rPr>
          <w:b w:val="0"/>
          <w:i w:val="0"/>
        </w:rPr>
        <w:t>Tất cả các đơn hàng chỉ định dịch vụ chuyên nghiệp đều cần được phê duyệt. Các đơn hàng và việc hủy chứng nhận đơn hàng phải được lập thành văn bản và thông báo đến bộ phận tiếp nhận đơn hàng theo cách thức chuẩn và kịp thời. Mọi khoản trợ cấp được cấp phải được ban lãnh đạo PS phê duyệt trước khi cam kết với khách hàng. Mọi hợp đồng dịch vụ phải được định giá bằng một mô hình định giá nhất quán, thiết lập mức giá chuẩn cho hợp đồng đó. Mỗi quốc gia phải thiết lập một mức phí thanh toán chuẩn cho các dịch vụ tính theo phí được sử dụng để tính giá chuẩn.</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15.4.1</w:t>
            </w:r>
          </w:p>
        </w:tc>
        <w:tc>
          <w:tcPr>
            <w:tcW w:type="dxa" w:w="4680"/>
          </w:tcPr>
          <w:p>
            <w:r/>
            <w:r>
              <w:rPr>
                <w:b/>
                <w:i w:val="0"/>
                <w:sz w:val="19"/>
              </w:rPr>
              <w:t>Chứng nhận Đơn hàng.</w:t>
            </w:r>
            <w:r>
              <w:rPr>
                <w:b w:val="0"/>
                <w:i w:val="0"/>
                <w:sz w:val="19"/>
              </w:rPr>
              <w:t xml:space="preserve"> Các đơn hàng cho dịch vụ nhiều năm được chứng nhận cho số tiền của năm đầu tiên ban đầu và theo cơ sở hàng quý sau đó, cho đến khi đơn hàng được chứng nhận hoàn toàn. </w:t>
            </w:r>
            <w:r>
              <w:rPr>
                <w:b/>
                <w:i w:val="0"/>
                <w:sz w:val="19"/>
              </w:rPr>
              <w:t>Tham khảo các rủi ro: D-1, D-2, D-3, D-4, D-5</w:t>
            </w:r>
          </w:p>
        </w:tc>
      </w:tr>
      <w:tr>
        <w:tc>
          <w:tcPr>
            <w:tcW w:type="dxa" w:w="4680"/>
          </w:tcPr>
          <w:p>
            <w:r/>
            <w:r>
              <w:rPr>
                <w:b w:val="0"/>
                <w:i w:val="0"/>
                <w:sz w:val="19"/>
              </w:rPr>
              <w:t>15.4.2</w:t>
            </w:r>
          </w:p>
        </w:tc>
        <w:tc>
          <w:tcPr>
            <w:tcW w:type="dxa" w:w="4680"/>
          </w:tcPr>
          <w:p>
            <w:r/>
            <w:r>
              <w:rPr>
                <w:b/>
                <w:i w:val="0"/>
                <w:sz w:val="19"/>
              </w:rPr>
              <w:t>Quản lý đơn hàng.</w:t>
            </w:r>
            <w:r>
              <w:rPr>
                <w:b w:val="0"/>
                <w:i w:val="0"/>
                <w:sz w:val="19"/>
              </w:rPr>
              <w:t xml:space="preserve"> Cần xây dựng và triển khai một định dạng chuẩn để xử lý đơn hàng, bao gồm tất cả các phần tử dữ liệu cần thiết cho việc xử lý đơn hàng cũng như dữ liệu mà bộ phận dịch vụ chuyên nghiệp cần cho việc báo cáo ở các khâu sau. </w:t>
            </w:r>
            <w:r>
              <w:rPr>
                <w:b/>
                <w:i w:val="0"/>
                <w:sz w:val="19"/>
              </w:rPr>
              <w:t>Tham chiếu rủi ro: D-1, D-2, D-3, D-4, D-5</w:t>
            </w:r>
          </w:p>
        </w:tc>
      </w:tr>
      <w:tr>
        <w:tc>
          <w:tcPr>
            <w:tcW w:type="dxa" w:w="4680"/>
          </w:tcPr>
          <w:p>
            <w:r/>
            <w:r>
              <w:rPr>
                <w:b w:val="0"/>
                <w:i w:val="0"/>
                <w:sz w:val="19"/>
              </w:rPr>
              <w:t>15.4.3</w:t>
            </w:r>
          </w:p>
        </w:tc>
        <w:tc>
          <w:tcPr>
            <w:tcW w:type="dxa" w:w="4680"/>
          </w:tcPr>
          <w:p>
            <w:r/>
            <w:r>
              <w:rPr>
                <w:b w:val="0"/>
                <w:i w:val="0"/>
                <w:sz w:val="19"/>
              </w:rPr>
              <w:t>Hủy chứng nhận đơn hàng. Một đơn hàng phải bị hủy chứng nhận nếu:</w:t>
            </w:r>
            <w:r>
              <w:br/>
            </w:r>
            <w:r>
              <w:rPr>
                <w:b w:val="0"/>
                <w:i w:val="0"/>
                <w:sz w:val="19"/>
              </w:rPr>
              <w:t>a. Khách hàng hủy đơn hàng.</w:t>
            </w:r>
            <w:r>
              <w:br/>
            </w:r>
            <w:r>
              <w:rPr>
                <w:b w:val="0"/>
                <w:i w:val="0"/>
                <w:sz w:val="19"/>
              </w:rPr>
              <w:t>b. Bất kỳ khoản tiền chưa sử dụng nào cho các dịch vụ PS còn lại trên đơn đặt hàng của khách hàng sau khi hoàn thành dịch vụ vẫn chưa được sử dụng trong vòng 12 tháng kể từ ngày đặt hàng.</w:t>
            </w:r>
            <w:r>
              <w:br/>
            </w:r>
            <w:r>
              <w:rPr>
                <w:b w:val="0"/>
                <w:i w:val="0"/>
                <w:sz w:val="19"/>
              </w:rPr>
              <w:t>c. Đơn đặt hàng của khách hàng đã hết hạn.</w:t>
            </w:r>
            <w:r>
              <w:br/>
            </w:r>
            <w:r>
              <w:rPr>
                <w:b w:val="0"/>
                <w:i w:val="0"/>
                <w:sz w:val="19"/>
              </w:rPr>
              <w:t xml:space="preserve">d. Không có thêm hoạt động kinh doanh nào được dự kiến đối với đơn đặt hàng của khách hàng.Tất cả các trường hợp hủy chứng nhận phải được phê duyệt bởi bộ phận có thẩm quyền hoặc người được chỉ định. Người phê duyệt phải xác nhận rằng các dịch vụ đang bị hủy chưa được cung cấp. </w:t>
            </w:r>
            <w:r>
              <w:rPr>
                <w:b/>
                <w:i w:val="0"/>
                <w:sz w:val="19"/>
              </w:rPr>
              <w:t>Tham chiếu rủi ro: D-1, D-2, D-3, D-4, D-5</w:t>
            </w:r>
          </w:p>
        </w:tc>
      </w:tr>
      <w:tr>
        <w:tc>
          <w:tcPr>
            <w:tcW w:type="dxa" w:w="4680"/>
          </w:tcPr>
          <w:p>
            <w:r/>
            <w:r>
              <w:rPr>
                <w:b w:val="0"/>
                <w:i w:val="0"/>
                <w:sz w:val="19"/>
              </w:rPr>
              <w:t>15.4.4</w:t>
            </w:r>
          </w:p>
        </w:tc>
        <w:tc>
          <w:tcPr>
            <w:tcW w:type="dxa" w:w="4680"/>
          </w:tcPr>
          <w:p>
            <w:r/>
            <w:r>
              <w:rPr>
                <w:b/>
                <w:i w:val="0"/>
                <w:sz w:val="19"/>
              </w:rPr>
              <w:t>Giảm giá.</w:t>
            </w:r>
            <w:r>
              <w:rPr>
                <w:b w:val="0"/>
                <w:i w:val="0"/>
                <w:sz w:val="19"/>
              </w:rPr>
              <w:t xml:space="preserve"> Hợp đồng PS phải được định giá theo chính sách giá tiêu chuẩn trước khi tính toán các khoản giảm giá. </w:t>
            </w:r>
            <w:r>
              <w:rPr>
                <w:b/>
                <w:i w:val="0"/>
                <w:sz w:val="19"/>
              </w:rPr>
              <w:t>Tham chiếu rủi ro: D-6, D-7, D-8</w:t>
            </w:r>
          </w:p>
        </w:tc>
      </w:tr>
      <w:tr>
        <w:tc>
          <w:tcPr>
            <w:tcW w:type="dxa" w:w="4680"/>
          </w:tcPr>
          <w:p>
            <w:r/>
            <w:r>
              <w:rPr>
                <w:b w:val="0"/>
                <w:i w:val="0"/>
                <w:sz w:val="19"/>
              </w:rPr>
              <w:t>15.4.5</w:t>
            </w:r>
          </w:p>
        </w:tc>
        <w:tc>
          <w:tcPr>
            <w:tcW w:type="dxa" w:w="4680"/>
          </w:tcPr>
          <w:p>
            <w:r/>
            <w:r>
              <w:rPr>
                <w:b/>
                <w:i w:val="0"/>
                <w:sz w:val="19"/>
              </w:rPr>
              <w:t>Định giá.</w:t>
            </w:r>
            <w:r>
              <w:rPr>
                <w:b w:val="0"/>
                <w:i w:val="0"/>
                <w:sz w:val="19"/>
              </w:rPr>
              <w:t xml:space="preserve"> Mọi khoản chiết khấu hoặc giảm giá đều có thể được ghi nhận, phê duyệt và trừ khỏi giá tiêu chuẩn để xác định giá dự thầu. Không khách hàng nào được ký kết hợp đồng trên cơ sở thanh toán theo kết quả (tức là thanh toán dựa trên kết quả của khách hàng) trừ khi có được phê duyệt ngoại lệ theo chính sách. </w:t>
            </w:r>
            <w:r>
              <w:rPr>
                <w:b/>
                <w:i w:val="0"/>
                <w:sz w:val="19"/>
              </w:rPr>
              <w:t>Tham chiếu rủi ro: D-6, D-7, D-8</w:t>
            </w:r>
          </w:p>
        </w:tc>
      </w:tr>
      <w:tr>
        <w:tc>
          <w:tcPr>
            <w:tcW w:type="dxa" w:w="4680"/>
          </w:tcPr>
          <w:p>
            <w:r/>
            <w:r>
              <w:rPr>
                <w:b w:val="0"/>
                <w:i w:val="0"/>
                <w:sz w:val="19"/>
              </w:rPr>
              <w:t>15.4.6</w:t>
            </w:r>
          </w:p>
        </w:tc>
        <w:tc>
          <w:tcPr>
            <w:tcW w:type="dxa" w:w="4680"/>
          </w:tcPr>
          <w:p>
            <w:r/>
            <w:r>
              <w:rPr>
                <w:b/>
                <w:i w:val="0"/>
                <w:sz w:val="19"/>
              </w:rPr>
              <w:t>Thầu phụ.</w:t>
            </w:r>
            <w:r>
              <w:rPr>
                <w:b w:val="0"/>
                <w:i w:val="0"/>
                <w:sz w:val="19"/>
              </w:rPr>
              <w:t xml:space="preserve"> Tất cả các thỏa thuận hợp tác với các công ty bên thứ ba phải được xem xét và phê duyệt theo các yêu cầu phê duyệt của công ty. </w:t>
            </w:r>
            <w:r>
              <w:rPr>
                <w:b/>
                <w:i w:val="0"/>
                <w:sz w:val="19"/>
              </w:rPr>
              <w:t>Tham chiếu rủi ro: D-2, D-4, D-6, D-9, D-10</w:t>
            </w:r>
          </w:p>
        </w:tc>
      </w:tr>
      <w:tr>
        <w:tc>
          <w:tcPr>
            <w:tcW w:type="dxa" w:w="4680"/>
          </w:tcPr>
          <w:p>
            <w:r/>
            <w:r>
              <w:rPr>
                <w:b w:val="0"/>
                <w:i w:val="0"/>
                <w:sz w:val="19"/>
              </w:rPr>
              <w:t>15.4.7</w:t>
            </w:r>
          </w:p>
        </w:tc>
        <w:tc>
          <w:tcPr>
            <w:tcW w:type="dxa" w:w="4680"/>
          </w:tcPr>
          <w:p>
            <w:r/>
            <w:r>
              <w:rPr>
                <w:b/>
                <w:i w:val="0"/>
                <w:sz w:val="19"/>
              </w:rPr>
              <w:t>Cung cấp dịch vụ/sản phẩm không có đơn đặt hàng.</w:t>
            </w:r>
            <w:r>
              <w:rPr>
                <w:b w:val="0"/>
                <w:i w:val="0"/>
                <w:sz w:val="19"/>
              </w:rPr>
              <w:t xml:space="preserve"> Không được cung cấp dịch vụ hoặc sản phẩm cho khách hàng trước khi ký kết hợp đồng và nhận được đơn đặt hàng. Thư ngỏ ý định có thể xuất hóa đơn được bộ phận pháp lý phê duyệt là chấp nhận được trong một số trường hợp hạn chế, cho đến khi hợp đồng cuối cùng có thể được ký. Một thỏa thuận có tính ràng buộc pháp lý và có thể xuất hóa đơn được chấp nhận thay cho PO, nhưng điều này không được khuyến khích. Tất cả các ngoại lệ phải được phê duyệt đúng cách theo các cấp thẩm quyền và chính sách phê duyệt đã được thiết lập. </w:t>
            </w:r>
            <w:r>
              <w:rPr>
                <w:b/>
                <w:i w:val="0"/>
                <w:sz w:val="19"/>
              </w:rPr>
              <w:t>Tham chiếu rủi ro: D-1, D-3, D-4, D-5</w:t>
            </w:r>
          </w:p>
        </w:tc>
      </w:tr>
      <w:tr>
        <w:tc>
          <w:tcPr>
            <w:tcW w:type="dxa" w:w="4680"/>
          </w:tcPr>
          <w:p>
            <w:r/>
            <w:r>
              <w:rPr>
                <w:b w:val="0"/>
                <w:i w:val="0"/>
                <w:sz w:val="19"/>
              </w:rPr>
              <w:t>15.4.8</w:t>
            </w:r>
          </w:p>
        </w:tc>
        <w:tc>
          <w:tcPr>
            <w:tcW w:type="dxa" w:w="4680"/>
          </w:tcPr>
          <w:p>
            <w:r/>
            <w:r>
              <w:rPr>
                <w:b/>
                <w:i w:val="0"/>
                <w:sz w:val="19"/>
              </w:rPr>
              <w:t>Phần mềm được vốn hóa.</w:t>
            </w:r>
            <w:r>
              <w:rPr>
                <w:b w:val="0"/>
                <w:i w:val="0"/>
                <w:sz w:val="19"/>
              </w:rPr>
              <w:t xml:space="preserve"> Các chi phí liên quan đến việc phát triển phần mềm được sử dụng trong các dự án khách hàng nên được xử lý như chi phí cung cấp dự án đó, được phản ánh dựa trên doanh thu của dự án và không nên được vốn hóa trừ khi đã nhận được phê duyệt trước. Để bắt đầu vốn hóa chi phí phát triển phần mềm một cách phù hợp, điều quan trọng là phải xác định hướng dẫn phù hợp. Theo U.S. GAAP, có hai bộ quy tắc chính tiềm năng có thể áp dụng khi xác định liệu chi phí phát triển phần mềm nên được vốn hóa hay ghi nhận là chi phí.Một bộ quy tắc (FASB Accounting Standards Codification (ASC) Topic 985, Software) được thiết kế cho các chi phí phần mềm mà thực thể dự định bán hoặc cho thuê. Những quy tắc này, thường được gọi là quy tắc vốn hóa phần mềm cho phần mềm sử dụng bên ngoài, là trọng tâm chính của bài viết này. Bộ quy tắc còn lại (ASC Topic 350, Intangibles—Goodwill and Other) điều chỉnh phần mềm mà thực thể không dự định bán hoặc cho thuê. Những quy tắc này thường được gọi là quy tắc vốn hóa phần mềm cho phần mềm sử dụng nội bộ. </w:t>
            </w:r>
            <w:r>
              <w:rPr>
                <w:b/>
                <w:i w:val="0"/>
                <w:sz w:val="19"/>
              </w:rPr>
              <w:t>Tham chiếu rủi ro: D-11, D-12</w:t>
            </w:r>
          </w:p>
        </w:tc>
      </w:tr>
      <w:tr>
        <w:tc>
          <w:tcPr>
            <w:tcW w:type="dxa" w:w="4680"/>
          </w:tcPr>
          <w:p>
            <w:r/>
            <w:r>
              <w:rPr>
                <w:b w:val="0"/>
                <w:i w:val="0"/>
                <w:sz w:val="19"/>
              </w:rPr>
              <w:t>15.4.9</w:t>
            </w:r>
          </w:p>
        </w:tc>
        <w:tc>
          <w:tcPr>
            <w:tcW w:type="dxa" w:w="4680"/>
          </w:tcPr>
          <w:p>
            <w:r/>
            <w:r>
              <w:rPr>
                <w:b/>
                <w:i w:val="0"/>
                <w:sz w:val="19"/>
              </w:rPr>
              <w:t>Xuất hóa đơn.</w:t>
            </w:r>
            <w:r>
              <w:rPr>
                <w:b w:val="0"/>
                <w:i w:val="0"/>
                <w:sz w:val="19"/>
              </w:rPr>
              <w:t xml:space="preserve"> Các quy trình xuất hóa đơn tiêu chuẩn của công ty phải được thiết lập cho tất cả các hợp đồng khách hàng có thể xuất hóa đơn trên toàn cầu, bất kể PS có trực tiếp tạo hóa đơn hay có thỏa thuận với một đơn vị kinh doanh khác. Các biện pháp kiểm soát phù hợp nên bao gồm phê duyệt hóa đơn thủ công, thiết lập các chỉ số và giám sát tiến độ xuất hóa đơn, theo dõi hàng quý và thực hiện hành động khắc phục khi cần thiết </w:t>
            </w:r>
            <w:r>
              <w:rPr>
                <w:b/>
                <w:i w:val="0"/>
                <w:sz w:val="19"/>
              </w:rPr>
              <w:t>Tham chiếu rủi ro: D-6, D-9, D-13, D-14, D-15</w:t>
            </w:r>
          </w:p>
        </w:tc>
      </w:tr>
      <w:tr>
        <w:tc>
          <w:tcPr>
            <w:tcW w:type="dxa" w:w="4680"/>
          </w:tcPr>
          <w:p>
            <w:r/>
            <w:r>
              <w:rPr>
                <w:b w:val="0"/>
                <w:i w:val="0"/>
                <w:sz w:val="19"/>
              </w:rPr>
              <w:t>15.4.10</w:t>
            </w:r>
          </w:p>
        </w:tc>
        <w:tc>
          <w:tcPr>
            <w:tcW w:type="dxa" w:w="4680"/>
          </w:tcPr>
          <w:p>
            <w:r/>
            <w:r>
              <w:rPr>
                <w:b/>
                <w:i w:val="0"/>
                <w:sz w:val="19"/>
              </w:rPr>
              <w:t>Khoản phải thu.</w:t>
            </w:r>
            <w:r>
              <w:rPr>
                <w:b w:val="0"/>
                <w:i w:val="0"/>
                <w:sz w:val="19"/>
              </w:rPr>
              <w:t xml:space="preserve"> Các chính sách và thủ tục kiểm soát tiêu chuẩn phải được thiết lập và tuân thủ để duy trì số dư khoản phải thu của khách hàng. Ban quản lý PS và tài chính phải triển khai một hệ thống báo cáo và xem xét quản lý để hỗ trợ giám sát tài khoản khách hàng. </w:t>
            </w:r>
            <w:r>
              <w:rPr>
                <w:b/>
                <w:i w:val="0"/>
                <w:sz w:val="19"/>
              </w:rPr>
              <w:t>Tham khảo rủi ro: D-12, D-13</w:t>
            </w:r>
          </w:p>
        </w:tc>
      </w:tr>
      <w:tr>
        <w:tc>
          <w:tcPr>
            <w:tcW w:type="dxa" w:w="4680"/>
          </w:tcPr>
          <w:p>
            <w:r/>
            <w:r>
              <w:rPr>
                <w:b w:val="0"/>
                <w:i w:val="0"/>
                <w:sz w:val="19"/>
              </w:rPr>
              <w:t>15.4.11</w:t>
            </w:r>
          </w:p>
        </w:tc>
        <w:tc>
          <w:tcPr>
            <w:tcW w:type="dxa" w:w="4680"/>
          </w:tcPr>
          <w:p>
            <w:r/>
            <w:r>
              <w:rPr>
                <w:b/>
                <w:i w:val="0"/>
                <w:sz w:val="19"/>
              </w:rPr>
              <w:t>Giải quyết tranh chấp khách hàng.</w:t>
            </w:r>
            <w:r>
              <w:rPr>
                <w:b w:val="0"/>
                <w:i w:val="0"/>
                <w:sz w:val="19"/>
              </w:rPr>
              <w:t xml:space="preserve"> Ban quản lý PS phải triển khai các thủ tục và tiêu chuẩn để ngăn ngừa và giải quyết tranh chấp khách hàng theo cách nhằm tăng lòng trung thành của khách hàng, tăng lợi nhuận và giảm thiểu rủi ro pháp lý. </w:t>
            </w:r>
            <w:r>
              <w:rPr>
                <w:b/>
                <w:i w:val="0"/>
                <w:sz w:val="19"/>
              </w:rPr>
              <w:t>Tham khảo rủi ro: D-6, D-7, D-10, D-11</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D-1</w:t>
            </w:r>
          </w:p>
        </w:tc>
        <w:tc>
          <w:tcPr>
            <w:tcW w:type="dxa" w:w="4680"/>
          </w:tcPr>
          <w:p>
            <w:r/>
            <w:r>
              <w:rPr>
                <w:b w:val="0"/>
                <w:i w:val="0"/>
                <w:sz w:val="19"/>
              </w:rPr>
              <w:t>Việc cung cấp các chương trình khách hàng có thể được thực hiện mà không có cam kết hợp lệ từ khách hàng.</w:t>
            </w:r>
          </w:p>
        </w:tc>
      </w:tr>
      <w:tr>
        <w:tc>
          <w:tcPr>
            <w:tcW w:type="dxa" w:w="4680"/>
          </w:tcPr>
          <w:p>
            <w:r/>
            <w:r>
              <w:rPr>
                <w:b w:val="0"/>
                <w:i w:val="0"/>
                <w:sz w:val="19"/>
              </w:rPr>
              <w:t>D-2</w:t>
            </w:r>
          </w:p>
        </w:tc>
        <w:tc>
          <w:tcPr>
            <w:tcW w:type="dxa" w:w="4680"/>
          </w:tcPr>
          <w:p>
            <w:r/>
            <w:r>
              <w:rPr>
                <w:b w:val="0"/>
                <w:i w:val="0"/>
                <w:sz w:val="19"/>
              </w:rPr>
              <w:t>Các điều khoản và điều kiện mà hai bên đã đồng ý không được ghi nhận đầy đủ và dẫn đến tranh chấp.</w:t>
            </w:r>
          </w:p>
        </w:tc>
      </w:tr>
      <w:tr>
        <w:tc>
          <w:tcPr>
            <w:tcW w:type="dxa" w:w="4680"/>
          </w:tcPr>
          <w:p>
            <w:r/>
            <w:r>
              <w:rPr>
                <w:b w:val="0"/>
                <w:i w:val="0"/>
                <w:sz w:val="19"/>
              </w:rPr>
              <w:t>D-3</w:t>
            </w:r>
          </w:p>
        </w:tc>
        <w:tc>
          <w:tcPr>
            <w:tcW w:type="dxa" w:w="4680"/>
          </w:tcPr>
          <w:p>
            <w:r/>
            <w:r>
              <w:rPr>
                <w:b w:val="0"/>
                <w:i w:val="0"/>
                <w:sz w:val="19"/>
              </w:rPr>
              <w:t>Sản phẩm hoặc dịch vụ có thể được bán cho khách hàng không được ủy quyền hoặc cho rủi ro tín dụng không thể chấp nhận, dẫn đến các khoản phải thu không thể thu hồi.</w:t>
            </w:r>
          </w:p>
        </w:tc>
      </w:tr>
      <w:tr>
        <w:tc>
          <w:tcPr>
            <w:tcW w:type="dxa" w:w="4680"/>
          </w:tcPr>
          <w:p>
            <w:r/>
            <w:r>
              <w:rPr>
                <w:b w:val="0"/>
                <w:i w:val="0"/>
                <w:sz w:val="19"/>
              </w:rPr>
              <w:t>D-4</w:t>
            </w:r>
          </w:p>
        </w:tc>
        <w:tc>
          <w:tcPr>
            <w:tcW w:type="dxa" w:w="4680"/>
          </w:tcPr>
          <w:p>
            <w:r/>
            <w:r>
              <w:rPr>
                <w:b w:val="0"/>
                <w:i w:val="0"/>
                <w:sz w:val="19"/>
              </w:rPr>
              <w:t>Đơn hàng có thể được chấp nhận và xử lý với mức giá và/hoặc điều khoản và điều kiện mà ban quản lý không chấp nhận.</w:t>
            </w:r>
          </w:p>
        </w:tc>
      </w:tr>
      <w:tr>
        <w:tc>
          <w:tcPr>
            <w:tcW w:type="dxa" w:w="4680"/>
          </w:tcPr>
          <w:p>
            <w:r/>
            <w:r>
              <w:rPr>
                <w:b w:val="0"/>
                <w:i w:val="0"/>
                <w:sz w:val="19"/>
              </w:rPr>
              <w:t>D-5</w:t>
            </w:r>
          </w:p>
        </w:tc>
        <w:tc>
          <w:tcPr>
            <w:tcW w:type="dxa" w:w="4680"/>
          </w:tcPr>
          <w:p>
            <w:r/>
            <w:r>
              <w:rPr>
                <w:b w:val="0"/>
                <w:i w:val="0"/>
                <w:sz w:val="19"/>
              </w:rPr>
              <w:t>Doanh số/đơn hàng có thể bị mất, bị phá hủy hoặc bị thay đổi. Thông tin mật có thể được sử dụng gây bất lợi cho công ty.</w:t>
            </w:r>
          </w:p>
        </w:tc>
      </w:tr>
      <w:tr>
        <w:tc>
          <w:tcPr>
            <w:tcW w:type="dxa" w:w="4680"/>
          </w:tcPr>
          <w:p>
            <w:r/>
            <w:r>
              <w:rPr>
                <w:b w:val="0"/>
                <w:i w:val="0"/>
                <w:sz w:val="19"/>
              </w:rPr>
              <w:t>D-6</w:t>
            </w:r>
          </w:p>
        </w:tc>
        <w:tc>
          <w:tcPr>
            <w:tcW w:type="dxa" w:w="4680"/>
          </w:tcPr>
          <w:p>
            <w:r/>
            <w:r>
              <w:rPr>
                <w:b w:val="0"/>
                <w:i w:val="0"/>
                <w:sz w:val="19"/>
              </w:rPr>
              <w:t>Khách hàng có thể không hài lòng.</w:t>
            </w:r>
          </w:p>
        </w:tc>
      </w:tr>
      <w:tr>
        <w:tc>
          <w:tcPr>
            <w:tcW w:type="dxa" w:w="4680"/>
          </w:tcPr>
          <w:p>
            <w:r/>
            <w:r>
              <w:rPr>
                <w:b w:val="0"/>
                <w:i w:val="0"/>
                <w:sz w:val="19"/>
              </w:rPr>
              <w:t>D-7</w:t>
            </w:r>
          </w:p>
        </w:tc>
        <w:tc>
          <w:tcPr>
            <w:tcW w:type="dxa" w:w="4680"/>
          </w:tcPr>
          <w:p>
            <w:r/>
            <w:r>
              <w:rPr>
                <w:b w:val="0"/>
                <w:i w:val="0"/>
                <w:sz w:val="19"/>
              </w:rPr>
              <w:t>Có thể dẫn đến việc bị xử phạt và/hoặc bị phạt tiền.</w:t>
            </w:r>
          </w:p>
        </w:tc>
      </w:tr>
      <w:tr>
        <w:tc>
          <w:tcPr>
            <w:tcW w:type="dxa" w:w="4680"/>
          </w:tcPr>
          <w:p>
            <w:r/>
            <w:r>
              <w:rPr>
                <w:b w:val="0"/>
                <w:i w:val="0"/>
                <w:sz w:val="19"/>
              </w:rPr>
              <w:t>D-8</w:t>
            </w:r>
          </w:p>
        </w:tc>
        <w:tc>
          <w:tcPr>
            <w:tcW w:type="dxa" w:w="4680"/>
          </w:tcPr>
          <w:p>
            <w:r/>
            <w:r>
              <w:rPr>
                <w:b w:val="0"/>
                <w:i w:val="0"/>
                <w:sz w:val="19"/>
              </w:rPr>
              <w:t>Mức giá khác nhau cho cùng một sản phẩm đối với những khách hàng tương tự có thể gây khó khăn về giá cả trong nước và thậm chí trên toàn cầu. Ngoài ra, việc áp dụng mức giá khác nhau cho cùng một sản phẩm đối với những khách hàng tương tự có thể là hành vi vi phạm pháp luật và khiến công ty bị xử phạt.</w:t>
            </w:r>
          </w:p>
        </w:tc>
      </w:tr>
      <w:tr>
        <w:tc>
          <w:tcPr>
            <w:tcW w:type="dxa" w:w="4680"/>
          </w:tcPr>
          <w:p>
            <w:r/>
            <w:r>
              <w:rPr>
                <w:b w:val="0"/>
                <w:i w:val="0"/>
                <w:sz w:val="19"/>
              </w:rPr>
              <w:t>D-9</w:t>
            </w:r>
          </w:p>
        </w:tc>
        <w:tc>
          <w:tcPr>
            <w:tcW w:type="dxa" w:w="4680"/>
          </w:tcPr>
          <w:p>
            <w:r/>
            <w:r>
              <w:rPr>
                <w:b w:val="0"/>
                <w:i w:val="0"/>
                <w:sz w:val="19"/>
              </w:rPr>
              <w:t>Công ty có thể phải chịu trách nhiệm về sự cẩu thả, sai sót hoặc thiếu sót, dẫn đến tổn thất tài chính cho các cổ đông của chúng ta.</w:t>
            </w:r>
          </w:p>
        </w:tc>
      </w:tr>
      <w:tr>
        <w:tc>
          <w:tcPr>
            <w:tcW w:type="dxa" w:w="4680"/>
          </w:tcPr>
          <w:p>
            <w:r/>
            <w:r>
              <w:rPr>
                <w:b w:val="0"/>
                <w:i w:val="0"/>
                <w:sz w:val="19"/>
              </w:rPr>
              <w:t>D-10</w:t>
            </w:r>
          </w:p>
        </w:tc>
        <w:tc>
          <w:tcPr>
            <w:tcW w:type="dxa" w:w="4680"/>
          </w:tcPr>
          <w:p>
            <w:r/>
            <w:r>
              <w:rPr>
                <w:b w:val="0"/>
                <w:i w:val="0"/>
                <w:sz w:val="19"/>
              </w:rPr>
              <w:t>Vị thế cạnh tranh hoặc danh tiếng của công ty có thể bị ảnh hưởng tiêu cực.</w:t>
            </w:r>
          </w:p>
        </w:tc>
      </w:tr>
      <w:tr>
        <w:tc>
          <w:tcPr>
            <w:tcW w:type="dxa" w:w="4680"/>
          </w:tcPr>
          <w:p>
            <w:r/>
            <w:r>
              <w:rPr>
                <w:b w:val="0"/>
                <w:i w:val="0"/>
                <w:sz w:val="19"/>
              </w:rPr>
              <w:t>D-11</w:t>
            </w:r>
          </w:p>
        </w:tc>
        <w:tc>
          <w:tcPr>
            <w:tcW w:type="dxa" w:w="4680"/>
          </w:tcPr>
          <w:p>
            <w:r/>
            <w:r>
              <w:rPr>
                <w:b w:val="0"/>
                <w:i w:val="0"/>
                <w:sz w:val="19"/>
              </w:rPr>
              <w:t>Chi phí hoặc doanh thu được ghi nhận không chính xác vào các dự án khách hàng và ảnh hưởng tiêu cực đến lợi nhuận.</w:t>
            </w:r>
          </w:p>
        </w:tc>
      </w:tr>
      <w:tr>
        <w:tc>
          <w:tcPr>
            <w:tcW w:type="dxa" w:w="4680"/>
          </w:tcPr>
          <w:p>
            <w:r/>
            <w:r>
              <w:rPr>
                <w:b w:val="0"/>
                <w:i w:val="0"/>
                <w:sz w:val="19"/>
              </w:rPr>
              <w:t>D-12</w:t>
            </w:r>
          </w:p>
        </w:tc>
        <w:tc>
          <w:tcPr>
            <w:tcW w:type="dxa" w:w="4680"/>
          </w:tcPr>
          <w:p>
            <w:r/>
            <w:r>
              <w:rPr>
                <w:b w:val="0"/>
                <w:i w:val="0"/>
                <w:sz w:val="19"/>
              </w:rPr>
              <w:t>Các sai sót cố ý hoặc hành vi biển thủ tài sản có thể không bị phát hiện.</w:t>
            </w:r>
          </w:p>
        </w:tc>
      </w:tr>
      <w:tr>
        <w:tc>
          <w:tcPr>
            <w:tcW w:type="dxa" w:w="4680"/>
          </w:tcPr>
          <w:p>
            <w:r/>
            <w:r>
              <w:rPr>
                <w:b w:val="0"/>
                <w:i w:val="0"/>
                <w:sz w:val="19"/>
              </w:rPr>
              <w:t>D-13</w:t>
            </w:r>
          </w:p>
        </w:tc>
        <w:tc>
          <w:tcPr>
            <w:tcW w:type="dxa" w:w="4680"/>
          </w:tcPr>
          <w:p>
            <w:r/>
            <w:r>
              <w:rPr>
                <w:b w:val="0"/>
                <w:i w:val="0"/>
                <w:sz w:val="19"/>
              </w:rPr>
              <w:t>Các giao dịch bán hàng có thể được lập không chính xác, và/hoặc hóa đơn và các điều khoản khác có thể bị khai sai.</w:t>
            </w:r>
          </w:p>
        </w:tc>
      </w:tr>
      <w:tr>
        <w:tc>
          <w:tcPr>
            <w:tcW w:type="dxa" w:w="4680"/>
          </w:tcPr>
          <w:p>
            <w:r/>
            <w:r>
              <w:rPr>
                <w:b w:val="0"/>
                <w:i w:val="0"/>
                <w:sz w:val="19"/>
              </w:rPr>
              <w:t>D-14</w:t>
            </w:r>
          </w:p>
        </w:tc>
        <w:tc>
          <w:tcPr>
            <w:tcW w:type="dxa" w:w="4680"/>
          </w:tcPr>
          <w:p>
            <w:r/>
            <w:r>
              <w:rPr>
                <w:b w:val="0"/>
                <w:i w:val="0"/>
                <w:sz w:val="19"/>
              </w:rPr>
              <w:t>Các giao dịch bán hàng có thể đã phát sinh nhưng có thể chưa được xuất hóa đơn và/hoặc chưa được ghi nhận.</w:t>
            </w:r>
          </w:p>
        </w:tc>
      </w:tr>
      <w:tr>
        <w:tc>
          <w:tcPr>
            <w:tcW w:type="dxa" w:w="4680"/>
          </w:tcPr>
          <w:p>
            <w:r/>
            <w:r>
              <w:rPr>
                <w:b w:val="0"/>
                <w:i w:val="0"/>
                <w:sz w:val="19"/>
              </w:rPr>
              <w:t>D-15</w:t>
            </w:r>
          </w:p>
        </w:tc>
        <w:tc>
          <w:tcPr>
            <w:tcW w:type="dxa" w:w="4680"/>
          </w:tcPr>
          <w:p>
            <w:r/>
            <w:r>
              <w:rPr>
                <w:b w:val="0"/>
                <w:i w:val="0"/>
                <w:sz w:val="19"/>
              </w:rPr>
              <w:t>Có thể xảy ra hành vi biển thủ tài sản hoặc sai sót cố ý. Ví dụ bao gồm:</w:t>
            </w:r>
            <w:r>
              <w:br/>
            </w:r>
            <w:r>
              <w:rPr>
                <w:b w:val="0"/>
                <w:i w:val="0"/>
                <w:sz w:val="19"/>
              </w:rPr>
              <w:t>a. Sản phẩm hoặc dịch vụ có thể đã được giao hoặc cung cấp nhưng chưa được xuất hóa đơn.</w:t>
            </w:r>
            <w:r>
              <w:br/>
            </w:r>
            <w:r>
              <w:rPr>
                <w:b w:val="0"/>
                <w:i w:val="0"/>
                <w:sz w:val="19"/>
              </w:rPr>
              <w:t>b. Hàng giao hoặc dịch vụ cung cấp có thể đã được xuất hóa đơn nhưng chưa được ghi nhận vào sổ sách kế toán.</w:t>
            </w:r>
            <w:r>
              <w:br/>
            </w:r>
            <w:r>
              <w:rPr>
                <w:b w:val="0"/>
                <w:i w:val="0"/>
                <w:sz w:val="19"/>
              </w:rPr>
              <w:t>c. Sản phẩm hoặc dịch vụ có thể đã được xuất hóa đơn và ghi nhận nhưng chưa được giao hoặc cung cấp.</w:t>
            </w:r>
          </w:p>
        </w:tc>
      </w:tr>
    </w:tbl>
    <w:p>
      <w:pPr>
        <w:spacing w:after="0"/>
      </w:pPr>
    </w:p>
    <w:p>
      <w:pPr>
        <w:pStyle w:val="Heading2"/>
      </w:pPr>
      <w:r>
        <w:rPr>
          <w:rFonts w:ascii="Calibri" w:hAnsi="Calibri"/>
          <w:b/>
          <w:i w:val="0"/>
          <w:sz w:val="32"/>
        </w:rPr>
        <w:t>LƯU Ý</w:t>
      </w:r>
    </w:p>
    <w:p>
      <w:pPr>
        <w:pStyle w:val="Heading1"/>
      </w:pPr>
      <w:r>
        <w:rPr>
          <w:rFonts w:ascii="Calibri" w:hAnsi="Calibri"/>
          <w:b/>
          <w:i w:val="0"/>
          <w:sz w:val="40"/>
        </w:rPr>
        <w:t xml:space="preserve">CHƯƠNG 16 </w:t>
      </w:r>
      <w:r>
        <w:br/>
      </w:r>
      <w:r>
        <w:rPr>
          <w:rFonts w:ascii="Calibri" w:hAnsi="Calibri"/>
          <w:b/>
          <w:i w:val="0"/>
          <w:sz w:val="40"/>
        </w:rPr>
        <w:t xml:space="preserve"> Kiểm soát cấp độ đơn vị</w:t>
      </w:r>
    </w:p>
    <w:p>
      <w:pPr>
        <w:pStyle w:val="Heading2"/>
      </w:pPr>
      <w:r>
        <w:rPr>
          <w:rFonts w:ascii="Calibri" w:hAnsi="Calibri"/>
          <w:b/>
          <w:i w:val="0"/>
          <w:sz w:val="32"/>
        </w:rPr>
        <w:t>GIỚI THIỆU</w:t>
      </w:r>
    </w:p>
    <w:p>
      <w:pPr>
        <w:spacing w:after="80"/>
      </w:pPr>
      <w:r>
        <w:rPr>
          <w:b w:val="0"/>
          <w:i w:val="0"/>
        </w:rPr>
        <w:t>Tông giọng từ trên xuống (tone at the top) thiết lập tính chính trực của một công ty, định hướng hành vi của nhân viên và là nền tảng cho môi trường đạo đức của một tổ chức. Khi những người đứng đầu thể hiện lòng tham và bỏ qua hoặc thậm chí ủng hộ các hoạt động gian lận, thì việc toàn bộ công ty noi theo tấm gương đó là điều dễ hiểu.</w:t>
      </w:r>
    </w:p>
    <w:p>
      <w:pPr>
        <w:spacing w:after="80"/>
      </w:pPr>
      <w:r>
        <w:rPr>
          <w:b w:val="0"/>
          <w:i w:val="0"/>
        </w:rPr>
        <w:t>Ví dụ, môi trường của Enron được biết đến là dựa trên “tư duy giao dịch.” Ngược lại, một tông giọng từ trên xuống đặt việc làm điều đúng đắn cho nhân viên, khách hàng và các bên liên quan khác lên ưu tiên hàng đầu sẽ tạo ra một môi trường cởi mở và trung thực trong toàn công ty, không chỉ xây dựng danh tiếng tốt về tính chính trực mà còn thường mang lại kết quả tài chính tích cực.</w:t>
      </w:r>
    </w:p>
    <w:p>
      <w:pPr>
        <w:pStyle w:val="Heading2"/>
      </w:pPr>
      <w:r>
        <w:rPr>
          <w:rFonts w:ascii="Calibri" w:hAnsi="Calibri"/>
          <w:b/>
          <w:i w:val="0"/>
          <w:sz w:val="32"/>
        </w:rPr>
        <w:t>TỔNG QUAN VỀ QUY TRÌNH</w:t>
      </w:r>
    </w:p>
    <w:p>
      <w:pPr>
        <w:spacing w:after="80"/>
      </w:pPr>
      <w:r>
        <w:rPr>
          <w:b w:val="0"/>
          <w:i w:val="0"/>
        </w:rPr>
        <w:t>Sơ đồ dưới đây cho thấy các yếu tố nền tảng hỗ trợ các yêu cầu đối với kiểm soát cấp độ đơn vị là Kiểm soát nội bộ và Tuân thủ, Chính sách doanh nghiệp, Quy tắc ứng xử và “Tông giọng từ trên xuống,” cùng Khung COSO.</w:t>
      </w:r>
    </w:p>
    <w:p>
      <w:pPr>
        <w:jc w:val="center"/>
      </w:pPr>
      <w:r>
        <w:drawing>
          <wp:inline xmlns:a="http://schemas.openxmlformats.org/drawingml/2006/main" xmlns:pic="http://schemas.openxmlformats.org/drawingml/2006/picture">
            <wp:extent cx="5486400" cy="2553651"/>
            <wp:docPr id="18" name="Picture 18"/>
            <wp:cNvGraphicFramePr>
              <a:graphicFrameLocks noChangeAspect="1"/>
            </wp:cNvGraphicFramePr>
            <a:graphic>
              <a:graphicData uri="http://schemas.openxmlformats.org/drawingml/2006/picture">
                <pic:pic>
                  <pic:nvPicPr>
                    <pic:cNvPr id="0" name="Image00019.jpg"/>
                    <pic:cNvPicPr/>
                  </pic:nvPicPr>
                  <pic:blipFill>
                    <a:blip r:embed="rId26"/>
                    <a:stretch>
                      <a:fillRect/>
                    </a:stretch>
                  </pic:blipFill>
                  <pic:spPr>
                    <a:xfrm>
                      <a:off x="0" y="0"/>
                      <a:ext cx="5486400" cy="2553651"/>
                    </a:xfrm>
                    <a:prstGeom prst="rect"/>
                  </pic:spPr>
                </pic:pic>
              </a:graphicData>
            </a:graphic>
          </wp:inline>
        </w:drawing>
      </w:r>
    </w:p>
    <w:p>
      <w:pPr>
        <w:pStyle w:val="Heading2"/>
      </w:pPr>
      <w:r>
        <w:rPr>
          <w:rFonts w:ascii="Calibri" w:hAnsi="Calibri"/>
          <w:b/>
          <w:i w:val="0"/>
          <w:sz w:val="32"/>
        </w:rPr>
        <w:t>CÁC CHỈ SỐ ĐO LƯỜNG</w:t>
      </w:r>
    </w:p>
    <w:tbl>
      <w:tblPr>
        <w:tblStyle w:val="TableGrid"/>
        <w:tblW w:type="auto" w:w="0"/>
        <w:tblLook w:firstColumn="1" w:firstRow="1" w:lastColumn="0" w:lastRow="0" w:noHBand="0" w:noVBand="1" w:val="04A0"/>
      </w:tblPr>
      <w:tblGrid>
        <w:gridCol w:w="9360"/>
      </w:tblGrid>
      <w:tr>
        <w:tc>
          <w:tcPr>
            <w:tcW w:type="dxa" w:w="9360"/>
          </w:tcPr>
          <w:p>
            <w:r/>
            <w:r>
              <w:rPr>
                <w:b/>
                <w:i w:val="0"/>
                <w:sz w:val="19"/>
              </w:rPr>
              <w:t>Bảng các chỉ số đo lường</w:t>
            </w:r>
          </w:p>
        </w:tc>
      </w:tr>
      <w:tr>
        <w:tc>
          <w:tcPr>
            <w:tcW w:type="dxa" w:w="9360"/>
          </w:tcPr>
          <w:p>
            <w:r/>
            <w:r>
              <w:rPr>
                <w:b w:val="0"/>
                <w:i w:val="0"/>
                <w:sz w:val="19"/>
              </w:rPr>
              <w:t xml:space="preserve">•  </w:t>
            </w:r>
            <w:r>
              <w:rPr>
                <w:b/>
                <w:i w:val="0"/>
                <w:sz w:val="19"/>
              </w:rPr>
              <w:t>Số lượng và loại vấn đề được báo cáo qua “đường dây nóng” đạo đức</w:t>
            </w:r>
            <w:r>
              <w:rPr>
                <w:b w:val="0"/>
                <w:i w:val="0"/>
                <w:sz w:val="19"/>
              </w:rPr>
              <w:t xml:space="preserve"> —Theo dõi các vấn đề được nhân viên xác định thông qua “đường dây nóng” đạo đức.</w:t>
            </w:r>
            <w:r>
              <w:br/>
            </w:r>
            <w:r>
              <w:rPr>
                <w:b w:val="0"/>
                <w:i w:val="0"/>
                <w:sz w:val="19"/>
              </w:rPr>
              <w:t xml:space="preserve">•  </w:t>
            </w:r>
            <w:r>
              <w:rPr>
                <w:b/>
                <w:i w:val="0"/>
                <w:sz w:val="19"/>
              </w:rPr>
              <w:t>Số lượng vấn đề không tuân thủ được báo cáo theo loại và tổ chức</w:t>
            </w:r>
            <w:r>
              <w:rPr>
                <w:b w:val="0"/>
                <w:i w:val="0"/>
                <w:sz w:val="19"/>
              </w:rPr>
              <w:t xml:space="preserve"> —Theo dõi các vấn đề không tuân thủ theo loại và tổ chức công ty.</w:t>
            </w:r>
            <w:r>
              <w:br/>
            </w:r>
            <w:r>
              <w:rPr>
                <w:b w:val="0"/>
                <w:i w:val="0"/>
                <w:sz w:val="19"/>
              </w:rPr>
              <w:t xml:space="preserve">•  </w:t>
            </w:r>
            <w:r>
              <w:rPr>
                <w:b/>
                <w:i w:val="0"/>
                <w:sz w:val="19"/>
              </w:rPr>
              <w:t>Số lượng tự đánh giá kiểm soát nội bộ đã hoàn thành</w:t>
            </w:r>
            <w:r>
              <w:rPr>
                <w:b w:val="0"/>
                <w:i w:val="0"/>
                <w:sz w:val="19"/>
              </w:rPr>
              <w:t xml:space="preserve"> —Cho biết số lượng tự đánh giá đã hoàn thành trong một kỳ tài chính xác định.</w:t>
            </w:r>
            <w:r>
              <w:br/>
            </w:r>
            <w:r>
              <w:rPr>
                <w:b w:val="0"/>
                <w:i w:val="0"/>
                <w:sz w:val="19"/>
              </w:rPr>
              <w:t xml:space="preserve">•  </w:t>
            </w:r>
            <w:r>
              <w:rPr>
                <w:b/>
                <w:i w:val="0"/>
                <w:sz w:val="19"/>
              </w:rPr>
              <w:t>Số lượng khảo sát kiểm soát cấp độ đơn vị đã hoàn thành</w:t>
            </w:r>
            <w:r>
              <w:rPr>
                <w:b w:val="0"/>
                <w:i w:val="0"/>
                <w:sz w:val="19"/>
              </w:rPr>
              <w:t xml:space="preserve"> —Cho biết số lượng khảo sát đã hoàn thành trong một kỳ tài chính xác định.</w:t>
            </w:r>
            <w:r>
              <w:br/>
            </w:r>
            <w:r>
              <w:rPr>
                <w:b w:val="0"/>
                <w:i w:val="0"/>
                <w:sz w:val="19"/>
              </w:rPr>
              <w:t xml:space="preserve">•  </w:t>
            </w:r>
            <w:r>
              <w:rPr>
                <w:b/>
                <w:i w:val="0"/>
                <w:sz w:val="19"/>
              </w:rPr>
              <w:t>Tỷ lệ phản hồi cho mỗi vấn đề kiểm soát cấp độ đơn vị được xác định</w:t>
            </w:r>
            <w:r>
              <w:rPr>
                <w:b w:val="0"/>
                <w:i w:val="0"/>
                <w:sz w:val="19"/>
              </w:rPr>
              <w:t xml:space="preserve"> —Xác định tỷ lệ phản hồi cho mỗi khảo sát được phát ra.</w:t>
            </w:r>
            <w:r>
              <w:br/>
            </w:r>
            <w:r>
              <w:rPr>
                <w:b w:val="0"/>
                <w:i w:val="0"/>
                <w:sz w:val="19"/>
              </w:rPr>
              <w:t xml:space="preserve">•  </w:t>
            </w:r>
            <w:r>
              <w:rPr>
                <w:b/>
                <w:i w:val="0"/>
                <w:sz w:val="19"/>
              </w:rPr>
              <w:t>Số lượng vấn đề được báo cáo qua khảo sát kiểm soát cấp độ đơn vị</w:t>
            </w:r>
            <w:r>
              <w:rPr>
                <w:b w:val="0"/>
                <w:i w:val="0"/>
                <w:sz w:val="19"/>
              </w:rPr>
              <w:t xml:space="preserve"> —Xác định số lượng vấn đề được người trả lời khảo sát kiểm soát cấp độ đơn vị báo cáo.</w:t>
            </w:r>
            <w:r>
              <w:br/>
            </w:r>
            <w:r>
              <w:rPr>
                <w:b w:val="0"/>
                <w:i w:val="0"/>
                <w:sz w:val="19"/>
              </w:rPr>
              <w:t xml:space="preserve">•  </w:t>
            </w:r>
            <w:r>
              <w:rPr>
                <w:b/>
                <w:i w:val="0"/>
                <w:sz w:val="19"/>
              </w:rPr>
              <w:t>Các vấn đề kiểm soát nội bộ theo loại</w:t>
            </w:r>
            <w:r>
              <w:rPr>
                <w:b w:val="0"/>
                <w:i w:val="0"/>
                <w:sz w:val="19"/>
              </w:rPr>
              <w:t xml:space="preserve"> —Xác định số lượng vấn đề kiểm soát theo loại.</w:t>
            </w:r>
            <w:r>
              <w:br/>
            </w:r>
            <w:r>
              <w:rPr>
                <w:b w:val="0"/>
                <w:i w:val="0"/>
                <w:sz w:val="19"/>
              </w:rPr>
              <w:t xml:space="preserve">•  </w:t>
            </w:r>
            <w:r>
              <w:rPr>
                <w:b/>
                <w:i w:val="0"/>
                <w:sz w:val="19"/>
              </w:rPr>
              <w:t>Số lượng tự đánh giá kiểm soát đã hoàn thành mỗi kỳ</w:t>
            </w:r>
            <w:r>
              <w:rPr>
                <w:b w:val="0"/>
                <w:i w:val="0"/>
                <w:sz w:val="19"/>
              </w:rPr>
              <w:t xml:space="preserve"> —Xác định số lượng tự đánh giá kiểm soát đã hoàn thành theo kỳ thực tế xác định.</w:t>
            </w:r>
            <w:r>
              <w:br/>
            </w:r>
            <w:r>
              <w:rPr>
                <w:b w:val="0"/>
                <w:i w:val="0"/>
                <w:sz w:val="19"/>
              </w:rPr>
              <w:t xml:space="preserve">•  </w:t>
            </w:r>
            <w:r>
              <w:rPr>
                <w:b/>
                <w:i w:val="0"/>
                <w:sz w:val="19"/>
              </w:rPr>
              <w:t>Số lượng kiểm toán nội bộ đã thực hiện</w:t>
            </w:r>
            <w:r>
              <w:rPr>
                <w:b w:val="0"/>
                <w:i w:val="0"/>
                <w:sz w:val="19"/>
              </w:rPr>
              <w:t xml:space="preserve"> —Số lượng cuộc kiểm toán do nhóm kiểm toán nội bộ thực hiện.</w:t>
            </w:r>
            <w:r>
              <w:br/>
            </w:r>
            <w:r>
              <w:rPr>
                <w:b w:val="0"/>
                <w:i w:val="0"/>
                <w:sz w:val="19"/>
              </w:rPr>
              <w:t xml:space="preserve">•  </w:t>
            </w:r>
            <w:r>
              <w:rPr>
                <w:b/>
                <w:i w:val="0"/>
                <w:sz w:val="19"/>
              </w:rPr>
              <w:t>Thời gian phục vụ trung bình của mỗi thành viên ủy ban hội đồng quản trị</w:t>
            </w:r>
            <w:r>
              <w:rPr>
                <w:b w:val="0"/>
                <w:i w:val="0"/>
                <w:sz w:val="19"/>
              </w:rPr>
              <w:t xml:space="preserve"> —Cho biết thời gian phục vụ trung bình của một thành viên ủy ban hội đồng quản trị.</w:t>
            </w:r>
            <w:r>
              <w:br/>
            </w:r>
            <w:r>
              <w:rPr>
                <w:b w:val="0"/>
                <w:i w:val="0"/>
                <w:sz w:val="19"/>
              </w:rPr>
              <w:t xml:space="preserve">•  </w:t>
            </w:r>
            <w:r>
              <w:rPr>
                <w:b/>
                <w:i w:val="0"/>
                <w:sz w:val="19"/>
              </w:rPr>
              <w:t>Số lượng vi phạm chính sách doanh nghiệp theo loại</w:t>
            </w:r>
            <w:r>
              <w:rPr>
                <w:b w:val="0"/>
                <w:i w:val="0"/>
                <w:sz w:val="19"/>
              </w:rPr>
              <w:t xml:space="preserve"> —Theo dõi số lượng vi phạm chính sách doanh nghiệp theo loại (ví dụ: Ủy quyền (Delegation of Authority - DoA) hoặc Phân tách nhiệm vụ (Segregation of Duties - SoD).</w:t>
            </w:r>
          </w:p>
        </w:tc>
      </w:tr>
    </w:tbl>
    <w:p>
      <w:pPr>
        <w:spacing w:after="0"/>
      </w:pPr>
    </w:p>
    <w:p>
      <w:pPr>
        <w:pStyle w:val="Heading2"/>
      </w:pPr>
      <w:r>
        <w:rPr>
          <w:rFonts w:ascii="Calibri" w:hAnsi="Calibri"/>
          <w:b/>
          <w:i w:val="0"/>
          <w:sz w:val="32"/>
        </w:rPr>
        <w:t>ÁP DỤNG KIỂM SOÁT NỘI BỘ</w:t>
      </w:r>
    </w:p>
    <w:p>
      <w:pPr>
        <w:spacing w:after="80"/>
      </w:pPr>
      <w:r>
        <w:rPr>
          <w:b w:val="0"/>
          <w:i w:val="0"/>
        </w:rPr>
        <w:t>Khi đánh giá hiệu quả của kiểm soát cấp độ đơn vị, các chương trình và chức năng cần được đánh giá bao gồm các chương trình đạo đức, kiểm soát của ban quản lý, ủy ban kiểm toán và công bố thông tin, cùng các phòng ban như kiểm toán nội bộ, kiểm soát nội bộ, pháp lý và chính sách công (law and public policy - LPP), và tuân thủ. Mặc dù một số bên bên ngoài, như kiểm toán viên độc lập và cơ quan quản lý, rõ ràng có đóng góp vào việc đạt được các mục tiêu của tổ chức, nhưng họ không thuộc hệ thống kiểm soát nội bộ của đơn vị.</w:t>
      </w:r>
    </w:p>
    <w:p>
      <w:pPr>
        <w:spacing w:after="80"/>
      </w:pPr>
      <w:r>
        <w:rPr>
          <w:b w:val="0"/>
          <w:i w:val="0"/>
        </w:rPr>
        <w:t>Kiểm soát cấp độ đơn vị xác định mức độ hiệu quả của kiểm soát nội bộ đang vận hành ở cấp độ tổ chức. Khác với kiểm soát dựa trên hoạt động, kiểm soát cấp độ đơn vị tập trung vào quản trị và môi trường kiểm soát của đơn vị. Khái niệm kiểm soát cấp độ đơn vị có phần phức tạp vì các kiểm soát này tập trung vào cấp độ doanh nghiệp. Chúng được gọi là kiểm soát “mềm” và có thể được kiểm tra bằng cách sử dụng các tiêu chuẩn kiểm soát nội bộ được định nghĩa trong phần này hoặc thực hiện một cấp độ kiểm soát cấp độ đơn vị đối với một nhóm nhân viên được chọn.</w:t>
      </w:r>
    </w:p>
    <w:p>
      <w:pPr>
        <w:pStyle w:val="Heading2"/>
      </w:pPr>
      <w:r>
        <w:rPr>
          <w:rFonts w:ascii="Calibri" w:hAnsi="Calibri"/>
          <w:b/>
          <w:i w:val="0"/>
          <w:sz w:val="32"/>
        </w:rPr>
        <w:t>CÁC QUY TRÌNH PHỤ</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16.1</w:t>
            </w:r>
          </w:p>
        </w:tc>
        <w:tc>
          <w:tcPr>
            <w:tcW w:type="dxa" w:w="4680"/>
          </w:tcPr>
          <w:p>
            <w:r/>
            <w:r>
              <w:rPr>
                <w:b w:val="0"/>
                <w:i w:val="0"/>
                <w:sz w:val="19"/>
              </w:rPr>
              <w:t>Tuân thủ và Sàng lọc Tuân thủ</w:t>
            </w:r>
          </w:p>
        </w:tc>
      </w:tr>
      <w:tr>
        <w:tc>
          <w:tcPr>
            <w:tcW w:type="dxa" w:w="4680"/>
          </w:tcPr>
          <w:p>
            <w:r/>
            <w:r>
              <w:rPr>
                <w:b w:val="0"/>
                <w:i w:val="0"/>
                <w:sz w:val="19"/>
              </w:rPr>
              <w:t>16.2</w:t>
            </w:r>
          </w:p>
        </w:tc>
        <w:tc>
          <w:tcPr>
            <w:tcW w:type="dxa" w:w="4680"/>
          </w:tcPr>
          <w:p>
            <w:r/>
            <w:r>
              <w:rPr>
                <w:b w:val="0"/>
                <w:i w:val="0"/>
                <w:sz w:val="19"/>
              </w:rPr>
              <w:t>Vai trò và Trách nhiệm của Kiểm soát Nội bộ</w:t>
            </w:r>
          </w:p>
        </w:tc>
      </w:tr>
      <w:tr>
        <w:tc>
          <w:tcPr>
            <w:tcW w:type="dxa" w:w="4680"/>
          </w:tcPr>
          <w:p>
            <w:r/>
            <w:r>
              <w:rPr>
                <w:b w:val="0"/>
                <w:i w:val="0"/>
                <w:sz w:val="19"/>
              </w:rPr>
              <w:t>16.3</w:t>
            </w:r>
          </w:p>
        </w:tc>
        <w:tc>
          <w:tcPr>
            <w:tcW w:type="dxa" w:w="4680"/>
          </w:tcPr>
          <w:p>
            <w:r/>
            <w:r>
              <w:rPr>
                <w:b w:val="0"/>
                <w:i w:val="0"/>
                <w:sz w:val="19"/>
              </w:rPr>
              <w:t>Kiểm soát Quản lý Thực thể</w:t>
            </w:r>
          </w:p>
        </w:tc>
      </w:tr>
      <w:tr>
        <w:tc>
          <w:tcPr>
            <w:tcW w:type="dxa" w:w="4680"/>
          </w:tcPr>
          <w:p>
            <w:r/>
            <w:r>
              <w:rPr>
                <w:b w:val="0"/>
                <w:i w:val="0"/>
                <w:sz w:val="19"/>
              </w:rPr>
              <w:t>16.4</w:t>
            </w:r>
          </w:p>
        </w:tc>
        <w:tc>
          <w:tcPr>
            <w:tcW w:type="dxa" w:w="4680"/>
          </w:tcPr>
          <w:p>
            <w:r/>
            <w:r>
              <w:rPr>
                <w:b w:val="0"/>
                <w:i w:val="0"/>
                <w:sz w:val="19"/>
              </w:rPr>
              <w:t>Kiểm soát của Ủy ban Kiểm toán</w:t>
            </w:r>
          </w:p>
        </w:tc>
      </w:tr>
    </w:tbl>
    <w:p>
      <w:pPr>
        <w:spacing w:after="0"/>
      </w:pPr>
    </w:p>
    <w:p>
      <w:pPr>
        <w:pStyle w:val="Heading2"/>
      </w:pPr>
      <w:r>
        <w:rPr>
          <w:rFonts w:ascii="Calibri" w:hAnsi="Calibri"/>
          <w:b/>
          <w:i w:val="0"/>
          <w:sz w:val="32"/>
        </w:rPr>
        <w:t>16.1 TUÂN THỦ VÀ SÀNG LỌC TUÂN THỦ</w:t>
      </w:r>
    </w:p>
    <w:p>
      <w:pPr>
        <w:pStyle w:val="Heading3"/>
      </w:pPr>
      <w:r>
        <w:rPr>
          <w:rFonts w:ascii="Calibri" w:hAnsi="Calibri"/>
          <w:b/>
          <w:i w:val="0"/>
          <w:sz w:val="26"/>
        </w:rPr>
        <w:t>Giới thiệu</w:t>
      </w:r>
    </w:p>
    <w:p>
      <w:pPr>
        <w:spacing w:after="80"/>
      </w:pPr>
      <w:r>
        <w:rPr>
          <w:b w:val="0"/>
          <w:i w:val="0"/>
        </w:rPr>
        <w:t>Tuân thủ doanh nghiệp là gì? Nói một cách đơn giản, tuân thủ doanh nghiệp là quá trình đảm bảo công ty và nhân viên của bạn tuân theo các luật, quy định, tiêu chuẩn và thông lệ đạo đức áp dụng cho tổ chức của bạn.</w:t>
      </w:r>
    </w:p>
    <w:p>
      <w:pPr>
        <w:spacing w:after="80"/>
      </w:pPr>
      <w:r>
        <w:rPr>
          <w:b w:val="0"/>
          <w:i w:val="0"/>
        </w:rPr>
        <w:t>Tuân thủ doanh nghiệp hiệu quả sẽ bao gồm cả các chính sách và quy tắc nội bộ cũng như luật liên bang và tiểu bang. Việc thực thi tuân thủ trong chính sách doanh nghiệp sẽ giúp công ty bạn ngăn ngừa và phát hiện các vi phạm quy tắc. Điều này có thể cứu tổ chức của bạn khỏi các khoản tiền phạt và kiện tụng. Tuân thủ doanh nghiệp cũng đặt ra những kỳ vọng về hành vi của nhân viên, giúp nhân viên của bạn tập trung vào các mục tiêu rộng lớn hơn của tổ chức, và giúp hoạt động vận hành diễn ra suôn sẻ.</w:t>
      </w:r>
    </w:p>
    <w:p>
      <w:pPr>
        <w:spacing w:after="80"/>
      </w:pPr>
      <w:r>
        <w:rPr>
          <w:b/>
          <w:i w:val="0"/>
        </w:rPr>
        <w:t>Điểm chính:</w:t>
      </w:r>
      <w:r>
        <w:rPr>
          <w:b w:val="0"/>
          <w:i w:val="0"/>
        </w:rPr>
        <w:t xml:space="preserve"> Sàng lọc tuân thủ và các yêu cầu quy định trước đây vốn là mối quan tâm của các tổ chức tài chính. Giờ đây, tất cả các tổ chức và tập đoàn toàn cầu đều phải chịu trách nhiệm về các chương trình sàng lọc tuân thủ, kiểm soát nội bộ liên tục, và các chương trình thẩm định (due diligence) áp dụng được để đảm bảo rằng nhà cung cấp, khách hàng, và thậm chí cả nhân viên không phải là khủng bố, kẻ thù của Hoa Kỳ, kẻ rửa tiền, hay kẻ gian lận Medicare và Medicaid.</w:t>
      </w:r>
    </w:p>
    <w:p>
      <w:pPr>
        <w:spacing w:after="80"/>
      </w:pPr>
      <w:r>
        <w:rPr>
          <w:b w:val="0"/>
          <w:i w:val="0"/>
        </w:rPr>
        <w:t>Bảng dưới đây chỉ ra ngành nào nên chú ý đến một yêu cầu quy định cụ thể. Bảng cũng chỉ ra những quy trình tài chính nào bị ảnh hưởng.</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Yêu cầu Tuân thủ</w:t>
            </w:r>
          </w:p>
        </w:tc>
        <w:tc>
          <w:tcPr>
            <w:tcW w:type="dxa" w:w="3120"/>
          </w:tcPr>
          <w:p>
            <w:r/>
            <w:r>
              <w:rPr>
                <w:b/>
                <w:i w:val="0"/>
                <w:sz w:val="19"/>
              </w:rPr>
              <w:t>Các ngành và tổ chức</w:t>
            </w:r>
          </w:p>
        </w:tc>
        <w:tc>
          <w:tcPr>
            <w:tcW w:type="dxa" w:w="3120"/>
          </w:tcPr>
          <w:p>
            <w:r/>
            <w:r>
              <w:rPr>
                <w:b/>
                <w:i w:val="0"/>
                <w:sz w:val="19"/>
              </w:rPr>
              <w:t>Quy trình tài chính</w:t>
            </w:r>
          </w:p>
        </w:tc>
      </w:tr>
      <w:tr>
        <w:tc>
          <w:tcPr>
            <w:tcW w:type="dxa" w:w="3120"/>
          </w:tcPr>
          <w:p>
            <w:r/>
            <w:r>
              <w:rPr>
                <w:b w:val="0"/>
                <w:i w:val="0"/>
                <w:sz w:val="19"/>
              </w:rPr>
              <w:t>Đạo luật Chống Tham nhũng ở Nước ngoài (FCPA)</w:t>
            </w:r>
          </w:p>
        </w:tc>
        <w:tc>
          <w:tcPr>
            <w:tcW w:type="dxa" w:w="3120"/>
          </w:tcPr>
          <w:p>
            <w:r/>
            <w:r>
              <w:rPr>
                <w:b w:val="0"/>
                <w:i w:val="0"/>
                <w:sz w:val="19"/>
              </w:rPr>
              <w:t>Tất cả</w:t>
            </w:r>
          </w:p>
        </w:tc>
        <w:tc>
          <w:tcPr>
            <w:tcW w:type="dxa" w:w="3120"/>
          </w:tcPr>
          <w:p>
            <w:r/>
            <w:r>
              <w:rPr>
                <w:b w:val="0"/>
                <w:i w:val="0"/>
                <w:sz w:val="19"/>
              </w:rPr>
              <w:t>Bảng lương, T&amp;E, AP</w:t>
            </w:r>
          </w:p>
        </w:tc>
      </w:tr>
      <w:tr>
        <w:tc>
          <w:tcPr>
            <w:tcW w:type="dxa" w:w="3120"/>
          </w:tcPr>
          <w:p>
            <w:r/>
            <w:r>
              <w:rPr>
                <w:b w:val="0"/>
                <w:i w:val="0"/>
                <w:sz w:val="19"/>
              </w:rPr>
              <w:t>Văn phòng Kiểm soát Tài sản Nước ngoài (OFAC)</w:t>
            </w:r>
          </w:p>
        </w:tc>
        <w:tc>
          <w:tcPr>
            <w:tcW w:type="dxa" w:w="3120"/>
          </w:tcPr>
          <w:p>
            <w:r/>
            <w:r>
              <w:rPr>
                <w:b w:val="0"/>
                <w:i w:val="0"/>
                <w:sz w:val="19"/>
              </w:rPr>
              <w:t>Tất cả</w:t>
            </w:r>
          </w:p>
        </w:tc>
        <w:tc>
          <w:tcPr>
            <w:tcW w:type="dxa" w:w="3120"/>
          </w:tcPr>
          <w:p>
            <w:r/>
            <w:r>
              <w:rPr>
                <w:b w:val="0"/>
                <w:i w:val="0"/>
                <w:sz w:val="19"/>
              </w:rPr>
              <w:t>Bảng lương, T&amp;E, AP, AR</w:t>
            </w:r>
          </w:p>
        </w:tc>
      </w:tr>
      <w:tr>
        <w:tc>
          <w:tcPr>
            <w:tcW w:type="dxa" w:w="3120"/>
          </w:tcPr>
          <w:p>
            <w:r/>
            <w:r>
              <w:rPr>
                <w:b w:val="0"/>
                <w:i w:val="0"/>
                <w:sz w:val="19"/>
              </w:rPr>
              <w:t>Cục Công nghiệp và An ninh (BIS)</w:t>
            </w:r>
          </w:p>
        </w:tc>
        <w:tc>
          <w:tcPr>
            <w:tcW w:type="dxa" w:w="3120"/>
          </w:tcPr>
          <w:p>
            <w:r/>
            <w:r>
              <w:rPr>
                <w:b w:val="0"/>
                <w:i w:val="0"/>
                <w:sz w:val="19"/>
              </w:rPr>
              <w:t>Các công ty toàn cầu</w:t>
            </w:r>
          </w:p>
        </w:tc>
        <w:tc>
          <w:tcPr>
            <w:tcW w:type="dxa" w:w="3120"/>
          </w:tcPr>
          <w:p>
            <w:r/>
            <w:r>
              <w:rPr>
                <w:b w:val="0"/>
                <w:i w:val="0"/>
                <w:sz w:val="19"/>
              </w:rPr>
              <w:t>Bảng lương, T&amp;E, AP</w:t>
            </w:r>
          </w:p>
        </w:tc>
      </w:tr>
      <w:tr>
        <w:tc>
          <w:tcPr>
            <w:tcW w:type="dxa" w:w="3120"/>
          </w:tcPr>
          <w:p>
            <w:r/>
            <w:r>
              <w:rPr>
                <w:b w:val="0"/>
                <w:i w:val="0"/>
                <w:sz w:val="19"/>
              </w:rPr>
              <w:t>Hệ thống Quản lý Giải thưởng An ninh (SAM)</w:t>
            </w:r>
          </w:p>
        </w:tc>
        <w:tc>
          <w:tcPr>
            <w:tcW w:type="dxa" w:w="3120"/>
          </w:tcPr>
          <w:p>
            <w:r/>
            <w:r>
              <w:rPr>
                <w:b w:val="0"/>
                <w:i w:val="0"/>
                <w:sz w:val="19"/>
              </w:rPr>
              <w:t>Các nhà thầu chính phủ</w:t>
            </w:r>
          </w:p>
        </w:tc>
        <w:tc>
          <w:tcPr>
            <w:tcW w:type="dxa" w:w="3120"/>
          </w:tcPr>
          <w:p>
            <w:r/>
            <w:r>
              <w:rPr>
                <w:b w:val="0"/>
                <w:i w:val="0"/>
                <w:sz w:val="19"/>
              </w:rPr>
              <w:t>Bảng lương, T&amp;E, AP</w:t>
            </w:r>
          </w:p>
        </w:tc>
      </w:tr>
      <w:tr>
        <w:tc>
          <w:tcPr>
            <w:tcW w:type="dxa" w:w="3120"/>
          </w:tcPr>
          <w:p>
            <w:r/>
            <w:r>
              <w:rPr>
                <w:b w:val="0"/>
                <w:i w:val="0"/>
                <w:sz w:val="19"/>
              </w:rPr>
              <w:t>Văn phòng Tổng Thanh tra (OIG)</w:t>
            </w:r>
          </w:p>
        </w:tc>
        <w:tc>
          <w:tcPr>
            <w:tcW w:type="dxa" w:w="3120"/>
          </w:tcPr>
          <w:p>
            <w:r/>
            <w:r>
              <w:rPr>
                <w:b w:val="0"/>
                <w:i w:val="0"/>
                <w:sz w:val="19"/>
              </w:rPr>
              <w:t>Chăm sóc sức khỏe</w:t>
            </w:r>
          </w:p>
        </w:tc>
        <w:tc>
          <w:tcPr>
            <w:tcW w:type="dxa" w:w="3120"/>
          </w:tcPr>
          <w:p>
            <w:r/>
            <w:r>
              <w:rPr>
                <w:b w:val="0"/>
                <w:i w:val="0"/>
                <w:sz w:val="19"/>
              </w:rPr>
              <w:t>Lương bổng, T&amp;E, AP</w:t>
            </w:r>
          </w:p>
        </w:tc>
      </w:tr>
      <w:tr>
        <w:tc>
          <w:tcPr>
            <w:tcW w:type="dxa" w:w="3120"/>
          </w:tcPr>
          <w:p>
            <w:r/>
            <w:r>
              <w:rPr>
                <w:b w:val="0"/>
                <w:i w:val="0"/>
                <w:sz w:val="19"/>
              </w:rPr>
              <w:t>Đạo luật Sarbanes-Oxley năm 2002</w:t>
            </w:r>
          </w:p>
        </w:tc>
        <w:tc>
          <w:tcPr>
            <w:tcW w:type="dxa" w:w="3120"/>
          </w:tcPr>
          <w:p>
            <w:r/>
            <w:r>
              <w:rPr>
                <w:b w:val="0"/>
                <w:i w:val="0"/>
                <w:sz w:val="19"/>
              </w:rPr>
              <w:t>Các công ty đại chúng nói chung</w:t>
            </w:r>
          </w:p>
        </w:tc>
        <w:tc>
          <w:tcPr>
            <w:tcW w:type="dxa" w:w="3120"/>
          </w:tcPr>
          <w:p>
            <w:r/>
            <w:r>
              <w:rPr>
                <w:b w:val="0"/>
                <w:i w:val="0"/>
                <w:sz w:val="19"/>
              </w:rPr>
              <w:t>Lương bổng, T&amp;E, AP, AR và GL</w:t>
            </w:r>
          </w:p>
        </w:tc>
      </w:tr>
      <w:tr>
        <w:tc>
          <w:tcPr>
            <w:tcW w:type="dxa" w:w="3120"/>
          </w:tcPr>
          <w:p>
            <w:r/>
            <w:r>
              <w:rPr>
                <w:b w:val="0"/>
                <w:i w:val="0"/>
                <w:sz w:val="19"/>
              </w:rPr>
              <w:t>Hướng dẫn tuyên án của Hoa Kỳ</w:t>
            </w:r>
          </w:p>
        </w:tc>
        <w:tc>
          <w:tcPr>
            <w:tcW w:type="dxa" w:w="3120"/>
          </w:tcPr>
          <w:p>
            <w:r/>
            <w:r>
              <w:rPr>
                <w:b w:val="0"/>
                <w:i w:val="0"/>
                <w:sz w:val="19"/>
              </w:rPr>
              <w:t>Tất cả</w:t>
            </w:r>
          </w:p>
        </w:tc>
        <w:tc>
          <w:tcPr>
            <w:tcW w:type="dxa" w:w="3120"/>
          </w:tcPr>
          <w:p>
            <w:r/>
            <w:r>
              <w:rPr>
                <w:b w:val="0"/>
                <w:i w:val="0"/>
                <w:sz w:val="19"/>
              </w:rPr>
              <w:t>Lương bổng, T&amp;E, AP, AR và GL</w:t>
            </w:r>
          </w:p>
        </w:tc>
      </w:tr>
      <w:tr>
        <w:tc>
          <w:tcPr>
            <w:tcW w:type="dxa" w:w="3120"/>
          </w:tcPr>
          <w:p>
            <w:r/>
            <w:r>
              <w:rPr>
                <w:b w:val="0"/>
                <w:i w:val="0"/>
                <w:sz w:val="19"/>
              </w:rPr>
              <w:t>Giao dịch ACH quốc tế (IAT)</w:t>
            </w:r>
          </w:p>
        </w:tc>
        <w:tc>
          <w:tcPr>
            <w:tcW w:type="dxa" w:w="3120"/>
          </w:tcPr>
          <w:p>
            <w:r/>
            <w:r>
              <w:rPr>
                <w:b w:val="0"/>
                <w:i w:val="0"/>
                <w:sz w:val="19"/>
              </w:rPr>
              <w:t>Các công ty toàn cầu</w:t>
            </w:r>
          </w:p>
        </w:tc>
        <w:tc>
          <w:tcPr>
            <w:tcW w:type="dxa" w:w="3120"/>
          </w:tcPr>
          <w:p>
            <w:r/>
            <w:r>
              <w:rPr>
                <w:b w:val="0"/>
                <w:i w:val="0"/>
                <w:sz w:val="19"/>
              </w:rPr>
              <w:t>Lương bổng, T&amp;E, AP, AR</w:t>
            </w:r>
          </w:p>
        </w:tc>
      </w:tr>
      <w:tr>
        <w:tc>
          <w:tcPr>
            <w:tcW w:type="dxa" w:w="3120"/>
          </w:tcPr>
          <w:p>
            <w:r/>
            <w:r>
              <w:rPr>
                <w:b w:val="0"/>
                <w:i w:val="0"/>
                <w:sz w:val="19"/>
              </w:rPr>
              <w:t>Đạo luật Patriot của Hoa Kỳ và Chương trình nhận diện khách hàng (CIP)</w:t>
            </w:r>
          </w:p>
        </w:tc>
        <w:tc>
          <w:tcPr>
            <w:tcW w:type="dxa" w:w="3120"/>
          </w:tcPr>
          <w:p>
            <w:r/>
            <w:r>
              <w:rPr>
                <w:b w:val="0"/>
                <w:i w:val="0"/>
                <w:sz w:val="19"/>
              </w:rPr>
              <w:t>Các tổ chức tài chính</w:t>
            </w:r>
          </w:p>
        </w:tc>
        <w:tc>
          <w:tcPr>
            <w:tcW w:type="dxa" w:w="3120"/>
          </w:tcPr>
          <w:p>
            <w:r/>
            <w:r>
              <w:rPr>
                <w:b w:val="0"/>
                <w:i w:val="0"/>
                <w:sz w:val="19"/>
              </w:rPr>
              <w:t>Lương bổng, T&amp;E, AP, AR</w:t>
            </w:r>
          </w:p>
        </w:tc>
      </w:tr>
      <w:tr>
        <w:tc>
          <w:tcPr>
            <w:tcW w:type="dxa" w:w="3120"/>
          </w:tcPr>
          <w:p>
            <w:r/>
            <w:r>
              <w:rPr>
                <w:b w:val="0"/>
                <w:i w:val="0"/>
                <w:sz w:val="19"/>
              </w:rPr>
              <w:t>Chuẩn mực cho các dịch vụ chứng thực (SSAE-16)</w:t>
            </w:r>
          </w:p>
        </w:tc>
        <w:tc>
          <w:tcPr>
            <w:tcW w:type="dxa" w:w="3120"/>
          </w:tcPr>
          <w:p>
            <w:r/>
            <w:r>
              <w:rPr>
                <w:b w:val="0"/>
                <w:i w:val="0"/>
                <w:sz w:val="19"/>
              </w:rPr>
              <w:t>Các tổ chức cung cấp dịch vụ</w:t>
            </w:r>
          </w:p>
        </w:tc>
        <w:tc>
          <w:tcPr>
            <w:tcW w:type="dxa" w:w="3120"/>
          </w:tcPr>
          <w:p>
            <w:r/>
            <w:r>
              <w:rPr>
                <w:b w:val="0"/>
                <w:i w:val="0"/>
                <w:sz w:val="19"/>
              </w:rPr>
              <w:t>Lương bổng, T&amp;E, AP, AR và GL</w:t>
            </w:r>
          </w:p>
        </w:tc>
      </w:tr>
      <w:tr>
        <w:tc>
          <w:tcPr>
            <w:tcW w:type="dxa" w:w="3120"/>
          </w:tcPr>
          <w:p>
            <w:r/>
            <w:r>
              <w:rPr>
                <w:b w:val="0"/>
                <w:i w:val="0"/>
                <w:sz w:val="19"/>
              </w:rPr>
              <w:t>Phòng chống rửa tiền (AML)</w:t>
            </w:r>
          </w:p>
        </w:tc>
        <w:tc>
          <w:tcPr>
            <w:tcW w:type="dxa" w:w="3120"/>
          </w:tcPr>
          <w:p>
            <w:r/>
            <w:r>
              <w:rPr>
                <w:b w:val="0"/>
                <w:i w:val="0"/>
                <w:sz w:val="19"/>
              </w:rPr>
              <w:t>Tất cả</w:t>
            </w:r>
          </w:p>
        </w:tc>
        <w:tc>
          <w:tcPr>
            <w:tcW w:type="dxa" w:w="3120"/>
          </w:tcPr>
          <w:p>
            <w:r/>
            <w:r>
              <w:rPr>
                <w:b w:val="0"/>
                <w:i w:val="0"/>
                <w:sz w:val="19"/>
              </w:rPr>
              <w:t>AR, AP, T&amp;E và Payroll</w:t>
            </w:r>
          </w:p>
        </w:tc>
      </w:tr>
      <w:tr>
        <w:tc>
          <w:tcPr>
            <w:tcW w:type="dxa" w:w="3120"/>
          </w:tcPr>
          <w:p>
            <w:r/>
            <w:r>
              <w:rPr>
                <w:b w:val="0"/>
                <w:i w:val="0"/>
                <w:sz w:val="19"/>
              </w:rPr>
              <w:t>Nhận biết khách hàng (KYC)</w:t>
            </w:r>
          </w:p>
        </w:tc>
        <w:tc>
          <w:tcPr>
            <w:tcW w:type="dxa" w:w="3120"/>
          </w:tcPr>
          <w:p>
            <w:r/>
            <w:r>
              <w:rPr>
                <w:b w:val="0"/>
                <w:i w:val="0"/>
                <w:sz w:val="19"/>
              </w:rPr>
              <w:t>Tất cả</w:t>
            </w:r>
          </w:p>
        </w:tc>
        <w:tc>
          <w:tcPr>
            <w:tcW w:type="dxa" w:w="3120"/>
          </w:tcPr>
          <w:p>
            <w:r/>
            <w:r>
              <w:rPr>
                <w:b w:val="0"/>
                <w:i w:val="0"/>
                <w:sz w:val="19"/>
              </w:rPr>
              <w:t>AR</w:t>
            </w:r>
          </w:p>
        </w:tc>
      </w:tr>
      <w:tr>
        <w:tc>
          <w:tcPr>
            <w:tcW w:type="dxa" w:w="3120"/>
          </w:tcPr>
          <w:p>
            <w:r/>
            <w:r>
              <w:rPr>
                <w:b w:val="0"/>
                <w:i w:val="0"/>
                <w:sz w:val="19"/>
              </w:rPr>
              <w:t>Quy định của Đạo luật Chống hối lộ Vương quốc Anh</w:t>
            </w:r>
          </w:p>
        </w:tc>
        <w:tc>
          <w:tcPr>
            <w:tcW w:type="dxa" w:w="3120"/>
          </w:tcPr>
          <w:p>
            <w:r/>
            <w:r>
              <w:rPr>
                <w:b w:val="0"/>
                <w:i w:val="0"/>
                <w:sz w:val="19"/>
              </w:rPr>
              <w:t>Các công ty toàn cầu</w:t>
            </w:r>
          </w:p>
        </w:tc>
        <w:tc>
          <w:tcPr>
            <w:tcW w:type="dxa" w:w="3120"/>
          </w:tcPr>
          <w:p>
            <w:r/>
            <w:r>
              <w:rPr>
                <w:b w:val="0"/>
                <w:i w:val="0"/>
                <w:sz w:val="19"/>
              </w:rPr>
              <w:t>AP,T&amp;E</w:t>
            </w:r>
          </w:p>
        </w:tc>
      </w:tr>
    </w:tbl>
    <w:p>
      <w:pPr>
        <w:spacing w:after="0"/>
      </w:pP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16.1.1</w:t>
            </w:r>
          </w:p>
        </w:tc>
        <w:tc>
          <w:tcPr>
            <w:tcW w:type="dxa" w:w="4680"/>
          </w:tcPr>
          <w:p>
            <w:r/>
            <w:r>
              <w:rPr>
                <w:b w:val="0"/>
                <w:i w:val="0"/>
                <w:sz w:val="19"/>
              </w:rPr>
              <w:t xml:space="preserve">Công ty đã thiết lập một chương trình tuân thủ với các yêu cầu sàng lọc trên toàn công ty cho từng quy trình kinh doanh và địa điểm. </w:t>
            </w:r>
            <w:r>
              <w:rPr>
                <w:b/>
                <w:i w:val="0"/>
                <w:sz w:val="19"/>
              </w:rPr>
              <w:t>Tham chiếu rủi ro: A-1, A-2, A-3, A-4, A-5, A-6, A-7, A-8, A-9, A-10</w:t>
            </w:r>
          </w:p>
        </w:tc>
      </w:tr>
      <w:tr>
        <w:tc>
          <w:tcPr>
            <w:tcW w:type="dxa" w:w="4680"/>
          </w:tcPr>
          <w:p>
            <w:r/>
            <w:r>
              <w:rPr>
                <w:b w:val="0"/>
                <w:i w:val="0"/>
                <w:sz w:val="19"/>
              </w:rPr>
              <w:t>16.1.2</w:t>
            </w:r>
          </w:p>
        </w:tc>
        <w:tc>
          <w:tcPr>
            <w:tcW w:type="dxa" w:w="4680"/>
          </w:tcPr>
          <w:p>
            <w:r/>
            <w:r>
              <w:rPr>
                <w:b w:val="0"/>
                <w:i w:val="0"/>
                <w:sz w:val="19"/>
              </w:rPr>
              <w:t xml:space="preserve">Phạm vi và mục tiêu của chương trình tuân thủ được nêu rõ ràng và truyền đạt đến các bên liên quan chính của công ty và nhân viên. </w:t>
            </w:r>
            <w:r>
              <w:rPr>
                <w:b/>
                <w:i w:val="0"/>
                <w:sz w:val="19"/>
              </w:rPr>
              <w:t>Tham chiếu rủi ro: A-1, A-2, A-3, A-4, A-5, A-6, A-7, A-8, A-9, A-10, A-11</w:t>
            </w:r>
          </w:p>
        </w:tc>
      </w:tr>
      <w:tr>
        <w:tc>
          <w:tcPr>
            <w:tcW w:type="dxa" w:w="4680"/>
          </w:tcPr>
          <w:p>
            <w:r/>
            <w:r>
              <w:rPr>
                <w:b w:val="0"/>
                <w:i w:val="0"/>
                <w:sz w:val="19"/>
              </w:rPr>
              <w:t>16.1.3</w:t>
            </w:r>
          </w:p>
        </w:tc>
        <w:tc>
          <w:tcPr>
            <w:tcW w:type="dxa" w:w="4680"/>
          </w:tcPr>
          <w:p>
            <w:r/>
            <w:r>
              <w:rPr>
                <w:b w:val="0"/>
                <w:i w:val="0"/>
                <w:sz w:val="19"/>
              </w:rPr>
              <w:t xml:space="preserve">Chương trình tuân thủ có một kế hoạch kinh doanh nêu rõ các mục tiêu, nhân sự và yêu cầu ngân sách. </w:t>
            </w:r>
            <w:r>
              <w:rPr>
                <w:b/>
                <w:i w:val="0"/>
                <w:sz w:val="19"/>
              </w:rPr>
              <w:t>Tham chiếu rủi ro: A-1, A-2, A-3, A-4, A-5, A-6, A-7, A-8, A-9, A-10, A-11</w:t>
            </w:r>
          </w:p>
        </w:tc>
      </w:tr>
      <w:tr>
        <w:tc>
          <w:tcPr>
            <w:tcW w:type="dxa" w:w="4680"/>
          </w:tcPr>
          <w:p>
            <w:r/>
            <w:r>
              <w:rPr>
                <w:b w:val="0"/>
                <w:i w:val="0"/>
                <w:sz w:val="19"/>
              </w:rPr>
              <w:t>16.1.4</w:t>
            </w:r>
          </w:p>
        </w:tc>
        <w:tc>
          <w:tcPr>
            <w:tcW w:type="dxa" w:w="4680"/>
          </w:tcPr>
          <w:p>
            <w:r/>
            <w:r>
              <w:rPr>
                <w:b w:val="0"/>
                <w:i w:val="0"/>
                <w:sz w:val="19"/>
              </w:rPr>
              <w:t xml:space="preserve">Tổ chức tuân thủ nhận được thông tin cập nhật từ mỗi cuộc họp của ủy ban công bố thông tin và kiểm toán. </w:t>
            </w:r>
            <w:r>
              <w:rPr>
                <w:b/>
                <w:i w:val="0"/>
                <w:sz w:val="19"/>
              </w:rPr>
              <w:t>Tham chiếu rủi ro: A-8</w:t>
            </w:r>
          </w:p>
        </w:tc>
      </w:tr>
      <w:tr>
        <w:tc>
          <w:tcPr>
            <w:tcW w:type="dxa" w:w="4680"/>
          </w:tcPr>
          <w:p>
            <w:r/>
            <w:r>
              <w:rPr>
                <w:b w:val="0"/>
                <w:i w:val="0"/>
                <w:sz w:val="19"/>
              </w:rPr>
              <w:t>16.1.5</w:t>
            </w:r>
          </w:p>
        </w:tc>
        <w:tc>
          <w:tcPr>
            <w:tcW w:type="dxa" w:w="4680"/>
          </w:tcPr>
          <w:p>
            <w:r/>
            <w:r>
              <w:rPr>
                <w:b w:val="0"/>
                <w:i w:val="0"/>
                <w:sz w:val="19"/>
              </w:rPr>
              <w:t xml:space="preserve">Các vi phạm tuân thủ có thể xảy ra được báo cáo qua đường dây đạo đức sẽ được thông báo đến các tổ chức tuân thủ và tài chính. </w:t>
            </w:r>
            <w:r>
              <w:rPr>
                <w:b/>
                <w:i w:val="0"/>
                <w:sz w:val="19"/>
              </w:rPr>
              <w:t>Tham chiếu rủi ro: A-8</w:t>
            </w:r>
          </w:p>
        </w:tc>
      </w:tr>
      <w:tr>
        <w:tc>
          <w:tcPr>
            <w:tcW w:type="dxa" w:w="4680"/>
          </w:tcPr>
          <w:p>
            <w:r/>
            <w:r>
              <w:rPr>
                <w:b w:val="0"/>
                <w:i w:val="0"/>
                <w:sz w:val="19"/>
              </w:rPr>
              <w:t>16.1.6</w:t>
            </w:r>
          </w:p>
        </w:tc>
        <w:tc>
          <w:tcPr>
            <w:tcW w:type="dxa" w:w="4680"/>
          </w:tcPr>
          <w:p>
            <w:r/>
            <w:r>
              <w:rPr>
                <w:b w:val="0"/>
                <w:i w:val="0"/>
                <w:sz w:val="19"/>
              </w:rPr>
              <w:t xml:space="preserve">Nhóm tuân thủ định kỳ đánh giá rủi ro không tuân thủ và hành vi phạm tội. </w:t>
            </w:r>
            <w:r>
              <w:rPr>
                <w:b/>
                <w:i w:val="0"/>
                <w:sz w:val="19"/>
              </w:rPr>
              <w:t>Tham chiếu rủi ro: A-8</w:t>
            </w:r>
          </w:p>
        </w:tc>
      </w:tr>
      <w:tr>
        <w:tc>
          <w:tcPr>
            <w:tcW w:type="dxa" w:w="4680"/>
          </w:tcPr>
          <w:p>
            <w:r/>
            <w:r>
              <w:rPr>
                <w:b w:val="0"/>
                <w:i w:val="0"/>
                <w:sz w:val="19"/>
              </w:rPr>
              <w:t>16.1.7</w:t>
            </w:r>
          </w:p>
        </w:tc>
        <w:tc>
          <w:tcPr>
            <w:tcW w:type="dxa" w:w="4680"/>
          </w:tcPr>
          <w:p>
            <w:r/>
            <w:r>
              <w:rPr>
                <w:b w:val="0"/>
                <w:i w:val="0"/>
                <w:sz w:val="19"/>
              </w:rPr>
              <w:t xml:space="preserve">Thiết lập trách nhiệm rõ ràng cho chương trình tuân thủ và các yêu cầu sàng lọc cho từng quy trình kinh doanh cụ thể. </w:t>
            </w:r>
            <w:r>
              <w:rPr>
                <w:b/>
                <w:i w:val="0"/>
                <w:sz w:val="19"/>
              </w:rPr>
              <w:t>Tham chiếu rủi ro: A-1, A-2, A-3, A-4, A-5, A-6, A-7, A-8, A-9, A-10, A-11</w:t>
            </w:r>
          </w:p>
        </w:tc>
      </w:tr>
      <w:tr>
        <w:tc>
          <w:tcPr>
            <w:tcW w:type="dxa" w:w="4680"/>
          </w:tcPr>
          <w:p>
            <w:r/>
            <w:r>
              <w:rPr>
                <w:b w:val="0"/>
                <w:i w:val="0"/>
                <w:sz w:val="19"/>
              </w:rPr>
              <w:t>16.1.8</w:t>
            </w:r>
          </w:p>
        </w:tc>
        <w:tc>
          <w:tcPr>
            <w:tcW w:type="dxa" w:w="4680"/>
          </w:tcPr>
          <w:p>
            <w:r/>
            <w:r>
              <w:rPr>
                <w:b w:val="0"/>
                <w:i w:val="0"/>
                <w:sz w:val="19"/>
              </w:rPr>
              <w:t xml:space="preserve">Nguồn lực đầy đủ được thiết lập cho chương trình tuân thủ. </w:t>
            </w:r>
            <w:r>
              <w:rPr>
                <w:b/>
                <w:i w:val="0"/>
                <w:sz w:val="19"/>
              </w:rPr>
              <w:t>Tham chiếu rủi ro: A-1, A-2, A-3, A-4, A-5, A-6, A-7, A-8, A-9, A-10, A-11</w:t>
            </w:r>
          </w:p>
        </w:tc>
      </w:tr>
      <w:tr>
        <w:tc>
          <w:tcPr>
            <w:tcW w:type="dxa" w:w="4680"/>
          </w:tcPr>
          <w:p>
            <w:r/>
            <w:r>
              <w:rPr>
                <w:b w:val="0"/>
                <w:i w:val="0"/>
                <w:sz w:val="19"/>
              </w:rPr>
              <w:t>16.1.9</w:t>
            </w:r>
          </w:p>
        </w:tc>
        <w:tc>
          <w:tcPr>
            <w:tcW w:type="dxa" w:w="4680"/>
          </w:tcPr>
          <w:p>
            <w:r/>
            <w:r>
              <w:rPr>
                <w:b w:val="0"/>
                <w:i w:val="0"/>
                <w:sz w:val="19"/>
              </w:rPr>
              <w:t xml:space="preserve">Thiết lập các tiêu chuẩn và quy trình để ngăn ngừa và phát hiện các vi phạm pháp luật. </w:t>
            </w:r>
            <w:r>
              <w:rPr>
                <w:b/>
                <w:i w:val="0"/>
                <w:sz w:val="19"/>
              </w:rPr>
              <w:t>Tham chiếu rủi ro: A-9, A-10, A11</w:t>
            </w:r>
          </w:p>
        </w:tc>
      </w:tr>
      <w:tr>
        <w:tc>
          <w:tcPr>
            <w:tcW w:type="dxa" w:w="4680"/>
          </w:tcPr>
          <w:p>
            <w:r/>
            <w:r>
              <w:rPr>
                <w:b w:val="0"/>
                <w:i w:val="0"/>
                <w:sz w:val="19"/>
              </w:rPr>
              <w:t>16.1.10</w:t>
            </w:r>
          </w:p>
        </w:tc>
        <w:tc>
          <w:tcPr>
            <w:tcW w:type="dxa" w:w="4680"/>
          </w:tcPr>
          <w:p>
            <w:r/>
            <w:r>
              <w:rPr>
                <w:b w:val="0"/>
                <w:i w:val="0"/>
                <w:sz w:val="19"/>
              </w:rPr>
              <w:t xml:space="preserve">Truyền đạt các tiêu chuẩn ứng xử và quy trình để ngăn ngừa và phát hiện các vi phạm pháp luật và các yêu cầu tuân thủ quy định. </w:t>
            </w:r>
            <w:r>
              <w:rPr>
                <w:b/>
                <w:i w:val="0"/>
                <w:sz w:val="19"/>
              </w:rPr>
              <w:t>Tham chiếu rủi ro: A-9, A-10, A11</w:t>
            </w:r>
          </w:p>
        </w:tc>
      </w:tr>
      <w:tr>
        <w:tc>
          <w:tcPr>
            <w:tcW w:type="dxa" w:w="4680"/>
          </w:tcPr>
          <w:p>
            <w:r/>
            <w:r>
              <w:rPr>
                <w:b w:val="0"/>
                <w:i w:val="0"/>
                <w:sz w:val="19"/>
              </w:rPr>
              <w:t>16.1.11</w:t>
            </w:r>
          </w:p>
        </w:tc>
        <w:tc>
          <w:tcPr>
            <w:tcW w:type="dxa" w:w="4680"/>
          </w:tcPr>
          <w:p>
            <w:r/>
            <w:r>
              <w:rPr>
                <w:b w:val="0"/>
                <w:i w:val="0"/>
                <w:sz w:val="19"/>
              </w:rPr>
              <w:t xml:space="preserve">Ban lãnh đạo cấp cao và hội đồng quản trị giám sát chương trình tuân thủ của công ty và đảm bảo tính hiệu quả của chương trình tuân thủ. </w:t>
            </w:r>
            <w:r>
              <w:rPr>
                <w:b/>
                <w:i w:val="0"/>
                <w:sz w:val="19"/>
              </w:rPr>
              <w:t>Tham chiếu rủi ro: A-1, A-2, A-3, A-4, A-5, A-6, A-7, A-8, A-9, A-10, A-11</w:t>
            </w:r>
          </w:p>
        </w:tc>
      </w:tr>
    </w:tbl>
    <w:p>
      <w:pPr>
        <w:spacing w:after="0"/>
      </w:pPr>
    </w:p>
    <w:p>
      <w:pPr>
        <w:pStyle w:val="Heading3"/>
      </w:pPr>
      <w:r>
        <w:rPr>
          <w:rFonts w:ascii="Calibri" w:hAnsi="Calibri"/>
          <w:b/>
          <w:i w:val="0"/>
          <w:sz w:val="26"/>
        </w:rPr>
        <w:t>Rủi ro nếu không triển khai tiêu chuẩn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A-1</w:t>
            </w:r>
          </w:p>
        </w:tc>
        <w:tc>
          <w:tcPr>
            <w:tcW w:type="dxa" w:w="4680"/>
          </w:tcPr>
          <w:p>
            <w:r/>
            <w:r>
              <w:rPr>
                <w:b w:val="0"/>
                <w:i w:val="0"/>
                <w:sz w:val="19"/>
              </w:rPr>
              <w:t>Công ty sẽ không có một tổ chức tập trung để nhận diện, quản lý và báo cáo các vấn đề tuân thủ.</w:t>
            </w:r>
          </w:p>
        </w:tc>
      </w:tr>
      <w:tr>
        <w:tc>
          <w:tcPr>
            <w:tcW w:type="dxa" w:w="4680"/>
          </w:tcPr>
          <w:p>
            <w:r/>
            <w:r>
              <w:rPr>
                <w:b w:val="0"/>
                <w:i w:val="0"/>
                <w:sz w:val="19"/>
              </w:rPr>
              <w:t>A-2</w:t>
            </w:r>
          </w:p>
        </w:tc>
        <w:tc>
          <w:tcPr>
            <w:tcW w:type="dxa" w:w="4680"/>
          </w:tcPr>
          <w:p>
            <w:r/>
            <w:r>
              <w:rPr>
                <w:b w:val="0"/>
                <w:i w:val="0"/>
                <w:sz w:val="19"/>
              </w:rPr>
              <w:t>Nhân viên và các bên liên quan sẽ bối rối không biết tìm hướng dẫn về tuân thủ ở đâu và cách nêu ra vấn đề như thế nào.</w:t>
            </w:r>
          </w:p>
        </w:tc>
      </w:tr>
      <w:tr>
        <w:tc>
          <w:tcPr>
            <w:tcW w:type="dxa" w:w="4680"/>
          </w:tcPr>
          <w:p>
            <w:r/>
            <w:r>
              <w:rPr>
                <w:b w:val="0"/>
                <w:i w:val="0"/>
                <w:sz w:val="19"/>
              </w:rPr>
              <w:t>A-3</w:t>
            </w:r>
          </w:p>
        </w:tc>
        <w:tc>
          <w:tcPr>
            <w:tcW w:type="dxa" w:w="4680"/>
          </w:tcPr>
          <w:p>
            <w:r/>
            <w:r>
              <w:rPr>
                <w:b w:val="0"/>
                <w:i w:val="0"/>
                <w:sz w:val="19"/>
              </w:rPr>
              <w:t>Nếu không có kế hoạch kinh doanh, thì các mục tiêu, sản phẩm bàn giao và nguồn lực cho chương trình tuân thủ sẽ không được xác định rõ ràng.</w:t>
            </w:r>
          </w:p>
        </w:tc>
      </w:tr>
      <w:tr>
        <w:tc>
          <w:tcPr>
            <w:tcW w:type="dxa" w:w="4680"/>
          </w:tcPr>
          <w:p>
            <w:r/>
            <w:r>
              <w:rPr>
                <w:b w:val="0"/>
                <w:i w:val="0"/>
                <w:sz w:val="19"/>
              </w:rPr>
              <w:t>A-4</w:t>
            </w:r>
          </w:p>
        </w:tc>
        <w:tc>
          <w:tcPr>
            <w:tcW w:type="dxa" w:w="4680"/>
          </w:tcPr>
          <w:p>
            <w:r/>
            <w:r>
              <w:rPr>
                <w:b w:val="0"/>
                <w:i w:val="0"/>
                <w:sz w:val="19"/>
              </w:rPr>
              <w:t>Việc thiếu báo cáo có thể ảnh hưởng đến các giao dịch kinh doanh trong tương lai của công ty với các cơ quan chính phủ.</w:t>
            </w:r>
          </w:p>
        </w:tc>
      </w:tr>
      <w:tr>
        <w:tc>
          <w:tcPr>
            <w:tcW w:type="dxa" w:w="4680"/>
          </w:tcPr>
          <w:p>
            <w:r/>
            <w:r>
              <w:rPr>
                <w:b w:val="0"/>
                <w:i w:val="0"/>
                <w:sz w:val="19"/>
              </w:rPr>
              <w:t>A-5</w:t>
            </w:r>
          </w:p>
        </w:tc>
        <w:tc>
          <w:tcPr>
            <w:tcW w:type="dxa" w:w="4680"/>
          </w:tcPr>
          <w:p>
            <w:r/>
            <w:r>
              <w:rPr>
                <w:b w:val="0"/>
                <w:i w:val="0"/>
                <w:sz w:val="19"/>
              </w:rPr>
              <w:t>Việc sàng lọc tuân thủ không được thực hiện, và các vấn đề không được báo cáo, ưu tiên và giải quyết.</w:t>
            </w:r>
          </w:p>
        </w:tc>
      </w:tr>
      <w:tr>
        <w:tc>
          <w:tcPr>
            <w:tcW w:type="dxa" w:w="4680"/>
          </w:tcPr>
          <w:p>
            <w:r/>
            <w:r>
              <w:rPr>
                <w:b w:val="0"/>
                <w:i w:val="0"/>
                <w:sz w:val="19"/>
              </w:rPr>
              <w:t>A-6</w:t>
            </w:r>
          </w:p>
        </w:tc>
        <w:tc>
          <w:tcPr>
            <w:tcW w:type="dxa" w:w="4680"/>
          </w:tcPr>
          <w:p>
            <w:r/>
            <w:r>
              <w:rPr>
                <w:b w:val="0"/>
                <w:i w:val="0"/>
                <w:sz w:val="19"/>
              </w:rPr>
              <w:t>Nếu không có cái nhìn kịp thời về các rủi ro pháp lý mà công ty đang đối mặt, chương trình tuân thủ có thể đang xử lý sai các rủi ro.</w:t>
            </w:r>
          </w:p>
        </w:tc>
      </w:tr>
      <w:tr>
        <w:tc>
          <w:tcPr>
            <w:tcW w:type="dxa" w:w="4680"/>
          </w:tcPr>
          <w:p>
            <w:r/>
            <w:r>
              <w:rPr>
                <w:b w:val="0"/>
                <w:i w:val="0"/>
                <w:sz w:val="19"/>
              </w:rPr>
              <w:t>A-7</w:t>
            </w:r>
          </w:p>
        </w:tc>
        <w:tc>
          <w:tcPr>
            <w:tcW w:type="dxa" w:w="4680"/>
          </w:tcPr>
          <w:p>
            <w:r/>
            <w:r>
              <w:rPr>
                <w:b w:val="0"/>
                <w:i w:val="0"/>
                <w:sz w:val="19"/>
              </w:rPr>
              <w:t>Nếu không có trách nhiệm rõ ràng đối với chương trình tuân thủ, thì các rủi ro kinh doanh và pháp lý đối với công ty sẽ không được nhận diện, rủi ro sẽ không được đánh giá một cách chính thức và nhất quán, các chính sách có thể được ban hành từ góc nhìn cục bộ mà không xét đến góc nhìn toàn doanh nghiệp, các chính sách không nhất quán trong toàn doanh nghiệp, nhân viên không nhận được đào tạo cần thiết, và hiệu quả của chính sách cùng việc đào tạo thì không bao giờ được xử lý.</w:t>
            </w:r>
          </w:p>
        </w:tc>
      </w:tr>
      <w:tr>
        <w:tc>
          <w:tcPr>
            <w:tcW w:type="dxa" w:w="4680"/>
          </w:tcPr>
          <w:p>
            <w:r/>
            <w:r>
              <w:rPr>
                <w:b w:val="0"/>
                <w:i w:val="0"/>
                <w:sz w:val="19"/>
              </w:rPr>
              <w:t>A-8</w:t>
            </w:r>
          </w:p>
        </w:tc>
        <w:tc>
          <w:tcPr>
            <w:tcW w:type="dxa" w:w="4680"/>
          </w:tcPr>
          <w:p>
            <w:r/>
            <w:r>
              <w:rPr>
                <w:b w:val="0"/>
                <w:i w:val="0"/>
                <w:sz w:val="19"/>
              </w:rPr>
              <w:t>Một chương trình tuân thủ với nguồn lực không đầy đủ có nguy cơ trở nên kém hiệu quả. Một chương trình tuân thủ kém hiệu quả sẽ ít có khả năng ngăn ngừa và phát hiện các hành vi vi phạm pháp luật. Một chương trình tuân thủ kém hiệu quả khiến công ty đối mặt với rủi ro cao hơn về các hành động thực thi hình sự, dân sự hoặc hành chính.</w:t>
            </w:r>
          </w:p>
        </w:tc>
      </w:tr>
      <w:tr>
        <w:tc>
          <w:tcPr>
            <w:tcW w:type="dxa" w:w="4680"/>
          </w:tcPr>
          <w:p>
            <w:r/>
            <w:r>
              <w:rPr>
                <w:b w:val="0"/>
                <w:i w:val="0"/>
                <w:sz w:val="19"/>
              </w:rPr>
              <w:t>A-9</w:t>
            </w:r>
          </w:p>
        </w:tc>
        <w:tc>
          <w:tcPr>
            <w:tcW w:type="dxa" w:w="4680"/>
          </w:tcPr>
          <w:p>
            <w:r/>
            <w:r>
              <w:rPr>
                <w:b w:val="0"/>
                <w:i w:val="0"/>
                <w:sz w:val="19"/>
              </w:rPr>
              <w:t>Nếu không có các chuẩn mực ứng xử và quy trình, nhân viên có thể không nhận thức được các luật, chính sách và quy định chi phối hoạt động của họ.</w:t>
            </w:r>
          </w:p>
        </w:tc>
      </w:tr>
      <w:tr>
        <w:tc>
          <w:tcPr>
            <w:tcW w:type="dxa" w:w="4680"/>
          </w:tcPr>
          <w:p>
            <w:r/>
            <w:r>
              <w:rPr>
                <w:b w:val="0"/>
                <w:i w:val="0"/>
                <w:sz w:val="19"/>
              </w:rPr>
              <w:t>A-10</w:t>
            </w:r>
          </w:p>
        </w:tc>
        <w:tc>
          <w:tcPr>
            <w:tcW w:type="dxa" w:w="4680"/>
          </w:tcPr>
          <w:p>
            <w:r/>
            <w:r>
              <w:rPr>
                <w:b w:val="0"/>
                <w:i w:val="0"/>
                <w:sz w:val="19"/>
              </w:rPr>
              <w:t>Các chuẩn mực ứng xử, yêu cầu sàng lọc và quy trình không được truyền đạt thì ít có khả năng được tuân theo.</w:t>
            </w:r>
          </w:p>
        </w:tc>
      </w:tr>
      <w:tr>
        <w:tc>
          <w:tcPr>
            <w:tcW w:type="dxa" w:w="4680"/>
          </w:tcPr>
          <w:p>
            <w:r/>
            <w:r>
              <w:rPr>
                <w:b w:val="0"/>
                <w:i w:val="0"/>
                <w:sz w:val="19"/>
              </w:rPr>
              <w:t>A-11</w:t>
            </w:r>
          </w:p>
        </w:tc>
        <w:tc>
          <w:tcPr>
            <w:tcW w:type="dxa" w:w="4680"/>
          </w:tcPr>
          <w:p>
            <w:r/>
            <w:r>
              <w:rPr>
                <w:b w:val="0"/>
                <w:i w:val="0"/>
                <w:sz w:val="19"/>
              </w:rPr>
              <w:t>Việc thiếu một chương trình tuân thủ hiệu quả có thể khiến công ty đối mặt với thêm rủi ro về hình sự, pháp lý, tài chính và danh tiếng.</w:t>
            </w:r>
          </w:p>
        </w:tc>
      </w:tr>
    </w:tbl>
    <w:p>
      <w:pPr>
        <w:spacing w:after="0"/>
      </w:pPr>
    </w:p>
    <w:p>
      <w:pPr>
        <w:pStyle w:val="Heading2"/>
      </w:pPr>
      <w:r>
        <w:rPr>
          <w:rFonts w:ascii="Calibri" w:hAnsi="Calibri"/>
          <w:b/>
          <w:i w:val="0"/>
          <w:sz w:val="32"/>
        </w:rPr>
        <w:t>16.2 VAI TRÒ VÀ TRÁCH NHIỆM KIỂM SOÁT NỘI BỘ</w:t>
      </w:r>
    </w:p>
    <w:p>
      <w:pPr>
        <w:pStyle w:val="Heading3"/>
      </w:pPr>
      <w:r>
        <w:rPr>
          <w:rFonts w:ascii="Calibri" w:hAnsi="Calibri"/>
          <w:b/>
          <w:i w:val="0"/>
          <w:sz w:val="26"/>
        </w:rPr>
        <w:t>Giới thiệu</w:t>
      </w:r>
    </w:p>
    <w:p>
      <w:pPr>
        <w:spacing w:after="80"/>
      </w:pPr>
      <w:r>
        <w:rPr>
          <w:b w:val="0"/>
          <w:i w:val="0"/>
        </w:rPr>
        <w:t>Dù cấu trúc kiểm soát nội bộ quan trọng đối với một tổ chức đến đâu, một hệ thống hiệu quả cũng không phải là sự bảo đảm rằng tổ chức sẽ thành công. Một cấu trúc kiểm soát nội bộ hiệu quả sẽ giữ cho những người phù hợp được thông tin về tiến độ (hoặc thiếu tiến độ) của tổ chức trong việc đạt được các mục tiêu của mình. Theo chuẩn mực, tổ chức có trách nhiệm tổng thể về kiểm soát nội bộ và khắc phục là yếu tố then chốt cho sự thành công của chương trình</w:t>
      </w:r>
    </w:p>
    <w:p>
      <w:pPr>
        <w:pStyle w:val="Heading3"/>
      </w:pPr>
      <w:r>
        <w:rPr>
          <w:rFonts w:ascii="Calibri" w:hAnsi="Calibri"/>
          <w:b/>
          <w:i w:val="0"/>
          <w:sz w:val="26"/>
        </w:rPr>
        <w:t>Chuẩn mực về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16.2.1</w:t>
            </w:r>
          </w:p>
        </w:tc>
        <w:tc>
          <w:tcPr>
            <w:tcW w:type="dxa" w:w="4680"/>
          </w:tcPr>
          <w:p>
            <w:r/>
            <w:r>
              <w:rPr>
                <w:b w:val="0"/>
                <w:i w:val="0"/>
                <w:sz w:val="19"/>
              </w:rPr>
              <w:t xml:space="preserve">Có một điều lệ (charter) để thiết lập định hướng cũng như vai trò và trách nhiệm của quá trình kiểm soát nội bộ và khắc phục. Điều lệ quy định mức độ độc lập cần thiết cho chức năng kiểm soát nội bộ. </w:t>
            </w:r>
            <w:r>
              <w:rPr>
                <w:b/>
                <w:i w:val="0"/>
                <w:sz w:val="19"/>
              </w:rPr>
              <w:t>Tham chiếu rủi ro: B-1, B-3</w:t>
            </w:r>
          </w:p>
        </w:tc>
      </w:tr>
      <w:tr>
        <w:tc>
          <w:tcPr>
            <w:tcW w:type="dxa" w:w="4680"/>
          </w:tcPr>
          <w:p>
            <w:r/>
            <w:r>
              <w:rPr>
                <w:b w:val="0"/>
                <w:i w:val="0"/>
                <w:sz w:val="19"/>
              </w:rPr>
              <w:t>16.2.2</w:t>
            </w:r>
          </w:p>
        </w:tc>
        <w:tc>
          <w:tcPr>
            <w:tcW w:type="dxa" w:w="4680"/>
          </w:tcPr>
          <w:p>
            <w:r/>
            <w:r>
              <w:rPr>
                <w:b w:val="0"/>
                <w:i w:val="0"/>
                <w:sz w:val="19"/>
              </w:rPr>
              <w:t xml:space="preserve">Có một cơ cấu tổ chức bảo đảm bao quát hoạt động kiểm soát nội bộ cho công ty. Mức độ nhân sự cho đội kiểm soát nội bộ là phù hợp để bảo đảm bao quát tất cả các lĩnh vực. </w:t>
            </w:r>
            <w:r>
              <w:rPr>
                <w:b/>
                <w:i w:val="0"/>
                <w:sz w:val="19"/>
              </w:rPr>
              <w:t>Tham chiếu rủi ro: B-1, B-3</w:t>
            </w:r>
          </w:p>
        </w:tc>
      </w:tr>
      <w:tr>
        <w:tc>
          <w:tcPr>
            <w:tcW w:type="dxa" w:w="4680"/>
          </w:tcPr>
          <w:p>
            <w:r/>
            <w:r>
              <w:rPr>
                <w:b w:val="0"/>
                <w:i w:val="0"/>
                <w:sz w:val="19"/>
              </w:rPr>
              <w:t>16.2.3</w:t>
            </w:r>
          </w:p>
        </w:tc>
        <w:tc>
          <w:tcPr>
            <w:tcW w:type="dxa" w:w="4680"/>
          </w:tcPr>
          <w:p>
            <w:r/>
            <w:r>
              <w:rPr>
                <w:b w:val="0"/>
                <w:i w:val="0"/>
                <w:sz w:val="19"/>
              </w:rPr>
              <w:t xml:space="preserve">Nhóm kiểm soát nội bộ có đầy đủ chứng chỉ hành nghề và tham gia đào tạo theo yêu cầu. </w:t>
            </w:r>
            <w:r>
              <w:rPr>
                <w:b/>
                <w:i w:val="0"/>
                <w:sz w:val="19"/>
              </w:rPr>
              <w:t>Tham chiếu rủi ro: B-1, B-3</w:t>
            </w:r>
          </w:p>
        </w:tc>
      </w:tr>
      <w:tr>
        <w:tc>
          <w:tcPr>
            <w:tcW w:type="dxa" w:w="4680"/>
          </w:tcPr>
          <w:p>
            <w:r/>
            <w:r>
              <w:rPr>
                <w:b w:val="0"/>
                <w:i w:val="0"/>
                <w:sz w:val="19"/>
              </w:rPr>
              <w:t>16.2.4</w:t>
            </w:r>
          </w:p>
        </w:tc>
        <w:tc>
          <w:tcPr>
            <w:tcW w:type="dxa" w:w="4680"/>
          </w:tcPr>
          <w:p>
            <w:r/>
            <w:r>
              <w:rPr>
                <w:b w:val="0"/>
                <w:i w:val="0"/>
                <w:sz w:val="19"/>
              </w:rPr>
              <w:t xml:space="preserve">Nhóm kiểm soát nội bộ được phân công theo các chu kỳ tài chính và quy trình kinh doanh đã được kiểm soát viên (controller) và CFO phê duyệt. </w:t>
            </w:r>
            <w:r>
              <w:rPr>
                <w:b/>
                <w:i w:val="0"/>
                <w:sz w:val="19"/>
              </w:rPr>
              <w:t>Tham chiếu rủi ro: B-4</w:t>
            </w:r>
          </w:p>
        </w:tc>
      </w:tr>
      <w:tr>
        <w:tc>
          <w:tcPr>
            <w:tcW w:type="dxa" w:w="4680"/>
          </w:tcPr>
          <w:p>
            <w:r/>
            <w:r>
              <w:rPr>
                <w:b w:val="0"/>
                <w:i w:val="0"/>
                <w:sz w:val="19"/>
              </w:rPr>
              <w:t>16.2.5</w:t>
            </w:r>
          </w:p>
        </w:tc>
        <w:tc>
          <w:tcPr>
            <w:tcW w:type="dxa" w:w="4680"/>
          </w:tcPr>
          <w:p>
            <w:r/>
            <w:r>
              <w:rPr>
                <w:b w:val="0"/>
                <w:i w:val="0"/>
                <w:sz w:val="19"/>
              </w:rPr>
              <w:t xml:space="preserve">Nhóm kiểm soát nội bộ tích hợp quy trình kinh doanh với IT để đảm bảo rằng các kiểm soát quy trình được ánh xạ tới các kiểm soát và chức năng của hệ thống. </w:t>
            </w:r>
            <w:r>
              <w:rPr>
                <w:b/>
                <w:i w:val="0"/>
                <w:sz w:val="19"/>
              </w:rPr>
              <w:t>Tham chiếu rủi ro: B-5</w:t>
            </w:r>
          </w:p>
        </w:tc>
      </w:tr>
      <w:tr>
        <w:tc>
          <w:tcPr>
            <w:tcW w:type="dxa" w:w="4680"/>
          </w:tcPr>
          <w:p>
            <w:r/>
            <w:r>
              <w:rPr>
                <w:b w:val="0"/>
                <w:i w:val="0"/>
                <w:sz w:val="19"/>
              </w:rPr>
              <w:t>16.2.6</w:t>
            </w:r>
          </w:p>
        </w:tc>
        <w:tc>
          <w:tcPr>
            <w:tcW w:type="dxa" w:w="4680"/>
          </w:tcPr>
          <w:p>
            <w:r/>
            <w:r>
              <w:rPr>
                <w:b w:val="0"/>
                <w:i w:val="0"/>
                <w:sz w:val="19"/>
              </w:rPr>
              <w:t xml:space="preserve">Có một quy trình được định nghĩa rõ ràng cho việc triển khai các chính sách của công ty. </w:t>
            </w:r>
            <w:r>
              <w:rPr>
                <w:b/>
                <w:i w:val="0"/>
                <w:sz w:val="19"/>
              </w:rPr>
              <w:t>Tham chiếu rủi ro: B-6, B-7, B-8</w:t>
            </w:r>
          </w:p>
        </w:tc>
      </w:tr>
      <w:tr>
        <w:tc>
          <w:tcPr>
            <w:tcW w:type="dxa" w:w="4680"/>
          </w:tcPr>
          <w:p>
            <w:r/>
            <w:r>
              <w:rPr>
                <w:b w:val="0"/>
                <w:i w:val="0"/>
                <w:sz w:val="19"/>
              </w:rPr>
              <w:t>16.2.7</w:t>
            </w:r>
          </w:p>
        </w:tc>
        <w:tc>
          <w:tcPr>
            <w:tcW w:type="dxa" w:w="4680"/>
          </w:tcPr>
          <w:p>
            <w:r/>
            <w:r>
              <w:rPr>
                <w:b w:val="0"/>
                <w:i w:val="0"/>
                <w:sz w:val="19"/>
              </w:rPr>
              <w:t xml:space="preserve">Là nền tảng cốt lõi của chính sách công ty, chính sách Phân quyền (Delegation of Authority - DoA) đã được phê duyệt và việc triển khai chính sách này được ghi nhận và phê duyệt đầy đủ. Ngoài ra, các cập nhật được thực hiện thông qua một quy trình được định nghĩa rõ ràng. </w:t>
            </w:r>
            <w:r>
              <w:rPr>
                <w:b/>
                <w:i w:val="0"/>
                <w:sz w:val="19"/>
              </w:rPr>
              <w:t>Tham chiếu rủi ro: B-6, B-7, B-8</w:t>
            </w:r>
          </w:p>
        </w:tc>
      </w:tr>
      <w:tr>
        <w:tc>
          <w:tcPr>
            <w:tcW w:type="dxa" w:w="4680"/>
          </w:tcPr>
          <w:p>
            <w:r/>
            <w:r>
              <w:rPr>
                <w:b w:val="0"/>
                <w:i w:val="0"/>
                <w:sz w:val="19"/>
              </w:rPr>
              <w:t>16.2.8</w:t>
            </w:r>
          </w:p>
        </w:tc>
        <w:tc>
          <w:tcPr>
            <w:tcW w:type="dxa" w:w="4680"/>
          </w:tcPr>
          <w:p>
            <w:r/>
            <w:r>
              <w:rPr>
                <w:b w:val="0"/>
                <w:i w:val="0"/>
                <w:sz w:val="19"/>
              </w:rPr>
              <w:t xml:space="preserve">Chính sách kiểm soát nội bộ được ghi nhận thành văn bản và truyền đạt trong toàn công ty. Trách nhiệm giải trình đối với môi trường kiểm soát nội bộ và các hoạt động kiểm soát được xác định rõ ràng. </w:t>
            </w:r>
            <w:r>
              <w:rPr>
                <w:b/>
                <w:i w:val="0"/>
                <w:sz w:val="19"/>
              </w:rPr>
              <w:t>Tham chiếu rủi ro: B-6, B-7, B-8</w:t>
            </w:r>
          </w:p>
        </w:tc>
      </w:tr>
      <w:tr>
        <w:tc>
          <w:tcPr>
            <w:tcW w:type="dxa" w:w="4680"/>
          </w:tcPr>
          <w:p>
            <w:r/>
            <w:r>
              <w:rPr>
                <w:b w:val="0"/>
                <w:i w:val="0"/>
                <w:sz w:val="19"/>
              </w:rPr>
              <w:t>16.2.9</w:t>
            </w:r>
          </w:p>
        </w:tc>
        <w:tc>
          <w:tcPr>
            <w:tcW w:type="dxa" w:w="4680"/>
          </w:tcPr>
          <w:p>
            <w:r/>
            <w:r>
              <w:rPr>
                <w:b w:val="0"/>
                <w:i w:val="0"/>
                <w:sz w:val="19"/>
              </w:rPr>
              <w:t xml:space="preserve">Có một quy trình chính thức để báo cáo tình trạng và khắc phục. </w:t>
            </w:r>
            <w:r>
              <w:rPr>
                <w:b/>
                <w:i w:val="0"/>
                <w:sz w:val="19"/>
              </w:rPr>
              <w:t>Tham chiếu rủi ro: B-9</w:t>
            </w:r>
          </w:p>
        </w:tc>
      </w:tr>
      <w:tr>
        <w:tc>
          <w:tcPr>
            <w:tcW w:type="dxa" w:w="4680"/>
          </w:tcPr>
          <w:p>
            <w:r/>
            <w:r>
              <w:rPr>
                <w:b w:val="0"/>
                <w:i w:val="0"/>
                <w:sz w:val="19"/>
              </w:rPr>
              <w:t>16.2.10</w:t>
            </w:r>
          </w:p>
        </w:tc>
        <w:tc>
          <w:tcPr>
            <w:tcW w:type="dxa" w:w="4680"/>
          </w:tcPr>
          <w:p>
            <w:r/>
            <w:r>
              <w:rPr>
                <w:b w:val="0"/>
                <w:i w:val="0"/>
                <w:sz w:val="19"/>
              </w:rPr>
              <w:t xml:space="preserve">Ban điều hành nhận được thông tin về tình trạng của dự án SOX 404 và môi trường kiểm soát theo yêu cầu. </w:t>
            </w:r>
            <w:r>
              <w:rPr>
                <w:b/>
                <w:i w:val="0"/>
                <w:sz w:val="19"/>
              </w:rPr>
              <w:t>Tham chiếu rủi ro: B-9</w:t>
            </w:r>
          </w:p>
        </w:tc>
      </w:tr>
      <w:tr>
        <w:tc>
          <w:tcPr>
            <w:tcW w:type="dxa" w:w="4680"/>
          </w:tcPr>
          <w:p>
            <w:r/>
            <w:r>
              <w:rPr>
                <w:b w:val="0"/>
                <w:i w:val="0"/>
                <w:sz w:val="19"/>
              </w:rPr>
              <w:t>16.2.11</w:t>
            </w:r>
          </w:p>
        </w:tc>
        <w:tc>
          <w:tcPr>
            <w:tcW w:type="dxa" w:w="4680"/>
          </w:tcPr>
          <w:p>
            <w:r/>
            <w:r>
              <w:rPr>
                <w:b w:val="0"/>
                <w:i w:val="0"/>
                <w:sz w:val="19"/>
              </w:rPr>
              <w:t xml:space="preserve">Nhóm kiểm soát nội bộ cung cấp các buổi đào tạo và trao đổi về SOX 404 theo tần suất hàng tháng đến hàng quý. </w:t>
            </w:r>
            <w:r>
              <w:rPr>
                <w:b/>
                <w:i w:val="0"/>
                <w:sz w:val="19"/>
              </w:rPr>
              <w:t>Tham chiếu rủi ro: B-9</w:t>
            </w:r>
          </w:p>
        </w:tc>
      </w:tr>
      <w:tr>
        <w:tc>
          <w:tcPr>
            <w:tcW w:type="dxa" w:w="4680"/>
          </w:tcPr>
          <w:p>
            <w:r/>
            <w:r>
              <w:rPr>
                <w:b w:val="0"/>
                <w:i w:val="0"/>
                <w:sz w:val="19"/>
              </w:rPr>
              <w:t>16.2.12</w:t>
            </w:r>
          </w:p>
        </w:tc>
        <w:tc>
          <w:tcPr>
            <w:tcW w:type="dxa" w:w="4680"/>
          </w:tcPr>
          <w:p>
            <w:r/>
            <w:r>
              <w:rPr>
                <w:b w:val="0"/>
                <w:i w:val="0"/>
                <w:sz w:val="19"/>
              </w:rPr>
              <w:t xml:space="preserve">Có sự liên kết giữa nhóm kiểm soát nội bộ, kiểm toán nội bộ và kiểm toán bên ngoài để đảm bảo các rủi ro kiểm soát được xử lý và các hoạt động khắc phục được phối hợp nhịp nhàng. </w:t>
            </w:r>
            <w:r>
              <w:rPr>
                <w:b/>
                <w:i w:val="0"/>
                <w:sz w:val="19"/>
              </w:rPr>
              <w:t>Tham chiếu rủi ro: B-8, B-11</w:t>
            </w:r>
          </w:p>
        </w:tc>
      </w:tr>
      <w:tr>
        <w:tc>
          <w:tcPr>
            <w:tcW w:type="dxa" w:w="4680"/>
          </w:tcPr>
          <w:p>
            <w:r/>
            <w:r>
              <w:rPr>
                <w:b w:val="0"/>
                <w:i w:val="0"/>
                <w:sz w:val="19"/>
              </w:rPr>
              <w:t>16.2.13</w:t>
            </w:r>
          </w:p>
        </w:tc>
        <w:tc>
          <w:tcPr>
            <w:tcW w:type="dxa" w:w="4680"/>
          </w:tcPr>
          <w:p>
            <w:r/>
            <w:r>
              <w:rPr>
                <w:b w:val="0"/>
                <w:i w:val="0"/>
                <w:sz w:val="19"/>
              </w:rPr>
              <w:t xml:space="preserve">Nhóm kiểm soát nội bộ sử dụng các quy trình quản lý dự án theo quy định của Viện Quản lý Dự án (Project Management Institute - PMI). </w:t>
            </w:r>
            <w:r>
              <w:rPr>
                <w:b/>
                <w:i w:val="0"/>
                <w:sz w:val="19"/>
              </w:rPr>
              <w:t>Tham chiếu rủi ro: B-8, B-9, B-11, B-12</w:t>
            </w:r>
          </w:p>
        </w:tc>
      </w:tr>
      <w:tr>
        <w:tc>
          <w:tcPr>
            <w:tcW w:type="dxa" w:w="4680"/>
          </w:tcPr>
          <w:p>
            <w:r/>
            <w:r>
              <w:rPr>
                <w:b w:val="0"/>
                <w:i w:val="0"/>
                <w:sz w:val="19"/>
              </w:rPr>
              <w:t>16.2.14</w:t>
            </w:r>
          </w:p>
        </w:tc>
        <w:tc>
          <w:tcPr>
            <w:tcW w:type="dxa" w:w="4680"/>
          </w:tcPr>
          <w:p>
            <w:r/>
            <w:r>
              <w:rPr>
                <w:b w:val="0"/>
                <w:i w:val="0"/>
                <w:sz w:val="19"/>
              </w:rPr>
              <w:t xml:space="preserve">Nhóm kiểm soát nội bộ được cập nhật về những thay đổi rủi ro và điều kiện theo định nghĩa của cán bộ tuân thủ, cùng các nhóm kiểm toán nội bộ - bên ngoài. </w:t>
            </w:r>
            <w:r>
              <w:rPr>
                <w:b/>
                <w:i w:val="0"/>
                <w:sz w:val="19"/>
              </w:rPr>
              <w:t>Tham chiếu rủi ro: B-1, B-2</w:t>
            </w:r>
          </w:p>
        </w:tc>
      </w:tr>
    </w:tbl>
    <w:p>
      <w:pPr>
        <w:spacing w:after="0"/>
      </w:pPr>
    </w:p>
    <w:p>
      <w:pPr>
        <w:pStyle w:val="Heading3"/>
      </w:pPr>
      <w:r>
        <w:rPr>
          <w:rFonts w:ascii="Calibri" w:hAnsi="Calibri"/>
          <w:b/>
          <w:i w:val="0"/>
          <w:sz w:val="26"/>
        </w:rPr>
        <w:t>Rủi ro nếu Tiêu chuẩn không được triển khai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B-1</w:t>
            </w:r>
          </w:p>
        </w:tc>
        <w:tc>
          <w:tcPr>
            <w:tcW w:type="dxa" w:w="4680"/>
          </w:tcPr>
          <w:p>
            <w:r/>
            <w:r>
              <w:rPr>
                <w:b w:val="0"/>
                <w:i w:val="0"/>
                <w:sz w:val="19"/>
              </w:rPr>
              <w:t>Có thể xảy ra tình trạng trùng lặp công việc trong nội bộ nhóm và với các nhóm kiểm soát khác. Nếu mức độ độc lập không được xác định rõ ràng, có thể phát sinh xung đột lợi ích.</w:t>
            </w:r>
          </w:p>
        </w:tc>
      </w:tr>
      <w:tr>
        <w:tc>
          <w:tcPr>
            <w:tcW w:type="dxa" w:w="4680"/>
          </w:tcPr>
          <w:p>
            <w:r/>
            <w:r>
              <w:rPr>
                <w:b w:val="0"/>
                <w:i w:val="0"/>
                <w:sz w:val="19"/>
              </w:rPr>
              <w:t>B-2</w:t>
            </w:r>
          </w:p>
        </w:tc>
        <w:tc>
          <w:tcPr>
            <w:tcW w:type="dxa" w:w="4680"/>
          </w:tcPr>
          <w:p>
            <w:r/>
            <w:r>
              <w:rPr>
                <w:b w:val="0"/>
                <w:i w:val="0"/>
                <w:sz w:val="19"/>
              </w:rPr>
              <w:t>Các kiểm soát then chốt có thể không được xác định cho tất cả các lĩnh vực của công ty và mức nhân sự có thể không đủ để đảm bảo phạm vi bao phủ.</w:t>
            </w:r>
          </w:p>
        </w:tc>
      </w:tr>
      <w:tr>
        <w:tc>
          <w:tcPr>
            <w:tcW w:type="dxa" w:w="4680"/>
          </w:tcPr>
          <w:p>
            <w:r/>
            <w:r>
              <w:rPr>
                <w:b w:val="0"/>
                <w:i w:val="0"/>
                <w:sz w:val="19"/>
              </w:rPr>
              <w:t>B-3</w:t>
            </w:r>
          </w:p>
        </w:tc>
        <w:tc>
          <w:tcPr>
            <w:tcW w:type="dxa" w:w="4680"/>
          </w:tcPr>
          <w:p>
            <w:r/>
            <w:r>
              <w:rPr>
                <w:b w:val="0"/>
                <w:i w:val="0"/>
                <w:sz w:val="19"/>
              </w:rPr>
              <w:t>Có thể không có đủ mức chuyên môn phù hợp để đáp ứng các mục tiêu của điều lệ nhóm.</w:t>
            </w:r>
          </w:p>
        </w:tc>
      </w:tr>
      <w:tr>
        <w:tc>
          <w:tcPr>
            <w:tcW w:type="dxa" w:w="4680"/>
          </w:tcPr>
          <w:p>
            <w:r/>
            <w:r>
              <w:rPr>
                <w:b w:val="0"/>
                <w:i w:val="0"/>
                <w:sz w:val="19"/>
              </w:rPr>
              <w:t>B-4</w:t>
            </w:r>
          </w:p>
        </w:tc>
        <w:tc>
          <w:tcPr>
            <w:tcW w:type="dxa" w:w="4680"/>
          </w:tcPr>
          <w:p>
            <w:r/>
            <w:r>
              <w:rPr>
                <w:b w:val="0"/>
                <w:i w:val="0"/>
                <w:sz w:val="19"/>
              </w:rPr>
              <w:t>Phạm vi bao phủ chu trình tài chính (quy trình) có thể không đầy đủ.</w:t>
            </w:r>
          </w:p>
        </w:tc>
      </w:tr>
      <w:tr>
        <w:tc>
          <w:tcPr>
            <w:tcW w:type="dxa" w:w="4680"/>
          </w:tcPr>
          <w:p>
            <w:r/>
            <w:r>
              <w:rPr>
                <w:b w:val="0"/>
                <w:i w:val="0"/>
                <w:sz w:val="19"/>
              </w:rPr>
              <w:t>B-5</w:t>
            </w:r>
          </w:p>
        </w:tc>
        <w:tc>
          <w:tcPr>
            <w:tcW w:type="dxa" w:w="4680"/>
          </w:tcPr>
          <w:p>
            <w:r/>
            <w:r>
              <w:rPr>
                <w:b w:val="0"/>
                <w:i w:val="0"/>
                <w:sz w:val="19"/>
              </w:rPr>
              <w:t>Các hệ thống CNTT quan trọng có thể không nằm trong phạm vi dự án, dẫn đến việc các kiểm soát then chốt không được nhận diện, kiểm thử hoặc khắc phục.</w:t>
            </w:r>
          </w:p>
        </w:tc>
      </w:tr>
      <w:tr>
        <w:tc>
          <w:tcPr>
            <w:tcW w:type="dxa" w:w="4680"/>
          </w:tcPr>
          <w:p>
            <w:r/>
            <w:r>
              <w:rPr>
                <w:b w:val="0"/>
                <w:i w:val="0"/>
                <w:sz w:val="19"/>
              </w:rPr>
              <w:t>B-6</w:t>
            </w:r>
          </w:p>
        </w:tc>
        <w:tc>
          <w:tcPr>
            <w:tcW w:type="dxa" w:w="4680"/>
          </w:tcPr>
          <w:p>
            <w:r/>
            <w:r>
              <w:rPr>
                <w:b w:val="0"/>
                <w:i w:val="0"/>
                <w:sz w:val="19"/>
              </w:rPr>
              <w:t>Các chính sách của công ty có thể chưa được ban hành hoặc không được cập nhật kịp thời.</w:t>
            </w:r>
          </w:p>
        </w:tc>
      </w:tr>
      <w:tr>
        <w:tc>
          <w:tcPr>
            <w:tcW w:type="dxa" w:w="4680"/>
          </w:tcPr>
          <w:p>
            <w:r/>
            <w:r>
              <w:rPr>
                <w:b w:val="0"/>
                <w:i w:val="0"/>
                <w:sz w:val="19"/>
              </w:rPr>
              <w:t>B-7</w:t>
            </w:r>
          </w:p>
        </w:tc>
        <w:tc>
          <w:tcPr>
            <w:tcW w:type="dxa" w:w="4680"/>
          </w:tcPr>
          <w:p>
            <w:r/>
            <w:r>
              <w:rPr>
                <w:b w:val="0"/>
                <w:i w:val="0"/>
                <w:sz w:val="19"/>
              </w:rPr>
              <w:t>Chính sách DoA (Ủy quyền) không được phê duyệt hoặc không được truyền đạt, gây ra các vi phạm chính sách do phê duyệt không đúng quy định.</w:t>
            </w:r>
          </w:p>
        </w:tc>
      </w:tr>
      <w:tr>
        <w:tc>
          <w:tcPr>
            <w:tcW w:type="dxa" w:w="4680"/>
          </w:tcPr>
          <w:p>
            <w:r/>
            <w:r>
              <w:rPr>
                <w:b w:val="0"/>
                <w:i w:val="0"/>
                <w:sz w:val="19"/>
              </w:rPr>
              <w:t>B-8</w:t>
            </w:r>
          </w:p>
        </w:tc>
        <w:tc>
          <w:tcPr>
            <w:tcW w:type="dxa" w:w="4680"/>
          </w:tcPr>
          <w:p>
            <w:r/>
            <w:r>
              <w:rPr>
                <w:b w:val="0"/>
                <w:i w:val="0"/>
                <w:sz w:val="19"/>
              </w:rPr>
              <w:t>Các yêu cầu về kiểm soát nội bộ trong toàn tổ chức không được truyền đạt và trách nhiệm giải trình không rõ ràng.</w:t>
            </w:r>
          </w:p>
        </w:tc>
      </w:tr>
      <w:tr>
        <w:tc>
          <w:tcPr>
            <w:tcW w:type="dxa" w:w="4680"/>
          </w:tcPr>
          <w:p>
            <w:r/>
            <w:r>
              <w:rPr>
                <w:b w:val="0"/>
                <w:i w:val="0"/>
                <w:sz w:val="19"/>
              </w:rPr>
              <w:t>B-9</w:t>
            </w:r>
          </w:p>
        </w:tc>
        <w:tc>
          <w:tcPr>
            <w:tcW w:type="dxa" w:w="4680"/>
          </w:tcPr>
          <w:p>
            <w:r/>
            <w:r>
              <w:rPr>
                <w:b w:val="0"/>
                <w:i w:val="0"/>
                <w:sz w:val="19"/>
              </w:rPr>
              <w:t>Báo cáo tình trạng sẽ không kịp thời và chính xác. Ban lãnh đạo sẽ không được cập nhật nếu có rủi ro về dự án hoặc kiểm soát.</w:t>
            </w:r>
          </w:p>
        </w:tc>
      </w:tr>
      <w:tr>
        <w:tc>
          <w:tcPr>
            <w:tcW w:type="dxa" w:w="4680"/>
          </w:tcPr>
          <w:p>
            <w:r/>
            <w:r>
              <w:rPr>
                <w:b w:val="0"/>
                <w:i w:val="0"/>
                <w:sz w:val="19"/>
              </w:rPr>
              <w:t>B-10</w:t>
            </w:r>
          </w:p>
        </w:tc>
        <w:tc>
          <w:tcPr>
            <w:tcW w:type="dxa" w:w="4680"/>
          </w:tcPr>
          <w:p>
            <w:r/>
            <w:r>
              <w:rPr>
                <w:b w:val="0"/>
                <w:i w:val="0"/>
                <w:sz w:val="19"/>
              </w:rPr>
              <w:t>Việc đào tạo không được cập nhật và triển khai kịp thời.</w:t>
            </w:r>
          </w:p>
        </w:tc>
      </w:tr>
      <w:tr>
        <w:tc>
          <w:tcPr>
            <w:tcW w:type="dxa" w:w="4680"/>
          </w:tcPr>
          <w:p>
            <w:r/>
            <w:r>
              <w:rPr>
                <w:b w:val="0"/>
                <w:i w:val="0"/>
                <w:sz w:val="19"/>
              </w:rPr>
              <w:t>B-11</w:t>
            </w:r>
          </w:p>
        </w:tc>
        <w:tc>
          <w:tcPr>
            <w:tcW w:type="dxa" w:w="4680"/>
          </w:tcPr>
          <w:p>
            <w:r/>
            <w:r>
              <w:rPr>
                <w:b w:val="0"/>
                <w:i w:val="0"/>
                <w:sz w:val="19"/>
              </w:rPr>
              <w:t>Việc khắc phục các vấn đề nội bộ và bên ngoài không được xử lý kịp thời.</w:t>
            </w:r>
          </w:p>
        </w:tc>
      </w:tr>
      <w:tr>
        <w:tc>
          <w:tcPr>
            <w:tcW w:type="dxa" w:w="4680"/>
          </w:tcPr>
          <w:p>
            <w:r/>
            <w:r>
              <w:rPr>
                <w:b w:val="0"/>
                <w:i w:val="0"/>
                <w:sz w:val="19"/>
              </w:rPr>
              <w:t>B-12</w:t>
            </w:r>
          </w:p>
        </w:tc>
        <w:tc>
          <w:tcPr>
            <w:tcW w:type="dxa" w:w="4680"/>
          </w:tcPr>
          <w:p>
            <w:r/>
            <w:r>
              <w:rPr>
                <w:b w:val="0"/>
                <w:i w:val="0"/>
                <w:sz w:val="19"/>
              </w:rPr>
              <w:t>Tài liệu có thể không được hoàn thành theo định dạng chuẩn.</w:t>
            </w:r>
          </w:p>
        </w:tc>
      </w:tr>
    </w:tbl>
    <w:p>
      <w:pPr>
        <w:spacing w:after="0"/>
      </w:pPr>
    </w:p>
    <w:p>
      <w:pPr>
        <w:pStyle w:val="Heading2"/>
      </w:pPr>
      <w:r>
        <w:rPr>
          <w:rFonts w:ascii="Calibri" w:hAnsi="Calibri"/>
          <w:b/>
          <w:i w:val="0"/>
          <w:sz w:val="32"/>
        </w:rPr>
        <w:t>16.3 KIỂM SOÁT QUẢN LÝ THỰC THỂ</w:t>
      </w:r>
    </w:p>
    <w:p>
      <w:pPr>
        <w:pStyle w:val="Heading3"/>
      </w:pPr>
      <w:r>
        <w:rPr>
          <w:rFonts w:ascii="Calibri" w:hAnsi="Calibri"/>
          <w:b/>
          <w:i w:val="0"/>
          <w:sz w:val="26"/>
        </w:rPr>
        <w:t>Giới thiệu</w:t>
      </w:r>
    </w:p>
    <w:p>
      <w:pPr>
        <w:spacing w:after="80"/>
      </w:pPr>
      <w:r>
        <w:rPr>
          <w:b w:val="0"/>
          <w:i w:val="0"/>
        </w:rPr>
        <w:t>Kiểm soát cấp thực thể (entity-level controls) là các kiểm soát nội bộ giúp đảm bảo rằng các chỉ đạo của ban quản lý liên quan đến công ty được triển khai, kiểm tra, khắc phục và cập nhật một cách phù hợp. Ban quản lý của một công ty phải đảm bảo rằng rủi ro được nhận diện và giảm thiểu bằng các kiểm soát và cơ cấu tổ chức phù hợp.</w:t>
      </w:r>
    </w:p>
    <w:p>
      <w:pPr>
        <w:pStyle w:val="Heading3"/>
      </w:pPr>
      <w:r>
        <w:rPr>
          <w:rFonts w:ascii="Calibri" w:hAnsi="Calibri"/>
          <w:b/>
          <w:i w:val="0"/>
          <w:sz w:val="26"/>
        </w:rPr>
        <w:t>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16.3.1</w:t>
            </w:r>
          </w:p>
        </w:tc>
        <w:tc>
          <w:tcPr>
            <w:tcW w:type="dxa" w:w="4680"/>
          </w:tcPr>
          <w:p>
            <w:r/>
            <w:r>
              <w:rPr>
                <w:b w:val="0"/>
                <w:i w:val="0"/>
                <w:sz w:val="19"/>
              </w:rPr>
              <w:t xml:space="preserve">Các ủy ban của hội đồng quản trị tồn tại theo yêu cầu hoặc khi cần thiết do nhu cầu cần sự quan tâm sâu sắc hơn hoặc có định hướng cụ thể hơn đối với những vấn đề nhất định. </w:t>
            </w:r>
            <w:r>
              <w:rPr>
                <w:b/>
                <w:i w:val="0"/>
                <w:sz w:val="19"/>
              </w:rPr>
              <w:t>Tham chiếu rủi ro: C-1, C-2, C-3, C-4, C-5, C-6, C-7, C-8</w:t>
            </w:r>
          </w:p>
        </w:tc>
      </w:tr>
      <w:tr>
        <w:tc>
          <w:tcPr>
            <w:tcW w:type="dxa" w:w="4680"/>
          </w:tcPr>
          <w:p>
            <w:r/>
            <w:r>
              <w:rPr>
                <w:b w:val="0"/>
                <w:i w:val="0"/>
                <w:sz w:val="19"/>
              </w:rPr>
              <w:t>16.3.2</w:t>
            </w:r>
          </w:p>
        </w:tc>
        <w:tc>
          <w:tcPr>
            <w:tcW w:type="dxa" w:w="4680"/>
          </w:tcPr>
          <w:p>
            <w:r/>
            <w:r>
              <w:rPr>
                <w:b w:val="0"/>
                <w:i w:val="0"/>
                <w:sz w:val="19"/>
              </w:rPr>
              <w:t xml:space="preserve">Mức độ đầy đủ và kịp thời của thông tin được cung cấp cho các thành viên hội đồng quản trị hoặc ủy ban cho phép giám sát các mục tiêu và chiến lược của ban quản lý, tình hình tài chính và kết quả hoạt động của thực thể, các rủi ro kinh doanh trọng yếu, và các điều khoản của những thỏa thuận quan trọng. </w:t>
            </w:r>
            <w:r>
              <w:rPr>
                <w:b/>
                <w:i w:val="0"/>
                <w:sz w:val="19"/>
              </w:rPr>
              <w:t>Tham chiếu rủi ro: C-1, C-2, C-3, C-4, C-5, C-6, C-7, C-8</w:t>
            </w:r>
          </w:p>
        </w:tc>
      </w:tr>
      <w:tr>
        <w:tc>
          <w:tcPr>
            <w:tcW w:type="dxa" w:w="4680"/>
          </w:tcPr>
          <w:p>
            <w:r/>
            <w:r>
              <w:rPr>
                <w:b w:val="0"/>
                <w:i w:val="0"/>
                <w:sz w:val="19"/>
              </w:rPr>
              <w:t>16.3.3</w:t>
            </w:r>
          </w:p>
        </w:tc>
        <w:tc>
          <w:tcPr>
            <w:tcW w:type="dxa" w:w="4680"/>
          </w:tcPr>
          <w:p>
            <w:r/>
            <w:r>
              <w:rPr>
                <w:b w:val="0"/>
                <w:i w:val="0"/>
                <w:sz w:val="19"/>
              </w:rPr>
              <w:t xml:space="preserve">Hội đồng quản trị thiết lập và duy trì “tone at the top” (tinh thần chỉ đạo từ cấp cao nhất) phù hợp. </w:t>
            </w:r>
            <w:r>
              <w:rPr>
                <w:b/>
                <w:i w:val="0"/>
                <w:sz w:val="19"/>
              </w:rPr>
              <w:t>Tham chiếu rủi ro: C-1, C-2, C-3, C-4, C-5, C-6, C-7, C-8</w:t>
            </w:r>
          </w:p>
        </w:tc>
      </w:tr>
      <w:tr>
        <w:tc>
          <w:tcPr>
            <w:tcW w:type="dxa" w:w="4680"/>
          </w:tcPr>
          <w:p>
            <w:r/>
            <w:r>
              <w:rPr>
                <w:b w:val="0"/>
                <w:i w:val="0"/>
                <w:sz w:val="19"/>
              </w:rPr>
              <w:t>16.3.4</w:t>
            </w:r>
          </w:p>
        </w:tc>
        <w:tc>
          <w:tcPr>
            <w:tcW w:type="dxa" w:w="4680"/>
          </w:tcPr>
          <w:p>
            <w:r/>
            <w:r>
              <w:rPr>
                <w:b w:val="0"/>
                <w:i w:val="0"/>
                <w:sz w:val="19"/>
              </w:rPr>
              <w:t xml:space="preserve">Hội đồng quản trị hoặc ủy ban hành động dựa trên các phát hiện của mình, bao gồm cả các cuộc điều tra đặc biệt khi cần thiết. </w:t>
            </w:r>
            <w:r>
              <w:rPr>
                <w:b/>
                <w:i w:val="0"/>
                <w:sz w:val="19"/>
              </w:rPr>
              <w:t>Tham chiếu rủi ro: C-1, C-2, C-3, C-4, C-5, C-6, C-7, C-8</w:t>
            </w:r>
          </w:p>
        </w:tc>
      </w:tr>
      <w:tr>
        <w:tc>
          <w:tcPr>
            <w:tcW w:type="dxa" w:w="4680"/>
          </w:tcPr>
          <w:p>
            <w:r/>
            <w:r>
              <w:rPr>
                <w:b w:val="0"/>
                <w:i w:val="0"/>
                <w:sz w:val="19"/>
              </w:rPr>
              <w:t>16.3.5</w:t>
            </w:r>
          </w:p>
        </w:tc>
        <w:tc>
          <w:tcPr>
            <w:tcW w:type="dxa" w:w="4680"/>
          </w:tcPr>
          <w:p>
            <w:r/>
            <w:r>
              <w:rPr>
                <w:b w:val="0"/>
                <w:i w:val="0"/>
                <w:sz w:val="19"/>
              </w:rPr>
              <w:t xml:space="preserve">Có đầy đủ các tài liệu về rủi ro và kiểm soát được ghi chép lại để đánh giá rằng ban quản lý hành động một cách thận trọng, chỉ tiến hành sau khi đã phân tích kỹ lưỡng các rủi ro và lợi ích tiềm năng của bất kỳ dự án nào. </w:t>
            </w:r>
            <w:r>
              <w:rPr>
                <w:b/>
                <w:i w:val="0"/>
                <w:sz w:val="19"/>
              </w:rPr>
              <w:t>Tham chiếu rủi ro: C-1, C-2, C-3, C-4, C-5, C-6, C-7, C-8</w:t>
            </w:r>
          </w:p>
        </w:tc>
      </w:tr>
      <w:tr>
        <w:tc>
          <w:tcPr>
            <w:tcW w:type="dxa" w:w="4680"/>
          </w:tcPr>
          <w:p>
            <w:r/>
            <w:r>
              <w:rPr>
                <w:b w:val="0"/>
                <w:i w:val="0"/>
                <w:sz w:val="19"/>
              </w:rPr>
              <w:t>16.3.6</w:t>
            </w:r>
          </w:p>
        </w:tc>
        <w:tc>
          <w:tcPr>
            <w:tcW w:type="dxa" w:w="4680"/>
          </w:tcPr>
          <w:p>
            <w:r/>
            <w:r>
              <w:rPr>
                <w:b w:val="0"/>
                <w:i w:val="0"/>
                <w:sz w:val="19"/>
              </w:rPr>
              <w:t xml:space="preserve">Ban quản lý thể hiện thái độ phù hợp đối với các chức năng kế toán và quan tâm đến độ tin cậy của báo cáo tài chính cũng như việc bảo vệ tài sản. </w:t>
            </w:r>
            <w:r>
              <w:rPr>
                <w:b/>
                <w:i w:val="0"/>
                <w:sz w:val="19"/>
              </w:rPr>
              <w:t>Tham chiếu rủi ro: C-1, C-2, C-3, C-4, C-5, C-6, C-7, C-8</w:t>
            </w:r>
          </w:p>
        </w:tc>
      </w:tr>
      <w:tr>
        <w:tc>
          <w:tcPr>
            <w:tcW w:type="dxa" w:w="4680"/>
          </w:tcPr>
          <w:p>
            <w:r/>
            <w:r>
              <w:rPr>
                <w:b w:val="0"/>
                <w:i w:val="0"/>
                <w:sz w:val="19"/>
              </w:rPr>
              <w:t>16.3.7</w:t>
            </w:r>
          </w:p>
        </w:tc>
        <w:tc>
          <w:tcPr>
            <w:tcW w:type="dxa" w:w="4680"/>
          </w:tcPr>
          <w:p>
            <w:r/>
            <w:r>
              <w:rPr>
                <w:b w:val="0"/>
                <w:i w:val="0"/>
                <w:sz w:val="19"/>
              </w:rPr>
              <w:t xml:space="preserve">Có tần suất tương tác thường xuyên giữa ban lãnh đạo cấp cao và ban điều hành, đặc biệt khi điều hành từ các địa điểm xa xôi về mặt địa lý. </w:t>
            </w:r>
            <w:r>
              <w:rPr>
                <w:b/>
                <w:i w:val="0"/>
                <w:sz w:val="19"/>
              </w:rPr>
              <w:t>Tham chiếu rủi ro: C-1, C-2, C-3, C-4, C-5, C-6, C-7, C-8</w:t>
            </w:r>
          </w:p>
        </w:tc>
      </w:tr>
      <w:tr>
        <w:tc>
          <w:tcPr>
            <w:tcW w:type="dxa" w:w="4680"/>
          </w:tcPr>
          <w:p>
            <w:r/>
            <w:r>
              <w:rPr>
                <w:b w:val="0"/>
                <w:i w:val="0"/>
                <w:sz w:val="19"/>
              </w:rPr>
              <w:t>16.3.8</w:t>
            </w:r>
          </w:p>
        </w:tc>
        <w:tc>
          <w:tcPr>
            <w:tcW w:type="dxa" w:w="4680"/>
          </w:tcPr>
          <w:p>
            <w:r/>
            <w:r>
              <w:rPr>
                <w:b w:val="0"/>
                <w:i w:val="0"/>
                <w:sz w:val="19"/>
              </w:rPr>
              <w:t xml:space="preserve">Thái độ và hành động của ban lãnh đạo đối với việc lập báo cáo tài chính, bao gồm các tranh chấp về việc áp dụng các phương pháp và chính sách kế toán, là phù hợp với các yêu cầu. </w:t>
            </w:r>
            <w:r>
              <w:rPr>
                <w:b/>
                <w:i w:val="0"/>
                <w:sz w:val="19"/>
              </w:rPr>
              <w:t>Tham chiếu rủi ro: C-1, C-2, C-3, C-4, C-5, C-6, C-7, C-8</w:t>
            </w:r>
          </w:p>
        </w:tc>
      </w:tr>
      <w:tr>
        <w:tc>
          <w:tcPr>
            <w:tcW w:type="dxa" w:w="4680"/>
          </w:tcPr>
          <w:p>
            <w:r/>
            <w:r>
              <w:rPr>
                <w:b w:val="0"/>
                <w:i w:val="0"/>
                <w:sz w:val="19"/>
              </w:rPr>
              <w:t>16.3.9</w:t>
            </w:r>
          </w:p>
        </w:tc>
        <w:tc>
          <w:tcPr>
            <w:tcW w:type="dxa" w:w="4680"/>
          </w:tcPr>
          <w:p>
            <w:r/>
            <w:r>
              <w:rPr>
                <w:b w:val="0"/>
                <w:i w:val="0"/>
                <w:sz w:val="19"/>
              </w:rPr>
              <w:t xml:space="preserve">Cơ cấu tổ chức của đơn vị là phù hợp, và tạo điều kiện thuận lợi cho khả năng cung cấp dòng thông tin cần thiết để quản lý các hoạt động của mình trong công ty. </w:t>
            </w:r>
            <w:r>
              <w:rPr>
                <w:b/>
                <w:i w:val="0"/>
                <w:sz w:val="19"/>
              </w:rPr>
              <w:t>Tham chiếu rủi ro: C-1, C-2, C-3, C-4, C-5, C-6, C-7, C-8</w:t>
            </w:r>
          </w:p>
        </w:tc>
      </w:tr>
      <w:tr>
        <w:tc>
          <w:tcPr>
            <w:tcW w:type="dxa" w:w="4680"/>
          </w:tcPr>
          <w:p>
            <w:r/>
            <w:r>
              <w:rPr>
                <w:b w:val="0"/>
                <w:i w:val="0"/>
                <w:sz w:val="19"/>
              </w:rPr>
              <w:t>16.3.10</w:t>
            </w:r>
          </w:p>
        </w:tc>
        <w:tc>
          <w:tcPr>
            <w:tcW w:type="dxa" w:w="4680"/>
          </w:tcPr>
          <w:p>
            <w:r/>
            <w:r>
              <w:rPr>
                <w:b w:val="0"/>
                <w:i w:val="0"/>
                <w:sz w:val="19"/>
              </w:rPr>
              <w:t xml:space="preserve">Có các bản mô tả công việc và trách nhiệm chính thức xác định các nhiệm vụ cho các vị trí chủ chốt trong công ty. </w:t>
            </w:r>
            <w:r>
              <w:rPr>
                <w:b/>
                <w:i w:val="0"/>
                <w:sz w:val="19"/>
              </w:rPr>
              <w:t>Tham chiếu rủi ro: C-1, C-2, C-3, C-4, C-5, C-6, C-7, C-8</w:t>
            </w:r>
          </w:p>
        </w:tc>
      </w:tr>
      <w:tr>
        <w:tc>
          <w:tcPr>
            <w:tcW w:type="dxa" w:w="4680"/>
          </w:tcPr>
          <w:p>
            <w:r/>
            <w:r>
              <w:rPr>
                <w:b w:val="0"/>
                <w:i w:val="0"/>
                <w:sz w:val="19"/>
              </w:rPr>
              <w:t>16.3.11</w:t>
            </w:r>
          </w:p>
        </w:tc>
        <w:tc>
          <w:tcPr>
            <w:tcW w:type="dxa" w:w="4680"/>
          </w:tcPr>
          <w:p>
            <w:r/>
            <w:r>
              <w:rPr>
                <w:b w:val="0"/>
                <w:i w:val="0"/>
                <w:sz w:val="19"/>
              </w:rPr>
              <w:t xml:space="preserve">Có các phân tích đầy đủ về kiến thức và kỹ năng cần thiết để thực hiện các yêu cầu công việc. </w:t>
            </w:r>
            <w:r>
              <w:rPr>
                <w:b/>
                <w:i w:val="0"/>
                <w:sz w:val="19"/>
              </w:rPr>
              <w:t>Tham chiếu rủi ro: C-1, C-2, C-3, C-4, C-5, C-6, C-7, C-8</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C-1</w:t>
            </w:r>
          </w:p>
        </w:tc>
        <w:tc>
          <w:tcPr>
            <w:tcW w:type="dxa" w:w="4680"/>
          </w:tcPr>
          <w:p>
            <w:r/>
            <w:r>
              <w:rPr>
                <w:b w:val="0"/>
                <w:i w:val="0"/>
                <w:sz w:val="19"/>
              </w:rPr>
              <w:t>Hội đồng quản trị không tuân thủ các mục tiêu của COSO.</w:t>
            </w:r>
          </w:p>
        </w:tc>
      </w:tr>
      <w:tr>
        <w:tc>
          <w:tcPr>
            <w:tcW w:type="dxa" w:w="4680"/>
          </w:tcPr>
          <w:p>
            <w:r/>
            <w:r>
              <w:rPr>
                <w:b w:val="0"/>
                <w:i w:val="0"/>
                <w:sz w:val="19"/>
              </w:rPr>
              <w:t>C-2</w:t>
            </w:r>
          </w:p>
        </w:tc>
        <w:tc>
          <w:tcPr>
            <w:tcW w:type="dxa" w:w="4680"/>
          </w:tcPr>
          <w:p>
            <w:r/>
            <w:r>
              <w:rPr>
                <w:b w:val="0"/>
                <w:i w:val="0"/>
                <w:sz w:val="19"/>
              </w:rPr>
              <w:t>Không có các tiêu chuẩn về kiểm soát nội bộ và tính kịp thời về tài chính bị chậm trễ và/hoặc yếu kém.</w:t>
            </w:r>
          </w:p>
        </w:tc>
      </w:tr>
      <w:tr>
        <w:tc>
          <w:tcPr>
            <w:tcW w:type="dxa" w:w="4680"/>
          </w:tcPr>
          <w:p>
            <w:r/>
            <w:r>
              <w:rPr>
                <w:b w:val="0"/>
                <w:i w:val="0"/>
                <w:sz w:val="19"/>
              </w:rPr>
              <w:t>C-3</w:t>
            </w:r>
          </w:p>
        </w:tc>
        <w:tc>
          <w:tcPr>
            <w:tcW w:type="dxa" w:w="4680"/>
          </w:tcPr>
          <w:p>
            <w:r/>
            <w:r>
              <w:rPr>
                <w:b w:val="0"/>
                <w:i w:val="0"/>
                <w:sz w:val="19"/>
              </w:rPr>
              <w:t>Các hướng dẫn và tiêu chuẩn của ban lãnh đạo không tồn tại và/hoặc không được truyền đạt hiệu quả trong toàn công ty.</w:t>
            </w:r>
          </w:p>
        </w:tc>
      </w:tr>
      <w:tr>
        <w:tc>
          <w:tcPr>
            <w:tcW w:type="dxa" w:w="4680"/>
          </w:tcPr>
          <w:p>
            <w:r/>
            <w:r>
              <w:rPr>
                <w:b w:val="0"/>
                <w:i w:val="0"/>
                <w:sz w:val="19"/>
              </w:rPr>
              <w:t>C-4</w:t>
            </w:r>
          </w:p>
        </w:tc>
        <w:tc>
          <w:tcPr>
            <w:tcW w:type="dxa" w:w="4680"/>
          </w:tcPr>
          <w:p>
            <w:r/>
            <w:r>
              <w:rPr>
                <w:b w:val="0"/>
                <w:i w:val="0"/>
                <w:sz w:val="19"/>
              </w:rPr>
              <w:t>Không có hoạt động theo dõi các vấn đề còn tồn đọng tại các cuộc họp hội đồng quản trị để đảm bảo việc khắc phục.</w:t>
            </w:r>
          </w:p>
        </w:tc>
      </w:tr>
      <w:tr>
        <w:tc>
          <w:tcPr>
            <w:tcW w:type="dxa" w:w="4680"/>
          </w:tcPr>
          <w:p>
            <w:r/>
            <w:r>
              <w:rPr>
                <w:b w:val="0"/>
                <w:i w:val="0"/>
                <w:sz w:val="19"/>
              </w:rPr>
              <w:t>C-5</w:t>
            </w:r>
          </w:p>
        </w:tc>
        <w:tc>
          <w:tcPr>
            <w:tcW w:type="dxa" w:w="4680"/>
          </w:tcPr>
          <w:p>
            <w:r/>
            <w:r>
              <w:rPr>
                <w:b w:val="0"/>
                <w:i w:val="0"/>
                <w:sz w:val="19"/>
              </w:rPr>
              <w:t>Các quyết định kinh doanh của ban lãnh đạo không được xem xét đúng mức và/hoặc không tồn tại tiêu chuẩn để cho phép việc xem xét hiệu quả và kịp thời.</w:t>
            </w:r>
          </w:p>
        </w:tc>
      </w:tr>
      <w:tr>
        <w:tc>
          <w:tcPr>
            <w:tcW w:type="dxa" w:w="4680"/>
          </w:tcPr>
          <w:p>
            <w:r/>
            <w:r>
              <w:rPr>
                <w:b w:val="0"/>
                <w:i w:val="0"/>
                <w:sz w:val="19"/>
              </w:rPr>
              <w:t>C-6</w:t>
            </w:r>
          </w:p>
        </w:tc>
        <w:tc>
          <w:tcPr>
            <w:tcW w:type="dxa" w:w="4680"/>
          </w:tcPr>
          <w:p>
            <w:r/>
            <w:r>
              <w:rPr>
                <w:b w:val="0"/>
                <w:i w:val="0"/>
                <w:sz w:val="19"/>
              </w:rPr>
              <w:t>Các hướng dẫn và tiêu chuẩn của ban lãnh đạo không tồn tại và/hoặc không nhất quán với các mục tiêu tài chính.</w:t>
            </w:r>
          </w:p>
        </w:tc>
      </w:tr>
      <w:tr>
        <w:tc>
          <w:tcPr>
            <w:tcW w:type="dxa" w:w="4680"/>
          </w:tcPr>
          <w:p>
            <w:r/>
            <w:r>
              <w:rPr>
                <w:b w:val="0"/>
                <w:i w:val="0"/>
                <w:sz w:val="19"/>
              </w:rPr>
              <w:t>C-7</w:t>
            </w:r>
          </w:p>
        </w:tc>
        <w:tc>
          <w:tcPr>
            <w:tcW w:type="dxa" w:w="4680"/>
          </w:tcPr>
          <w:p>
            <w:r/>
            <w:r>
              <w:rPr>
                <w:b w:val="0"/>
                <w:i w:val="0"/>
                <w:sz w:val="19"/>
              </w:rPr>
              <w:t>Cơ cấu tổ chức cản trở các mục tiêu kinh doanh.</w:t>
            </w:r>
          </w:p>
        </w:tc>
      </w:tr>
      <w:tr>
        <w:tc>
          <w:tcPr>
            <w:tcW w:type="dxa" w:w="4680"/>
          </w:tcPr>
          <w:p>
            <w:r/>
            <w:r>
              <w:rPr>
                <w:b w:val="0"/>
                <w:i w:val="0"/>
                <w:sz w:val="19"/>
              </w:rPr>
              <w:t>C-8</w:t>
            </w:r>
          </w:p>
        </w:tc>
        <w:tc>
          <w:tcPr>
            <w:tcW w:type="dxa" w:w="4680"/>
          </w:tcPr>
          <w:p>
            <w:r/>
            <w:r>
              <w:rPr>
                <w:b w:val="0"/>
                <w:i w:val="0"/>
                <w:sz w:val="19"/>
              </w:rPr>
              <w:t>Không có quy trình xem xét để đảm bảo việc tuân thủ các tiêu chuẩn hiện hành.</w:t>
            </w:r>
          </w:p>
        </w:tc>
      </w:tr>
    </w:tbl>
    <w:p>
      <w:pPr>
        <w:spacing w:after="0"/>
      </w:pPr>
    </w:p>
    <w:p>
      <w:pPr>
        <w:pStyle w:val="Heading2"/>
      </w:pPr>
      <w:r>
        <w:rPr>
          <w:rFonts w:ascii="Calibri" w:hAnsi="Calibri"/>
          <w:b/>
          <w:i w:val="0"/>
          <w:sz w:val="32"/>
        </w:rPr>
        <w:t>16.4 CÁC KIỂM SOÁT CỦA ỦY BAN KIỂM TOÁN</w:t>
      </w:r>
    </w:p>
    <w:p>
      <w:pPr>
        <w:pStyle w:val="Heading3"/>
      </w:pPr>
      <w:r>
        <w:rPr>
          <w:rFonts w:ascii="Calibri" w:hAnsi="Calibri"/>
          <w:b/>
          <w:i w:val="0"/>
          <w:sz w:val="26"/>
        </w:rPr>
        <w:t>Giới thiệu</w:t>
      </w:r>
    </w:p>
    <w:p>
      <w:pPr>
        <w:spacing w:after="80"/>
      </w:pPr>
      <w:r>
        <w:rPr>
          <w:b w:val="0"/>
          <w:i w:val="0"/>
        </w:rPr>
        <w:t>Vai trò của ủy ban kiểm toán bao gồm: giám sát việc báo cáo tài chính; theo dõi các chính sách kế toán; giám sát bất kỳ kiểm toán viên bên ngoài nào; tuân thủ quy định; và thảo luận các chính sách quản lý rủi ro với ban lãnh đạo. Ủy ban kiểm toán có thể phê duyệt kế hoạch kiểm toán nội bộ hằng năm của công ty và thường được thông báo về bất kỳ nghi ngờ gian lận nào được báo cáo thông qua quy trình đường dây nóng về đạo đức.</w:t>
      </w:r>
    </w:p>
    <w:p>
      <w:pPr>
        <w:pStyle w:val="Heading3"/>
      </w:pPr>
      <w:r>
        <w:rPr>
          <w:rFonts w:ascii="Calibri" w:hAnsi="Calibri"/>
          <w:b/>
          <w:i w:val="0"/>
          <w:sz w:val="26"/>
        </w:rPr>
        <w:t>Các Tiêu chuẩn Kiểm soát Nội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16.4.1</w:t>
            </w:r>
          </w:p>
        </w:tc>
        <w:tc>
          <w:tcPr>
            <w:tcW w:type="dxa" w:w="4680"/>
          </w:tcPr>
          <w:p>
            <w:r/>
            <w:r>
              <w:rPr>
                <w:b w:val="0"/>
                <w:i w:val="0"/>
                <w:sz w:val="19"/>
              </w:rPr>
              <w:t xml:space="preserve">Có một quy trình trong đó các vấn đề quan trọng về nhân sự được trình lên ủy ban kiểm toán </w:t>
            </w:r>
            <w:r>
              <w:rPr>
                <w:b/>
                <w:i w:val="0"/>
                <w:sz w:val="19"/>
              </w:rPr>
              <w:t>Tham chiếu rủi ro: D-1, D-5, D-9, D-13, D-17, D-21, D-22</w:t>
            </w:r>
          </w:p>
        </w:tc>
      </w:tr>
      <w:tr>
        <w:tc>
          <w:tcPr>
            <w:tcW w:type="dxa" w:w="4680"/>
          </w:tcPr>
          <w:p>
            <w:r/>
            <w:r>
              <w:rPr>
                <w:b w:val="0"/>
                <w:i w:val="0"/>
                <w:sz w:val="19"/>
              </w:rPr>
              <w:t>16.4.2</w:t>
            </w:r>
          </w:p>
        </w:tc>
        <w:tc>
          <w:tcPr>
            <w:tcW w:type="dxa" w:w="4680"/>
          </w:tcPr>
          <w:p>
            <w:r/>
            <w:r>
              <w:rPr>
                <w:b w:val="0"/>
                <w:i w:val="0"/>
                <w:sz w:val="19"/>
              </w:rPr>
              <w:t xml:space="preserve">CFO sở hữu kiến thức và chuyên môn cần thiết và tuân thủ quy tắc đạo đức và ứng xử kinh doanh của công ty. </w:t>
            </w:r>
            <w:r>
              <w:rPr>
                <w:b/>
                <w:i w:val="0"/>
                <w:sz w:val="19"/>
              </w:rPr>
              <w:t>Tham chiếu rủi ro: D-2</w:t>
            </w:r>
          </w:p>
        </w:tc>
      </w:tr>
      <w:tr>
        <w:tc>
          <w:tcPr>
            <w:tcW w:type="dxa" w:w="4680"/>
          </w:tcPr>
          <w:p>
            <w:r/>
            <w:r>
              <w:rPr>
                <w:b w:val="0"/>
                <w:i w:val="0"/>
                <w:sz w:val="19"/>
              </w:rPr>
              <w:t>16.4.3</w:t>
            </w:r>
          </w:p>
        </w:tc>
        <w:tc>
          <w:tcPr>
            <w:tcW w:type="dxa" w:w="4680"/>
          </w:tcPr>
          <w:p>
            <w:r/>
            <w:r>
              <w:rPr>
                <w:b w:val="0"/>
                <w:i w:val="0"/>
                <w:sz w:val="19"/>
              </w:rPr>
              <w:t xml:space="preserve">Có mức độ tham gia và tương tác phù hợp với kiểm toán viên bên ngoài, bao gồm vai trò của ủy ban kiểm toán trong việc bổ nhiệm, giữ chân và trả thù lao cho kiểm toán viên bên ngoài. </w:t>
            </w:r>
            <w:r>
              <w:rPr>
                <w:b/>
                <w:i w:val="0"/>
                <w:sz w:val="19"/>
              </w:rPr>
              <w:t>Tham chiếu rủi ro: D-3, D-11, D-27, D-28</w:t>
            </w:r>
          </w:p>
        </w:tc>
      </w:tr>
      <w:tr>
        <w:tc>
          <w:tcPr>
            <w:tcW w:type="dxa" w:w="4680"/>
          </w:tcPr>
          <w:p>
            <w:r/>
            <w:r>
              <w:rPr>
                <w:b w:val="0"/>
                <w:i w:val="0"/>
                <w:sz w:val="19"/>
              </w:rPr>
              <w:t>16.4.4</w:t>
            </w:r>
          </w:p>
        </w:tc>
        <w:tc>
          <w:tcPr>
            <w:tcW w:type="dxa" w:w="4680"/>
          </w:tcPr>
          <w:p>
            <w:r/>
            <w:r>
              <w:rPr>
                <w:b w:val="0"/>
                <w:i w:val="0"/>
                <w:sz w:val="19"/>
              </w:rPr>
              <w:t xml:space="preserve">Kế hoạch kiểm toán bên ngoài được ủy ban kiểm toán xem xét và phê duyệt. </w:t>
            </w:r>
            <w:r>
              <w:rPr>
                <w:b/>
                <w:i w:val="0"/>
                <w:sz w:val="19"/>
              </w:rPr>
              <w:t>Tham chiếu rủi ro: D-3, D-4, D-10</w:t>
            </w:r>
          </w:p>
        </w:tc>
      </w:tr>
      <w:tr>
        <w:tc>
          <w:tcPr>
            <w:tcW w:type="dxa" w:w="4680"/>
          </w:tcPr>
          <w:p>
            <w:r/>
            <w:r>
              <w:rPr>
                <w:b w:val="0"/>
                <w:i w:val="0"/>
                <w:sz w:val="19"/>
              </w:rPr>
              <w:t>16.4.5</w:t>
            </w:r>
          </w:p>
        </w:tc>
        <w:tc>
          <w:tcPr>
            <w:tcW w:type="dxa" w:w="4680"/>
          </w:tcPr>
          <w:p>
            <w:r/>
            <w:r>
              <w:rPr>
                <w:b w:val="0"/>
                <w:i w:val="0"/>
                <w:sz w:val="19"/>
              </w:rPr>
              <w:t xml:space="preserve">Ủy ban kiểm toán tuân thủ các quy định của SEC. </w:t>
            </w:r>
            <w:r>
              <w:rPr>
                <w:b/>
                <w:i w:val="0"/>
                <w:sz w:val="19"/>
              </w:rPr>
              <w:t>Tham chiếu rủi ro: D-5</w:t>
            </w:r>
          </w:p>
        </w:tc>
      </w:tr>
      <w:tr>
        <w:tc>
          <w:tcPr>
            <w:tcW w:type="dxa" w:w="4680"/>
          </w:tcPr>
          <w:p>
            <w:r/>
            <w:r>
              <w:rPr>
                <w:b w:val="0"/>
                <w:i w:val="0"/>
                <w:sz w:val="19"/>
              </w:rPr>
              <w:t>16.4.6</w:t>
            </w:r>
          </w:p>
        </w:tc>
        <w:tc>
          <w:tcPr>
            <w:tcW w:type="dxa" w:w="4680"/>
          </w:tcPr>
          <w:p>
            <w:r/>
            <w:r>
              <w:rPr>
                <w:b w:val="0"/>
                <w:i w:val="0"/>
                <w:sz w:val="19"/>
              </w:rPr>
              <w:t xml:space="preserve">Kế hoạch của kiểm toán viên nội bộ được ủy ban kiểm toán xem xét và phê duyệt. </w:t>
            </w:r>
            <w:r>
              <w:rPr>
                <w:b/>
                <w:i w:val="0"/>
                <w:sz w:val="19"/>
              </w:rPr>
              <w:t>Tham chiếu rủi ro: D-6</w:t>
            </w:r>
          </w:p>
        </w:tc>
      </w:tr>
      <w:tr>
        <w:tc>
          <w:tcPr>
            <w:tcW w:type="dxa" w:w="4680"/>
          </w:tcPr>
          <w:p>
            <w:r/>
            <w:r>
              <w:rPr>
                <w:b w:val="0"/>
                <w:i w:val="0"/>
                <w:sz w:val="19"/>
              </w:rPr>
              <w:t>16.4.7</w:t>
            </w:r>
          </w:p>
        </w:tc>
        <w:tc>
          <w:tcPr>
            <w:tcW w:type="dxa" w:w="4680"/>
          </w:tcPr>
          <w:p>
            <w:r/>
            <w:r>
              <w:rPr>
                <w:b w:val="0"/>
                <w:i w:val="0"/>
                <w:sz w:val="19"/>
              </w:rPr>
              <w:t xml:space="preserve">Ủy ban kiểm toán áp dụng và nuôi dưỡng một môi trường nhằm thúc đẩy hành vi đạo đức. </w:t>
            </w:r>
            <w:r>
              <w:rPr>
                <w:b/>
                <w:i w:val="0"/>
                <w:sz w:val="19"/>
              </w:rPr>
              <w:t>Tham chiếu rủi ro: D-8, D-21</w:t>
            </w:r>
          </w:p>
        </w:tc>
      </w:tr>
      <w:tr>
        <w:tc>
          <w:tcPr>
            <w:tcW w:type="dxa" w:w="4680"/>
          </w:tcPr>
          <w:p>
            <w:r/>
            <w:r>
              <w:rPr>
                <w:b w:val="0"/>
                <w:i w:val="0"/>
                <w:sz w:val="19"/>
              </w:rPr>
              <w:t>16.4.8</w:t>
            </w:r>
          </w:p>
        </w:tc>
        <w:tc>
          <w:tcPr>
            <w:tcW w:type="dxa" w:w="4680"/>
          </w:tcPr>
          <w:p>
            <w:r/>
            <w:r>
              <w:rPr>
                <w:b w:val="0"/>
                <w:i w:val="0"/>
                <w:sz w:val="19"/>
              </w:rPr>
              <w:t xml:space="preserve">Nhóm đạo đức và quy tắc ứng xử tương tác với ủy ban kiểm toán. </w:t>
            </w:r>
            <w:r>
              <w:rPr>
                <w:b/>
                <w:i w:val="0"/>
                <w:sz w:val="19"/>
              </w:rPr>
              <w:t>Tham chiếu rủi ro: D-8, D-21</w:t>
            </w:r>
          </w:p>
        </w:tc>
      </w:tr>
      <w:tr>
        <w:tc>
          <w:tcPr>
            <w:tcW w:type="dxa" w:w="4680"/>
          </w:tcPr>
          <w:p>
            <w:r/>
            <w:r>
              <w:rPr>
                <w:b w:val="0"/>
                <w:i w:val="0"/>
                <w:sz w:val="19"/>
              </w:rPr>
              <w:t>16.4.9</w:t>
            </w:r>
          </w:p>
        </w:tc>
        <w:tc>
          <w:tcPr>
            <w:tcW w:type="dxa" w:w="4680"/>
          </w:tcPr>
          <w:p>
            <w:r/>
            <w:r>
              <w:rPr>
                <w:b w:val="0"/>
                <w:i w:val="0"/>
                <w:sz w:val="19"/>
              </w:rPr>
              <w:t xml:space="preserve">Ủy ban kiểm toán xem xét các đề xuất kiểm toán từ các công ty khác và tuân thủ các giới hạn nhiệm kỳ được thiết lập cho kiểm toán viên bên ngoài. </w:t>
            </w:r>
            <w:r>
              <w:rPr>
                <w:b/>
                <w:i w:val="0"/>
                <w:sz w:val="19"/>
              </w:rPr>
              <w:t>Tham khảo rủi ro: D-10, D-11</w:t>
            </w:r>
          </w:p>
        </w:tc>
      </w:tr>
      <w:tr>
        <w:tc>
          <w:tcPr>
            <w:tcW w:type="dxa" w:w="4680"/>
          </w:tcPr>
          <w:p>
            <w:r/>
            <w:r>
              <w:rPr>
                <w:b w:val="0"/>
                <w:i w:val="0"/>
                <w:sz w:val="19"/>
              </w:rPr>
              <w:t>16.4.10</w:t>
            </w:r>
          </w:p>
        </w:tc>
        <w:tc>
          <w:tcPr>
            <w:tcW w:type="dxa" w:w="4680"/>
          </w:tcPr>
          <w:p>
            <w:r/>
            <w:r>
              <w:rPr>
                <w:b w:val="0"/>
                <w:i w:val="0"/>
                <w:sz w:val="19"/>
              </w:rPr>
              <w:t xml:space="preserve">Quy trình đề cử ủy ban kiểm toán đáp ứng các yêu cầu về tính độc lập. </w:t>
            </w:r>
            <w:r>
              <w:rPr>
                <w:b/>
                <w:i w:val="0"/>
                <w:sz w:val="19"/>
              </w:rPr>
              <w:t>Tham khảo rủi ro: D-12, D-17, D-18, D-27</w:t>
            </w:r>
          </w:p>
        </w:tc>
      </w:tr>
      <w:tr>
        <w:tc>
          <w:tcPr>
            <w:tcW w:type="dxa" w:w="4680"/>
          </w:tcPr>
          <w:p>
            <w:r/>
            <w:r>
              <w:rPr>
                <w:b w:val="0"/>
                <w:i w:val="0"/>
                <w:sz w:val="19"/>
              </w:rPr>
              <w:t>16.4.11</w:t>
            </w:r>
          </w:p>
        </w:tc>
        <w:tc>
          <w:tcPr>
            <w:tcW w:type="dxa" w:w="4680"/>
          </w:tcPr>
          <w:p>
            <w:r/>
            <w:r>
              <w:rPr>
                <w:b w:val="0"/>
                <w:i w:val="0"/>
                <w:sz w:val="19"/>
              </w:rPr>
              <w:t xml:space="preserve">Thù lao bên ngoài cho ủy ban kiểm toán không được phép. </w:t>
            </w:r>
            <w:r>
              <w:rPr>
                <w:b/>
                <w:i w:val="0"/>
                <w:sz w:val="19"/>
              </w:rPr>
              <w:t>Tham khảo rủi ro: D-12, D-17, D-18, D-27</w:t>
            </w:r>
          </w:p>
        </w:tc>
      </w:tr>
      <w:tr>
        <w:tc>
          <w:tcPr>
            <w:tcW w:type="dxa" w:w="4680"/>
          </w:tcPr>
          <w:p>
            <w:r/>
            <w:r>
              <w:rPr>
                <w:b w:val="0"/>
                <w:i w:val="0"/>
                <w:sz w:val="19"/>
              </w:rPr>
              <w:t>16.4.12</w:t>
            </w:r>
          </w:p>
        </w:tc>
        <w:tc>
          <w:tcPr>
            <w:tcW w:type="dxa" w:w="4680"/>
          </w:tcPr>
          <w:p>
            <w:r/>
            <w:r>
              <w:rPr>
                <w:b w:val="0"/>
                <w:i w:val="0"/>
                <w:sz w:val="19"/>
              </w:rPr>
              <w:t xml:space="preserve">Chủ tịch ủy ban kiểm toán đã ấn định các giới hạn nhiệm kỳ. </w:t>
            </w:r>
            <w:r>
              <w:rPr>
                <w:b/>
                <w:i w:val="0"/>
                <w:sz w:val="19"/>
              </w:rPr>
              <w:t>Tham khảo rủi ro: D-12, D-17, D-18, D-27</w:t>
            </w:r>
          </w:p>
        </w:tc>
      </w:tr>
      <w:tr>
        <w:tc>
          <w:tcPr>
            <w:tcW w:type="dxa" w:w="4680"/>
          </w:tcPr>
          <w:p>
            <w:r/>
            <w:r>
              <w:rPr>
                <w:b w:val="0"/>
                <w:i w:val="0"/>
                <w:sz w:val="19"/>
              </w:rPr>
              <w:t>16.4.13</w:t>
            </w:r>
          </w:p>
        </w:tc>
        <w:tc>
          <w:tcPr>
            <w:tcW w:type="dxa" w:w="4680"/>
          </w:tcPr>
          <w:p>
            <w:r/>
            <w:r>
              <w:rPr>
                <w:b w:val="0"/>
                <w:i w:val="0"/>
                <w:sz w:val="19"/>
              </w:rPr>
              <w:t xml:space="preserve">Việc trao đổi giữa ủy ban kiểm toán với CFO và CEO diễn ra liên tục và các phát hiện cùng vấn đề quan trọng đều được giải quyết. </w:t>
            </w:r>
            <w:r>
              <w:rPr>
                <w:b/>
                <w:i w:val="0"/>
                <w:sz w:val="19"/>
              </w:rPr>
              <w:t>Tham khảo rủi ro: D-13</w:t>
            </w:r>
          </w:p>
        </w:tc>
      </w:tr>
      <w:tr>
        <w:tc>
          <w:tcPr>
            <w:tcW w:type="dxa" w:w="4680"/>
          </w:tcPr>
          <w:p>
            <w:r/>
            <w:r>
              <w:rPr>
                <w:b w:val="0"/>
                <w:i w:val="0"/>
                <w:sz w:val="19"/>
              </w:rPr>
              <w:t>16.4.14</w:t>
            </w:r>
          </w:p>
        </w:tc>
        <w:tc>
          <w:tcPr>
            <w:tcW w:type="dxa" w:w="4680"/>
          </w:tcPr>
          <w:p>
            <w:r/>
            <w:r>
              <w:rPr>
                <w:b w:val="0"/>
                <w:i w:val="0"/>
                <w:sz w:val="19"/>
              </w:rPr>
              <w:t xml:space="preserve">Các thông cáo báo chí về lợi nhuận được thảo luận với ủy ban kiểm toán trước khi được chuyển đến bộ phận quan hệ công chúng để công bố. </w:t>
            </w:r>
            <w:r>
              <w:rPr>
                <w:b/>
                <w:i w:val="0"/>
                <w:sz w:val="19"/>
              </w:rPr>
              <w:t>Tham khảo rủi ro: D-14</w:t>
            </w:r>
          </w:p>
        </w:tc>
      </w:tr>
      <w:tr>
        <w:tc>
          <w:tcPr>
            <w:tcW w:type="dxa" w:w="4680"/>
          </w:tcPr>
          <w:p>
            <w:r/>
            <w:r>
              <w:rPr>
                <w:b w:val="0"/>
                <w:i w:val="0"/>
                <w:sz w:val="19"/>
              </w:rPr>
              <w:t>16.4.15</w:t>
            </w:r>
          </w:p>
        </w:tc>
        <w:tc>
          <w:tcPr>
            <w:tcW w:type="dxa" w:w="4680"/>
          </w:tcPr>
          <w:p>
            <w:r/>
            <w:r>
              <w:rPr>
                <w:b w:val="0"/>
                <w:i w:val="0"/>
                <w:sz w:val="19"/>
              </w:rPr>
              <w:t xml:space="preserve">Có mức độ tham gia và tương tác phù hợp với kiểm toán nội bộ, bao gồm tuyến quyền hạn của ủy ban kiểm toán, việc lập ngân sách và bố trí nhân sự cho kiểm toán nội bộ. </w:t>
            </w:r>
            <w:r>
              <w:rPr>
                <w:b/>
                <w:i w:val="0"/>
                <w:sz w:val="19"/>
              </w:rPr>
              <w:t>Tham khảo rủi ro: D-11, D-15</w:t>
            </w:r>
          </w:p>
        </w:tc>
      </w:tr>
      <w:tr>
        <w:tc>
          <w:tcPr>
            <w:tcW w:type="dxa" w:w="4680"/>
          </w:tcPr>
          <w:p>
            <w:r/>
            <w:r>
              <w:rPr>
                <w:b w:val="0"/>
                <w:i w:val="0"/>
                <w:sz w:val="19"/>
              </w:rPr>
              <w:t>16.4.16</w:t>
            </w:r>
          </w:p>
        </w:tc>
        <w:tc>
          <w:tcPr>
            <w:tcW w:type="dxa" w:w="4680"/>
          </w:tcPr>
          <w:p>
            <w:r/>
            <w:r>
              <w:rPr>
                <w:b w:val="0"/>
                <w:i w:val="0"/>
                <w:sz w:val="19"/>
              </w:rPr>
              <w:t xml:space="preserve">Điều lệ hoạt động của kiểm toán nội bộ được ủy ban kiểm toán xem xét và phê duyệt. </w:t>
            </w:r>
            <w:r>
              <w:rPr>
                <w:b/>
                <w:i w:val="0"/>
                <w:sz w:val="19"/>
              </w:rPr>
              <w:t>Tham khảo rủi ro: D-11, D-15</w:t>
            </w:r>
          </w:p>
        </w:tc>
      </w:tr>
      <w:tr>
        <w:tc>
          <w:tcPr>
            <w:tcW w:type="dxa" w:w="4680"/>
          </w:tcPr>
          <w:p>
            <w:r/>
            <w:r>
              <w:rPr>
                <w:b w:val="0"/>
                <w:i w:val="0"/>
                <w:sz w:val="19"/>
              </w:rPr>
              <w:t>16.4.17</w:t>
            </w:r>
          </w:p>
        </w:tc>
        <w:tc>
          <w:tcPr>
            <w:tcW w:type="dxa" w:w="4680"/>
          </w:tcPr>
          <w:p>
            <w:r/>
            <w:r>
              <w:rPr>
                <w:b w:val="0"/>
                <w:i w:val="0"/>
                <w:sz w:val="19"/>
              </w:rPr>
              <w:t xml:space="preserve">Ủy ban kiểm toán bao gồm các giám đốc điều hành doanh nghiệp, những người sở hữu kiến thức và kinh nghiệm cần thiết để thực hiện hiệu quả vai trò và trách nhiệm của mình. </w:t>
            </w:r>
            <w:r>
              <w:rPr>
                <w:b/>
                <w:i w:val="0"/>
                <w:sz w:val="19"/>
              </w:rPr>
              <w:t>Tham chiếu rủi ro: D-16, D-20, D-24, D-27, D-28</w:t>
            </w:r>
          </w:p>
        </w:tc>
      </w:tr>
      <w:tr>
        <w:tc>
          <w:tcPr>
            <w:tcW w:type="dxa" w:w="4680"/>
          </w:tcPr>
          <w:p>
            <w:r/>
            <w:r>
              <w:rPr>
                <w:b w:val="0"/>
                <w:i w:val="0"/>
                <w:sz w:val="19"/>
              </w:rPr>
              <w:t>16.4.18</w:t>
            </w:r>
          </w:p>
        </w:tc>
        <w:tc>
          <w:tcPr>
            <w:tcW w:type="dxa" w:w="4680"/>
          </w:tcPr>
          <w:p>
            <w:r/>
            <w:r>
              <w:rPr>
                <w:b w:val="0"/>
                <w:i w:val="0"/>
                <w:sz w:val="19"/>
              </w:rPr>
              <w:t xml:space="preserve">Điều lệ ủy ban kiểm toán đóng vai trò là khuôn khổ cho hội đồng quản trị và các ủy ban của hội đồng; ủy ban kiểm toán tuân thủ các chỉ đạo của điều lệ. </w:t>
            </w:r>
            <w:r>
              <w:rPr>
                <w:b/>
                <w:i w:val="0"/>
                <w:sz w:val="19"/>
              </w:rPr>
              <w:t>Tham chiếu rủi ro: D-20, D-24, D-27, D-28</w:t>
            </w:r>
          </w:p>
        </w:tc>
      </w:tr>
      <w:tr>
        <w:tc>
          <w:tcPr>
            <w:tcW w:type="dxa" w:w="4680"/>
          </w:tcPr>
          <w:p>
            <w:r/>
            <w:r>
              <w:rPr>
                <w:b w:val="0"/>
                <w:i w:val="0"/>
                <w:sz w:val="19"/>
              </w:rPr>
              <w:t>16.4.19</w:t>
            </w:r>
          </w:p>
        </w:tc>
        <w:tc>
          <w:tcPr>
            <w:tcW w:type="dxa" w:w="4680"/>
          </w:tcPr>
          <w:p>
            <w:r/>
            <w:r>
              <w:rPr>
                <w:b w:val="0"/>
                <w:i w:val="0"/>
                <w:sz w:val="19"/>
              </w:rPr>
              <w:t xml:space="preserve">Có sự đánh giá về hiệu quả hoạt động của ủy ban kiểm toán. </w:t>
            </w:r>
            <w:r>
              <w:rPr>
                <w:b/>
                <w:i w:val="0"/>
                <w:sz w:val="19"/>
              </w:rPr>
              <w:t>Tham chiếu rủi ro: D-16, D-20, D-24, D-27, D-28</w:t>
            </w:r>
          </w:p>
        </w:tc>
      </w:tr>
      <w:tr>
        <w:tc>
          <w:tcPr>
            <w:tcW w:type="dxa" w:w="4680"/>
          </w:tcPr>
          <w:p>
            <w:r/>
            <w:r>
              <w:rPr>
                <w:b w:val="0"/>
                <w:i w:val="0"/>
                <w:sz w:val="19"/>
              </w:rPr>
              <w:t>16.4.20</w:t>
            </w:r>
          </w:p>
        </w:tc>
        <w:tc>
          <w:tcPr>
            <w:tcW w:type="dxa" w:w="4680"/>
          </w:tcPr>
          <w:p>
            <w:r/>
            <w:r>
              <w:rPr>
                <w:b w:val="0"/>
                <w:i w:val="0"/>
                <w:sz w:val="19"/>
              </w:rPr>
              <w:t xml:space="preserve">Các vấn đề phát sinh từ quy trình đạo đức và quy tắc ứng xử được trình bày trước ủy ban kiểm toán. </w:t>
            </w:r>
            <w:r>
              <w:rPr>
                <w:b/>
                <w:i w:val="0"/>
                <w:sz w:val="19"/>
              </w:rPr>
              <w:t>Tham chiếu rủi ro: D-9, D-13, D-21, D-24</w:t>
            </w:r>
          </w:p>
        </w:tc>
      </w:tr>
      <w:tr>
        <w:tc>
          <w:tcPr>
            <w:tcW w:type="dxa" w:w="4680"/>
          </w:tcPr>
          <w:p>
            <w:r/>
            <w:r>
              <w:rPr>
                <w:b w:val="0"/>
                <w:i w:val="0"/>
                <w:sz w:val="19"/>
              </w:rPr>
              <w:t>16.4.21</w:t>
            </w:r>
          </w:p>
        </w:tc>
        <w:tc>
          <w:tcPr>
            <w:tcW w:type="dxa" w:w="4680"/>
          </w:tcPr>
          <w:p>
            <w:r/>
            <w:r>
              <w:rPr>
                <w:b w:val="0"/>
                <w:i w:val="0"/>
                <w:sz w:val="19"/>
              </w:rPr>
              <w:t xml:space="preserve">Ủy ban kiểm toán khởi xướng các cuộc điều tra bổ sung đối với bất kỳ vấn đề nào được báo cáo thông qua quy trình điều tra đạo đức, và có quyền truy cập vào báo cáo tài chính và các kế hoạch. </w:t>
            </w:r>
            <w:r>
              <w:rPr>
                <w:b/>
                <w:i w:val="0"/>
                <w:sz w:val="19"/>
              </w:rPr>
              <w:t>Tham chiếu rủi ro: D-9, D-13, D-21, D-24</w:t>
            </w:r>
          </w:p>
        </w:tc>
      </w:tr>
      <w:tr>
        <w:tc>
          <w:tcPr>
            <w:tcW w:type="dxa" w:w="4680"/>
          </w:tcPr>
          <w:p>
            <w:r/>
            <w:r>
              <w:rPr>
                <w:b w:val="0"/>
                <w:i w:val="0"/>
                <w:sz w:val="19"/>
              </w:rPr>
              <w:t>16.4.22</w:t>
            </w:r>
          </w:p>
        </w:tc>
        <w:tc>
          <w:tcPr>
            <w:tcW w:type="dxa" w:w="4680"/>
          </w:tcPr>
          <w:p>
            <w:r/>
            <w:r>
              <w:rPr>
                <w:b w:val="0"/>
                <w:i w:val="0"/>
                <w:sz w:val="19"/>
              </w:rPr>
              <w:t xml:space="preserve">Báo cáo của ban điều hành về kiểm soát nội bộ và báo cáo chứng thực của kiểm toán viên bên ngoài được xem xét cùng với ủy ban kiểm toán hàng năm. Cả hai đều được thảo luận với ban điều hành kiểm toán viên bên ngoài. </w:t>
            </w:r>
            <w:r>
              <w:rPr>
                <w:b/>
                <w:i w:val="0"/>
                <w:sz w:val="19"/>
              </w:rPr>
              <w:t>Tham chiếu rủi ro: D-23</w:t>
            </w:r>
          </w:p>
        </w:tc>
      </w:tr>
      <w:tr>
        <w:tc>
          <w:tcPr>
            <w:tcW w:type="dxa" w:w="4680"/>
          </w:tcPr>
          <w:p>
            <w:r/>
            <w:r>
              <w:rPr>
                <w:b w:val="0"/>
                <w:i w:val="0"/>
                <w:sz w:val="19"/>
              </w:rPr>
              <w:t>16.4.23</w:t>
            </w:r>
          </w:p>
        </w:tc>
        <w:tc>
          <w:tcPr>
            <w:tcW w:type="dxa" w:w="4680"/>
          </w:tcPr>
          <w:p>
            <w:r/>
            <w:r>
              <w:rPr>
                <w:b w:val="0"/>
                <w:i w:val="0"/>
                <w:sz w:val="19"/>
              </w:rPr>
              <w:t xml:space="preserve">Ủy ban kiểm toán xem xét vai trò của ủy ban công bố thông tin. </w:t>
            </w:r>
            <w:r>
              <w:rPr>
                <w:b/>
                <w:i w:val="0"/>
                <w:sz w:val="19"/>
              </w:rPr>
              <w:t>Tham chiếu rủi ro: D-21, D-24</w:t>
            </w:r>
          </w:p>
        </w:tc>
      </w:tr>
      <w:tr>
        <w:tc>
          <w:tcPr>
            <w:tcW w:type="dxa" w:w="4680"/>
          </w:tcPr>
          <w:p>
            <w:r/>
            <w:r>
              <w:rPr>
                <w:b w:val="0"/>
                <w:i w:val="0"/>
                <w:sz w:val="19"/>
              </w:rPr>
              <w:t>16.4.24</w:t>
            </w:r>
          </w:p>
        </w:tc>
        <w:tc>
          <w:tcPr>
            <w:tcW w:type="dxa" w:w="4680"/>
          </w:tcPr>
          <w:p>
            <w:r/>
            <w:r>
              <w:rPr>
                <w:b w:val="0"/>
                <w:i w:val="0"/>
                <w:sz w:val="19"/>
              </w:rPr>
              <w:t xml:space="preserve">Các cuộc họp với giám đốc tài chính (CFO) và/hoặc các cán bộ kế toán, kiểm toán viên nội bộ, và kiểm toán viên bên ngoài được tổ chức thường xuyên và kịp thời. </w:t>
            </w:r>
            <w:r>
              <w:rPr>
                <w:b/>
                <w:i w:val="0"/>
                <w:sz w:val="19"/>
              </w:rPr>
              <w:t>Tham chiếu rủi ro: D-25</w:t>
            </w:r>
          </w:p>
        </w:tc>
      </w:tr>
      <w:tr>
        <w:tc>
          <w:tcPr>
            <w:tcW w:type="dxa" w:w="4680"/>
          </w:tcPr>
          <w:p>
            <w:r/>
            <w:r>
              <w:rPr>
                <w:b w:val="0"/>
                <w:i w:val="0"/>
                <w:sz w:val="19"/>
              </w:rPr>
              <w:t>16.4.25</w:t>
            </w:r>
          </w:p>
        </w:tc>
        <w:tc>
          <w:tcPr>
            <w:tcW w:type="dxa" w:w="4680"/>
          </w:tcPr>
          <w:p>
            <w:r/>
            <w:r>
              <w:rPr>
                <w:b w:val="0"/>
                <w:i w:val="0"/>
                <w:sz w:val="19"/>
              </w:rPr>
              <w:t xml:space="preserve">Theo yêu cầu về quản trị doanh nghiệp, các vấn đề của ủy ban đãi ngộ được ủy ban kiểm toán xem xét. </w:t>
            </w:r>
            <w:r>
              <w:rPr>
                <w:b/>
                <w:i w:val="0"/>
                <w:sz w:val="19"/>
              </w:rPr>
              <w:t>Tham chiếu rủi ro: D-27</w:t>
            </w:r>
          </w:p>
        </w:tc>
      </w:tr>
      <w:tr>
        <w:tc>
          <w:tcPr>
            <w:tcW w:type="dxa" w:w="4680"/>
          </w:tcPr>
          <w:p>
            <w:r/>
            <w:r>
              <w:rPr>
                <w:b w:val="0"/>
                <w:i w:val="0"/>
                <w:sz w:val="19"/>
              </w:rPr>
              <w:t>16.4.26</w:t>
            </w:r>
          </w:p>
        </w:tc>
        <w:tc>
          <w:tcPr>
            <w:tcW w:type="dxa" w:w="4680"/>
          </w:tcPr>
          <w:p>
            <w:r/>
            <w:r>
              <w:rPr>
                <w:b w:val="0"/>
                <w:i w:val="0"/>
                <w:sz w:val="19"/>
              </w:rPr>
              <w:t xml:space="preserve">Ủy ban đóng vai trò giám sát đối với việc công bố thông tin tài chính của công ty ra công chúng. </w:t>
            </w:r>
            <w:r>
              <w:rPr>
                <w:b/>
                <w:i w:val="0"/>
                <w:sz w:val="19"/>
              </w:rPr>
              <w:t>Tham chiếu rủi ro: D-14, D-26</w:t>
            </w:r>
          </w:p>
        </w:tc>
      </w:tr>
      <w:tr>
        <w:tc>
          <w:tcPr>
            <w:tcW w:type="dxa" w:w="4680"/>
          </w:tcPr>
          <w:p>
            <w:r/>
            <w:r>
              <w:rPr>
                <w:b w:val="0"/>
                <w:i w:val="0"/>
                <w:sz w:val="19"/>
              </w:rPr>
              <w:t>16.4.27</w:t>
            </w:r>
          </w:p>
        </w:tc>
        <w:tc>
          <w:tcPr>
            <w:tcW w:type="dxa" w:w="4680"/>
          </w:tcPr>
          <w:p>
            <w:r/>
            <w:r>
              <w:rPr>
                <w:b w:val="0"/>
                <w:i w:val="0"/>
                <w:sz w:val="19"/>
              </w:rPr>
              <w:t xml:space="preserve">Các giao dịch với bên liên quan không tạo ra xung đột lợi ích. </w:t>
            </w:r>
            <w:r>
              <w:rPr>
                <w:b/>
                <w:i w:val="0"/>
                <w:sz w:val="19"/>
              </w:rPr>
              <w:t>Tham chiếu rủi ro: D-27</w:t>
            </w:r>
          </w:p>
        </w:tc>
      </w:tr>
      <w:tr>
        <w:tc>
          <w:tcPr>
            <w:tcW w:type="dxa" w:w="4680"/>
          </w:tcPr>
          <w:p>
            <w:r/>
            <w:r>
              <w:rPr>
                <w:b w:val="0"/>
                <w:i w:val="0"/>
                <w:sz w:val="19"/>
              </w:rPr>
              <w:t>16.4.28</w:t>
            </w:r>
          </w:p>
        </w:tc>
        <w:tc>
          <w:tcPr>
            <w:tcW w:type="dxa" w:w="4680"/>
          </w:tcPr>
          <w:p>
            <w:r/>
            <w:r>
              <w:rPr>
                <w:b w:val="0"/>
                <w:i w:val="0"/>
                <w:sz w:val="19"/>
              </w:rPr>
              <w:t xml:space="preserve">Vai trò và trách nhiệm của ủy ban kiểm toán được xác định rõ ràng và trình bày cụ thể cho ủy ban kiểm toán trước khi biểu quyết. </w:t>
            </w:r>
            <w:r>
              <w:rPr>
                <w:b/>
                <w:i w:val="0"/>
                <w:sz w:val="19"/>
              </w:rPr>
              <w:t>Tham chiếu rủi ro: D-28</w:t>
            </w:r>
          </w:p>
        </w:tc>
      </w:tr>
      <w:tr>
        <w:tc>
          <w:tcPr>
            <w:tcW w:type="dxa" w:w="4680"/>
          </w:tcPr>
          <w:p>
            <w:r/>
            <w:r>
              <w:rPr>
                <w:b w:val="0"/>
                <w:i w:val="0"/>
                <w:sz w:val="19"/>
              </w:rPr>
              <w:t>16.4.29</w:t>
            </w:r>
          </w:p>
        </w:tc>
        <w:tc>
          <w:tcPr>
            <w:tcW w:type="dxa" w:w="4680"/>
          </w:tcPr>
          <w:p>
            <w:r/>
            <w:r>
              <w:rPr>
                <w:b w:val="0"/>
                <w:i w:val="0"/>
                <w:sz w:val="19"/>
              </w:rPr>
              <w:t xml:space="preserve">Ủy ban kiểm toán xem xét điều lệ của ủy ban kiểm toán trước khi biểu quyết rằng điều lệ đó là bản cuối cùng. </w:t>
            </w:r>
            <w:r>
              <w:rPr>
                <w:b/>
                <w:i w:val="0"/>
                <w:sz w:val="19"/>
              </w:rPr>
              <w:t>Tham chiếu rủi ro: D-28</w:t>
            </w:r>
          </w:p>
        </w:tc>
      </w:tr>
    </w:tbl>
    <w:p>
      <w:pPr>
        <w:spacing w:after="0"/>
      </w:pPr>
    </w:p>
    <w:p>
      <w:pPr>
        <w:pStyle w:val="Heading3"/>
      </w:pPr>
      <w:r>
        <w:rPr>
          <w:rFonts w:ascii="Calibri" w:hAnsi="Calibri"/>
          <w:b/>
          <w:i w:val="0"/>
          <w:sz w:val="26"/>
        </w:rPr>
        <w:t>Rủi ro nếu tiêu chuẩn không được thực hiện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D-1</w:t>
            </w:r>
          </w:p>
        </w:tc>
        <w:tc>
          <w:tcPr>
            <w:tcW w:type="dxa" w:w="4680"/>
          </w:tcPr>
          <w:p>
            <w:r/>
            <w:r>
              <w:rPr>
                <w:b w:val="0"/>
                <w:i w:val="0"/>
                <w:sz w:val="19"/>
              </w:rPr>
              <w:t>Các vấn đề về nhân viên không được nhận diện và báo cáo lên ủy ban kiểm toán.</w:t>
            </w:r>
          </w:p>
        </w:tc>
      </w:tr>
      <w:tr>
        <w:tc>
          <w:tcPr>
            <w:tcW w:type="dxa" w:w="4680"/>
          </w:tcPr>
          <w:p>
            <w:r/>
            <w:r>
              <w:rPr>
                <w:b w:val="0"/>
                <w:i w:val="0"/>
                <w:sz w:val="19"/>
              </w:rPr>
              <w:t>D-2</w:t>
            </w:r>
          </w:p>
        </w:tc>
        <w:tc>
          <w:tcPr>
            <w:tcW w:type="dxa" w:w="4680"/>
          </w:tcPr>
          <w:p>
            <w:r/>
            <w:r>
              <w:rPr>
                <w:b w:val="0"/>
                <w:i w:val="0"/>
                <w:sz w:val="19"/>
              </w:rPr>
              <w:t>CFO thiếu kiến thức và kinh nghiệm cần thiết.</w:t>
            </w:r>
          </w:p>
        </w:tc>
      </w:tr>
      <w:tr>
        <w:tc>
          <w:tcPr>
            <w:tcW w:type="dxa" w:w="4680"/>
          </w:tcPr>
          <w:p>
            <w:r/>
            <w:r>
              <w:rPr>
                <w:b w:val="0"/>
                <w:i w:val="0"/>
                <w:sz w:val="19"/>
              </w:rPr>
              <w:t>D-3</w:t>
            </w:r>
          </w:p>
        </w:tc>
        <w:tc>
          <w:tcPr>
            <w:tcW w:type="dxa" w:w="4680"/>
          </w:tcPr>
          <w:p>
            <w:r/>
            <w:r>
              <w:rPr>
                <w:b w:val="0"/>
                <w:i w:val="0"/>
                <w:sz w:val="19"/>
              </w:rPr>
              <w:t>Thiếu mức độ tương tác phù hợp với kiểm toán viên bên ngoài.</w:t>
            </w:r>
          </w:p>
        </w:tc>
      </w:tr>
      <w:tr>
        <w:tc>
          <w:tcPr>
            <w:tcW w:type="dxa" w:w="4680"/>
          </w:tcPr>
          <w:p>
            <w:r/>
            <w:r>
              <w:rPr>
                <w:b w:val="0"/>
                <w:i w:val="0"/>
                <w:sz w:val="19"/>
              </w:rPr>
              <w:t>D-4</w:t>
            </w:r>
          </w:p>
        </w:tc>
        <w:tc>
          <w:tcPr>
            <w:tcW w:type="dxa" w:w="4680"/>
          </w:tcPr>
          <w:p>
            <w:r/>
            <w:r>
              <w:rPr>
                <w:b w:val="0"/>
                <w:i w:val="0"/>
                <w:sz w:val="19"/>
              </w:rPr>
              <w:t>Kiểm toán bên ngoài thực hiện công việc chưa được phê duyệt.</w:t>
            </w:r>
          </w:p>
        </w:tc>
      </w:tr>
      <w:tr>
        <w:tc>
          <w:tcPr>
            <w:tcW w:type="dxa" w:w="4680"/>
          </w:tcPr>
          <w:p>
            <w:r/>
            <w:r>
              <w:rPr>
                <w:b w:val="0"/>
                <w:i w:val="0"/>
                <w:sz w:val="19"/>
              </w:rPr>
              <w:t>D-5</w:t>
            </w:r>
          </w:p>
        </w:tc>
        <w:tc>
          <w:tcPr>
            <w:tcW w:type="dxa" w:w="4680"/>
          </w:tcPr>
          <w:p>
            <w:r/>
            <w:r>
              <w:rPr>
                <w:b w:val="0"/>
                <w:i w:val="0"/>
                <w:sz w:val="19"/>
              </w:rPr>
              <w:t>Không tuân thủ các quy định của SEC và IFRS.</w:t>
            </w:r>
          </w:p>
        </w:tc>
      </w:tr>
      <w:tr>
        <w:tc>
          <w:tcPr>
            <w:tcW w:type="dxa" w:w="4680"/>
          </w:tcPr>
          <w:p>
            <w:r/>
            <w:r>
              <w:rPr>
                <w:b w:val="0"/>
                <w:i w:val="0"/>
                <w:sz w:val="19"/>
              </w:rPr>
              <w:t>D-6</w:t>
            </w:r>
          </w:p>
        </w:tc>
        <w:tc>
          <w:tcPr>
            <w:tcW w:type="dxa" w:w="4680"/>
          </w:tcPr>
          <w:p>
            <w:r/>
            <w:r>
              <w:rPr>
                <w:b w:val="0"/>
                <w:i w:val="0"/>
                <w:sz w:val="19"/>
              </w:rPr>
              <w:t>Kế hoạch của kiểm toán viên nội bộ không được ủy ban kiểm toán xem xét.</w:t>
            </w:r>
          </w:p>
        </w:tc>
      </w:tr>
      <w:tr>
        <w:tc>
          <w:tcPr>
            <w:tcW w:type="dxa" w:w="4680"/>
          </w:tcPr>
          <w:p>
            <w:r/>
            <w:r>
              <w:rPr>
                <w:b w:val="0"/>
                <w:i w:val="0"/>
                <w:sz w:val="19"/>
              </w:rPr>
              <w:t>D-8</w:t>
            </w:r>
          </w:p>
        </w:tc>
        <w:tc>
          <w:tcPr>
            <w:tcW w:type="dxa" w:w="4680"/>
          </w:tcPr>
          <w:p>
            <w:r/>
            <w:r>
              <w:rPr>
                <w:b w:val="0"/>
                <w:i w:val="0"/>
                <w:sz w:val="19"/>
              </w:rPr>
              <w:t>Ủy ban kiểm toán không thể hiện được thông điệp về đạo đức và ứng xử kinh doanh của công ty.</w:t>
            </w:r>
          </w:p>
        </w:tc>
      </w:tr>
      <w:tr>
        <w:tc>
          <w:tcPr>
            <w:tcW w:type="dxa" w:w="4680"/>
          </w:tcPr>
          <w:p>
            <w:r/>
            <w:r>
              <w:rPr>
                <w:b w:val="0"/>
                <w:i w:val="0"/>
                <w:sz w:val="19"/>
              </w:rPr>
              <w:t>D-9</w:t>
            </w:r>
          </w:p>
        </w:tc>
        <w:tc>
          <w:tcPr>
            <w:tcW w:type="dxa" w:w="4680"/>
          </w:tcPr>
          <w:p>
            <w:r/>
            <w:r>
              <w:rPr>
                <w:b w:val="0"/>
                <w:i w:val="0"/>
                <w:sz w:val="19"/>
              </w:rPr>
              <w:t>Các lo ngại về đạo đức không được nhận diện hoặc giải quyết.</w:t>
            </w:r>
          </w:p>
        </w:tc>
      </w:tr>
      <w:tr>
        <w:tc>
          <w:tcPr>
            <w:tcW w:type="dxa" w:w="4680"/>
          </w:tcPr>
          <w:p>
            <w:r/>
            <w:r>
              <w:rPr>
                <w:b w:val="0"/>
                <w:i w:val="0"/>
                <w:sz w:val="19"/>
              </w:rPr>
              <w:t>D-10</w:t>
            </w:r>
          </w:p>
        </w:tc>
        <w:tc>
          <w:tcPr>
            <w:tcW w:type="dxa" w:w="4680"/>
          </w:tcPr>
          <w:p>
            <w:r/>
            <w:r>
              <w:rPr>
                <w:b w:val="0"/>
                <w:i w:val="0"/>
                <w:sz w:val="19"/>
              </w:rPr>
              <w:t>Tính độc lập của kiểm toán viên bên ngoài và giới hạn nhiệm kỳ không được xác định rõ.</w:t>
            </w:r>
          </w:p>
        </w:tc>
      </w:tr>
      <w:tr>
        <w:tc>
          <w:tcPr>
            <w:tcW w:type="dxa" w:w="4680"/>
          </w:tcPr>
          <w:p>
            <w:r/>
            <w:r>
              <w:rPr>
                <w:b w:val="0"/>
                <w:i w:val="0"/>
                <w:sz w:val="19"/>
              </w:rPr>
              <w:t>D-11</w:t>
            </w:r>
          </w:p>
        </w:tc>
        <w:tc>
          <w:tcPr>
            <w:tcW w:type="dxa" w:w="4680"/>
          </w:tcPr>
          <w:p>
            <w:r/>
            <w:r>
              <w:rPr>
                <w:b w:val="0"/>
                <w:i w:val="0"/>
                <w:sz w:val="19"/>
              </w:rPr>
              <w:t>Tính độc lập bị suy giảm.</w:t>
            </w:r>
          </w:p>
        </w:tc>
      </w:tr>
      <w:tr>
        <w:tc>
          <w:tcPr>
            <w:tcW w:type="dxa" w:w="4680"/>
          </w:tcPr>
          <w:p>
            <w:r/>
            <w:r>
              <w:rPr>
                <w:b w:val="0"/>
                <w:i w:val="0"/>
                <w:sz w:val="19"/>
              </w:rPr>
              <w:t>D-12</w:t>
            </w:r>
          </w:p>
        </w:tc>
        <w:tc>
          <w:tcPr>
            <w:tcW w:type="dxa" w:w="4680"/>
          </w:tcPr>
          <w:p>
            <w:r/>
            <w:r>
              <w:rPr>
                <w:b w:val="0"/>
                <w:i w:val="0"/>
                <w:sz w:val="19"/>
              </w:rPr>
              <w:t>Chủ tịch ủy ban kiểm toán giữ chức vụ lâu hơn thời hạn dự kiến.</w:t>
            </w:r>
          </w:p>
        </w:tc>
      </w:tr>
      <w:tr>
        <w:tc>
          <w:tcPr>
            <w:tcW w:type="dxa" w:w="4680"/>
          </w:tcPr>
          <w:p>
            <w:r/>
            <w:r>
              <w:rPr>
                <w:b w:val="0"/>
                <w:i w:val="0"/>
                <w:sz w:val="19"/>
              </w:rPr>
              <w:t>D-13</w:t>
            </w:r>
          </w:p>
        </w:tc>
        <w:tc>
          <w:tcPr>
            <w:tcW w:type="dxa" w:w="4680"/>
          </w:tcPr>
          <w:p>
            <w:r/>
            <w:r>
              <w:rPr>
                <w:b w:val="0"/>
                <w:i w:val="0"/>
                <w:sz w:val="19"/>
              </w:rPr>
              <w:t>Việc trao đổi về các phát hiện và vấn đề quan trọng không diễn ra thường xuyên, và các vấn đề không được báo cáo cho CFO và CEO.</w:t>
            </w:r>
          </w:p>
        </w:tc>
      </w:tr>
      <w:tr>
        <w:tc>
          <w:tcPr>
            <w:tcW w:type="dxa" w:w="4680"/>
          </w:tcPr>
          <w:p>
            <w:r/>
            <w:r>
              <w:rPr>
                <w:b w:val="0"/>
                <w:i w:val="0"/>
                <w:sz w:val="19"/>
              </w:rPr>
              <w:t>D-14</w:t>
            </w:r>
          </w:p>
        </w:tc>
        <w:tc>
          <w:tcPr>
            <w:tcW w:type="dxa" w:w="4680"/>
          </w:tcPr>
          <w:p>
            <w:r/>
            <w:r>
              <w:rPr>
                <w:b w:val="0"/>
                <w:i w:val="0"/>
                <w:sz w:val="19"/>
              </w:rPr>
              <w:t>Các thông cáo báo chí về thu nhập không được truyền đạt đúng theo yêu cầu.</w:t>
            </w:r>
          </w:p>
        </w:tc>
      </w:tr>
      <w:tr>
        <w:tc>
          <w:tcPr>
            <w:tcW w:type="dxa" w:w="4680"/>
          </w:tcPr>
          <w:p>
            <w:r/>
            <w:r>
              <w:rPr>
                <w:b w:val="0"/>
                <w:i w:val="0"/>
                <w:sz w:val="19"/>
              </w:rPr>
              <w:t>D-15</w:t>
            </w:r>
          </w:p>
        </w:tc>
        <w:tc>
          <w:tcPr>
            <w:tcW w:type="dxa" w:w="4680"/>
          </w:tcPr>
          <w:p>
            <w:r/>
            <w:r>
              <w:rPr>
                <w:b w:val="0"/>
                <w:i w:val="0"/>
                <w:sz w:val="19"/>
              </w:rPr>
              <w:t>Điều lệ hoạt động của kiểm toán nội bộ không được ủy ban kiểm toán phê duyệt.</w:t>
            </w:r>
          </w:p>
        </w:tc>
      </w:tr>
      <w:tr>
        <w:tc>
          <w:tcPr>
            <w:tcW w:type="dxa" w:w="4680"/>
          </w:tcPr>
          <w:p>
            <w:r/>
            <w:r>
              <w:rPr>
                <w:b w:val="0"/>
                <w:i w:val="0"/>
                <w:sz w:val="19"/>
              </w:rPr>
              <w:t>D-16</w:t>
            </w:r>
          </w:p>
        </w:tc>
        <w:tc>
          <w:tcPr>
            <w:tcW w:type="dxa" w:w="4680"/>
          </w:tcPr>
          <w:p>
            <w:r/>
            <w:r>
              <w:rPr>
                <w:b w:val="0"/>
                <w:i w:val="0"/>
                <w:sz w:val="19"/>
              </w:rPr>
              <w:t>Ủy ban không đáp ứng được các yêu cầu về kiến thức và kinh nghiệm.</w:t>
            </w:r>
          </w:p>
        </w:tc>
      </w:tr>
      <w:tr>
        <w:tc>
          <w:tcPr>
            <w:tcW w:type="dxa" w:w="4680"/>
          </w:tcPr>
          <w:p>
            <w:r/>
            <w:r>
              <w:rPr>
                <w:b w:val="0"/>
                <w:i w:val="0"/>
                <w:sz w:val="19"/>
              </w:rPr>
              <w:t>D-17</w:t>
            </w:r>
          </w:p>
        </w:tc>
        <w:tc>
          <w:tcPr>
            <w:tcW w:type="dxa" w:w="4680"/>
          </w:tcPr>
          <w:p>
            <w:r/>
            <w:r>
              <w:rPr>
                <w:b w:val="0"/>
                <w:i w:val="0"/>
                <w:sz w:val="19"/>
              </w:rPr>
              <w:t>Ủy ban không theo kịp các diễn biến hiện hành.</w:t>
            </w:r>
          </w:p>
        </w:tc>
      </w:tr>
      <w:tr>
        <w:tc>
          <w:tcPr>
            <w:tcW w:type="dxa" w:w="4680"/>
          </w:tcPr>
          <w:p>
            <w:r/>
            <w:r>
              <w:rPr>
                <w:b w:val="0"/>
                <w:i w:val="0"/>
                <w:sz w:val="19"/>
              </w:rPr>
              <w:t>D-18</w:t>
            </w:r>
          </w:p>
        </w:tc>
        <w:tc>
          <w:tcPr>
            <w:tcW w:type="dxa" w:w="4680"/>
          </w:tcPr>
          <w:p>
            <w:r/>
            <w:r>
              <w:rPr>
                <w:b w:val="0"/>
                <w:i w:val="0"/>
                <w:sz w:val="19"/>
              </w:rPr>
              <w:t>Ủy ban không đáp ứng được các yêu cầu về đào tạo liên tục.</w:t>
            </w:r>
          </w:p>
        </w:tc>
      </w:tr>
      <w:tr>
        <w:tc>
          <w:tcPr>
            <w:tcW w:type="dxa" w:w="4680"/>
          </w:tcPr>
          <w:p>
            <w:r/>
            <w:r>
              <w:rPr>
                <w:b w:val="0"/>
                <w:i w:val="0"/>
                <w:sz w:val="19"/>
              </w:rPr>
              <w:t>D-19</w:t>
            </w:r>
          </w:p>
        </w:tc>
        <w:tc>
          <w:tcPr>
            <w:tcW w:type="dxa" w:w="4680"/>
          </w:tcPr>
          <w:p>
            <w:r/>
            <w:r>
              <w:rPr>
                <w:b w:val="0"/>
                <w:i w:val="0"/>
                <w:sz w:val="19"/>
              </w:rPr>
              <w:t>Ủy ban kiểm toán có thể không tuân thủ điều lệ hoạt động của ủy ban kiểm toán.</w:t>
            </w:r>
          </w:p>
        </w:tc>
      </w:tr>
      <w:tr>
        <w:tc>
          <w:tcPr>
            <w:tcW w:type="dxa" w:w="4680"/>
          </w:tcPr>
          <w:p>
            <w:r/>
            <w:r>
              <w:rPr>
                <w:b w:val="0"/>
                <w:i w:val="0"/>
                <w:sz w:val="19"/>
              </w:rPr>
              <w:t>D-20</w:t>
            </w:r>
          </w:p>
        </w:tc>
        <w:tc>
          <w:tcPr>
            <w:tcW w:type="dxa" w:w="4680"/>
          </w:tcPr>
          <w:p>
            <w:r/>
            <w:r>
              <w:rPr>
                <w:b w:val="0"/>
                <w:i w:val="0"/>
                <w:sz w:val="19"/>
              </w:rPr>
              <w:t>Các vấn đề về hiệu suất có thể phát sinh trong nội bộ ủy ban kiểm toán.</w:t>
            </w:r>
          </w:p>
        </w:tc>
      </w:tr>
      <w:tr>
        <w:tc>
          <w:tcPr>
            <w:tcW w:type="dxa" w:w="4680"/>
          </w:tcPr>
          <w:p>
            <w:r/>
            <w:r>
              <w:rPr>
                <w:b w:val="0"/>
                <w:i w:val="0"/>
                <w:sz w:val="19"/>
              </w:rPr>
              <w:t>D-21</w:t>
            </w:r>
          </w:p>
        </w:tc>
        <w:tc>
          <w:tcPr>
            <w:tcW w:type="dxa" w:w="4680"/>
          </w:tcPr>
          <w:p>
            <w:r/>
            <w:r>
              <w:rPr>
                <w:b w:val="0"/>
                <w:i w:val="0"/>
                <w:sz w:val="19"/>
              </w:rPr>
              <w:t>Các vấn đề được nêu ra bởi quá trình điều tra đạo đức không được nêu theo yêu cầu của Mục 301 của SOX, vốn yêu cầu các công ty phải có một quy trình để điều tra các hoạt động kiểm toán và kế toán đáng ngờ.</w:t>
            </w:r>
          </w:p>
        </w:tc>
      </w:tr>
      <w:tr>
        <w:tc>
          <w:tcPr>
            <w:tcW w:type="dxa" w:w="4680"/>
          </w:tcPr>
          <w:p>
            <w:r/>
            <w:r>
              <w:rPr>
                <w:b w:val="0"/>
                <w:i w:val="0"/>
                <w:sz w:val="19"/>
              </w:rPr>
              <w:t>D-22</w:t>
            </w:r>
          </w:p>
        </w:tc>
        <w:tc>
          <w:tcPr>
            <w:tcW w:type="dxa" w:w="4680"/>
          </w:tcPr>
          <w:p>
            <w:r/>
            <w:r>
              <w:rPr>
                <w:b w:val="0"/>
                <w:i w:val="0"/>
                <w:sz w:val="19"/>
              </w:rPr>
              <w:t>Việc điều tra và tiếp cận thông tin không diễn ra kịp thời.</w:t>
            </w:r>
          </w:p>
        </w:tc>
      </w:tr>
      <w:tr>
        <w:tc>
          <w:tcPr>
            <w:tcW w:type="dxa" w:w="4680"/>
          </w:tcPr>
          <w:p>
            <w:r/>
            <w:r>
              <w:rPr>
                <w:b w:val="0"/>
                <w:i w:val="0"/>
                <w:sz w:val="19"/>
              </w:rPr>
              <w:t>D-23</w:t>
            </w:r>
          </w:p>
        </w:tc>
        <w:tc>
          <w:tcPr>
            <w:tcW w:type="dxa" w:w="4680"/>
          </w:tcPr>
          <w:p>
            <w:r/>
            <w:r>
              <w:rPr>
                <w:b w:val="0"/>
                <w:i w:val="0"/>
                <w:sz w:val="19"/>
              </w:rPr>
              <w:t>Việc truyền đạt báo cáo kiểm soát nội bộ và quy trình chứng thực không diễn ra.</w:t>
            </w:r>
          </w:p>
        </w:tc>
      </w:tr>
      <w:tr>
        <w:tc>
          <w:tcPr>
            <w:tcW w:type="dxa" w:w="4680"/>
          </w:tcPr>
          <w:p>
            <w:r/>
            <w:r>
              <w:rPr>
                <w:b w:val="0"/>
                <w:i w:val="0"/>
                <w:sz w:val="19"/>
              </w:rPr>
              <w:t>D-24</w:t>
            </w:r>
          </w:p>
        </w:tc>
        <w:tc>
          <w:tcPr>
            <w:tcW w:type="dxa" w:w="4680"/>
          </w:tcPr>
          <w:p>
            <w:r/>
            <w:r>
              <w:rPr>
                <w:b w:val="0"/>
                <w:i w:val="0"/>
                <w:sz w:val="19"/>
              </w:rPr>
              <w:t>Các nghĩa vụ của ủy ban công bố thông tin không được ủy ban kiểm toán xem xét. Việc công bố thông tin sẽ không diễn ra kịp thời theo yêu cầu của Mục 302 của SOX.</w:t>
            </w:r>
          </w:p>
        </w:tc>
      </w:tr>
      <w:tr>
        <w:tc>
          <w:tcPr>
            <w:tcW w:type="dxa" w:w="4680"/>
          </w:tcPr>
          <w:p>
            <w:r/>
            <w:r>
              <w:rPr>
                <w:b w:val="0"/>
                <w:i w:val="0"/>
                <w:sz w:val="19"/>
              </w:rPr>
              <w:t>D-25</w:t>
            </w:r>
          </w:p>
        </w:tc>
        <w:tc>
          <w:tcPr>
            <w:tcW w:type="dxa" w:w="4680"/>
          </w:tcPr>
          <w:p>
            <w:r/>
            <w:r>
              <w:rPr>
                <w:b w:val="0"/>
                <w:i w:val="0"/>
                <w:sz w:val="19"/>
              </w:rPr>
              <w:t>Các cuộc họp có thể không được tổ chức kịp thời để giải quyết các vấn đề then chốt.</w:t>
            </w:r>
          </w:p>
        </w:tc>
      </w:tr>
      <w:tr>
        <w:tc>
          <w:tcPr>
            <w:tcW w:type="dxa" w:w="4680"/>
          </w:tcPr>
          <w:p>
            <w:r/>
            <w:r>
              <w:rPr>
                <w:b w:val="0"/>
                <w:i w:val="0"/>
                <w:sz w:val="19"/>
              </w:rPr>
              <w:t>D-26</w:t>
            </w:r>
          </w:p>
        </w:tc>
        <w:tc>
          <w:tcPr>
            <w:tcW w:type="dxa" w:w="4680"/>
          </w:tcPr>
          <w:p>
            <w:r/>
            <w:r>
              <w:rPr>
                <w:b w:val="0"/>
                <w:i w:val="0"/>
                <w:sz w:val="19"/>
              </w:rPr>
              <w:t>Báo cáo tài chính không được ủy ban kiểm toán xem xét trước khi công bố ra công chúng.</w:t>
            </w:r>
          </w:p>
        </w:tc>
      </w:tr>
      <w:tr>
        <w:tc>
          <w:tcPr>
            <w:tcW w:type="dxa" w:w="4680"/>
          </w:tcPr>
          <w:p>
            <w:r/>
            <w:r>
              <w:rPr>
                <w:b w:val="0"/>
                <w:i w:val="0"/>
                <w:sz w:val="19"/>
              </w:rPr>
              <w:t>D-27</w:t>
            </w:r>
          </w:p>
        </w:tc>
        <w:tc>
          <w:tcPr>
            <w:tcW w:type="dxa" w:w="4680"/>
          </w:tcPr>
          <w:p>
            <w:r/>
            <w:r>
              <w:rPr>
                <w:b w:val="0"/>
                <w:i w:val="0"/>
                <w:sz w:val="19"/>
              </w:rPr>
              <w:t>Tồn tại xung đột lợi ích, khiến lợi ích tốt nhất của công ty bị đặt vào tình thế rủi ro.</w:t>
            </w:r>
          </w:p>
        </w:tc>
      </w:tr>
      <w:tr>
        <w:tc>
          <w:tcPr>
            <w:tcW w:type="dxa" w:w="4680"/>
          </w:tcPr>
          <w:p>
            <w:r/>
            <w:r>
              <w:rPr>
                <w:b w:val="0"/>
                <w:i w:val="0"/>
                <w:sz w:val="19"/>
              </w:rPr>
              <w:t>D-28</w:t>
            </w:r>
          </w:p>
        </w:tc>
        <w:tc>
          <w:tcPr>
            <w:tcW w:type="dxa" w:w="4680"/>
          </w:tcPr>
          <w:p>
            <w:r/>
            <w:r>
              <w:rPr>
                <w:b w:val="0"/>
                <w:i w:val="0"/>
                <w:sz w:val="19"/>
              </w:rPr>
              <w:t>Có thể có những thắc mắc về vai trò và trách nhiệm của ủy ban kiểm toán cũng như điều lệ của ủy ban này.</w:t>
            </w:r>
          </w:p>
        </w:tc>
      </w:tr>
    </w:tbl>
    <w:p>
      <w:pPr>
        <w:spacing w:after="0"/>
      </w:pPr>
    </w:p>
    <w:p>
      <w:pPr>
        <w:pStyle w:val="Heading2"/>
      </w:pPr>
      <w:r>
        <w:rPr>
          <w:rFonts w:ascii="Calibri" w:hAnsi="Calibri"/>
          <w:b/>
          <w:i w:val="0"/>
          <w:sz w:val="32"/>
        </w:rPr>
        <w:t>LƯU Ý</w:t>
      </w:r>
    </w:p>
    <w:p>
      <w:pPr>
        <w:pStyle w:val="Heading1"/>
      </w:pPr>
      <w:r>
        <w:rPr>
          <w:rFonts w:ascii="Calibri" w:hAnsi="Calibri"/>
          <w:b/>
          <w:i w:val="0"/>
          <w:sz w:val="40"/>
        </w:rPr>
        <w:t>Thuật ngữ</w:t>
      </w:r>
    </w:p>
    <w:p>
      <w:pPr>
        <w:spacing w:after="80"/>
      </w:pPr>
      <w:r>
        <w:rPr>
          <w:b/>
          <w:i w:val="0"/>
        </w:rPr>
        <w:t xml:space="preserve"> </w:t>
      </w:r>
      <w:r>
        <w:rPr>
          <w:b/>
          <w:i w:val="0"/>
        </w:rPr>
        <w:t>Kiểm soát truy cập</w:t>
      </w:r>
      <w:r>
        <w:rPr>
          <w:b/>
          <w:i w:val="0"/>
        </w:rPr>
        <w:t xml:space="preserve"> </w:t>
      </w:r>
    </w:p>
    <w:p>
      <w:pPr>
        <w:spacing w:after="80"/>
        <w:ind w:left="360"/>
      </w:pPr>
      <w:r>
        <w:rPr>
          <w:b w:val="0"/>
          <w:i w:val="0"/>
        </w:rPr>
        <w:t>Đây là các quy trình và biện pháp kiểm soát nhằm hạn chế hoặc phát hiện việc truy cập vào các tài sản mạng quan trọng để bảo vệ khỏi mất tính toàn vẹn, tính bảo mật, tính trách nhiệm giải trình hoặc tính sẵn sàng. Kiểm soát truy cập cung cấp sự đảm bảo hợp lý rằng các tài nguyên quan trọng được bảo vệ khỏi việc sửa đổi, tiết lộ, mất mát hoặc hư hại trái phép.</w:t>
      </w:r>
    </w:p>
    <w:p>
      <w:pPr>
        <w:spacing w:after="80"/>
      </w:pPr>
      <w:r>
        <w:rPr>
          <w:b/>
          <w:i w:val="0"/>
        </w:rPr>
        <w:t xml:space="preserve"> </w:t>
      </w:r>
      <w:r>
        <w:rPr>
          <w:b/>
          <w:i w:val="0"/>
        </w:rPr>
        <w:t>Số tài khoản</w:t>
      </w:r>
      <w:r>
        <w:rPr>
          <w:b/>
          <w:i w:val="0"/>
        </w:rPr>
        <w:t xml:space="preserve"> </w:t>
      </w:r>
    </w:p>
    <w:p>
      <w:pPr>
        <w:spacing w:after="80"/>
        <w:ind w:left="360"/>
      </w:pPr>
      <w:r>
        <w:rPr>
          <w:b w:val="0"/>
          <w:i w:val="0"/>
        </w:rPr>
        <w:t>Xác định loại giao dịch kế toán cho giao dịch đó và bao gồm một số do hệ thống tạo ra gắn với bảng hệ thống tài khoản của công ty.</w:t>
      </w:r>
    </w:p>
    <w:p>
      <w:pPr>
        <w:spacing w:after="80"/>
      </w:pPr>
      <w:r>
        <w:rPr>
          <w:b/>
          <w:i w:val="0"/>
        </w:rPr>
        <w:t xml:space="preserve"> </w:t>
      </w:r>
      <w:r>
        <w:rPr>
          <w:b/>
          <w:i w:val="0"/>
        </w:rPr>
        <w:t>Các khoản phải trả</w:t>
      </w:r>
      <w:r>
        <w:rPr>
          <w:b/>
          <w:i w:val="0"/>
        </w:rPr>
        <w:t xml:space="preserve"> </w:t>
      </w:r>
    </w:p>
    <w:p>
      <w:pPr>
        <w:spacing w:after="80"/>
        <w:ind w:left="360"/>
      </w:pPr>
      <w:r>
        <w:rPr>
          <w:b w:val="0"/>
          <w:i w:val="0"/>
        </w:rPr>
        <w:t>Các quy trình kinh doanh hỗ trợ chức năng phát hành thanh toán cho tài sản, hàng hóa và dịch vụ. Các quy trình phụ bao gồm nhà cung cấp, quy trình ủy quyền, xử lý hóa đơn và thanh toán, phân tích cước vận chuyển, và đối chiếu tài khoản cùng phân tích quy trình.</w:t>
      </w:r>
    </w:p>
    <w:p>
      <w:pPr>
        <w:spacing w:after="80"/>
      </w:pPr>
      <w:r>
        <w:rPr>
          <w:b/>
          <w:i w:val="0"/>
        </w:rPr>
        <w:t xml:space="preserve"> </w:t>
      </w:r>
      <w:r>
        <w:rPr>
          <w:b/>
          <w:i w:val="0"/>
        </w:rPr>
        <w:t>Chính sách kế toán</w:t>
      </w:r>
      <w:r>
        <w:rPr>
          <w:b/>
          <w:i w:val="0"/>
        </w:rPr>
        <w:t xml:space="preserve"> </w:t>
      </w:r>
    </w:p>
    <w:p>
      <w:pPr>
        <w:spacing w:after="80"/>
        <w:ind w:left="360"/>
      </w:pPr>
      <w:r>
        <w:rPr>
          <w:b w:val="0"/>
          <w:i w:val="0"/>
        </w:rPr>
        <w:t xml:space="preserve">Các khái niệm, giả định, chính sách, phương pháp và thông lệ cơ bản mà một công ty sử dụng để duy trì các nguyên tắc kế toán và tổng hợp thành báo cáo tài chính theo quy định của GAAP. Một chính sách có thể được mô tả là </w:t>
      </w:r>
      <w:r>
        <w:rPr>
          <w:b w:val="0"/>
          <w:i/>
        </w:rPr>
        <w:t>điều gì</w:t>
      </w:r>
      <w:r>
        <w:rPr>
          <w:b w:val="0"/>
          <w:i w:val="0"/>
        </w:rPr>
        <w:t xml:space="preserve"> cần phải xảy ra để đảm bảo rằng các chu trình kế toán vận hành trong giới hạn của kiểm soát nội bộ.</w:t>
      </w:r>
    </w:p>
    <w:p>
      <w:pPr>
        <w:spacing w:after="80"/>
      </w:pPr>
      <w:r>
        <w:rPr>
          <w:b/>
          <w:i w:val="0"/>
        </w:rPr>
        <w:t xml:space="preserve"> </w:t>
      </w:r>
      <w:r>
        <w:rPr>
          <w:b/>
          <w:i w:val="0"/>
        </w:rPr>
        <w:t>Thủ tục kế toán</w:t>
      </w:r>
      <w:r>
        <w:rPr>
          <w:b/>
          <w:i w:val="0"/>
        </w:rPr>
        <w:t xml:space="preserve"> </w:t>
      </w:r>
    </w:p>
    <w:p>
      <w:pPr>
        <w:spacing w:after="80"/>
        <w:ind w:left="360"/>
      </w:pPr>
      <w:r>
        <w:rPr>
          <w:b w:val="0"/>
          <w:i w:val="0"/>
        </w:rPr>
        <w:t xml:space="preserve">Các bước thường lệ trong việc xử lý dữ liệu kế toán trong một kỳ kế toán. Theo trình tự, (1) phát sinh giao dịch, (2) phân loại từng giao dịch theo thứ tự thời gian (ghi nhật ký), (3) ghi dữ liệu đã phân loại vào các tài khoản sổ cái (ghi sổ), (4) lập báo cáo tài chính và (5) kết chuyển các tài khoản danh nghĩa. Một thủ tục đảm bảo rằng một chính sách được thực thi đúng đắn và giải thích </w:t>
      </w:r>
      <w:r>
        <w:rPr>
          <w:b w:val="0"/>
          <w:i/>
        </w:rPr>
        <w:t>như thế nào</w:t>
      </w:r>
      <w:r>
        <w:rPr>
          <w:b w:val="0"/>
          <w:i w:val="0"/>
        </w:rPr>
        <w:t xml:space="preserve"> . Các thủ tục hoặc chính sách khác sẽ được tham chiếu nếu có liên quan.</w:t>
      </w:r>
    </w:p>
    <w:p>
      <w:pPr>
        <w:spacing w:after="80"/>
      </w:pPr>
      <w:r>
        <w:rPr>
          <w:b/>
          <w:i w:val="0"/>
        </w:rPr>
        <w:t xml:space="preserve"> </w:t>
      </w:r>
      <w:r>
        <w:rPr>
          <w:b/>
          <w:i w:val="0"/>
        </w:rPr>
        <w:t>Các khoản dồn tích</w:t>
      </w:r>
      <w:r>
        <w:rPr>
          <w:b/>
          <w:i w:val="0"/>
        </w:rPr>
        <w:t xml:space="preserve"> </w:t>
      </w:r>
    </w:p>
    <w:p>
      <w:pPr>
        <w:spacing w:after="80"/>
        <w:ind w:left="360"/>
      </w:pPr>
      <w:r>
        <w:rPr>
          <w:b w:val="0"/>
          <w:i w:val="0"/>
        </w:rPr>
        <w:t>Các khoản dồn tích là những điều chỉnh cho (1) doanh thu đã kiếm được nhưng chưa được ghi nhận vào tài khoản, và (2) chi phí đã phát sinh nhưng chưa được ghi nhận vào tài khoản. Các khoản dồn tích cần được thêm vào thông qua các bút toán điều chỉnh để báo cáo tài chính phản ánh các khoản này.</w:t>
      </w:r>
    </w:p>
    <w:p>
      <w:pPr>
        <w:spacing w:after="80"/>
      </w:pPr>
      <w:r>
        <w:rPr>
          <w:b/>
          <w:i w:val="0"/>
        </w:rPr>
        <w:t xml:space="preserve"> </w:t>
      </w:r>
      <w:r>
        <w:rPr>
          <w:b/>
          <w:i w:val="0"/>
        </w:rPr>
        <w:t>Ghi có ACH</w:t>
      </w:r>
      <w:r>
        <w:rPr>
          <w:b/>
          <w:i w:val="0"/>
        </w:rPr>
        <w:t xml:space="preserve"> </w:t>
      </w:r>
    </w:p>
    <w:p>
      <w:pPr>
        <w:spacing w:after="80"/>
        <w:ind w:left="360"/>
      </w:pPr>
      <w:r>
        <w:rPr>
          <w:b w:val="0"/>
          <w:i w:val="0"/>
        </w:rPr>
        <w:t>Ghi có ACH giống như gửi tiền vào một tài khoản. Trong một giao dịch ghi có ACH, cá nhân/người khởi tạo/doanh nghiệp/cơ quan chỉ thị cho tổ chức tài chính ghi có một tài khoản bằng tiền. Sau đó khoản thanh toán được thực hiện qua ACH đến tài khoản tương ứng. Các khoản thanh toán ghi có ACH đôi khi được gọi là "thanh toán đẩy" (push payments) vì người trả tiền khởi tạo giao dịch bằng cách "đẩy" tiền đến tài khoản của người nhận.</w:t>
      </w:r>
    </w:p>
    <w:p>
      <w:pPr>
        <w:spacing w:after="80"/>
      </w:pPr>
      <w:r>
        <w:rPr>
          <w:b/>
          <w:i w:val="0"/>
        </w:rPr>
        <w:t xml:space="preserve"> </w:t>
      </w:r>
      <w:r>
        <w:rPr>
          <w:b/>
          <w:i w:val="0"/>
        </w:rPr>
        <w:t>Ghi nợ ACH</w:t>
      </w:r>
      <w:r>
        <w:rPr>
          <w:b/>
          <w:i w:val="0"/>
        </w:rPr>
        <w:t xml:space="preserve"> </w:t>
      </w:r>
    </w:p>
    <w:p>
      <w:pPr>
        <w:spacing w:after="80"/>
        <w:ind w:left="360"/>
      </w:pPr>
      <w:r>
        <w:rPr>
          <w:b w:val="0"/>
          <w:i w:val="0"/>
        </w:rPr>
        <w:t>Ví dụ, một khách hàng muốn thanh toán hóa đơn tiền điện qua ghi nợ ACH. Khách hàng là người khởi tạo giao dịch, và ngân hàng của anh ta là Tổ chức Lưu ký Tài chính Khởi tạo (Originating Financial Depository Institution - ODFI). Khách hàng ủy quyền cho ngân hàng của mình, tức ODFI, gửi tiền từ tài khoản của anh ta đến người nhận theo yêu cầu của người nhận. Các giao dịch ghi nợ ACH đôi khi được gọi là "thanh toán kéo" (pull payments) vì chúng được khởi tạo bởi người nhận "kéo" tiền từ tài khoản của người trả.</w:t>
      </w:r>
    </w:p>
    <w:p>
      <w:pPr>
        <w:spacing w:after="80"/>
      </w:pPr>
      <w:r>
        <w:rPr>
          <w:b/>
          <w:i w:val="0"/>
        </w:rPr>
        <w:t xml:space="preserve"> </w:t>
      </w:r>
      <w:r>
        <w:rPr>
          <w:b/>
          <w:i w:val="0"/>
        </w:rPr>
        <w:t>Thanh toán ACH</w:t>
      </w:r>
      <w:r>
        <w:rPr>
          <w:b/>
          <w:i w:val="0"/>
        </w:rPr>
        <w:t xml:space="preserve"> </w:t>
      </w:r>
    </w:p>
    <w:p>
      <w:pPr>
        <w:spacing w:after="80"/>
        <w:ind w:left="360"/>
      </w:pPr>
      <w:r>
        <w:rPr>
          <w:b w:val="0"/>
          <w:i w:val="0"/>
        </w:rPr>
        <w:t>ACH là viết tắt của "Automated Clearing House" (Nhà Thanh toán Tự động). Mạng lưới ACH chịu trách nhiệm chuyển tiền từ ngân hàng này sang ngân hàng khác trong một giao dịch "không giấy tờ".</w:t>
      </w:r>
    </w:p>
    <w:p>
      <w:pPr>
        <w:spacing w:after="80"/>
      </w:pPr>
      <w:r>
        <w:rPr>
          <w:b/>
          <w:i w:val="0"/>
        </w:rPr>
        <w:t xml:space="preserve"> </w:t>
      </w:r>
      <w:r>
        <w:rPr>
          <w:b/>
          <w:i w:val="0"/>
        </w:rPr>
        <w:t>Ủy ban Kiểm toán</w:t>
      </w:r>
      <w:r>
        <w:rPr>
          <w:b/>
          <w:i w:val="0"/>
        </w:rPr>
        <w:t xml:space="preserve"> </w:t>
      </w:r>
    </w:p>
    <w:p>
      <w:pPr>
        <w:spacing w:after="80"/>
        <w:ind w:left="360"/>
      </w:pPr>
      <w:r>
        <w:rPr>
          <w:b w:val="0"/>
          <w:i w:val="0"/>
        </w:rPr>
        <w:t>Vai trò của ủy ban kiểm toán bao gồm: giám sát việc báo cáo tài chính; theo dõi các chính sách kế toán; giám sát bất kỳ kiểm toán viên bên ngoài nào; tuân thủ quy định; và thảo luận về các chính sách quản lý rủi ro với ban lãnh đạo. Ủy ban kiểm toán có thể phê duyệt kế hoạch kiểm toán nội bộ hàng năm của công ty và thường được thông báo về bất kỳ nghi ngờ gian lận nào được báo cáo thông qua quy trình đường dây nóng đạo đức.</w:t>
      </w:r>
    </w:p>
    <w:p>
      <w:pPr>
        <w:spacing w:after="80"/>
      </w:pPr>
      <w:r>
        <w:rPr>
          <w:b/>
          <w:i w:val="0"/>
        </w:rPr>
        <w:t xml:space="preserve"> </w:t>
      </w:r>
      <w:r>
        <w:rPr>
          <w:b/>
          <w:i w:val="0"/>
        </w:rPr>
        <w:t>Thực hành Tốt nhất</w:t>
      </w:r>
      <w:r>
        <w:rPr>
          <w:b/>
          <w:i w:val="0"/>
        </w:rPr>
        <w:t xml:space="preserve"> </w:t>
      </w:r>
    </w:p>
    <w:p>
      <w:pPr>
        <w:spacing w:after="80"/>
        <w:ind w:left="360"/>
      </w:pPr>
      <w:r>
        <w:rPr>
          <w:b w:val="0"/>
          <w:i w:val="0"/>
        </w:rPr>
        <w:t>Việc triển khai các quy trình có chất lượng cao nhất, có lợi nhất và có thể lặp lại, đạt được bằng cách áp dụng kinh nghiệm của những người có kỹ năng hoặc trình độ chuyên môn đã đạt được.</w:t>
      </w:r>
    </w:p>
    <w:p>
      <w:pPr>
        <w:spacing w:after="80"/>
      </w:pPr>
      <w:r>
        <w:rPr>
          <w:b/>
          <w:i w:val="0"/>
        </w:rPr>
        <w:t xml:space="preserve"> </w:t>
      </w:r>
      <w:r>
        <w:rPr>
          <w:b/>
          <w:i w:val="0"/>
        </w:rPr>
        <w:t>Lập kế hoạch Liên tục Kinh doanh</w:t>
      </w:r>
      <w:r>
        <w:rPr>
          <w:b/>
          <w:i w:val="0"/>
        </w:rPr>
        <w:t xml:space="preserve"> </w:t>
      </w:r>
    </w:p>
    <w:p>
      <w:pPr>
        <w:spacing w:after="80"/>
        <w:ind w:left="360"/>
      </w:pPr>
      <w:r>
        <w:rPr>
          <w:b w:val="0"/>
          <w:i w:val="0"/>
        </w:rPr>
        <w:t>Quá trình phát triển các thỏa thuận và thủ tục trước nhằm giúp một tổ chức phản ứng với một sự kiện theo cách mà các chức năng kinh doanh quan trọng vẫn tiếp tục với mức độ gián đoạn hoặc thay đổi thiết yếu như đã định.</w:t>
      </w:r>
    </w:p>
    <w:p>
      <w:pPr>
        <w:spacing w:after="80"/>
      </w:pPr>
      <w:r>
        <w:rPr>
          <w:b/>
          <w:i w:val="0"/>
        </w:rPr>
        <w:t xml:space="preserve"> </w:t>
      </w:r>
      <w:r>
        <w:rPr>
          <w:b/>
          <w:i w:val="0"/>
        </w:rPr>
        <w:t>Chương trình Liên tục Kinh doanh</w:t>
      </w:r>
      <w:r>
        <w:rPr>
          <w:b/>
          <w:i w:val="0"/>
        </w:rPr>
        <w:t xml:space="preserve"> </w:t>
      </w:r>
    </w:p>
    <w:p>
      <w:pPr>
        <w:spacing w:after="80"/>
        <w:ind w:left="360"/>
      </w:pPr>
      <w:r>
        <w:rPr>
          <w:b w:val="0"/>
          <w:i w:val="0"/>
        </w:rPr>
        <w:t>Một chương trình liên tục được ban lãnh đạo hỗ trợ và cấp kinh phí để đảm bảo các yêu cầu về liên tục kinh doanh được đánh giá, nguồn lực được phân bổ, và các chiến lược cùng thủ tục khôi phục được hoàn thành và kiểm tra.</w:t>
      </w:r>
    </w:p>
    <w:p>
      <w:pPr>
        <w:spacing w:after="80"/>
      </w:pPr>
      <w:r>
        <w:rPr>
          <w:b/>
          <w:i w:val="0"/>
        </w:rPr>
        <w:t xml:space="preserve"> </w:t>
      </w:r>
      <w:r>
        <w:rPr>
          <w:b/>
          <w:i w:val="0"/>
        </w:rPr>
        <w:t>Thỏa thuận Chủ thẻ</w:t>
      </w:r>
      <w:r>
        <w:rPr>
          <w:b/>
          <w:i w:val="0"/>
        </w:rPr>
        <w:t xml:space="preserve"> </w:t>
      </w:r>
    </w:p>
    <w:p>
      <w:pPr>
        <w:spacing w:after="80"/>
        <w:ind w:left="360"/>
      </w:pPr>
      <w:r>
        <w:rPr>
          <w:b w:val="0"/>
          <w:i w:val="0"/>
        </w:rPr>
        <w:t>Thỏa thuận chủ thẻ là một tài liệu được trao cho chủ thẻ tín dụng, trong đó nêu chi tiết các quyền và trách nhiệm của cả chủ thẻ lẫn tổ chức phát hành.</w:t>
      </w:r>
    </w:p>
    <w:p>
      <w:pPr>
        <w:spacing w:after="80"/>
      </w:pPr>
      <w:r>
        <w:rPr>
          <w:b/>
          <w:i w:val="0"/>
        </w:rPr>
        <w:t xml:space="preserve"> </w:t>
      </w:r>
      <w:r>
        <w:rPr>
          <w:b/>
          <w:i w:val="0"/>
        </w:rPr>
        <w:t>Thay đổi Nguyên tắc Kế toán</w:t>
      </w:r>
      <w:r>
        <w:rPr>
          <w:b/>
          <w:i w:val="0"/>
        </w:rPr>
        <w:t xml:space="preserve"> </w:t>
      </w:r>
    </w:p>
    <w:p>
      <w:pPr>
        <w:spacing w:after="80"/>
        <w:ind w:left="360"/>
      </w:pPr>
      <w:r>
        <w:rPr>
          <w:b w:val="0"/>
          <w:i w:val="0"/>
        </w:rPr>
        <w:t xml:space="preserve">Khi một công ty áp dụng một nguyên tắc kế toán được chấp nhận chung thay thế cho nguyên tắc đã dùng trước đó để hạch toán cùng một loại giao dịch hoặc sự kiện, hành động đó được gọi là thay đổi nguyên tắc kế toán. Thuật ngữ </w:t>
      </w:r>
      <w:r>
        <w:rPr>
          <w:b w:val="0"/>
          <w:i/>
        </w:rPr>
        <w:t>nguyên tắc kế toán</w:t>
      </w:r>
      <w:r>
        <w:rPr>
          <w:b w:val="0"/>
          <w:i w:val="0"/>
        </w:rPr>
        <w:t xml:space="preserve"> không chỉ bao gồm các nguyên tắc và thông lệ kế toán mà còn cả các phương pháp áp dụng chúng. Việc áp dụng lần đầu một nguyên tắc kế toán để ghi nhận các sự kiện hoặc giao dịch xảy ra lần đầu tiên hoặc trước đây không trọng yếu về mặt ảnh hưởng không được coi là thay đổi nguyên tắc kế toán. Thay đổi nguyên tắc kế toán khác với thay đổi ước tính kế toán ở chỗ thay đổi ước tính kế toán phát sinh khi có sự kiện mới xảy ra, có thêm kinh nghiệm được tích lũy, hoặc có thêm thông tin thu được ảnh hưởng đến ước tính đã xác định trước đó.</w:t>
      </w:r>
    </w:p>
    <w:p>
      <w:pPr>
        <w:spacing w:after="80"/>
      </w:pPr>
      <w:r>
        <w:rPr>
          <w:b/>
          <w:i w:val="0"/>
        </w:rPr>
        <w:t xml:space="preserve"> </w:t>
      </w:r>
      <w:r>
        <w:rPr>
          <w:b/>
          <w:i w:val="0"/>
        </w:rPr>
        <w:t>Thay đổi Điều khoản Thanh toán</w:t>
      </w:r>
      <w:r>
        <w:rPr>
          <w:b/>
          <w:i w:val="0"/>
        </w:rPr>
        <w:t xml:space="preserve"> </w:t>
      </w:r>
    </w:p>
    <w:p>
      <w:pPr>
        <w:spacing w:after="80"/>
        <w:ind w:left="360"/>
      </w:pPr>
      <w:r>
        <w:rPr>
          <w:b w:val="0"/>
          <w:i w:val="0"/>
        </w:rPr>
        <w:t>Những thay đổi đã được phê duyệt về thời hạn của kỳ tín dụng (không có hình phạt tài chính) mà công ty gia hạn cho nhà cung cấp và/hoặc công ty gia hạn cho khách hàng của mình, điều này tạo ra rủi ro phơi nhiễm bổ sung.</w:t>
      </w:r>
    </w:p>
    <w:p>
      <w:pPr>
        <w:spacing w:after="80"/>
      </w:pPr>
      <w:r>
        <w:rPr>
          <w:b/>
          <w:i w:val="0"/>
        </w:rPr>
        <w:t xml:space="preserve"> </w:t>
      </w:r>
      <w:r>
        <w:rPr>
          <w:b/>
          <w:i w:val="0"/>
        </w:rPr>
        <w:t>Check 21</w:t>
      </w:r>
      <w:r>
        <w:rPr>
          <w:b/>
          <w:i w:val="0"/>
        </w:rPr>
        <w:t xml:space="preserve"> </w:t>
      </w:r>
    </w:p>
    <w:p>
      <w:pPr>
        <w:spacing w:after="80"/>
        <w:ind w:left="360"/>
      </w:pPr>
      <w:r>
        <w:rPr>
          <w:b w:val="0"/>
          <w:i w:val="0"/>
        </w:rPr>
        <w:t>Đạo luật Thanh toán Séc cho Thế kỷ 21 (Check Clearing for the 21st Century Act - Check 21) là một luật liên bang có hiệu lực từ ngày 28 tháng 10 năm 2004, cho phép các ngân hàng và tổ chức khác có khả năng tạo bản sao hình ảnh điện tử của séc người tiêu dùng, trong một quy trình được gọi là cắt ngắn séc (check truncation).</w:t>
      </w:r>
    </w:p>
    <w:p>
      <w:pPr>
        <w:spacing w:after="80"/>
      </w:pPr>
      <w:r>
        <w:rPr>
          <w:b/>
          <w:i w:val="0"/>
        </w:rPr>
        <w:t xml:space="preserve"> </w:t>
      </w:r>
      <w:r>
        <w:rPr>
          <w:b/>
          <w:i w:val="0"/>
        </w:rPr>
        <w:t>Bảo mật Nội bộ Công ty</w:t>
      </w:r>
      <w:r>
        <w:rPr>
          <w:b/>
          <w:i w:val="0"/>
        </w:rPr>
        <w:t xml:space="preserve"> </w:t>
      </w:r>
    </w:p>
    <w:p>
      <w:pPr>
        <w:spacing w:after="80"/>
        <w:ind w:left="360"/>
      </w:pPr>
      <w:r>
        <w:rPr>
          <w:b w:val="0"/>
          <w:i w:val="0"/>
        </w:rPr>
        <w:t>Phân loại này áp dụng cho thông tin dành cho việc sử dụng trong nội bộ công ty hoặc để thúc đẩy các nỗ lực kinh doanh của công ty. Tài liệu được phân loại theo cách này cần được bảo vệ vì tính nhạy cảm về nhân sự, kỹ thuật hoặc kinh doanh của nó. Việc tiết lộ hoặc mất mát trái phép thông tin này có thể được dự đoán một cách hợp lý sẽ gây hại cho hoạt động kinh doanh hoặc vận hành nội bộ của công ty.</w:t>
      </w:r>
    </w:p>
    <w:p>
      <w:pPr>
        <w:spacing w:after="80"/>
      </w:pPr>
      <w:r>
        <w:rPr>
          <w:b/>
          <w:i w:val="0"/>
        </w:rPr>
        <w:t xml:space="preserve"> </w:t>
      </w:r>
      <w:r>
        <w:rPr>
          <w:b/>
          <w:i w:val="0"/>
        </w:rPr>
        <w:t>Hạn chế Nội bộ Công ty</w:t>
      </w:r>
      <w:r>
        <w:rPr>
          <w:b/>
          <w:i w:val="0"/>
        </w:rPr>
        <w:t xml:space="preserve"> </w:t>
      </w:r>
    </w:p>
    <w:p>
      <w:pPr>
        <w:spacing w:after="80"/>
        <w:ind w:left="360"/>
      </w:pPr>
      <w:r>
        <w:rPr>
          <w:b w:val="0"/>
          <w:i w:val="0"/>
        </w:rPr>
        <w:t>Phân loại này áp dụng cho thông tin chiến lược, cấp độ doanh nghiệp, mang lại lợi thế cạnh tranh đáng kể trong tương lai cho công ty hoặc gây tổn hại nghiêm trọng đến hình ảnh, giá cổ phiếu hoặc thị phần của công ty nếu bị tiết lộ.</w:t>
      </w:r>
    </w:p>
    <w:p>
      <w:pPr>
        <w:spacing w:after="80"/>
      </w:pPr>
      <w:r>
        <w:rPr>
          <w:b/>
          <w:i w:val="0"/>
        </w:rPr>
        <w:t xml:space="preserve"> </w:t>
      </w:r>
      <w:r>
        <w:rPr>
          <w:b/>
          <w:i w:val="0"/>
        </w:rPr>
        <w:t>Kiểm soát Bù đắp</w:t>
      </w:r>
      <w:r>
        <w:rPr>
          <w:b/>
          <w:i w:val="0"/>
        </w:rPr>
        <w:t xml:space="preserve"> </w:t>
      </w:r>
    </w:p>
    <w:p>
      <w:pPr>
        <w:spacing w:after="80"/>
        <w:ind w:left="360"/>
      </w:pPr>
      <w:r>
        <w:rPr>
          <w:b w:val="0"/>
          <w:i w:val="0"/>
        </w:rPr>
        <w:t>Kiểm soát bù đắp (compensating control), còn được gọi là kiểm soát thay thế, là một cơ chế được đưa vào để đáp ứng yêu cầu về một biện pháp bảo mật được coi là quá khó khăn hoặc không thực tế để triển khai tại thời điểm hiện tại. Trong ngành thẻ thanh toán (PCI), các kiểm soát bù đắp đã được giới thiệu trong PCI DSS 1.0, để cung cấp cho các tổ chức một giải pháp thay thế cho các yêu cầu bảo mật không thể đáp ứng do những hạn chế chính đáng về công nghệ hoặc kinh doanh.</w:t>
      </w:r>
    </w:p>
    <w:p>
      <w:pPr>
        <w:spacing w:after="80"/>
      </w:pPr>
      <w:r>
        <w:rPr>
          <w:b/>
          <w:i w:val="0"/>
        </w:rPr>
        <w:t xml:space="preserve"> </w:t>
      </w:r>
      <w:r>
        <w:rPr>
          <w:b/>
          <w:i w:val="0"/>
        </w:rPr>
        <w:t>Virus Máy tính</w:t>
      </w:r>
      <w:r>
        <w:rPr>
          <w:b/>
          <w:i w:val="0"/>
        </w:rPr>
        <w:t xml:space="preserve"> </w:t>
      </w:r>
    </w:p>
    <w:p>
      <w:pPr>
        <w:spacing w:after="80"/>
        <w:ind w:left="360"/>
      </w:pPr>
      <w:r>
        <w:rPr>
          <w:b w:val="0"/>
          <w:i w:val="0"/>
        </w:rPr>
        <w:t>Một chương trình chứa các chỉ thị phần mềm cần thiết để tạo bản sao của chính nó và chèn các chỉ thị này vào đường thực thi của các chương trình khác mà không có sự hiểu biết hoặc cho phép của người dùng.</w:t>
      </w:r>
    </w:p>
    <w:p>
      <w:pPr>
        <w:spacing w:after="80"/>
      </w:pPr>
      <w:r>
        <w:rPr>
          <w:b/>
          <w:i w:val="0"/>
        </w:rPr>
        <w:t xml:space="preserve"> </w:t>
      </w:r>
      <w:r>
        <w:rPr>
          <w:b/>
          <w:i w:val="0"/>
        </w:rPr>
        <w:t>Kế hoạch Dự phòng</w:t>
      </w:r>
      <w:r>
        <w:rPr>
          <w:b/>
          <w:i w:val="0"/>
        </w:rPr>
        <w:t xml:space="preserve"> </w:t>
      </w:r>
    </w:p>
    <w:p>
      <w:pPr>
        <w:spacing w:after="80"/>
        <w:ind w:left="360"/>
      </w:pPr>
      <w:r>
        <w:rPr>
          <w:b w:val="0"/>
          <w:i w:val="0"/>
        </w:rPr>
        <w:t>Một tập hợp các biện pháp để đối phó với các tình huống khẩn cấp do thất bại từ hành động của con người hoặc thiên tai.</w:t>
      </w:r>
    </w:p>
    <w:p>
      <w:pPr>
        <w:spacing w:after="80"/>
      </w:pPr>
      <w:r>
        <w:rPr>
          <w:b/>
          <w:i w:val="0"/>
        </w:rPr>
        <w:t xml:space="preserve"> </w:t>
      </w:r>
      <w:r>
        <w:rPr>
          <w:b/>
          <w:i w:val="0"/>
        </w:rPr>
        <w:t>Lập Kế hoạch Dự phòng</w:t>
      </w:r>
      <w:r>
        <w:rPr>
          <w:b/>
          <w:i w:val="0"/>
        </w:rPr>
        <w:t xml:space="preserve"> </w:t>
      </w:r>
    </w:p>
    <w:p>
      <w:pPr>
        <w:spacing w:after="80"/>
        <w:ind w:left="360"/>
      </w:pPr>
      <w:r>
        <w:rPr>
          <w:b w:val="0"/>
          <w:i w:val="0"/>
        </w:rPr>
        <w:t>Các kế hoạch và thủ tục được sắp xếp trước mà các chức năng kinh doanh quan trọng sẽ thực hiện để đảm bảo tính liên tục của hoạt động kinh doanh cho đến khi các cơ sở máy tính và viễn thông được tái thiết lập sau một thảm họa.</w:t>
      </w:r>
    </w:p>
    <w:p>
      <w:pPr>
        <w:spacing w:after="80"/>
      </w:pPr>
      <w:r>
        <w:rPr>
          <w:b/>
          <w:i w:val="0"/>
        </w:rPr>
        <w:t xml:space="preserve"> </w:t>
      </w:r>
      <w:r>
        <w:rPr>
          <w:b/>
          <w:i w:val="0"/>
        </w:rPr>
        <w:t>Tính liên tục của Dịch vụ và Hoạt động</w:t>
      </w:r>
      <w:r>
        <w:rPr>
          <w:b/>
          <w:i w:val="0"/>
        </w:rPr>
        <w:t xml:space="preserve"> </w:t>
      </w:r>
    </w:p>
    <w:p>
      <w:pPr>
        <w:spacing w:after="80"/>
        <w:ind w:left="360"/>
      </w:pPr>
      <w:r>
        <w:rPr>
          <w:b w:val="0"/>
          <w:i w:val="0"/>
        </w:rPr>
        <w:t>Bộ các biện pháp kiểm soát và phương án dự phòng nhằm đảm bảo rằng khi các sự kiện bất ngờ xảy ra, các dịch vụ và hoạt động trọng yếu vẫn tiếp tục không bị gián đoạn hoặc được khôi phục kịp thời.</w:t>
      </w:r>
    </w:p>
    <w:p>
      <w:pPr>
        <w:spacing w:after="80"/>
      </w:pPr>
      <w:r>
        <w:rPr>
          <w:b/>
          <w:i w:val="0"/>
        </w:rPr>
        <w:t xml:space="preserve"> </w:t>
      </w:r>
      <w:r>
        <w:rPr>
          <w:b/>
          <w:i w:val="0"/>
        </w:rPr>
        <w:t>Doanh thu đối ứng (Contra Revenue)</w:t>
      </w:r>
      <w:r>
        <w:rPr>
          <w:b/>
          <w:i w:val="0"/>
        </w:rPr>
        <w:t xml:space="preserve"> </w:t>
      </w:r>
    </w:p>
    <w:p>
      <w:pPr>
        <w:spacing w:after="80"/>
        <w:ind w:left="360"/>
      </w:pPr>
      <w:r>
        <w:rPr>
          <w:b w:val="0"/>
          <w:i w:val="0"/>
        </w:rPr>
        <w:t>Doanh thu đối ứng (contra revenue) là khoản khấu trừ từ tổng doanh thu mà một doanh nghiệp báo cáo, dẫn đến doanh thu thuần. Các giao dịch doanh thu đối ứng được ghi nhận vào một hoặc nhiều tài khoản doanh thu đối ứng, thường có số dư bên Nợ (ngược lại với số dư bên Có trong tài khoản doanh thu thông thường).</w:t>
      </w:r>
    </w:p>
    <w:p>
      <w:pPr>
        <w:spacing w:after="80"/>
      </w:pPr>
      <w:r>
        <w:rPr>
          <w:b/>
          <w:i w:val="0"/>
        </w:rPr>
        <w:t xml:space="preserve"> </w:t>
      </w:r>
      <w:r>
        <w:rPr>
          <w:b/>
          <w:i w:val="0"/>
        </w:rPr>
        <w:t>Bản sao (Copy)</w:t>
      </w:r>
      <w:r>
        <w:rPr>
          <w:b/>
          <w:i w:val="0"/>
        </w:rPr>
        <w:t xml:space="preserve"> </w:t>
      </w:r>
    </w:p>
    <w:p>
      <w:pPr>
        <w:spacing w:after="80"/>
        <w:ind w:left="360"/>
      </w:pPr>
      <w:r>
        <w:rPr>
          <w:b w:val="0"/>
          <w:i w:val="0"/>
        </w:rPr>
        <w:t>Bất kỳ thông tin nào được sao chép và chỉ dùng cho mục đích tham khảo. Bản sao thường được lưu giữ trong thời gian ngắn và không bao giờ được gửi đến nơi lưu trữ ngoài văn phòng. Mỗi nhân viên/nhà thầu và đơn vị kinh doanh có trách nhiệm hủy các bản sao của mình trong khung thời gian quy định tại cột "Thời gian lưu giữ bản sao tối đa" như được nêu trong lịch trình lưu giữ hồ sơ.</w:t>
      </w:r>
    </w:p>
    <w:p>
      <w:pPr>
        <w:spacing w:after="80"/>
      </w:pPr>
      <w:r>
        <w:rPr>
          <w:b/>
          <w:i w:val="0"/>
        </w:rPr>
        <w:t xml:space="preserve"> </w:t>
      </w:r>
      <w:r>
        <w:rPr>
          <w:b/>
          <w:i w:val="0"/>
        </w:rPr>
        <w:t>Trung tâm chi phí (Cost Center)</w:t>
      </w:r>
      <w:r>
        <w:rPr>
          <w:b/>
          <w:i w:val="0"/>
        </w:rPr>
        <w:t xml:space="preserve"> </w:t>
      </w:r>
    </w:p>
    <w:p>
      <w:pPr>
        <w:spacing w:after="80"/>
        <w:ind w:left="360"/>
      </w:pPr>
      <w:r>
        <w:rPr>
          <w:b w:val="0"/>
          <w:i w:val="0"/>
        </w:rPr>
        <w:t>Địa điểm kế toán được chỉ định, nơi phát sinh chi phí, được định nghĩa là một đơn vị con của một pháp nhân và trong một số trường hợp là đơn vị kinh doanh tùy thuộc vào cách mã đơn vị kinh doanh được sử dụng. Tất cả các trung tâm chi phí đều được gán cho một pháp nhân; tuy nhiên, chỉ một số trung tâm chi phí có thể được gán cho các đơn vị kinh doanh. Nó được phân biệt bởi phạm vi trách nhiệm, địa điểm hoặc phương pháp kế toán.</w:t>
      </w:r>
    </w:p>
    <w:p>
      <w:pPr>
        <w:spacing w:after="80"/>
      </w:pPr>
      <w:r>
        <w:rPr>
          <w:b/>
          <w:i w:val="0"/>
        </w:rPr>
        <w:t xml:space="preserve"> </w:t>
      </w:r>
      <w:r>
        <w:rPr>
          <w:b/>
          <w:i w:val="0"/>
        </w:rPr>
        <w:t>Quản lý chi phí (Cost Management)</w:t>
      </w:r>
      <w:r>
        <w:rPr>
          <w:b/>
          <w:i w:val="0"/>
        </w:rPr>
        <w:t xml:space="preserve"> </w:t>
      </w:r>
    </w:p>
    <w:p>
      <w:pPr>
        <w:spacing w:after="80"/>
        <w:ind w:left="360"/>
      </w:pPr>
      <w:r>
        <w:rPr>
          <w:b w:val="0"/>
          <w:i w:val="0"/>
        </w:rPr>
        <w:t>Các quy trình tài chính hỗ trợ kế toán chi phí, kế toán hàng tồn kho và phân tích chi phí.</w:t>
      </w:r>
    </w:p>
    <w:p>
      <w:pPr>
        <w:spacing w:after="80"/>
      </w:pPr>
      <w:r>
        <w:rPr>
          <w:b/>
          <w:i w:val="0"/>
        </w:rPr>
        <w:t xml:space="preserve"> </w:t>
      </w:r>
      <w:r>
        <w:rPr>
          <w:b/>
          <w:i w:val="0"/>
        </w:rPr>
        <w:t>Ứng dụng trọng yếu (Critical Application)</w:t>
      </w:r>
      <w:r>
        <w:rPr>
          <w:b/>
          <w:i w:val="0"/>
        </w:rPr>
        <w:t xml:space="preserve"> </w:t>
      </w:r>
    </w:p>
    <w:p>
      <w:pPr>
        <w:spacing w:after="80"/>
        <w:ind w:left="360"/>
      </w:pPr>
      <w:r>
        <w:rPr>
          <w:b w:val="0"/>
          <w:i w:val="0"/>
        </w:rPr>
        <w:t>Một ứng dụng kinh doanh trọng yếu là ứng dụng mà công ty phải có để hỗ trợ các hoạt động doanh thu chính, việc vận chuyển hàng hóa đến khách hàng, một quy trình sản xuất mang tính chiến lược, hoặc để thực hiện các nghĩa vụ theo hợp đồng hay quy định pháp luật. Ngoài ra, tính sẵn sàng của ứng dụng được ban lãnh đạo coi là thiết yếu đối với sự vận hành liên tục của hoạt động kinh doanh công ty. Ví dụ về các ứng dụng trọng yếu gồm: hỗ trợ dịch vụ khách hàng, nhập đơn hàng, kiểm soát hàng tồn kho, hoạch định nguồn lực sản xuất, mua hàng, kiểm soát kho bãi, đảm bảo chất lượng và tài chính.</w:t>
      </w:r>
    </w:p>
    <w:p>
      <w:pPr>
        <w:spacing w:after="80"/>
      </w:pPr>
      <w:r>
        <w:rPr>
          <w:b/>
          <w:i w:val="0"/>
        </w:rPr>
        <w:t xml:space="preserve"> </w:t>
      </w:r>
      <w:r>
        <w:rPr>
          <w:b/>
          <w:i w:val="0"/>
        </w:rPr>
        <w:t>Quy trình trọng yếu (Critical Processes)</w:t>
      </w:r>
      <w:r>
        <w:rPr>
          <w:b/>
          <w:i w:val="0"/>
        </w:rPr>
        <w:t xml:space="preserve"> </w:t>
      </w:r>
    </w:p>
    <w:p>
      <w:pPr>
        <w:spacing w:after="80"/>
        <w:ind w:left="360"/>
      </w:pPr>
      <w:r>
        <w:rPr>
          <w:b w:val="0"/>
          <w:i w:val="0"/>
        </w:rPr>
        <w:t>Các quy trình kinh doanh mà nếu bị gián đoạn hoặc không khả dụng trong bất kỳ khoảng thời gian nào sẽ gây ảnh hưởng tiêu cực đáng kể đến sự thành công của doanh nghiệp.</w:t>
      </w:r>
    </w:p>
    <w:p>
      <w:pPr>
        <w:spacing w:after="80"/>
      </w:pPr>
      <w:r>
        <w:rPr>
          <w:b/>
          <w:i w:val="0"/>
        </w:rPr>
        <w:t xml:space="preserve"> </w:t>
      </w:r>
      <w:r>
        <w:rPr>
          <w:b/>
          <w:i w:val="0"/>
        </w:rPr>
        <w:t>Mô hình dữ liệu (Data Model)</w:t>
      </w:r>
      <w:r>
        <w:rPr>
          <w:b/>
          <w:i w:val="0"/>
        </w:rPr>
        <w:t xml:space="preserve"> </w:t>
      </w:r>
    </w:p>
    <w:p>
      <w:pPr>
        <w:spacing w:after="80"/>
        <w:ind w:left="360"/>
      </w:pPr>
      <w:r>
        <w:rPr>
          <w:b w:val="0"/>
          <w:i w:val="0"/>
        </w:rPr>
        <w:t>Thiết lập các định nghĩa và quy trình dữ liệu để tham chiếu, đảm bảo các quy tắc dữ liệu được sử dụng, và cung cấp một góc nhìn sơ đồ về các thành phần cơ bản cấu thành nên dữ liệu vận hành chức năng tài chính.</w:t>
      </w:r>
    </w:p>
    <w:p>
      <w:pPr>
        <w:spacing w:after="80"/>
      </w:pPr>
      <w:r>
        <w:rPr>
          <w:b/>
          <w:i w:val="0"/>
        </w:rPr>
        <w:t xml:space="preserve"> </w:t>
      </w:r>
      <w:r>
        <w:rPr>
          <w:b/>
          <w:i w:val="0"/>
        </w:rPr>
        <w:t>Thảm họa</w:t>
      </w:r>
      <w:r>
        <w:rPr>
          <w:b/>
          <w:i w:val="0"/>
        </w:rPr>
        <w:t xml:space="preserve"> </w:t>
      </w:r>
    </w:p>
    <w:p>
      <w:pPr>
        <w:spacing w:after="80"/>
        <w:ind w:left="360"/>
      </w:pPr>
      <w:r>
        <w:rPr>
          <w:b w:val="0"/>
          <w:i w:val="0"/>
        </w:rPr>
        <w:t>Việc mất đi tài nguyên máy tính hoặc viễn thông đến mức các biện pháp khắc phục thông thường không thể khôi phục mức dịch vụ bình thường trong vòng 24 giờ, gây ảnh hưởng đáng kể đến hoạt động kinh doanh của công ty.</w:t>
      </w:r>
    </w:p>
    <w:p>
      <w:pPr>
        <w:spacing w:after="80"/>
      </w:pPr>
      <w:r>
        <w:rPr>
          <w:b/>
          <w:i w:val="0"/>
        </w:rPr>
        <w:t xml:space="preserve"> </w:t>
      </w:r>
      <w:r>
        <w:rPr>
          <w:b/>
          <w:i w:val="0"/>
        </w:rPr>
        <w:t>EDI</w:t>
      </w:r>
      <w:r>
        <w:rPr>
          <w:b/>
          <w:i w:val="0"/>
        </w:rPr>
        <w:t xml:space="preserve"> </w:t>
      </w:r>
    </w:p>
    <w:p>
      <w:pPr>
        <w:spacing w:after="80"/>
        <w:ind w:left="360"/>
      </w:pPr>
      <w:r>
        <w:rPr>
          <w:b w:val="0"/>
          <w:i w:val="0"/>
        </w:rPr>
        <w:t>Trao đổi dữ liệu điện tử (Electronic Data Interchange - EDI) là việc truyền dữ liệu có cấu trúc theo các tiêu chuẩn thông điệp đã được thống nhất từ hệ thống máy tính này sang hệ thống máy tính khác bằng phương tiện điện tử.</w:t>
      </w:r>
    </w:p>
    <w:p>
      <w:pPr>
        <w:spacing w:after="80"/>
      </w:pPr>
      <w:r>
        <w:rPr>
          <w:b/>
          <w:i w:val="0"/>
        </w:rPr>
        <w:t xml:space="preserve"> </w:t>
      </w:r>
      <w:r>
        <w:rPr>
          <w:b/>
          <w:i w:val="0"/>
        </w:rPr>
        <w:t>Thương mại điện tử</w:t>
      </w:r>
      <w:r>
        <w:rPr>
          <w:b/>
          <w:i w:val="0"/>
        </w:rPr>
        <w:t xml:space="preserve"> </w:t>
      </w:r>
    </w:p>
    <w:p>
      <w:pPr>
        <w:spacing w:after="80"/>
        <w:ind w:left="360"/>
      </w:pPr>
      <w:r>
        <w:rPr>
          <w:b w:val="0"/>
          <w:i w:val="0"/>
        </w:rPr>
        <w:t>Kinh doanh bằng phương tiện điện tử.</w:t>
      </w:r>
    </w:p>
    <w:p>
      <w:pPr>
        <w:spacing w:after="80"/>
      </w:pPr>
      <w:r>
        <w:rPr>
          <w:b/>
          <w:i w:val="0"/>
        </w:rPr>
        <w:t xml:space="preserve"> </w:t>
      </w:r>
      <w:r>
        <w:rPr>
          <w:b/>
          <w:i w:val="0"/>
        </w:rPr>
        <w:t>Kiểm soát cấp đơn vị</w:t>
      </w:r>
      <w:r>
        <w:rPr>
          <w:b/>
          <w:i w:val="0"/>
        </w:rPr>
        <w:t xml:space="preserve"> </w:t>
      </w:r>
    </w:p>
    <w:p>
      <w:pPr>
        <w:spacing w:after="80"/>
        <w:ind w:left="360"/>
      </w:pPr>
      <w:r>
        <w:rPr>
          <w:b w:val="0"/>
          <w:i w:val="0"/>
        </w:rPr>
        <w:t>Kiểm soát cấp đơn vị có ảnh hưởng lan tỏa khắp mọi tổ chức. Nếu chúng yếu kém, không đầy đủ hoặc không tồn tại, chúng có thể gây ra các điểm yếu trọng yếu liên quan đến việc kiểm toán kiểm soát nội bộ. Kiểm soát cấp đơn vị yếu kém cũng có thể dẫn đến các sai sót trọng yếu trong báo cáo tài chính của công ty. Sự hiện diện của các sai sót trọng yếu có thể dẫn đến việc nhận ý kiến bất lợi về kiểm soát nội bộ và ý kiến ngoại trừ về báo cáo tài chính.</w:t>
      </w:r>
    </w:p>
    <w:p>
      <w:pPr>
        <w:spacing w:after="80"/>
      </w:pPr>
      <w:r>
        <w:rPr>
          <w:b/>
          <w:i w:val="0"/>
        </w:rPr>
        <w:t xml:space="preserve"> </w:t>
      </w:r>
      <w:r>
        <w:rPr>
          <w:b/>
          <w:i w:val="0"/>
        </w:rPr>
        <w:t>Hệ thống hoạch định nguồn lực doanh nghiệp (ERP)</w:t>
      </w:r>
      <w:r>
        <w:rPr>
          <w:b/>
          <w:i w:val="0"/>
        </w:rPr>
        <w:t xml:space="preserve"> </w:t>
      </w:r>
    </w:p>
    <w:p>
      <w:pPr>
        <w:spacing w:after="80"/>
        <w:ind w:left="360"/>
      </w:pPr>
      <w:r>
        <w:rPr>
          <w:b w:val="0"/>
          <w:i w:val="0"/>
        </w:rPr>
        <w:t>ERP là phần mềm quản lý quy trình kinh doanh tích hợp cho phép một tổ chức sử dụng hệ thống các ứng dụng tích hợp để quản lý hoạt động kinh doanh và tự động hóa nhiều chức năng hậu cần liên quan đến công nghệ, dịch vụ và nhân sự.</w:t>
      </w:r>
    </w:p>
    <w:p>
      <w:pPr>
        <w:spacing w:after="80"/>
      </w:pPr>
      <w:r>
        <w:rPr>
          <w:b/>
          <w:i w:val="0"/>
        </w:rPr>
        <w:t xml:space="preserve"> </w:t>
      </w:r>
      <w:r>
        <w:rPr>
          <w:b/>
          <w:i w:val="0"/>
        </w:rPr>
        <w:t>Kiến trúc tài chính</w:t>
      </w:r>
      <w:r>
        <w:rPr>
          <w:b/>
          <w:i w:val="0"/>
        </w:rPr>
        <w:t xml:space="preserve"> </w:t>
      </w:r>
    </w:p>
    <w:p>
      <w:pPr>
        <w:spacing w:after="80"/>
        <w:ind w:left="360"/>
      </w:pPr>
      <w:r>
        <w:rPr>
          <w:b w:val="0"/>
          <w:i w:val="0"/>
        </w:rPr>
        <w:t>Cấu trúc trong đó các thành phần, quy trình và hệ thống cho một chức năng tài chính được tổ chức và tích hợp.</w:t>
      </w:r>
    </w:p>
    <w:p>
      <w:pPr>
        <w:spacing w:after="80"/>
      </w:pPr>
      <w:r>
        <w:rPr>
          <w:b/>
          <w:i w:val="0"/>
        </w:rPr>
        <w:t xml:space="preserve"> </w:t>
      </w:r>
      <w:r>
        <w:rPr>
          <w:b/>
          <w:i w:val="0"/>
        </w:rPr>
        <w:t>Tài sản cố định</w:t>
      </w:r>
      <w:r>
        <w:rPr>
          <w:b/>
          <w:i w:val="0"/>
        </w:rPr>
        <w:t xml:space="preserve"> </w:t>
      </w:r>
    </w:p>
    <w:p>
      <w:pPr>
        <w:spacing w:after="80"/>
        <w:ind w:left="360"/>
      </w:pPr>
      <w:r>
        <w:rPr>
          <w:b w:val="0"/>
          <w:i w:val="0"/>
        </w:rPr>
        <w:t>Tài sản cố định là một loại tài sản hữu hình dài hạn mà một công ty sở hữu và sử dụng trong hoạt động của mình để tạo ra thu nhập. Tài sản cố định không được kỳ vọng sẽ bị tiêu thụ hoặc chuyển đổi thành tiền mặt trong vòng 1–2 năm. Tài sản cố định được gọi là bất động sản, nhà xưởng và thiết bị (property, plant, and equipment - PP&amp;E). Chúng cũng được gọi là tài sản vốn.</w:t>
      </w:r>
    </w:p>
    <w:p>
      <w:pPr>
        <w:spacing w:after="80"/>
      </w:pPr>
      <w:r>
        <w:rPr>
          <w:b/>
          <w:i w:val="0"/>
        </w:rPr>
        <w:t xml:space="preserve"> </w:t>
      </w:r>
      <w:r>
        <w:rPr>
          <w:b/>
          <w:i w:val="0"/>
        </w:rPr>
        <w:t>Phần mềm miễn phí</w:t>
      </w:r>
      <w:r>
        <w:rPr>
          <w:b/>
          <w:i w:val="0"/>
        </w:rPr>
        <w:t xml:space="preserve"> </w:t>
      </w:r>
    </w:p>
    <w:p>
      <w:pPr>
        <w:spacing w:after="80"/>
        <w:ind w:left="360"/>
      </w:pPr>
      <w:r>
        <w:rPr>
          <w:b w:val="0"/>
          <w:i w:val="0"/>
        </w:rPr>
        <w:t>Phần mềm có sẵn thông qua các bảng tin máy tính và mạng lưới mà không mất phí. Các bản vá và trình điều khiển không thuộc danh mục này.</w:t>
      </w:r>
    </w:p>
    <w:p>
      <w:pPr>
        <w:spacing w:after="80"/>
      </w:pPr>
      <w:r>
        <w:rPr>
          <w:b/>
          <w:i w:val="0"/>
        </w:rPr>
        <w:t xml:space="preserve"> </w:t>
      </w:r>
      <w:r>
        <w:rPr>
          <w:b/>
          <w:i w:val="0"/>
        </w:rPr>
        <w:t>Kế toán tổng hợp</w:t>
      </w:r>
      <w:r>
        <w:rPr>
          <w:b/>
          <w:i w:val="0"/>
        </w:rPr>
        <w:t xml:space="preserve"> </w:t>
      </w:r>
    </w:p>
    <w:p>
      <w:pPr>
        <w:spacing w:after="80"/>
        <w:ind w:left="360"/>
      </w:pPr>
      <w:r>
        <w:rPr>
          <w:b w:val="0"/>
          <w:i w:val="0"/>
        </w:rPr>
        <w:t>Các quy trình tài chính hỗ trợ việc chốt sổ tài chính, kế toán tổng hợp và các quy trình liên công ty.</w:t>
      </w:r>
    </w:p>
    <w:p>
      <w:pPr>
        <w:spacing w:after="80"/>
      </w:pPr>
      <w:r>
        <w:rPr>
          <w:b/>
          <w:i w:val="0"/>
        </w:rPr>
        <w:t xml:space="preserve"> </w:t>
      </w:r>
      <w:r>
        <w:rPr>
          <w:b/>
          <w:i w:val="0"/>
        </w:rPr>
        <w:t>Giao dịch có tính trọng yếu cao</w:t>
      </w:r>
      <w:r>
        <w:rPr>
          <w:b/>
          <w:i w:val="0"/>
        </w:rPr>
        <w:t xml:space="preserve"> </w:t>
      </w:r>
    </w:p>
    <w:p>
      <w:pPr>
        <w:spacing w:after="80"/>
        <w:ind w:left="360"/>
      </w:pPr>
      <w:r>
        <w:rPr>
          <w:b w:val="0"/>
          <w:i w:val="0"/>
        </w:rPr>
        <w:t>Một giao dịch có khả năng hợp lý dẫn đến sai lệch từ 10% trở lên về doanh thu hoặc dẫn đến sai lệch từ 5% trở lên về giá trị ròng (tài sản trừ đi nợ phải trả).</w:t>
      </w:r>
    </w:p>
    <w:p>
      <w:pPr>
        <w:spacing w:after="80"/>
      </w:pPr>
      <w:r>
        <w:rPr>
          <w:b/>
          <w:i w:val="0"/>
        </w:rPr>
        <w:t xml:space="preserve"> </w:t>
      </w:r>
      <w:r>
        <w:rPr>
          <w:b/>
          <w:i w:val="0"/>
        </w:rPr>
        <w:t>HIPAA</w:t>
      </w:r>
      <w:r>
        <w:rPr>
          <w:b/>
          <w:i w:val="0"/>
        </w:rPr>
        <w:t xml:space="preserve"> </w:t>
      </w:r>
    </w:p>
    <w:p>
      <w:pPr>
        <w:spacing w:after="80"/>
        <w:ind w:left="360"/>
      </w:pPr>
      <w:r>
        <w:rPr>
          <w:b w:val="0"/>
          <w:i w:val="0"/>
        </w:rPr>
        <w:t>Từ viết tắt của Health Insurance Portability and Accountability Act (Đạo luật về tính khả chuyển và trách nhiệm giải trình của bảo hiểm y tế), một luật của Hoa Kỳ được thiết kế nhằm đưa ra các tiêu chuẩn về quyền riêng tư để bảo vệ hồ sơ y tế của bệnh nhân và các thông tin sức khỏe khác được cung cấp cho các chương trình bảo hiểm y tế, bác sĩ, bệnh viện và các nhà cung cấp dịch vụ chăm sóc sức khỏe khác. Việc triển khai quy tắc bảo mật của HIPAA đảm bảo rằng dữ liệu này được bảo vệ.</w:t>
      </w:r>
    </w:p>
    <w:p>
      <w:pPr>
        <w:spacing w:after="80"/>
      </w:pPr>
      <w:r>
        <w:rPr>
          <w:b/>
          <w:i w:val="0"/>
        </w:rPr>
        <w:t xml:space="preserve"> </w:t>
      </w:r>
      <w:r>
        <w:rPr>
          <w:b/>
          <w:i w:val="0"/>
        </w:rPr>
        <w:t>Quy trình từ tuyển dụng đến nghỉ hưu (H2R)</w:t>
      </w:r>
      <w:r>
        <w:rPr>
          <w:b/>
          <w:i w:val="0"/>
        </w:rPr>
        <w:t xml:space="preserve"> </w:t>
      </w:r>
    </w:p>
    <w:p>
      <w:pPr>
        <w:spacing w:after="80"/>
        <w:ind w:left="360"/>
      </w:pPr>
      <w:r>
        <w:rPr>
          <w:b w:val="0"/>
          <w:i w:val="0"/>
        </w:rPr>
        <w:t>Từ tuyển dụng đến nghỉ hưu (Hire to Retire - H2R) là một quy trình nhân sự bao gồm mọi việc cần được thực hiện trong suốt quá trình làm việc của một nhân viên tại công ty, từ khi được tuyển dụng cho đến khi chấm dứt hợp đồng hoặc nghỉ hưu.</w:t>
      </w:r>
    </w:p>
    <w:p>
      <w:pPr>
        <w:spacing w:after="80"/>
      </w:pPr>
      <w:r>
        <w:rPr>
          <w:b/>
          <w:i w:val="0"/>
        </w:rPr>
        <w:t xml:space="preserve"> </w:t>
      </w:r>
      <w:r>
        <w:rPr>
          <w:b/>
          <w:i w:val="0"/>
        </w:rPr>
        <w:t>Môi trường biệt lập</w:t>
      </w:r>
      <w:r>
        <w:rPr>
          <w:b/>
          <w:i w:val="0"/>
        </w:rPr>
        <w:t xml:space="preserve"> </w:t>
      </w:r>
    </w:p>
    <w:p>
      <w:pPr>
        <w:spacing w:after="80"/>
        <w:ind w:left="360"/>
      </w:pPr>
      <w:r>
        <w:rPr>
          <w:b w:val="0"/>
          <w:i w:val="0"/>
        </w:rPr>
        <w:t>Một môi trường không được kết nối với mạng lưới của công ty.</w:t>
      </w:r>
    </w:p>
    <w:p>
      <w:pPr>
        <w:spacing w:after="80"/>
      </w:pPr>
      <w:r>
        <w:rPr>
          <w:b/>
          <w:i w:val="0"/>
        </w:rPr>
        <w:t xml:space="preserve"> </w:t>
      </w:r>
      <w:r>
        <w:rPr>
          <w:b/>
          <w:i w:val="0"/>
        </w:rPr>
        <w:t>Kiểm soát nội bộ</w:t>
      </w:r>
      <w:r>
        <w:rPr>
          <w:b/>
          <w:i w:val="0"/>
        </w:rPr>
        <w:t xml:space="preserve"> </w:t>
      </w:r>
    </w:p>
    <w:p>
      <w:pPr>
        <w:spacing w:after="80"/>
        <w:ind w:left="360"/>
      </w:pPr>
      <w:r>
        <w:rPr>
          <w:b w:val="0"/>
          <w:i w:val="0"/>
        </w:rPr>
        <w:t>Cách tiếp cận theo khuôn khổ tích hợp định nghĩa kiểm soát nội bộ là “một quy trình, được thực hiện bởi hội đồng quản trị, ban lãnh đạo và các nhân sự khác của một tổ chức, được thiết kế để đưa ra sự đảm bảo hợp lý về việc đạt được các mục tiêu trong các hạng mục sau: (A) độ tin cậy của báo cáo tài chính, (B) tính hiệu quả và hiệu suất của các hoạt động, và tuân thủ các luật và quy định hiện hành.”</w:t>
      </w:r>
    </w:p>
    <w:p>
      <w:pPr>
        <w:spacing w:after="80"/>
      </w:pPr>
      <w:r>
        <w:rPr>
          <w:b/>
          <w:i w:val="0"/>
        </w:rPr>
        <w:t xml:space="preserve"> </w:t>
      </w:r>
      <w:r>
        <w:rPr>
          <w:b/>
          <w:i w:val="0"/>
        </w:rPr>
        <w:t>Xâm nhập</w:t>
      </w:r>
      <w:r>
        <w:rPr>
          <w:b/>
          <w:i w:val="0"/>
        </w:rPr>
        <w:t xml:space="preserve"> </w:t>
      </w:r>
    </w:p>
    <w:p>
      <w:pPr>
        <w:spacing w:after="80"/>
        <w:ind w:left="360"/>
      </w:pPr>
      <w:r>
        <w:rPr>
          <w:b w:val="0"/>
          <w:i w:val="0"/>
        </w:rPr>
        <w:t>Việc truy cập trái phép vào bất kỳ tài nguyên nào do công ty sở hữu hoặc vận hành.</w:t>
      </w:r>
    </w:p>
    <w:p>
      <w:pPr>
        <w:spacing w:after="80"/>
      </w:pPr>
      <w:r>
        <w:rPr>
          <w:b/>
          <w:i w:val="0"/>
        </w:rPr>
        <w:t xml:space="preserve"> </w:t>
      </w:r>
      <w:r>
        <w:rPr>
          <w:b/>
          <w:i w:val="0"/>
        </w:rPr>
        <w:t>Phát hiện xâm nhập</w:t>
      </w:r>
      <w:r>
        <w:rPr>
          <w:b/>
          <w:i w:val="0"/>
        </w:rPr>
        <w:t xml:space="preserve"> </w:t>
      </w:r>
    </w:p>
    <w:p>
      <w:pPr>
        <w:spacing w:after="80"/>
        <w:ind w:left="360"/>
      </w:pPr>
      <w:r>
        <w:rPr>
          <w:b w:val="0"/>
          <w:i w:val="0"/>
        </w:rPr>
        <w:t>Quá trình thu thập và phân tích thông tin để xác định các sự cố lạm dụng hoặc xâm nhập.</w:t>
      </w:r>
    </w:p>
    <w:p>
      <w:pPr>
        <w:spacing w:after="80"/>
      </w:pPr>
      <w:r>
        <w:rPr>
          <w:b/>
          <w:i w:val="0"/>
        </w:rPr>
        <w:t xml:space="preserve"> </w:t>
      </w:r>
      <w:r>
        <w:rPr>
          <w:b/>
          <w:i w:val="0"/>
        </w:rPr>
        <w:t>Bom logic (Logic Bomb)</w:t>
      </w:r>
      <w:r>
        <w:rPr>
          <w:b/>
          <w:i w:val="0"/>
        </w:rPr>
        <w:t xml:space="preserve"> </w:t>
      </w:r>
    </w:p>
    <w:p>
      <w:pPr>
        <w:spacing w:after="80"/>
        <w:ind w:left="360"/>
      </w:pPr>
      <w:r>
        <w:rPr>
          <w:b w:val="0"/>
          <w:i w:val="0"/>
        </w:rPr>
        <w:t>Đoạn mã được nhúng trong một chương trình, sẽ được thực thi khi các điều kiện nhất định được đáp ứng. Mục đích của đoạn mã này là để thực hiện hành vi phá hoại máy tính.</w:t>
      </w:r>
    </w:p>
    <w:p>
      <w:pPr>
        <w:spacing w:after="80"/>
      </w:pPr>
      <w:r>
        <w:rPr>
          <w:b/>
          <w:i w:val="0"/>
        </w:rPr>
        <w:t xml:space="preserve"> </w:t>
      </w:r>
      <w:r>
        <w:rPr>
          <w:b/>
          <w:i w:val="0"/>
        </w:rPr>
        <w:t>Điểm yếu trọng yếu (Material Weakness)</w:t>
      </w:r>
      <w:r>
        <w:rPr>
          <w:b/>
          <w:i w:val="0"/>
        </w:rPr>
        <w:t xml:space="preserve"> </w:t>
      </w:r>
    </w:p>
    <w:p>
      <w:pPr>
        <w:spacing w:after="80"/>
        <w:ind w:left="360"/>
      </w:pPr>
      <w:r>
        <w:rPr>
          <w:b w:val="0"/>
          <w:i w:val="0"/>
        </w:rPr>
        <w:t>Một khiếm khuyết đáng kể, hoặc sự kết hợp của nhiều khiếm khuyết đáng kể, dẫn đến khả năng cao hơn mức rất xa rằng một sai sót trọng yếu trong báo cáo tài chính thường niên hoặc giữa kỳ sẽ không được ngăn chặn hoặc phát hiện.</w:t>
      </w:r>
    </w:p>
    <w:p>
      <w:pPr>
        <w:spacing w:after="80"/>
      </w:pPr>
      <w:r>
        <w:rPr>
          <w:b/>
          <w:i w:val="0"/>
        </w:rPr>
        <w:t xml:space="preserve"> </w:t>
      </w:r>
      <w:r>
        <w:rPr>
          <w:b/>
          <w:i w:val="0"/>
        </w:rPr>
        <w:t>Tổn thất tối đa có thể lường trước (Maximum Foreseeable Loss - MFL)</w:t>
      </w:r>
      <w:r>
        <w:rPr>
          <w:b/>
          <w:i w:val="0"/>
        </w:rPr>
        <w:t xml:space="preserve"> </w:t>
      </w:r>
    </w:p>
    <w:p>
      <w:pPr>
        <w:spacing w:after="80"/>
        <w:ind w:left="360"/>
      </w:pPr>
      <w:r>
        <w:rPr>
          <w:b w:val="0"/>
          <w:i w:val="0"/>
        </w:rPr>
        <w:t>Tổn thất tối đa có thể lường trước là thuật ngữ chỉ khoản thiệt hại tài chính lớn nhất mà một người được bảo hiểm có thể phải gánh chịu khi tài sản được bảo hiểm bị hư hại hoặc phá hủy bởi một sự kiện bất lợi, chẳng hạn như hỏa hoạn.</w:t>
      </w:r>
    </w:p>
    <w:p>
      <w:pPr>
        <w:spacing w:after="80"/>
      </w:pPr>
      <w:r>
        <w:rPr>
          <w:b/>
          <w:i w:val="0"/>
        </w:rPr>
        <w:t xml:space="preserve"> </w:t>
      </w:r>
      <w:r>
        <w:rPr>
          <w:b/>
          <w:i w:val="0"/>
        </w:rPr>
        <w:t>Viện Tiêu chuẩn và Công nghệ Quốc gia (National Institute of Standards and Technology - NIST)</w:t>
      </w:r>
      <w:r>
        <w:rPr>
          <w:b/>
          <w:i w:val="0"/>
        </w:rPr>
        <w:t xml:space="preserve"> </w:t>
      </w:r>
    </w:p>
    <w:p>
      <w:pPr>
        <w:spacing w:after="80"/>
        <w:ind w:left="360"/>
      </w:pPr>
      <w:r>
        <w:rPr>
          <w:b w:val="0"/>
          <w:i w:val="0"/>
        </w:rPr>
        <w:t>NIST là Viện Tiêu chuẩn và Công nghệ Quốc gia, một đơn vị thuộc Bộ Thương mại Hoa Kỳ. Trước đây được gọi là Cục Tiêu chuẩn Quốc gia, NIST thúc đẩy và duy trì các tiêu chuẩn đo lường. Viện này cũng có các chương trình tích cực nhằm khuyến khích và hỗ trợ ngành công nghiệp và giới khoa học phát triển cũng như sử dụng các tiêu chuẩn này.</w:t>
      </w:r>
    </w:p>
    <w:p>
      <w:pPr>
        <w:spacing w:after="80"/>
      </w:pPr>
      <w:r>
        <w:rPr>
          <w:b/>
          <w:i w:val="0"/>
        </w:rPr>
        <w:t xml:space="preserve"> </w:t>
      </w:r>
      <w:r>
        <w:rPr>
          <w:b/>
          <w:i w:val="0"/>
        </w:rPr>
        <w:t>Thu nhập ròng (Net Income)</w:t>
      </w:r>
      <w:r>
        <w:rPr>
          <w:b/>
          <w:i w:val="0"/>
        </w:rPr>
        <w:t xml:space="preserve"> </w:t>
      </w:r>
    </w:p>
    <w:p>
      <w:pPr>
        <w:spacing w:after="80"/>
        <w:ind w:left="360"/>
      </w:pPr>
      <w:r>
        <w:rPr>
          <w:b w:val="0"/>
          <w:i w:val="0"/>
        </w:rPr>
        <w:t>Thu nhập ròng bằng với lợi nhuận ròng (lợi nhuận) được tính bằng doanh thu trừ đi giá vốn hàng bán, chi phí bán hàng, chi phí chung và quản lý, chi phí hoạt động, khấu hao, lãi vay, thuế và các chi phí khác.</w:t>
      </w:r>
    </w:p>
    <w:p>
      <w:pPr>
        <w:spacing w:after="80"/>
      </w:pPr>
      <w:r>
        <w:rPr>
          <w:b/>
          <w:i w:val="0"/>
        </w:rPr>
        <w:t xml:space="preserve"> </w:t>
      </w:r>
      <w:r>
        <w:rPr>
          <w:b/>
          <w:i w:val="0"/>
        </w:rPr>
        <w:t>Phi hồ sơ (Non-Records)</w:t>
      </w:r>
      <w:r>
        <w:rPr>
          <w:b/>
          <w:i w:val="0"/>
        </w:rPr>
        <w:t xml:space="preserve"> </w:t>
      </w:r>
    </w:p>
    <w:p>
      <w:pPr>
        <w:spacing w:after="80"/>
        <w:ind w:left="360"/>
      </w:pPr>
      <w:r>
        <w:rPr>
          <w:b w:val="0"/>
          <w:i w:val="0"/>
        </w:rPr>
        <w:t>Bất kỳ thông tin hữu hình nào thường không chứa dữ liệu liên quan đến hoặc bắt nguồn từ công ty. Những tài liệu này thường được nhân viên sử dụng như công cụ tham khảo hoặc nghiên cứu, bao gồm các mục như báo, tạp chí định kỳ, tài liệu quảng cáo, thông tin công cộng và trên Internet, cùng các bộ công cụ.</w:t>
      </w:r>
    </w:p>
    <w:p>
      <w:pPr>
        <w:spacing w:after="80"/>
      </w:pPr>
      <w:r>
        <w:rPr>
          <w:b/>
          <w:i w:val="0"/>
        </w:rPr>
        <w:t xml:space="preserve"> </w:t>
      </w:r>
      <w:r>
        <w:rPr>
          <w:b/>
          <w:i w:val="0"/>
        </w:rPr>
        <w:t>Đơn vị lưu trữ chính thức (Office of Record)</w:t>
      </w:r>
      <w:r>
        <w:rPr>
          <w:b/>
          <w:i w:val="0"/>
        </w:rPr>
        <w:t xml:space="preserve"> </w:t>
      </w:r>
    </w:p>
    <w:p>
      <w:pPr>
        <w:spacing w:after="80"/>
        <w:ind w:left="360"/>
      </w:pPr>
      <w:r>
        <w:rPr>
          <w:b w:val="0"/>
          <w:i w:val="0"/>
        </w:rPr>
        <w:t>Bất kỳ đơn vị kinh doanh nào được giao trách nhiệm duy trì các hồ sơ "chính thức" của công ty.</w:t>
      </w:r>
    </w:p>
    <w:p>
      <w:pPr>
        <w:spacing w:after="80"/>
      </w:pPr>
      <w:r>
        <w:rPr>
          <w:b/>
          <w:i w:val="0"/>
        </w:rPr>
        <w:t xml:space="preserve"> </w:t>
      </w:r>
      <w:r>
        <w:rPr>
          <w:b/>
          <w:i w:val="0"/>
        </w:rPr>
        <w:t>Hồ sơ chính thức (Official Records)</w:t>
      </w:r>
      <w:r>
        <w:rPr>
          <w:b/>
          <w:i w:val="0"/>
        </w:rPr>
        <w:t xml:space="preserve"> </w:t>
      </w:r>
    </w:p>
    <w:p>
      <w:pPr>
        <w:spacing w:after="80"/>
        <w:ind w:left="360"/>
      </w:pPr>
      <w:r>
        <w:rPr>
          <w:b w:val="0"/>
          <w:i w:val="0"/>
        </w:rPr>
        <w:t>Đây là những hồ sơ bắt buộc phải được lưu giữ để đáp ứng các yêu cầu theo luật định, quy định hoặc hợp đồng, và những hồ sơ được lưu giữ theo thông lệ kinh doanh tốt trong những khoảng thời gian được quy định cụ thể trong lịch trình lưu trữ hồ sơ của công ty.</w:t>
      </w:r>
    </w:p>
    <w:p>
      <w:pPr>
        <w:spacing w:after="80"/>
      </w:pPr>
      <w:r>
        <w:rPr>
          <w:b/>
          <w:i w:val="0"/>
        </w:rPr>
        <w:t xml:space="preserve"> </w:t>
      </w:r>
      <w:r>
        <w:rPr>
          <w:b/>
          <w:i w:val="0"/>
        </w:rPr>
        <w:t>Kiểm soát tổ chức</w:t>
      </w:r>
      <w:r>
        <w:rPr>
          <w:b/>
          <w:i w:val="0"/>
        </w:rPr>
        <w:t xml:space="preserve"> </w:t>
      </w:r>
    </w:p>
    <w:p>
      <w:pPr>
        <w:spacing w:after="80"/>
        <w:ind w:left="360"/>
      </w:pPr>
      <w:r>
        <w:rPr>
          <w:b w:val="0"/>
          <w:i w:val="0"/>
        </w:rPr>
        <w:t>Cần bao quát mọi khía cạnh hoạt động của công ty mà không chồng chéo, đồng thời được phân công và truyền đạt rõ ràng. Trách nhiệm nên được giao xuống tới cấp độ có đủ chuyên môn và thời gian cần thiết. Không một nhân viên nào được nắm độc quyền kiến thức, quyền hạn hay quyền kiểm soát bất kỳ giao dịch quan trọng nào hoặc nhóm giao dịch nào. Việc thống nhất các mục tiêu định tính và định lượng thực tế sẽ củng cố trách nhiệm. Cơ cấu trách nhiệm giải trình phụ thuộc vào mức năng lực liên tục của nhân viên ở các vị trí khác nhau và vào việc phát triển năng lực để các mối quan hệ trách nhiệm và báo cáo có thể được tái tổ chức theo những cách hiệu quả hơn.</w:t>
      </w:r>
    </w:p>
    <w:p>
      <w:pPr>
        <w:spacing w:after="80"/>
      </w:pPr>
      <w:r>
        <w:rPr>
          <w:b/>
          <w:i w:val="0"/>
        </w:rPr>
        <w:t xml:space="preserve"> </w:t>
      </w:r>
      <w:r>
        <w:rPr>
          <w:b/>
          <w:i w:val="0"/>
        </w:rPr>
        <w:t>Giao dịch không dùng giấy tờ</w:t>
      </w:r>
      <w:r>
        <w:rPr>
          <w:b/>
          <w:i w:val="0"/>
        </w:rPr>
        <w:t xml:space="preserve"> </w:t>
      </w:r>
    </w:p>
    <w:p>
      <w:pPr>
        <w:spacing w:after="80"/>
        <w:ind w:left="360"/>
      </w:pPr>
      <w:r>
        <w:rPr>
          <w:b w:val="0"/>
          <w:i w:val="0"/>
        </w:rPr>
        <w:t>Là bất kỳ giao dịch nào được thực hiện qua phương tiện điện tử như đơn đặt hàng điện tử, hóa đơn điện tử hoặc thanh toán điện tử.</w:t>
      </w:r>
    </w:p>
    <w:p>
      <w:pPr>
        <w:spacing w:after="80"/>
      </w:pPr>
      <w:r>
        <w:rPr>
          <w:b/>
          <w:i w:val="0"/>
        </w:rPr>
        <w:t xml:space="preserve"> </w:t>
      </w:r>
      <w:r>
        <w:rPr>
          <w:b/>
          <w:i w:val="0"/>
        </w:rPr>
        <w:t>Hình thức thanh toán</w:t>
      </w:r>
      <w:r>
        <w:rPr>
          <w:b/>
          <w:i w:val="0"/>
        </w:rPr>
        <w:t xml:space="preserve"> </w:t>
      </w:r>
    </w:p>
    <w:p>
      <w:pPr>
        <w:spacing w:after="80"/>
        <w:ind w:left="360"/>
      </w:pPr>
      <w:r>
        <w:rPr>
          <w:b w:val="0"/>
          <w:i w:val="0"/>
        </w:rPr>
        <w:t>Thanh toán là việc trao đổi giá trị từ một bên (chẳng hạn như một cá nhân hoặc công ty) sang một bên khác để đổi lấy hàng hóa, dịch vụ hoặc để hoàn thành một nghĩa vụ pháp lý. Các phương thức thanh toán phổ biến nhất bao gồm tiền mặt, séc, thẻ ghi nợ, thẻ tín dụng, chuyển khoản hoặc thanh toán ACH. Thanh toán cũng có thể mang những hình thức phức tạp, như phát hành cổ phiếu hoặc chuyển giao bất kỳ thứ gì có giá trị hay lợi ích cho các bên. Theo luật Hoa Kỳ, người trả tiền là bên thực hiện thanh toán, còn người nhận tiền là bên nhận thanh toán. Trong thương mại, thanh toán thường được tiến hành sau khi có hóa đơn hoặc giấy báo.</w:t>
      </w:r>
    </w:p>
    <w:p>
      <w:pPr>
        <w:spacing w:after="80"/>
      </w:pPr>
      <w:r>
        <w:rPr>
          <w:b/>
          <w:i w:val="0"/>
        </w:rPr>
        <w:t xml:space="preserve"> </w:t>
      </w:r>
      <w:r>
        <w:rPr>
          <w:b/>
          <w:i w:val="0"/>
        </w:rPr>
        <w:t>Thẻ mua hàng (P-Card)</w:t>
      </w:r>
      <w:r>
        <w:rPr>
          <w:b/>
          <w:i w:val="0"/>
        </w:rPr>
        <w:t xml:space="preserve"> </w:t>
      </w:r>
    </w:p>
    <w:p>
      <w:pPr>
        <w:spacing w:after="80"/>
        <w:ind w:left="360"/>
      </w:pPr>
      <w:r>
        <w:rPr>
          <w:b w:val="0"/>
          <w:i w:val="0"/>
        </w:rPr>
        <w:t>Thẻ mua hàng (viết tắt là PCard hoặc P-Card) là một dạng thẻ tín dụng công ty cho phép mua sắm hàng hóa và dịch vụ mà không cần dùng đến quy trình mua hàng truyền thống. Ở Anh, thẻ mua hàng thường được gọi là thẻ thu mua (procurement card). Thẻ mua hàng thường được cấp cho những nhân viên được kỳ vọng tuân thủ các chính sách và quy trình của tổ chức liên quan đến việc sử dụng P-Card, bao gồm việc xem xét và phê duyệt giao dịch theo một lịch trình định sẵn (ít nhất mỗi tháng một lần). Tổ chức có thể áp dụng nhiều biện pháp kiểm soát khác nhau cho từng P-Card; ví dụ: giới hạn số tiền cho một lần mua, giới hạn hàng tháng, hạn chế theo mã danh mục người bán (MCC), v.v. Ngoài ra, hoạt động P-Card của người giữ thẻ nên được một người độc lập với người giữ thẻ xem xét định kỳ.</w:t>
      </w:r>
    </w:p>
    <w:p>
      <w:pPr>
        <w:spacing w:after="80"/>
      </w:pPr>
      <w:r>
        <w:rPr>
          <w:b/>
          <w:i w:val="0"/>
        </w:rPr>
        <w:t xml:space="preserve"> </w:t>
      </w:r>
      <w:r>
        <w:rPr>
          <w:b/>
          <w:i w:val="0"/>
        </w:rPr>
        <w:t>Hội đồng Tiêu chuẩn Bảo mật Ngành Thẻ thanh toán (PCI)</w:t>
      </w:r>
      <w:r>
        <w:rPr>
          <w:b/>
          <w:i w:val="0"/>
        </w:rPr>
        <w:t xml:space="preserve"> </w:t>
      </w:r>
    </w:p>
    <w:p>
      <w:pPr>
        <w:spacing w:after="80"/>
        <w:ind w:left="360"/>
      </w:pPr>
      <w:r>
        <w:rPr>
          <w:b w:val="0"/>
          <w:i w:val="0"/>
        </w:rPr>
        <w:t>Hội đồng Tiêu chuẩn Bảo mật PCI là một diễn đàn toàn cầu cho việc phát triển, nâng cấp, lưu trữ, phổ biến và triển khai liên tục các tiêu chuẩn bảo mật nhằm bảo vệ dữ liệu tài khoản.</w:t>
      </w:r>
    </w:p>
    <w:p>
      <w:pPr>
        <w:spacing w:after="80"/>
      </w:pPr>
      <w:r>
        <w:rPr>
          <w:b/>
          <w:i w:val="0"/>
        </w:rPr>
        <w:t xml:space="preserve"> </w:t>
      </w:r>
      <w:r>
        <w:rPr>
          <w:b/>
          <w:i w:val="0"/>
        </w:rPr>
        <w:t>Kiểm soát bằng chính sách</w:t>
      </w:r>
      <w:r>
        <w:rPr>
          <w:b/>
          <w:i w:val="0"/>
        </w:rPr>
        <w:t xml:space="preserve"> </w:t>
      </w:r>
    </w:p>
    <w:p>
      <w:pPr>
        <w:spacing w:after="80"/>
        <w:ind w:left="360"/>
      </w:pPr>
      <w:r>
        <w:rPr>
          <w:b w:val="0"/>
          <w:i w:val="0"/>
        </w:rPr>
        <w:t>Là những nguyên tắc chung và hướng dẫn hành động có ảnh hưởng đến các quyết định. Chúng chỉ ra giới hạn của các lựa chọn và các thông số hay quy tắc mà công ty cùng nhân viên phải tuân theo. Các chính sách quan trọng cần được ban lãnh đạo cấp cao xem xét, phê duyệt và truyền đạt. Chính sách được hình thành bằng cách: Xem xét môi trường kinh doanh và các mục tiêu của quy trình. Xác định các loại rủi ro tiềm ẩn mà môi trường đó đặt ra đối với việc đạt được các mục tiêu.</w:t>
      </w:r>
    </w:p>
    <w:p>
      <w:pPr>
        <w:spacing w:after="80"/>
      </w:pPr>
      <w:r>
        <w:rPr>
          <w:b/>
          <w:i w:val="0"/>
        </w:rPr>
        <w:t xml:space="preserve"> </w:t>
      </w:r>
      <w:r>
        <w:rPr>
          <w:b/>
          <w:i w:val="0"/>
        </w:rPr>
        <w:t>Tổn thất tối đa có thể xảy ra (PML)</w:t>
      </w:r>
      <w:r>
        <w:rPr>
          <w:b/>
          <w:i w:val="0"/>
        </w:rPr>
        <w:t xml:space="preserve"> </w:t>
      </w:r>
    </w:p>
    <w:p>
      <w:pPr>
        <w:spacing w:after="80"/>
        <w:ind w:left="360"/>
      </w:pPr>
      <w:r>
        <w:rPr>
          <w:b w:val="0"/>
          <w:i w:val="0"/>
        </w:rPr>
        <w:t>Đây là mức tổn thất tối đa mà một công ty bảo hiểm được kỳ vọng sẽ phải gánh chịu trên một hợp đồng bảo hiểm. PML thường gắn với các hợp đồng bảo hiểm tài sản, chẳng hạn bảo hiểm hỏa hoạn, và đại diện cho tình huống xấu nhất đối với công ty bảo hiểm.</w:t>
      </w:r>
    </w:p>
    <w:p>
      <w:pPr>
        <w:spacing w:after="80"/>
      </w:pPr>
      <w:r>
        <w:rPr>
          <w:b/>
          <w:i w:val="0"/>
        </w:rPr>
        <w:t xml:space="preserve"> </w:t>
      </w:r>
      <w:r>
        <w:rPr>
          <w:b/>
          <w:i w:val="0"/>
        </w:rPr>
        <w:t>Kiểm soát bằng quy trình</w:t>
      </w:r>
      <w:r>
        <w:rPr>
          <w:b/>
          <w:i w:val="0"/>
        </w:rPr>
        <w:t xml:space="preserve"> </w:t>
      </w:r>
    </w:p>
    <w:p>
      <w:pPr>
        <w:spacing w:after="80"/>
        <w:ind w:left="360"/>
      </w:pPr>
      <w:r>
        <w:rPr>
          <w:b w:val="0"/>
          <w:i w:val="0"/>
        </w:rPr>
        <w:t>Quy định cách thực hiện các hành động sao cho nhất quán với các chính sách. Quy trình nên được xây dựng bởi những người hiểu rõ các hoạt động diễn ra hằng ngày.</w:t>
      </w:r>
    </w:p>
    <w:p>
      <w:pPr>
        <w:spacing w:after="80"/>
      </w:pPr>
      <w:r>
        <w:rPr>
          <w:b/>
          <w:i w:val="0"/>
        </w:rPr>
        <w:t xml:space="preserve"> </w:t>
      </w:r>
      <w:r>
        <w:rPr>
          <w:b/>
          <w:i w:val="0"/>
        </w:rPr>
        <w:t>Quy trình</w:t>
      </w:r>
      <w:r>
        <w:rPr>
          <w:b/>
          <w:i w:val="0"/>
        </w:rPr>
        <w:t xml:space="preserve"> </w:t>
      </w:r>
    </w:p>
    <w:p>
      <w:pPr>
        <w:spacing w:after="80"/>
        <w:ind w:left="360"/>
      </w:pPr>
      <w:r>
        <w:rPr>
          <w:b w:val="0"/>
          <w:i w:val="0"/>
        </w:rPr>
        <w:t>Một chuỗi hành động có hệ thống hướng tới một mục tiêu nào đó; một hành động hoặc hoạt động liên tục diễn ra theo một cách thức xác định.</w:t>
      </w:r>
    </w:p>
    <w:p>
      <w:pPr>
        <w:spacing w:after="80"/>
      </w:pPr>
      <w:r>
        <w:rPr>
          <w:b/>
          <w:i w:val="0"/>
        </w:rPr>
        <w:t xml:space="preserve"> </w:t>
      </w:r>
      <w:r>
        <w:rPr>
          <w:b/>
          <w:i w:val="0"/>
        </w:rPr>
        <w:t>Luồng quy trình</w:t>
      </w:r>
      <w:r>
        <w:rPr>
          <w:b/>
          <w:i w:val="0"/>
        </w:rPr>
        <w:t xml:space="preserve"> </w:t>
      </w:r>
    </w:p>
    <w:p>
      <w:pPr>
        <w:spacing w:after="80"/>
        <w:ind w:left="360"/>
      </w:pPr>
      <w:r>
        <w:rPr>
          <w:b w:val="0"/>
          <w:i w:val="0"/>
        </w:rPr>
        <w:t>Luồng quy trình truyền đạt quy trình thực tế hiện đang được áp dụng để hỗ trợ một quy trình kinh doanh. Đó là một bức tranh về dòng chảy và trình tự của các bước công việc, nhiệm vụ hoặc hoạt động, bao gồm dòng chảy hay trình tự các bước xuyên suốt quy trình; người chịu trách nhiệm cho từng nhiệm vụ; và các điểm quyết định cùng tác động của chúng lên dòng chảy công việc.</w:t>
      </w:r>
    </w:p>
    <w:p>
      <w:pPr>
        <w:spacing w:after="80"/>
      </w:pPr>
      <w:r>
        <w:rPr>
          <w:b/>
          <w:i w:val="0"/>
        </w:rPr>
        <w:t xml:space="preserve"> </w:t>
      </w:r>
      <w:r>
        <w:rPr>
          <w:b/>
          <w:i w:val="0"/>
        </w:rPr>
        <w:t>Procure to Pay (P2P)</w:t>
      </w:r>
      <w:r>
        <w:rPr>
          <w:b/>
          <w:i w:val="0"/>
        </w:rPr>
        <w:t xml:space="preserve"> </w:t>
      </w:r>
    </w:p>
    <w:p>
      <w:pPr>
        <w:spacing w:after="80"/>
        <w:ind w:left="360"/>
      </w:pPr>
      <w:r>
        <w:rPr>
          <w:b w:val="0"/>
          <w:i w:val="0"/>
        </w:rPr>
        <w:t>Procure-to-pay là một thuật ngữ được dùng trong toàn ngành để chỉ một phân nhánh cụ thể của quy trình mua sắm. Các hệ thống procure-to-pay cho phép tích hợp bộ phận mua hàng với bộ phận kế toán phải trả. Một số tên tuổi lớn nhất trong ngành công nghiệp phần mềm đều đồng thuận về một định nghĩa chung cho procure-to-pay, gắn kết quy trình mua sắm với các quy trình kế toán phải trả.</w:t>
      </w:r>
    </w:p>
    <w:p>
      <w:pPr>
        <w:spacing w:after="80"/>
      </w:pPr>
      <w:r>
        <w:rPr>
          <w:b/>
          <w:i w:val="0"/>
        </w:rPr>
        <w:t xml:space="preserve"> </w:t>
      </w:r>
      <w:r>
        <w:rPr>
          <w:b/>
          <w:i w:val="0"/>
        </w:rPr>
        <w:t>Trung tâm lợi nhuận</w:t>
      </w:r>
      <w:r>
        <w:rPr>
          <w:b/>
          <w:i w:val="0"/>
        </w:rPr>
        <w:t xml:space="preserve"> </w:t>
      </w:r>
    </w:p>
    <w:p>
      <w:pPr>
        <w:spacing w:after="80"/>
        <w:ind w:left="360"/>
      </w:pPr>
      <w:r>
        <w:rPr>
          <w:b w:val="0"/>
          <w:i w:val="0"/>
        </w:rPr>
        <w:t>Một lĩnh vực trách nhiệm mà ở đó lợi nhuận hoạt động độc lập được tính toán.</w:t>
      </w:r>
    </w:p>
    <w:p>
      <w:pPr>
        <w:spacing w:after="80"/>
      </w:pPr>
      <w:r>
        <w:rPr>
          <w:b/>
          <w:i w:val="0"/>
        </w:rPr>
        <w:t xml:space="preserve"> </w:t>
      </w:r>
      <w:r>
        <w:rPr>
          <w:b/>
          <w:i w:val="0"/>
        </w:rPr>
        <w:t>Quản lý dự án</w:t>
      </w:r>
      <w:r>
        <w:rPr>
          <w:b/>
          <w:i w:val="0"/>
        </w:rPr>
        <w:t xml:space="preserve"> </w:t>
      </w:r>
    </w:p>
    <w:p>
      <w:pPr>
        <w:spacing w:after="80"/>
        <w:ind w:left="360"/>
      </w:pPr>
      <w:r>
        <w:rPr>
          <w:b w:val="0"/>
          <w:i w:val="0"/>
        </w:rPr>
        <w:t>Quản lý dự án áp dụng kiến thức về vận hành, kinh doanh và quản lý vào việc xác định các hoạt động của dự án cần thiết để hoàn thành các sản phẩm bàn giao trong đúng thời hạn và dự toán chi phí. Quản lý dự án là việc áp dụng kiến thức, kỹ năng, công cụ và kỹ thuật vào các hoạt động của dự án nhằm đáp ứng các yêu cầu của dự án. Quản lý dự án được thực hiện thông qua: (1) Khởi tạo, (2) Lập kế hoạch, (3) Thực thi, (4) Kiểm soát, và (5) Kết thúc. Cần có một quy trình truyền thông để đảm bảo rằng các kết quả của dự án được chia sẻ và cập nhật xuyên suốt vòng đời của dự án.</w:t>
      </w:r>
    </w:p>
    <w:p>
      <w:pPr>
        <w:spacing w:after="80"/>
      </w:pPr>
      <w:r>
        <w:rPr>
          <w:b/>
          <w:i w:val="0"/>
        </w:rPr>
        <w:t xml:space="preserve"> </w:t>
      </w:r>
      <w:r>
        <w:rPr>
          <w:b/>
          <w:i w:val="0"/>
        </w:rPr>
        <w:t>Viện Quản lý Dự án (PMI)</w:t>
      </w:r>
      <w:r>
        <w:rPr>
          <w:b/>
          <w:i w:val="0"/>
        </w:rPr>
        <w:t xml:space="preserve"> </w:t>
      </w:r>
    </w:p>
    <w:p>
      <w:pPr>
        <w:spacing w:after="80"/>
        <w:ind w:left="360"/>
      </w:pPr>
      <w:r>
        <w:rPr>
          <w:b w:val="0"/>
          <w:i w:val="0"/>
        </w:rPr>
        <w:t>Được thành lập vào năm 1969, PMI mang lại giá trị cho hơn 2.9 triệu chuyên gia đang làm việc tại gần như mọi quốc gia trên thế giới thông qua vận động chính sách toàn cầu, hợp tác, giáo dục và nghiên cứu, và là hiệp hội thành viên chuyên môn phi lợi nhuận hàng đầu cho ngành quản lý dự án.</w:t>
      </w:r>
    </w:p>
    <w:p>
      <w:pPr>
        <w:spacing w:after="80"/>
      </w:pPr>
      <w:r>
        <w:rPr>
          <w:b/>
          <w:i w:val="0"/>
        </w:rPr>
        <w:t xml:space="preserve"> </w:t>
      </w:r>
      <w:r>
        <w:rPr>
          <w:b/>
          <w:i w:val="0"/>
        </w:rPr>
        <w:t>Khôi phục</w:t>
      </w:r>
      <w:r>
        <w:rPr>
          <w:b/>
          <w:i w:val="0"/>
        </w:rPr>
        <w:t xml:space="preserve"> </w:t>
      </w:r>
    </w:p>
    <w:p>
      <w:pPr>
        <w:spacing w:after="80"/>
        <w:ind w:left="360"/>
      </w:pPr>
      <w:r>
        <w:rPr>
          <w:b w:val="0"/>
          <w:i w:val="0"/>
        </w:rPr>
        <w:t>Việc khôi phục các dịch vụ điện toán và viễn thông sau một sự cố gián đoạn do thảm họa gây ra.</w:t>
      </w:r>
    </w:p>
    <w:p>
      <w:pPr>
        <w:spacing w:after="80"/>
      </w:pPr>
      <w:r>
        <w:rPr>
          <w:b/>
          <w:i w:val="0"/>
        </w:rPr>
        <w:t xml:space="preserve"> </w:t>
      </w:r>
      <w:r>
        <w:rPr>
          <w:b/>
          <w:i w:val="0"/>
        </w:rPr>
        <w:t>Gửi tiền từ xa</w:t>
      </w:r>
      <w:r>
        <w:rPr>
          <w:b/>
          <w:i w:val="0"/>
        </w:rPr>
        <w:t xml:space="preserve"> </w:t>
      </w:r>
    </w:p>
    <w:p>
      <w:pPr>
        <w:spacing w:after="80"/>
        <w:ind w:left="360"/>
      </w:pPr>
      <w:r>
        <w:rPr>
          <w:b w:val="0"/>
          <w:i w:val="0"/>
        </w:rPr>
        <w:t>Gửi tiền từ xa là khả năng của một khách hàng ngân hàng tại Hoa Kỳ và Canada trong việc gửi một tấm séc vào tài khoản ngân hàng từ một địa điểm xa xôi, chẳng hạn như văn phòng hoặc nhà riêng, mà không cần phải chuyển phát tấm séc đó đến ngân hàng một cách trực tiếp. Điều này thường được thực hiện bằng cách quét một hình ảnh kỹ thuật số của tấm séc vào máy tính, rồi truyền hình ảnh đó đến ngân hàng. Hoạt động này trở thành hợp pháp tại Hoa Kỳ vào năm 2004 khi Đạo luật Thanh toán Séc cho Thế kỷ 21 (hay Đạo luật Check 21) có hiệu lực, mặc dù không phải tất cả các ngân hàng đều đã triển khai hệ thống này.</w:t>
      </w:r>
    </w:p>
    <w:p>
      <w:pPr>
        <w:spacing w:after="80"/>
      </w:pPr>
      <w:r>
        <w:rPr>
          <w:b/>
          <w:i w:val="0"/>
        </w:rPr>
        <w:t xml:space="preserve"> </w:t>
      </w:r>
      <w:r>
        <w:rPr>
          <w:b/>
          <w:i w:val="0"/>
        </w:rPr>
        <w:t>Kiểm soát đánh giá</w:t>
      </w:r>
      <w:r>
        <w:rPr>
          <w:b/>
          <w:i w:val="0"/>
        </w:rPr>
        <w:t xml:space="preserve"> </w:t>
      </w:r>
    </w:p>
    <w:p>
      <w:pPr>
        <w:spacing w:after="80"/>
        <w:ind w:left="360"/>
      </w:pPr>
      <w:r>
        <w:rPr>
          <w:b w:val="0"/>
          <w:i w:val="0"/>
        </w:rPr>
        <w:t>Bao gồm một quy trình tự đánh giá liên tục theo yêu cầu của Đạo luật Sarbanes-Oxley năm 2002. Tự đánh giá là một chuỗi các câu hỏi nhằm xác thực tính hiệu quả của môi trường kiểm soát. Việc tự đánh giá phải được thực hiện mỗi quý tài chính; trong một số tình huống, người quản lý đơn vị vận hành có thể chọn thực hiện kiểm tra tự đánh giá thường xuyên hơn. Điều bắt buộc là mọi điểm yếu được phát hiện trong quá trình kiểm tra đều phải được khắc phục thông qua hành động khắc phục và quy trình theo dõi.</w:t>
      </w:r>
    </w:p>
    <w:p>
      <w:pPr>
        <w:spacing w:after="80"/>
      </w:pPr>
      <w:r>
        <w:rPr>
          <w:b/>
          <w:i w:val="0"/>
        </w:rPr>
        <w:t xml:space="preserve"> </w:t>
      </w:r>
      <w:r>
        <w:rPr>
          <w:b/>
          <w:i w:val="0"/>
        </w:rPr>
        <w:t>Doanh thu</w:t>
      </w:r>
      <w:r>
        <w:rPr>
          <w:b/>
          <w:i w:val="0"/>
        </w:rPr>
        <w:t xml:space="preserve"> </w:t>
      </w:r>
    </w:p>
    <w:p>
      <w:pPr>
        <w:spacing w:after="80"/>
        <w:ind w:left="360"/>
      </w:pPr>
      <w:r>
        <w:rPr>
          <w:b w:val="0"/>
          <w:i w:val="0"/>
        </w:rPr>
        <w:t>Doanh thu là số tiền mà một công ty thực sự nhận được trong một kỳ tài chính cụ thể, bao gồm cả chiết khấu và các khoản khấu trừ cho hàng hóa bị trả lại. Đây là chỉ số hàng đầu hay tổng thu nhập gộp, từ đó các chi phí được trừ đi để xác định thu nhập ròng.</w:t>
      </w:r>
    </w:p>
    <w:p>
      <w:pPr>
        <w:spacing w:after="80"/>
      </w:pPr>
      <w:r>
        <w:rPr>
          <w:b/>
          <w:i w:val="0"/>
        </w:rPr>
        <w:t xml:space="preserve"> </w:t>
      </w:r>
      <w:r>
        <w:rPr>
          <w:b/>
          <w:i w:val="0"/>
        </w:rPr>
        <w:t>Ghi nhận doanh thu</w:t>
      </w:r>
      <w:r>
        <w:rPr>
          <w:b/>
          <w:i w:val="0"/>
        </w:rPr>
        <w:t xml:space="preserve"> </w:t>
      </w:r>
    </w:p>
    <w:p>
      <w:pPr>
        <w:spacing w:after="80"/>
        <w:ind w:left="360"/>
      </w:pPr>
      <w:r>
        <w:rPr>
          <w:b w:val="0"/>
          <w:i w:val="0"/>
        </w:rPr>
        <w:t>Doanh thu là một trong những thước đo quan trọng nhất được các nhà đầu tư sử dụng để đánh giá hiệu quả hoạt động và triển vọng của một công ty. Tuy nhiên, hướng dẫn ghi nhận doanh thu trước đây có sự khác biệt giữa Nguyên tắc Kế toán được Chấp nhận Chung (GAAP) và Chuẩn mực Báo cáo Tài chính Quốc tế (IFRS)—và nhiều người cho rằng cả hai chuẩn mực đều cần được cải thiện. Vào ngày 28 tháng 5 năm 2014, FASB và Hội đồng Chuẩn mực Kế toán Quốc tế (IASB) đã ban hành (thông cáo báo chí) hướng dẫn hội tụ về ghi nhận doanh thu trong các hợp đồng với khách hàng. Hướng dẫn mới là một thành tựu lớn trong nỗ lực chung của các Hội đồng nhằm cải thiện lĩnh vực báo cáo tài chính quan trọng này. Hiện nay, GAAP có các yêu cầu ghi nhận doanh thu phức tạp, chi tiết và khác biệt cho các giao dịch và ngành cụ thể, bao gồm ví dụ như phần mềm và bất động sản. Kết quả là, các ngành khác nhau sử dụng cách hạch toán khác nhau cho các giao dịch tương tự về mặt kinh tế. Mục tiêu của hướng dẫn mới là thiết lập các nguyên tắc để báo cáo thông tin hữu ích cho người sử dụng báo cáo tài chính về bản chất, số tiền, thời điểm và tính không chắc chắn của doanh thu từ các hợp đồng với khách hàng. Hướng dẫn mới: Loại bỏ những điểm không nhất quán và điểm yếu trong các yêu cầu doanh thu hiện hành Cung cấp một khuôn khổ vững chắc hơn để giải quyết các vấn đề doanh thu Cải thiện khả năng so sánh của các phương pháp ghi nhận doanh thu giữa các thực thể, ngành, khu vực pháp lý và thị trường vốn Cung cấp thông tin hữu ích hơn cho người sử dụng báo cáo tài chính thông qua các yêu cầu công bố thông tin được cải thiện Đơn giản hóa việc lập báo cáo tài chính bằng cách giảm số lượng yêu cầu mà một tổ chức phải tham chiếu</w:t>
      </w:r>
    </w:p>
    <w:p>
      <w:pPr>
        <w:spacing w:after="80"/>
      </w:pPr>
      <w:r>
        <w:rPr>
          <w:b/>
          <w:i w:val="0"/>
        </w:rPr>
        <w:t xml:space="preserve"> </w:t>
      </w:r>
      <w:r>
        <w:rPr>
          <w:b/>
          <w:i w:val="0"/>
        </w:rPr>
        <w:t>Đánh giá/Phân tích rủi ro</w:t>
      </w:r>
      <w:r>
        <w:rPr>
          <w:b/>
          <w:i w:val="0"/>
        </w:rPr>
        <w:t xml:space="preserve"> </w:t>
      </w:r>
    </w:p>
    <w:p>
      <w:pPr>
        <w:spacing w:after="80"/>
        <w:ind w:left="360"/>
      </w:pPr>
      <w:r>
        <w:rPr>
          <w:b w:val="0"/>
          <w:i w:val="0"/>
        </w:rPr>
        <w:t>Quá trình xác định các rủi ro đối với một tổ chức, đánh giá các chức năng quan trọng cần thiết để một tổ chức tiếp tục hoạt động kinh doanh, xác định các kiểm soát hiện có để giảm mức độ phơi nhiễm của tổ chức, và đánh giá chi phí cho các kiểm soát đó. Phân tích rủi ro thường bao gồm việc đánh giá xác suất của một sự kiện cụ thể.</w:t>
      </w:r>
    </w:p>
    <w:p>
      <w:pPr>
        <w:spacing w:after="80"/>
      </w:pPr>
      <w:r>
        <w:rPr>
          <w:b/>
          <w:i w:val="0"/>
        </w:rPr>
        <w:t xml:space="preserve"> </w:t>
      </w:r>
      <w:r>
        <w:rPr>
          <w:b/>
          <w:i w:val="0"/>
        </w:rPr>
        <w:t>Quản lý rủi ro</w:t>
      </w:r>
      <w:r>
        <w:rPr>
          <w:b/>
          <w:i w:val="0"/>
        </w:rPr>
        <w:t xml:space="preserve"> </w:t>
      </w:r>
    </w:p>
    <w:p>
      <w:pPr>
        <w:spacing w:after="80"/>
        <w:ind w:left="360"/>
      </w:pPr>
      <w:r>
        <w:rPr>
          <w:b w:val="0"/>
          <w:i w:val="0"/>
        </w:rPr>
        <w:t>Quản lý rủi ro là một động lực kinh doanh ngày càng quan trọng vì các bên liên quan của công ty đã trở nên quan tâm nhiều hơn đến rủi ro. Rủi ro có thể là động lực thúc đẩy các quyết định chiến lược, có thể là nguyên nhân gây ra sự không chắc chắn trong tổ chức, hoặc đơn giản là nó có thể được nhúng vào các hoạt động của tổ chức</w:t>
      </w:r>
    </w:p>
    <w:p>
      <w:pPr>
        <w:spacing w:after="80"/>
      </w:pPr>
      <w:r>
        <w:rPr>
          <w:b/>
          <w:i w:val="0"/>
        </w:rPr>
        <w:t xml:space="preserve"> </w:t>
      </w:r>
      <w:r>
        <w:rPr>
          <w:b/>
          <w:i w:val="0"/>
        </w:rPr>
        <w:t>SSAE 18</w:t>
      </w:r>
      <w:r>
        <w:rPr>
          <w:b/>
          <w:i w:val="0"/>
        </w:rPr>
        <w:t xml:space="preserve"> </w:t>
      </w:r>
    </w:p>
    <w:p>
      <w:pPr>
        <w:spacing w:after="80"/>
        <w:ind w:left="360"/>
      </w:pPr>
      <w:r>
        <w:rPr>
          <w:b w:val="0"/>
          <w:i w:val="0"/>
        </w:rPr>
        <w:t>SSAE 18 là một loạt các cải tiến nhằm tăng tính hữu ích và chất lượng của các báo cáo SOC, hiện thay thế SSAE 16 và SAS 70. Những thay đổi được thực hiện đối với chuẩn mực lần này sẽ yêu cầu các công ty phải kiểm soát và làm chủ nhiều hơn các kiểm soát nội bộ của chính họ xung quanh việc xác định và phân loại rủi ro cũng như quản lý thích hợp các mối quan hệ với nhà cung cấp bên thứ ba. Những thay đổi này, tuy không quá nặng nề, sẽ giúp khép kín vòng lặp ở các lĩnh vực then chốt mà các chuyên gia trong ngành ghi nhận có khoảng trống trong báo cáo của nhiều tổ chức dịch vụ. Những thay đổi chính là: Các tổ chức dịch vụ sẽ cần triển khai một Chương trình Quản lý Nhà cung cấp Bên thứ ba chính thức. Các tổ chức dịch vụ sẽ cần triển khai một quy trình Đánh giá Rủi ro Hàng năm chính thức.</w:t>
      </w:r>
    </w:p>
    <w:p>
      <w:pPr>
        <w:spacing w:after="80"/>
      </w:pPr>
      <w:r>
        <w:rPr>
          <w:b/>
          <w:i w:val="0"/>
        </w:rPr>
        <w:t xml:space="preserve"> </w:t>
      </w:r>
      <w:r>
        <w:rPr>
          <w:b/>
          <w:i w:val="0"/>
        </w:rPr>
        <w:t>Sarbanes-Oxley 2002</w:t>
      </w:r>
      <w:r>
        <w:rPr>
          <w:b/>
          <w:i w:val="0"/>
        </w:rPr>
        <w:t xml:space="preserve"> </w:t>
      </w:r>
    </w:p>
    <w:p>
      <w:pPr>
        <w:spacing w:after="80"/>
        <w:ind w:left="360"/>
      </w:pPr>
      <w:r>
        <w:rPr>
          <w:b w:val="0"/>
          <w:i w:val="0"/>
        </w:rPr>
        <w:t>Đạo luật có thể được chia thành ba điểm chính: Phạm vi của một công ty kiểm toán bên ngoài đã bị hạn chế, trong đó các CPA không còn quyền thiết lập chuẩn mực cho hoạt động hành nghề của họ. Có những nhiệm vụ mới cho hội đồng quản trị nói chung và cho ủy ban kiểm toán nói riêng. Các quy định về quản trị công ty bao gồm một bộ quy tắc đạo đức hoặc chuẩn mực ứng xử kinh doanh bắt buộc. Có những yêu cầu mới đối với CEO và CFO. Mỗi hồ sơ nộp cho SEC (10K và 10Q) phải tuyên bố rằng: Báo cáo trình bày trung thực về mọi khía cạnh trọng yếu hoạt động và tình hình tài chính của công ty. Báo cáo không chứa bất kỳ sai sót trọng yếu nào hoặc bỏ sót nêu ra một sự kiện trọng yếu cần thiết để làm cho các tuyên bố được đưa ra, trong bối cảnh các tuyên bố đó được đưa ra, không gây hiểu lầm. Báo cáo chứa báo cáo tài chính tuân thủ Mục 13(a) hoặc 15(d) của Đạo luật Giao dịch Chứng khoán năm 1934. Hệ thống kiểm soát của công ty đã được thiết lập và có hiệu lực.</w:t>
      </w:r>
    </w:p>
    <w:p>
      <w:pPr>
        <w:spacing w:after="80"/>
      </w:pPr>
      <w:r>
        <w:rPr>
          <w:b/>
          <w:i w:val="0"/>
        </w:rPr>
        <w:t xml:space="preserve"> </w:t>
      </w:r>
      <w:r>
        <w:rPr>
          <w:b/>
          <w:i w:val="0"/>
        </w:rPr>
        <w:t>Phân tách nhiệm vụ (SoD)</w:t>
      </w:r>
      <w:r>
        <w:rPr>
          <w:b/>
          <w:i w:val="0"/>
        </w:rPr>
        <w:t xml:space="preserve"> </w:t>
      </w:r>
    </w:p>
    <w:p>
      <w:pPr>
        <w:spacing w:after="80"/>
        <w:ind w:left="360"/>
      </w:pPr>
      <w:r>
        <w:rPr>
          <w:b w:val="0"/>
          <w:i w:val="0"/>
        </w:rPr>
        <w:t>Kiểm soát này là một trong những kiểm soát quan trọng nhất mà công ty bạn có thể có. SoD đầy đủ làm giảm khả năng các sai sót (cố ý hoặc vô ý) vẫn không bị phát hiện bằng cách quy định việc xử lý riêng biệt bởi các cá nhân khác nhau ở các giai đoạn khác nhau của một giao dịch và việc đánh giá độc lập đối với công việc đã thực hiện. Kiểm soát SoD mang lại bốn lợi ích chính: (1) rủi ro gian lận có chủ đích được giảm thiểu vì sẽ cần sự thông đồng của hai hoặc nhiều người để lách qua các kiểm soát; (2) rủi ro sai sót hợp pháp được giảm thiểu vì khả năng phát hiện được tăng lên; (3) chi phí của các hành động khắc phục được giảm thiểu vì các sai sót thường được phát hiện tương đối sớm hơn trong vòng đời của chúng; và (4) danh tiếng về tính chính trực và chất lượng của tổ chức được nâng cao thông qua một hệ thống kiểm tra và cân bằng.</w:t>
      </w:r>
    </w:p>
    <w:p>
      <w:pPr>
        <w:spacing w:after="80"/>
      </w:pPr>
      <w:r>
        <w:rPr>
          <w:b/>
          <w:i w:val="0"/>
        </w:rPr>
        <w:t xml:space="preserve"> </w:t>
      </w:r>
      <w:r>
        <w:rPr>
          <w:b/>
          <w:i w:val="0"/>
        </w:rPr>
        <w:t>Phần mềm chia sẻ</w:t>
      </w:r>
      <w:r>
        <w:rPr>
          <w:b/>
          <w:i w:val="0"/>
        </w:rPr>
        <w:t xml:space="preserve"> </w:t>
      </w:r>
    </w:p>
    <w:p>
      <w:pPr>
        <w:spacing w:after="80"/>
        <w:ind w:left="360"/>
      </w:pPr>
      <w:r>
        <w:rPr>
          <w:b w:val="0"/>
          <w:i w:val="0"/>
        </w:rPr>
        <w:t>Phần mềm có sẵn thông qua các bảng tin máy tính và mạng với một khoản phí phải trả sau khi tải phần mềm xuống.</w:t>
      </w:r>
    </w:p>
    <w:p>
      <w:pPr>
        <w:spacing w:after="80"/>
      </w:pPr>
      <w:r>
        <w:rPr>
          <w:b/>
          <w:i w:val="0"/>
        </w:rPr>
        <w:t xml:space="preserve"> </w:t>
      </w:r>
      <w:r>
        <w:rPr>
          <w:b/>
          <w:i w:val="0"/>
        </w:rPr>
        <w:t>Khiếm khuyết trọng yếu</w:t>
      </w:r>
      <w:r>
        <w:rPr>
          <w:b/>
          <w:i w:val="0"/>
        </w:rPr>
        <w:t xml:space="preserve"> </w:t>
      </w:r>
    </w:p>
    <w:p>
      <w:pPr>
        <w:spacing w:after="80"/>
        <w:ind w:left="360"/>
      </w:pPr>
      <w:r>
        <w:rPr>
          <w:b w:val="0"/>
          <w:i w:val="0"/>
        </w:rPr>
        <w:t>Đây là một khiếm khuyết kiểm soát đơn lẻ, hoặc sự kết hợp của các khiếm khuyết kiểm soát, gây ảnh hưởng tiêu cực đến khả năng khởi tạo, phê duyệt, ghi nhận, xử lý hoặc báo cáo dữ liệu tài chính bên ngoài một cách đáng tin cậy của công ty. Có nhiều hơn khả năng xa vời rằng một sai sót trong báo cáo tài chính hàng năm hoặc giữa kỳ của công ty, ở mức độ nghiêm trọng hơn mức không đáng kể, sẽ không được ngăn chặn hoặc phát hiện.</w:t>
      </w:r>
    </w:p>
    <w:p>
      <w:pPr>
        <w:spacing w:after="80"/>
      </w:pPr>
      <w:r>
        <w:rPr>
          <w:b/>
          <w:i w:val="0"/>
        </w:rPr>
        <w:t xml:space="preserve"> </w:t>
      </w:r>
      <w:r>
        <w:rPr>
          <w:b/>
          <w:i w:val="0"/>
        </w:rPr>
        <w:t>Các chuẩn mực kiểm soát nội bộ</w:t>
      </w:r>
      <w:r>
        <w:rPr>
          <w:b/>
          <w:i w:val="0"/>
        </w:rPr>
        <w:t xml:space="preserve"> </w:t>
      </w:r>
    </w:p>
    <w:p>
      <w:pPr>
        <w:spacing w:after="80"/>
        <w:ind w:left="360"/>
      </w:pPr>
      <w:r>
        <w:rPr>
          <w:b w:val="0"/>
          <w:i w:val="0"/>
        </w:rPr>
        <w:t>Các chuẩn mực này định nghĩa một loạt các kiểm soát nội bộ nhằm giải quyết các rủi ro liên quan đến các quy trình kinh doanh chính, các quy trình phụ và các quy trình ở cấp đơn vị.</w:t>
      </w:r>
    </w:p>
    <w:p>
      <w:pPr>
        <w:spacing w:after="80"/>
      </w:pPr>
      <w:r>
        <w:rPr>
          <w:b/>
          <w:i w:val="0"/>
        </w:rPr>
        <w:t xml:space="preserve"> </w:t>
      </w:r>
      <w:r>
        <w:rPr>
          <w:b/>
          <w:i w:val="0"/>
        </w:rPr>
        <w:t>Người dùng cấp cao</w:t>
      </w:r>
      <w:r>
        <w:rPr>
          <w:b/>
          <w:i w:val="0"/>
        </w:rPr>
        <w:t xml:space="preserve"> </w:t>
      </w:r>
    </w:p>
    <w:p>
      <w:pPr>
        <w:spacing w:after="80"/>
        <w:ind w:left="360"/>
      </w:pPr>
      <w:r>
        <w:rPr>
          <w:b w:val="0"/>
          <w:i w:val="0"/>
        </w:rPr>
        <w:t>Một người dùng của ERP với các đặc quyền đặc biệt cần thiết để quản trị và duy trì hệ thống, hoặc một quản trị viên hệ thống. Các đặc quyền đặc biệt có thể bao gồm khả năng xử lý một giao dịch tài chính và thực hiện các thay đổi trong sổ cái chung để sửa đổi giao dịch đó. Các đặc quyền "người dùng cấp cao" phải được giám sát để đảm bảo rằng các quyền truy cập không bị sử dụng để sửa đổi hoặc làm sai lệch một giao dịch một cách không chính xác, gây rủi ro cho công ty.</w:t>
      </w:r>
    </w:p>
    <w:p>
      <w:pPr>
        <w:spacing w:after="80"/>
      </w:pPr>
      <w:r>
        <w:rPr>
          <w:b/>
          <w:i w:val="0"/>
        </w:rPr>
        <w:t xml:space="preserve"> </w:t>
      </w:r>
      <w:r>
        <w:rPr>
          <w:b/>
          <w:i w:val="0"/>
        </w:rPr>
        <w:t>Kiểm soát giám sát</w:t>
      </w:r>
      <w:r>
        <w:rPr>
          <w:b/>
          <w:i w:val="0"/>
        </w:rPr>
        <w:t xml:space="preserve"> </w:t>
      </w:r>
    </w:p>
    <w:p>
      <w:pPr>
        <w:spacing w:after="80"/>
        <w:ind w:left="360"/>
      </w:pPr>
      <w:r>
        <w:rPr>
          <w:b w:val="0"/>
          <w:i w:val="0"/>
        </w:rPr>
        <w:t>Đây là những tình huống mà các nhà quản lý đảm bảo rằng tất cả nhân viên hiểu rõ trách nhiệm và quyền hạn của mình, cùng với sự đảm bảo rằng các quy trình đang được tuân thủ trong đơn vị hoạt động.</w:t>
      </w:r>
    </w:p>
    <w:p>
      <w:pPr>
        <w:spacing w:after="80"/>
      </w:pPr>
      <w:r>
        <w:rPr>
          <w:b/>
          <w:i w:val="0"/>
        </w:rPr>
        <w:t xml:space="preserve"> </w:t>
      </w:r>
      <w:r>
        <w:rPr>
          <w:b/>
          <w:i w:val="0"/>
        </w:rPr>
        <w:t>T&amp;E</w:t>
      </w:r>
      <w:r>
        <w:rPr>
          <w:b/>
          <w:i w:val="0"/>
        </w:rPr>
        <w:t xml:space="preserve"> </w:t>
      </w:r>
    </w:p>
    <w:p>
      <w:pPr>
        <w:spacing w:after="80"/>
        <w:ind w:left="360"/>
      </w:pPr>
      <w:r>
        <w:rPr>
          <w:b w:val="0"/>
          <w:i w:val="0"/>
        </w:rPr>
        <w:t xml:space="preserve">Theo Concur, thuật ngữ </w:t>
      </w:r>
      <w:r>
        <w:rPr>
          <w:b w:val="0"/>
          <w:i/>
        </w:rPr>
        <w:t>T&amp;E</w:t>
      </w:r>
      <w:r>
        <w:rPr>
          <w:b w:val="0"/>
          <w:i w:val="0"/>
        </w:rPr>
        <w:t xml:space="preserve"> là viết tắt của "travel and expense" (đi lại và chi phí). Những cụm từ này (</w:t>
      </w:r>
      <w:r>
        <w:rPr>
          <w:b w:val="0"/>
          <w:i/>
        </w:rPr>
        <w:t>T&amp;E, travel,</w:t>
      </w:r>
      <w:r>
        <w:rPr>
          <w:b w:val="0"/>
          <w:i w:val="0"/>
        </w:rPr>
        <w:t xml:space="preserve"> và </w:t>
      </w:r>
      <w:r>
        <w:rPr>
          <w:b w:val="0"/>
          <w:i/>
        </w:rPr>
        <w:t>expense</w:t>
      </w:r>
      <w:r>
        <w:rPr>
          <w:b w:val="0"/>
          <w:i w:val="0"/>
        </w:rPr>
        <w:t xml:space="preserve"> ) thường được dùng khi nói về một chi phí vận hành lớn của doanh nghiệp, vốn dành trung bình 10% ngân sách của họ cho T&amp;E.</w:t>
      </w:r>
    </w:p>
    <w:p>
      <w:pPr>
        <w:spacing w:after="80"/>
      </w:pPr>
      <w:r>
        <w:rPr>
          <w:b/>
          <w:i w:val="0"/>
        </w:rPr>
        <w:t xml:space="preserve"> </w:t>
      </w:r>
      <w:r>
        <w:rPr>
          <w:b/>
          <w:i w:val="0"/>
        </w:rPr>
        <w:t>Mối đe dọa</w:t>
      </w:r>
      <w:r>
        <w:rPr>
          <w:b/>
          <w:i w:val="0"/>
        </w:rPr>
        <w:t xml:space="preserve"> </w:t>
      </w:r>
    </w:p>
    <w:p>
      <w:pPr>
        <w:spacing w:after="80"/>
        <w:ind w:left="360"/>
      </w:pPr>
      <w:r>
        <w:rPr>
          <w:b w:val="0"/>
          <w:i w:val="0"/>
        </w:rPr>
        <w:t>Bất kỳ tình huống hoặc sự kiện nào có thể gây hại cho một tài sản quan trọng thông qua truy cập trái phép, xâm phạm tính toàn vẹn dữ liệu, từ chối hoặc gián đoạn dịch vụ, hoặc phá hủy hoặc làm suy yếu về mặt vật lý.</w:t>
      </w:r>
    </w:p>
    <w:p>
      <w:pPr>
        <w:spacing w:after="80"/>
      </w:pPr>
      <w:r>
        <w:rPr>
          <w:b/>
          <w:i w:val="0"/>
        </w:rPr>
        <w:t xml:space="preserve"> </w:t>
      </w:r>
      <w:r>
        <w:rPr>
          <w:b/>
          <w:i w:val="0"/>
        </w:rPr>
        <w:t>Các quy trình nhạy cảm về thời gian</w:t>
      </w:r>
      <w:r>
        <w:rPr>
          <w:b/>
          <w:i w:val="0"/>
        </w:rPr>
        <w:t xml:space="preserve"> </w:t>
      </w:r>
    </w:p>
    <w:p>
      <w:pPr>
        <w:spacing w:after="80"/>
        <w:ind w:left="360"/>
      </w:pPr>
      <w:r>
        <w:rPr>
          <w:b w:val="0"/>
          <w:i w:val="0"/>
        </w:rPr>
        <w:t>Các quy trình kinh doanh chỉ có thể bị gián đoạn hoặc không khả dụng trong một thời gian ngắn và phải là ưu tiên khôi phục.</w:t>
      </w:r>
    </w:p>
    <w:p>
      <w:pPr>
        <w:spacing w:after="80"/>
      </w:pPr>
      <w:r>
        <w:rPr>
          <w:b/>
          <w:i w:val="0"/>
        </w:rPr>
        <w:t xml:space="preserve"> </w:t>
      </w:r>
      <w:r>
        <w:rPr>
          <w:b/>
          <w:i w:val="0"/>
        </w:rPr>
        <w:t>Đối tác giao dịch</w:t>
      </w:r>
      <w:r>
        <w:rPr>
          <w:b/>
          <w:i w:val="0"/>
        </w:rPr>
        <w:t xml:space="preserve"> </w:t>
      </w:r>
    </w:p>
    <w:p>
      <w:pPr>
        <w:spacing w:after="80"/>
        <w:ind w:left="360"/>
      </w:pPr>
      <w:r>
        <w:rPr>
          <w:b w:val="0"/>
          <w:i w:val="0"/>
        </w:rPr>
        <w:t>Bất kỳ tổ chức nào mà mối quan hệ giao dịch (người mua và người bán) được thiết lập. Đối tác giao dịch có thể là một công ty bên thứ ba hoặc một tổ chức nội bộ trong công ty.</w:t>
      </w:r>
    </w:p>
    <w:p>
      <w:pPr>
        <w:spacing w:after="80"/>
      </w:pPr>
      <w:r>
        <w:rPr>
          <w:b/>
          <w:i w:val="0"/>
        </w:rPr>
        <w:t xml:space="preserve"> </w:t>
      </w:r>
      <w:r>
        <w:rPr>
          <w:b/>
          <w:i w:val="0"/>
        </w:rPr>
        <w:t>Trojan Horse</w:t>
      </w:r>
      <w:r>
        <w:rPr>
          <w:b/>
          <w:i w:val="0"/>
        </w:rPr>
        <w:t xml:space="preserve"> </w:t>
      </w:r>
    </w:p>
    <w:p>
      <w:pPr>
        <w:spacing w:after="80"/>
        <w:ind w:left="360"/>
      </w:pPr>
      <w:r>
        <w:rPr>
          <w:b w:val="0"/>
          <w:i w:val="0"/>
        </w:rPr>
        <w:t>Một chương trình giả dạng như một chương trình hợp pháp nhưng thực chất lại chứa mã có thể gây thiệt hại nghiêm trọng cho máy tính của người dùng.</w:t>
      </w:r>
    </w:p>
    <w:p>
      <w:pPr>
        <w:spacing w:after="80"/>
      </w:pPr>
      <w:r>
        <w:rPr>
          <w:b/>
          <w:i w:val="0"/>
        </w:rPr>
        <w:t xml:space="preserve"> </w:t>
      </w:r>
      <w:r>
        <w:rPr>
          <w:b/>
          <w:i w:val="0"/>
        </w:rPr>
        <w:t>Xác thực hai yếu tố</w:t>
      </w:r>
      <w:r>
        <w:rPr>
          <w:b/>
          <w:i w:val="0"/>
        </w:rPr>
        <w:t xml:space="preserve"> </w:t>
      </w:r>
    </w:p>
    <w:p>
      <w:pPr>
        <w:spacing w:after="80"/>
        <w:ind w:left="360"/>
      </w:pPr>
      <w:r>
        <w:rPr>
          <w:b w:val="0"/>
          <w:i w:val="0"/>
        </w:rPr>
        <w:t>Xác thực hai yếu tố (2FA) hay xác thực đa yếu tố (MFA) là một lớp bảo mật bổ sung cho doanh nghiệp của bạn — giúp giải quyết các lỗ hổng của phương pháp chỉ dùng mật khẩu thông thường.</w:t>
      </w:r>
    </w:p>
    <w:p>
      <w:pPr>
        <w:spacing w:after="80"/>
      </w:pPr>
      <w:r>
        <w:rPr>
          <w:b/>
          <w:i w:val="0"/>
        </w:rPr>
        <w:t xml:space="preserve"> </w:t>
      </w:r>
      <w:r>
        <w:rPr>
          <w:b/>
          <w:i w:val="0"/>
        </w:rPr>
        <w:t>Đánh giá hoạt động kinh doanh thiết yếu</w:t>
      </w:r>
      <w:r>
        <w:rPr>
          <w:b/>
          <w:i w:val="0"/>
        </w:rPr>
        <w:t xml:space="preserve"> </w:t>
      </w:r>
    </w:p>
    <w:p>
      <w:pPr>
        <w:spacing w:after="80"/>
        <w:ind w:left="360"/>
      </w:pPr>
      <w:r>
        <w:rPr>
          <w:b w:val="0"/>
          <w:i w:val="0"/>
        </w:rPr>
        <w:t>Một quy trình cần thiết để xác định những chức năng kinh doanh và ứng dụng hỗ trợ nào là quan trọng để công ty có thể tiếp tục hoạt động kinh doanh trong trường hợp xảy ra thảm họa.</w:t>
      </w:r>
    </w:p>
    <w:p>
      <w:pPr>
        <w:spacing w:after="80"/>
      </w:pPr>
      <w:r>
        <w:rPr>
          <w:b/>
          <w:i w:val="0"/>
        </w:rPr>
        <w:t xml:space="preserve"> </w:t>
      </w:r>
      <w:r>
        <w:rPr>
          <w:b/>
          <w:i w:val="0"/>
        </w:rPr>
        <w:t>Hồ sơ thiết yếu</w:t>
      </w:r>
      <w:r>
        <w:rPr>
          <w:b/>
          <w:i w:val="0"/>
        </w:rPr>
        <w:t xml:space="preserve"> </w:t>
      </w:r>
    </w:p>
    <w:p>
      <w:pPr>
        <w:spacing w:after="80"/>
        <w:ind w:left="360"/>
      </w:pPr>
      <w:r>
        <w:rPr>
          <w:b w:val="0"/>
          <w:i w:val="0"/>
        </w:rPr>
        <w:t>Những hồ sơ được coi là hoàn toàn cần thiết cho sự tiếp tục hoặc tái thiết lập của một tổ chức. Hồ sơ thiết yếu giúp xác lập vị thế pháp lý và tài chính của công ty, và rất quan trọng để bảo vệ quyền lợi của tổ chức, nhân viên, khách hàng và cổ đông. Ngoài ra, bất kỳ hồ sơ nào mà việc tạo lại sẽ tốn kém đến mức không thể chi trả cũng có thể được coi là hồ sơ thiết yếu. Trong bất kỳ trường hợp nào, hồ sơ thiết yếu gốc cũng không được để tại chỗ.</w:t>
      </w:r>
    </w:p>
    <w:p>
      <w:pPr>
        <w:spacing w:after="80"/>
      </w:pPr>
      <w:r>
        <w:rPr>
          <w:b/>
          <w:i w:val="0"/>
        </w:rPr>
        <w:t xml:space="preserve"> </w:t>
      </w:r>
      <w:r>
        <w:rPr>
          <w:b/>
          <w:i w:val="0"/>
        </w:rPr>
        <w:t>Lỗ hổng</w:t>
      </w:r>
      <w:r>
        <w:rPr>
          <w:b/>
          <w:i w:val="0"/>
        </w:rPr>
        <w:t xml:space="preserve"> </w:t>
      </w:r>
    </w:p>
    <w:p>
      <w:pPr>
        <w:spacing w:after="80"/>
        <w:ind w:left="360"/>
      </w:pPr>
      <w:r>
        <w:rPr>
          <w:b w:val="0"/>
          <w:i w:val="0"/>
        </w:rPr>
        <w:t>Một khiếm khuyết trong các quy trình bảo mật, phần mềm, kiểm soát hệ thống nội bộ hoặc việc triển khai mà có thể ảnh hưởng đến tính toàn vẹn, tính bảo mật, tính trách nhiệm giải trình hoặc tính sẵn sàng của một hệ thống, dữ liệu hoặc dịch vụ.</w:t>
      </w:r>
    </w:p>
    <w:p>
      <w:pPr>
        <w:spacing w:after="80"/>
      </w:pPr>
      <w:r>
        <w:rPr>
          <w:b/>
          <w:i w:val="0"/>
        </w:rPr>
        <w:t xml:space="preserve"> </w:t>
      </w:r>
      <w:r>
        <w:rPr>
          <w:b/>
          <w:i w:val="0"/>
        </w:rPr>
        <w:t>Đánh giá lỗ hổng</w:t>
      </w:r>
      <w:r>
        <w:rPr>
          <w:b/>
          <w:i w:val="0"/>
        </w:rPr>
        <w:t xml:space="preserve"> </w:t>
      </w:r>
    </w:p>
    <w:p>
      <w:pPr>
        <w:spacing w:after="80"/>
        <w:ind w:left="360"/>
      </w:pPr>
      <w:r>
        <w:rPr>
          <w:b w:val="0"/>
          <w:i w:val="0"/>
        </w:rPr>
        <w:t>Một cuộc kiểm tra khả năng chống chịu tấn công của một hệ thống hoặc ứng dụng, bao gồm các quy trình và biện pháp kiểm soát bảo mật hiện tại. Đánh giá lỗ hổng có thể được dùng để xác định những điểm yếu có thể bị khai thác và để dự đoán hiệu quả của các biện pháp bảo mật bổ sung nhằm bảo vệ tài nguyên thông tin khỏi bị tấn công.</w:t>
      </w:r>
    </w:p>
    <w:p>
      <w:pPr>
        <w:spacing w:after="80"/>
      </w:pPr>
      <w:r>
        <w:rPr>
          <w:b/>
          <w:i w:val="0"/>
        </w:rPr>
        <w:t xml:space="preserve"> </w:t>
      </w:r>
      <w:r>
        <w:rPr>
          <w:b/>
          <w:i w:val="0"/>
        </w:rPr>
        <w:t>Hướng dẫn công việc</w:t>
      </w:r>
      <w:r>
        <w:rPr>
          <w:b/>
          <w:i w:val="0"/>
        </w:rPr>
        <w:t xml:space="preserve"> </w:t>
      </w:r>
    </w:p>
    <w:p>
      <w:pPr>
        <w:spacing w:after="80"/>
        <w:ind w:left="360"/>
      </w:pPr>
      <w:r>
        <w:rPr>
          <w:b w:val="0"/>
          <w:i w:val="0"/>
        </w:rPr>
        <w:t>Hướng dẫn công việc là một tài liệu từng bước mô tả các hành động cần thiết để hoàn thành một hoạt động ở cấp độ giao dịch và là một tài liệu chi tiết có thể bao gồm thông tin về các thao tác bấm phím. Đây là một tài liệu “hướng dẫn cách làm” rất chi tiết.</w:t>
      </w:r>
    </w:p>
    <w:p>
      <w:pPr>
        <w:pStyle w:val="Heading2"/>
      </w:pPr>
      <w:r>
        <w:rPr>
          <w:rFonts w:ascii="Calibri" w:hAnsi="Calibri"/>
          <w:b/>
          <w:i w:val="0"/>
          <w:sz w:val="32"/>
        </w:rPr>
        <w:t>GHI CHÚ</w:t>
      </w:r>
    </w:p>
    <w:p>
      <w:pPr>
        <w:pStyle w:val="Heading1"/>
      </w:pPr>
      <w:r>
        <w:rPr>
          <w:rFonts w:ascii="Calibri" w:hAnsi="Calibri"/>
          <w:b/>
          <w:i w:val="0"/>
          <w:sz w:val="40"/>
        </w:rPr>
        <w:t>Phụ lục—Các công cụ bổ sung</w:t>
      </w:r>
    </w:p>
    <w:p>
      <w:pPr>
        <w:pStyle w:val="Heading2"/>
      </w:pPr>
      <w:r>
        <w:rPr>
          <w:rFonts w:ascii="Calibri" w:hAnsi="Calibri"/>
          <w:b/>
          <w:i w:val="0"/>
          <w:sz w:val="32"/>
        </w:rPr>
        <w:t>VÍ DỤ VỀ CHÍNH SÁCH KIỂM SOÁT NỘI BỘ</w:t>
      </w:r>
    </w:p>
    <w:p>
      <w:pPr>
        <w:pStyle w:val="Heading3"/>
      </w:pPr>
      <w:r>
        <w:rPr>
          <w:rFonts w:ascii="Calibri" w:hAnsi="Calibri"/>
          <w:b/>
          <w:i w:val="0"/>
          <w:sz w:val="26"/>
        </w:rPr>
        <w:t>Giới thiệu và Phạm vi</w:t>
      </w:r>
    </w:p>
    <w:p>
      <w:pPr>
        <w:spacing w:after="80"/>
      </w:pPr>
      <w:r>
        <w:rPr>
          <w:b w:val="0"/>
          <w:i w:val="0"/>
        </w:rPr>
        <w:t>Kiểm soát nội bộ là những phương tiện có cấu trúc được sử dụng để đạt được sự đảm bảo hợp lý về việc hoàn thành các mục tiêu của công ty, và bao gồm trách nhiệm đối với tất cả các bên liên quan, đó là nhân viên, khách hàng và nhà cung cấp. Kiểm soát nội bộ là một phần không thể tách rời trong việc quản lý hoạt động kinh doanh và là một yêu cầu của Đạo luật Sarbanes-Oxley năm 2002. Phạm vi của chính sách này là trên toàn thế giới.</w:t>
      </w:r>
    </w:p>
    <w:p>
      <w:pPr>
        <w:pStyle w:val="Heading3"/>
      </w:pPr>
      <w:r>
        <w:rPr>
          <w:rFonts w:ascii="Calibri" w:hAnsi="Calibri"/>
          <w:b/>
          <w:i w:val="0"/>
          <w:sz w:val="26"/>
        </w:rPr>
        <w:t>Các Yêu cầu về Kiểm soát Nội bộ</w:t>
      </w:r>
    </w:p>
    <w:p>
      <w:pPr>
        <w:spacing w:after="80"/>
        <w:ind w:left="360"/>
      </w:pPr>
      <w:r>
        <w:t xml:space="preserve">• </w:t>
      </w:r>
      <w:r>
        <w:rPr>
          <w:b w:val="0"/>
          <w:i w:val="0"/>
        </w:rPr>
        <w:t>Kiểm soát nội bộ phải được áp dụng trong một đơn vị hoạt động một cách hiệu quả và hiệu suất, đồng thời cung cấp sự đảm bảo hợp lý rằng đơn vị hoạt động đó sẽ đạt được các mục tiêu của mình.</w:t>
      </w:r>
    </w:p>
    <w:p>
      <w:pPr>
        <w:spacing w:after="80"/>
        <w:ind w:left="360"/>
      </w:pPr>
      <w:r>
        <w:t xml:space="preserve">• </w:t>
      </w:r>
      <w:r>
        <w:rPr>
          <w:b w:val="0"/>
          <w:i w:val="0"/>
        </w:rPr>
        <w:t>Các mục tiêu kiểm soát nội bộ được đạt được thông qua năng lực và sự chính trực của nhân sự, tính độc lập trong chức năng được giao của họ, sự hiểu biết của họ về các quy trình đã được quy định, và tính hiệu quả của việc giám sát rủi ro được chấp nhận.</w:t>
      </w:r>
    </w:p>
    <w:p>
      <w:pPr>
        <w:spacing w:after="80"/>
        <w:ind w:left="360"/>
      </w:pPr>
      <w:r>
        <w:t xml:space="preserve">• </w:t>
      </w:r>
      <w:r>
        <w:rPr>
          <w:b w:val="0"/>
          <w:i w:val="0"/>
        </w:rPr>
        <w:t>Tính hiệu quả của hệ thống kiểm soát nội bộ phụ thuộc vào các yếu tố sau:</w:t>
      </w:r>
    </w:p>
    <w:p>
      <w:pPr>
        <w:spacing w:after="80"/>
        <w:ind w:left="360"/>
      </w:pPr>
      <w:r>
        <w:t xml:space="preserve">• </w:t>
      </w:r>
      <w:r>
        <w:rPr>
          <w:b w:val="0"/>
          <w:i w:val="0"/>
        </w:rPr>
        <w:t>Tông giọng (tone) được thiết lập bởi ban lãnh đạo cấp cao là khía cạnh quan trọng nhất đóng góp vào sự thành công lâu dài của hệ thống kiểm soát nội bộ.</w:t>
      </w:r>
    </w:p>
    <w:p>
      <w:pPr>
        <w:spacing w:after="80"/>
        <w:ind w:left="360"/>
      </w:pPr>
      <w:r>
        <w:t xml:space="preserve">• </w:t>
      </w:r>
      <w:r>
        <w:rPr>
          <w:b w:val="0"/>
          <w:i w:val="0"/>
        </w:rPr>
        <w:t>Các nhà quản lý và nhân viên phải hiểu rõ hệ thống kiểm soát nội bộ. Kiểm soát nội bộ cần được hiểu, ủng hộ và thúc đẩy trong toàn công ty.</w:t>
      </w:r>
    </w:p>
    <w:p>
      <w:pPr>
        <w:spacing w:after="80"/>
        <w:ind w:left="360"/>
      </w:pPr>
      <w:r>
        <w:t xml:space="preserve">• </w:t>
      </w:r>
      <w:r>
        <w:rPr>
          <w:b w:val="0"/>
          <w:i w:val="0"/>
        </w:rPr>
        <w:t>Việc tiếp tục duy trì sự phù hợp của phương thức giao tiếp giữa các nhân viên là một yếu tố phụ thuộc then chốt. Những trở ngại đối với việc giao tiếp cần thiết cần được giảm thiểu.</w:t>
      </w:r>
    </w:p>
    <w:p>
      <w:pPr>
        <w:spacing w:after="80"/>
        <w:ind w:left="360"/>
      </w:pPr>
      <w:r>
        <w:t xml:space="preserve">• </w:t>
      </w:r>
      <w:r>
        <w:rPr>
          <w:b w:val="0"/>
          <w:i w:val="0"/>
        </w:rPr>
        <w:t>Cần dành đủ thời gian và nguồn lực cho hoạt động kinh doanh để duy trì và xem xét kiểm soát nội bộ.</w:t>
      </w:r>
    </w:p>
    <w:p>
      <w:pPr>
        <w:pStyle w:val="Heading3"/>
      </w:pPr>
      <w:r>
        <w:rPr>
          <w:rFonts w:ascii="Calibri" w:hAnsi="Calibri"/>
          <w:b/>
          <w:i w:val="0"/>
          <w:sz w:val="26"/>
        </w:rPr>
        <w:t>Môi trường Kiểm soát Nội bộ</w:t>
      </w:r>
    </w:p>
    <w:p>
      <w:pPr>
        <w:spacing w:after="80"/>
      </w:pPr>
      <w:r>
        <w:rPr>
          <w:b w:val="0"/>
          <w:i w:val="0"/>
        </w:rPr>
        <w:t>Môi trường kiểm soát bao gồm các yếu tố sau:</w:t>
      </w:r>
    </w:p>
    <w:p>
      <w:pPr>
        <w:spacing w:after="80"/>
        <w:ind w:left="360"/>
      </w:pPr>
      <w:r>
        <w:t xml:space="preserve">• </w:t>
      </w:r>
      <w:r>
        <w:rPr>
          <w:b w:val="0"/>
          <w:i w:val="0"/>
        </w:rPr>
        <w:t>Sự chính trực và các giá trị đạo đức</w:t>
      </w:r>
    </w:p>
    <w:p>
      <w:pPr>
        <w:spacing w:after="80"/>
        <w:ind w:left="360"/>
      </w:pPr>
      <w:r>
        <w:t xml:space="preserve">• </w:t>
      </w:r>
      <w:r>
        <w:rPr>
          <w:b w:val="0"/>
          <w:i w:val="0"/>
        </w:rPr>
        <w:t>Cam kết về năng lực</w:t>
      </w:r>
    </w:p>
    <w:p>
      <w:pPr>
        <w:spacing w:after="80"/>
        <w:ind w:left="360"/>
      </w:pPr>
      <w:r>
        <w:t xml:space="preserve">• </w:t>
      </w:r>
      <w:r>
        <w:rPr>
          <w:b w:val="0"/>
          <w:i w:val="0"/>
        </w:rPr>
        <w:t>Hội đồng Quản trị và Ủy ban Kiểm toán</w:t>
      </w:r>
    </w:p>
    <w:p>
      <w:pPr>
        <w:spacing w:after="80"/>
        <w:ind w:left="360"/>
      </w:pPr>
      <w:r>
        <w:t xml:space="preserve">• </w:t>
      </w:r>
      <w:r>
        <w:rPr>
          <w:b w:val="0"/>
          <w:i w:val="0"/>
        </w:rPr>
        <w:t>Triết lý và phong cách điều hành của ban lãnh đạo</w:t>
      </w:r>
    </w:p>
    <w:p>
      <w:pPr>
        <w:spacing w:after="80"/>
        <w:ind w:left="360"/>
      </w:pPr>
      <w:r>
        <w:t xml:space="preserve">• </w:t>
      </w:r>
      <w:r>
        <w:rPr>
          <w:b w:val="0"/>
          <w:i w:val="0"/>
        </w:rPr>
        <w:t>Cơ cấu tổ chức</w:t>
      </w:r>
    </w:p>
    <w:p>
      <w:pPr>
        <w:spacing w:after="80"/>
        <w:ind w:left="360"/>
      </w:pPr>
      <w:r>
        <w:t xml:space="preserve">• </w:t>
      </w:r>
      <w:r>
        <w:rPr>
          <w:b w:val="0"/>
          <w:i w:val="0"/>
        </w:rPr>
        <w:t>Phân công quyền hạn và trách nhiệm</w:t>
      </w:r>
    </w:p>
    <w:p>
      <w:pPr>
        <w:spacing w:after="80"/>
        <w:ind w:left="360"/>
      </w:pPr>
      <w:r>
        <w:t xml:space="preserve">• </w:t>
      </w:r>
      <w:r>
        <w:rPr>
          <w:b w:val="0"/>
          <w:i w:val="0"/>
        </w:rPr>
        <w:t>Các chính sách và quy trình Nhân sự</w:t>
      </w:r>
    </w:p>
    <w:p>
      <w:pPr>
        <w:pStyle w:val="Heading3"/>
      </w:pPr>
      <w:r>
        <w:rPr>
          <w:rFonts w:ascii="Calibri" w:hAnsi="Calibri"/>
          <w:b/>
          <w:i w:val="0"/>
          <w:sz w:val="26"/>
        </w:rPr>
        <w:t>Quy trình Kiểm soát Nội bộ</w:t>
      </w:r>
    </w:p>
    <w:p>
      <w:pPr>
        <w:spacing w:after="80"/>
      </w:pPr>
      <w:r>
        <w:rPr>
          <w:b w:val="0"/>
          <w:i w:val="0"/>
        </w:rPr>
        <w:t>Hệ thống kiểm soát tổng thể phải được điều chỉnh để thích ứng với những thay đổi về rủi ro trong môi trường kinh doanh. Đối với bất kỳ rủi ro cụ thể nào, có bốn chiến lược để lựa chọn:</w:t>
      </w:r>
    </w:p>
    <w:p>
      <w:pPr>
        <w:spacing w:after="80"/>
        <w:ind w:left="360"/>
      </w:pPr>
      <w:r>
        <w:t xml:space="preserve">1. </w:t>
      </w:r>
      <w:r>
        <w:rPr>
          <w:b w:val="0"/>
          <w:i w:val="0"/>
        </w:rPr>
        <w:t>Chấm dứt hoạt động;</w:t>
      </w:r>
    </w:p>
    <w:p>
      <w:pPr>
        <w:spacing w:after="80"/>
        <w:ind w:left="360"/>
      </w:pPr>
      <w:r>
        <w:t xml:space="preserve">2. </w:t>
      </w:r>
      <w:r>
        <w:rPr>
          <w:b w:val="0"/>
          <w:i w:val="0"/>
        </w:rPr>
        <w:t>Chuyển giao rủi ro cho bên khác;</w:t>
      </w:r>
    </w:p>
    <w:p>
      <w:pPr>
        <w:spacing w:after="80"/>
        <w:ind w:left="360"/>
      </w:pPr>
      <w:r>
        <w:t xml:space="preserve">3. </w:t>
      </w:r>
      <w:r>
        <w:rPr>
          <w:b w:val="0"/>
          <w:i w:val="0"/>
        </w:rPr>
        <w:t>Giảm thiểu rủi ro bằng cách thiết lập các kiểm soát nội bộ phù hợp; và/hoặc</w:t>
      </w:r>
    </w:p>
    <w:p>
      <w:pPr>
        <w:spacing w:after="80"/>
        <w:ind w:left="360"/>
      </w:pPr>
      <w:r>
        <w:t xml:space="preserve">4. </w:t>
      </w:r>
      <w:r>
        <w:rPr>
          <w:b w:val="0"/>
          <w:i w:val="0"/>
        </w:rPr>
        <w:t>Chấp nhận rủi ro (khi không thể áp dụng thêm các biện pháp kiểm soát hiệu quả và hiệu suất nào khác).</w:t>
      </w:r>
    </w:p>
    <w:p>
      <w:pPr>
        <w:spacing w:after="80"/>
      </w:pPr>
      <w:r>
        <w:rPr>
          <w:b w:val="0"/>
          <w:i w:val="0"/>
        </w:rPr>
        <w:t>Tóm lại, hệ thống kiểm soát nội bộ hỗ trợ các mục tiêu của đơn vị vận hành trong các nhóm sau:</w:t>
      </w:r>
    </w:p>
    <w:p>
      <w:pPr>
        <w:spacing w:after="80"/>
        <w:ind w:left="360"/>
      </w:pPr>
      <w:r>
        <w:t xml:space="preserve">• </w:t>
      </w:r>
      <w:r>
        <w:rPr>
          <w:b w:val="0"/>
          <w:i w:val="0"/>
        </w:rPr>
        <w:t>Hiệu quả và hiệu suất của hoạt động và nguồn lực</w:t>
      </w:r>
    </w:p>
    <w:p>
      <w:pPr>
        <w:spacing w:after="80"/>
        <w:ind w:left="360"/>
      </w:pPr>
      <w:r>
        <w:t xml:space="preserve">• </w:t>
      </w:r>
      <w:r>
        <w:rPr>
          <w:b w:val="0"/>
          <w:i w:val="0"/>
        </w:rPr>
        <w:t>Độ tin cậy của báo cáo tài chính và báo cáo hoạt động</w:t>
      </w:r>
    </w:p>
    <w:p>
      <w:pPr>
        <w:spacing w:after="80"/>
        <w:ind w:left="360"/>
      </w:pPr>
      <w:r>
        <w:t xml:space="preserve">• </w:t>
      </w:r>
      <w:r>
        <w:rPr>
          <w:b w:val="0"/>
          <w:i w:val="0"/>
        </w:rPr>
        <w:t>Tuân thủ các chính sách, quy trình, luật và quy định hiện hành</w:t>
      </w:r>
    </w:p>
    <w:p>
      <w:pPr>
        <w:spacing w:after="80"/>
        <w:ind w:left="360"/>
      </w:pPr>
      <w:r>
        <w:t xml:space="preserve">• </w:t>
      </w:r>
      <w:r>
        <w:rPr>
          <w:b w:val="0"/>
          <w:i w:val="0"/>
        </w:rPr>
        <w:t>Bảo vệ tài sản khỏi gian lận hoặc lãng phí</w:t>
      </w:r>
    </w:p>
    <w:p>
      <w:pPr>
        <w:pStyle w:val="Heading3"/>
      </w:pPr>
      <w:r>
        <w:rPr>
          <w:rFonts w:ascii="Calibri" w:hAnsi="Calibri"/>
          <w:b/>
          <w:i w:val="0"/>
          <w:sz w:val="26"/>
        </w:rPr>
        <w:t>Các cơ chế kiểm soát</w:t>
      </w:r>
    </w:p>
    <w:p>
      <w:pPr>
        <w:spacing w:after="80"/>
        <w:ind w:left="360"/>
      </w:pPr>
      <w:r>
        <w:t xml:space="preserve">• </w:t>
      </w:r>
      <w:r>
        <w:rPr>
          <w:b/>
          <w:i w:val="0"/>
        </w:rPr>
        <w:t>Kiểm soát tổ chức</w:t>
      </w:r>
      <w:r>
        <w:rPr>
          <w:b w:val="0"/>
          <w:i w:val="0"/>
        </w:rPr>
        <w:t xml:space="preserve"> phải bao quát mọi khía cạnh hoạt động của công ty mà không chồng chéo, đồng thời được phân công và truyền đạt rõ ràng.</w:t>
      </w:r>
    </w:p>
    <w:p>
      <w:pPr>
        <w:spacing w:after="80"/>
        <w:ind w:left="360"/>
      </w:pPr>
      <w:r>
        <w:t xml:space="preserve">• </w:t>
      </w:r>
      <w:r>
        <w:rPr>
          <w:b w:val="0"/>
          <w:i w:val="0"/>
        </w:rPr>
        <w:t>Trách nhiệm nên được phân cấp xuống tới mức mà ở đó có đủ chuyên môn và thời gian cần thiết.</w:t>
      </w:r>
    </w:p>
    <w:p>
      <w:pPr>
        <w:spacing w:after="80"/>
        <w:ind w:left="360"/>
      </w:pPr>
      <w:r>
        <w:t xml:space="preserve">• </w:t>
      </w:r>
      <w:r>
        <w:rPr>
          <w:b w:val="0"/>
          <w:i w:val="0"/>
        </w:rPr>
        <w:t>Không một nhân viên nào được nắm độc quyền kiến thức, quyền hạn hay quyền kiểm soát bất kỳ giao dịch quan trọng nào hoặc nhóm giao dịch nào.</w:t>
      </w:r>
    </w:p>
    <w:p>
      <w:pPr>
        <w:spacing w:after="80"/>
        <w:ind w:left="360"/>
      </w:pPr>
      <w:r>
        <w:t xml:space="preserve">• </w:t>
      </w:r>
      <w:r>
        <w:rPr>
          <w:b w:val="0"/>
          <w:i w:val="0"/>
        </w:rPr>
        <w:t>Trách nhiệm nên được củng cố bằng việc thống nhất các mục tiêu định tính/định lượng mang tính thực tế.</w:t>
      </w:r>
    </w:p>
    <w:p>
      <w:pPr>
        <w:spacing w:after="80"/>
        <w:ind w:left="360"/>
      </w:pPr>
      <w:r>
        <w:t xml:space="preserve">• </w:t>
      </w:r>
      <w:r>
        <w:rPr>
          <w:b w:val="0"/>
          <w:i w:val="0"/>
        </w:rPr>
        <w:t>Cơ cấu trách nhiệm giải trình nên dựa trên các mức năng lực liên tục của nhân viên ở những vị trí khác nhau, và việc phát triển năng lực để các mối quan hệ trách nhiệm và báo cáo có thể được tái cơ cấu theo những cách hiệu quả hơn.</w:t>
      </w:r>
    </w:p>
    <w:p>
      <w:pPr>
        <w:spacing w:after="80"/>
        <w:ind w:left="360"/>
      </w:pPr>
      <w:r>
        <w:t xml:space="preserve">• </w:t>
      </w:r>
      <w:r>
        <w:rPr>
          <w:b/>
          <w:i w:val="0"/>
        </w:rPr>
        <w:t>Kiểm soát chính sách</w:t>
      </w:r>
      <w:r>
        <w:rPr>
          <w:b w:val="0"/>
          <w:i w:val="0"/>
        </w:rPr>
        <w:t xml:space="preserve"> là những nguyên tắc chung và hướng dẫn hành động có ảnh hưởng đến các quyết định. Chúng chỉ ra giới hạn của các lựa chọn và các thông số hay quy tắc mà công ty và nhân viên phải tuân theo. Các chính sách chủ chốt nên được ban lãnh đạo cấp cao xem xét, phê duyệt và truyền đạt. Chính sách được hình thành bằng cách:</w:t>
      </w:r>
    </w:p>
    <w:p>
      <w:pPr>
        <w:spacing w:after="80"/>
        <w:ind w:left="720"/>
      </w:pPr>
      <w:r>
        <w:t xml:space="preserve">• </w:t>
      </w:r>
      <w:r>
        <w:rPr>
          <w:b w:val="0"/>
          <w:i w:val="0"/>
        </w:rPr>
        <w:t>Xem xét môi trường kinh doanh và các mục tiêu của quy trình</w:t>
      </w:r>
    </w:p>
    <w:p>
      <w:pPr>
        <w:spacing w:after="80"/>
        <w:ind w:left="720"/>
      </w:pPr>
      <w:r>
        <w:t xml:space="preserve">• </w:t>
      </w:r>
      <w:r>
        <w:rPr>
          <w:b w:val="0"/>
          <w:i w:val="0"/>
        </w:rPr>
        <w:t>Xác định các loại rủi ro tiềm ẩn mà môi trường đặt ra đối với việc đạt được các mục tiêu</w:t>
      </w:r>
    </w:p>
    <w:p>
      <w:pPr>
        <w:spacing w:after="80"/>
        <w:ind w:left="360"/>
      </w:pPr>
      <w:r>
        <w:t xml:space="preserve">• </w:t>
      </w:r>
      <w:r>
        <w:rPr>
          <w:b/>
          <w:i w:val="0"/>
        </w:rPr>
        <w:t>Kiểm soát quy trình</w:t>
      </w:r>
      <w:r>
        <w:rPr>
          <w:b w:val="0"/>
          <w:i w:val="0"/>
        </w:rPr>
        <w:t xml:space="preserve"> quy định cách thực hiện các hành động sao cho nhất quán với các chính sách. Quy trình nên được xây dựng bởi những người hiểu rõ các hành động hằng ngày sẽ chịu sự điều chỉnh của quy trình, và những người hiểu rõ các chính sách mà quy trình phải triển khai.</w:t>
      </w:r>
    </w:p>
    <w:p>
      <w:pPr>
        <w:spacing w:after="80"/>
        <w:ind w:left="360"/>
      </w:pPr>
      <w:r>
        <w:t xml:space="preserve">• </w:t>
      </w:r>
      <w:r>
        <w:rPr>
          <w:b/>
          <w:i w:val="0"/>
        </w:rPr>
        <w:t>Ví dụ về kiểm soát giám sát</w:t>
      </w:r>
      <w:r>
        <w:rPr>
          <w:b w:val="0"/>
          <w:i w:val="0"/>
        </w:rPr>
        <w:t xml:space="preserve"> là những tình huống mà các nhà quản lý đảm bảo mọi nhân viên hiểu rõ trách nhiệm và quyền hạn của mình, cùng với sự đảm bảo rằng các quy trình đang được tuân thủ trong đơn vị vận hành.</w:t>
      </w:r>
    </w:p>
    <w:p>
      <w:pPr>
        <w:spacing w:after="80"/>
        <w:ind w:left="360"/>
      </w:pPr>
      <w:r>
        <w:t xml:space="preserve">• </w:t>
      </w:r>
      <w:r>
        <w:rPr>
          <w:b/>
          <w:i w:val="0"/>
        </w:rPr>
        <w:t>Kiểm soát thông qua đánh giá</w:t>
      </w:r>
      <w:r>
        <w:rPr>
          <w:b w:val="0"/>
          <w:i w:val="0"/>
        </w:rPr>
        <w:t xml:space="preserve"> bao gồm một quy trình tự đánh giá liên tục theo yêu cầu của Đạo luật Sarbanes-Oxley năm 2002. Tự đánh giá là một loạt câu hỏi nhằm xác nhận tính hiệu quả của môi trường kiểm soát. Việc tự đánh giá phải được thực hiện mỗi quý tài chính. Trong một số tình huống, người quản lý đơn vị vận hành có thể chọn thực hiện kiểm tra tự đánh giá thường xuyên hơn. Điều thiết yếu là mọi điểm yếu phát hiện trong quá trình kiểm tra đều phải được khắc phục thông qua một quy trình hành động khắc phục và theo dõi.</w:t>
      </w:r>
    </w:p>
    <w:p>
      <w:pPr>
        <w:pStyle w:val="Heading3"/>
      </w:pPr>
      <w:r>
        <w:rPr>
          <w:rFonts w:ascii="Calibri" w:hAnsi="Calibri"/>
          <w:b/>
          <w:i w:val="0"/>
          <w:sz w:val="26"/>
        </w:rPr>
        <w:t>Vai trò và trách nhiệm</w:t>
      </w:r>
    </w:p>
    <w:p>
      <w:pPr>
        <w:spacing w:after="80"/>
        <w:ind w:left="360"/>
      </w:pPr>
      <w:r>
        <w:t xml:space="preserve">• </w:t>
      </w:r>
      <w:r>
        <w:rPr>
          <w:b/>
          <w:i w:val="0"/>
        </w:rPr>
        <w:t>Ban lãnh đạo:</w:t>
      </w:r>
      <w:r>
        <w:rPr>
          <w:b w:val="0"/>
          <w:i w:val="0"/>
        </w:rPr>
        <w:t xml:space="preserve"> Giám đốc điều hành (CEO) chịu trách nhiệm cuối cùng trong việc thiết lập “tông giọng từ trên xuống” (tone at the top) - yếu tố ảnh hưởng đến tính chính trực và đạo đức cần thiết cho một môi trường kiểm soát tích cực.</w:t>
      </w:r>
    </w:p>
    <w:p>
      <w:pPr>
        <w:spacing w:after="80"/>
        <w:ind w:left="360"/>
      </w:pPr>
      <w:r>
        <w:t xml:space="preserve">• </w:t>
      </w:r>
      <w:r>
        <w:rPr>
          <w:b/>
          <w:i w:val="0"/>
        </w:rPr>
        <w:t>Hội đồng quản trị:</w:t>
      </w:r>
      <w:r>
        <w:rPr>
          <w:b w:val="0"/>
          <w:i w:val="0"/>
        </w:rPr>
        <w:t xml:space="preserve"> Ban lãnh đạo chịu trách nhiệm giải trình trước hội đồng quản trị, cơ quan đảm nhận việc quản trị, định hướng và giám sát.</w:t>
      </w:r>
    </w:p>
    <w:p>
      <w:pPr>
        <w:spacing w:after="80"/>
        <w:ind w:left="360"/>
      </w:pPr>
      <w:r>
        <w:t xml:space="preserve">• </w:t>
      </w:r>
      <w:r>
        <w:rPr>
          <w:b/>
          <w:i w:val="0"/>
        </w:rPr>
        <w:t>Kiểm toán viên nội bộ:</w:t>
      </w:r>
      <w:r>
        <w:rPr>
          <w:b w:val="0"/>
          <w:i w:val="0"/>
        </w:rPr>
        <w:t xml:space="preserve"> Kiểm toán viên nội bộ đóng vai trò quan trọng trong việc đánh giá hiệu quả của các chương trình kiểm soát, và góp phần duy trì hiệu quả liên tục. Nhờ vị trí tổ chức và thẩm quyền trong một thực thể, chức năng kiểm toán nội bộ đóng vai trò giám sát đáng kể.</w:t>
      </w:r>
    </w:p>
    <w:p>
      <w:pPr>
        <w:spacing w:after="80"/>
        <w:ind w:left="360"/>
      </w:pPr>
      <w:r>
        <w:t xml:space="preserve">• </w:t>
      </w:r>
      <w:r>
        <w:rPr>
          <w:b/>
          <w:i w:val="0"/>
        </w:rPr>
        <w:t>Nhân sự khác:</w:t>
      </w:r>
      <w:r>
        <w:rPr>
          <w:b w:val="0"/>
          <w:i w:val="0"/>
        </w:rPr>
        <w:t xml:space="preserve"> Hệ thống kiểm soát nội bộ là trách nhiệm của mọi người trong tổ chức và nên là một phần rõ ràng hoặc ngầm định trong mô tả công việc của mỗi người. Tất cả nhân viên nên có trách nhiệm báo cáo lên cấp trên về các vấn đề trong hoạt động, việc không tuân thủ quy tắc ứng xử, hoặc các vi phạm chính sách hay hành động bất hợp pháp khác.</w:t>
      </w:r>
    </w:p>
    <w:p>
      <w:pPr>
        <w:pStyle w:val="Heading2"/>
      </w:pPr>
      <w:r>
        <w:rPr>
          <w:rFonts w:ascii="Calibri" w:hAnsi="Calibri"/>
          <w:b/>
          <w:i w:val="0"/>
          <w:sz w:val="32"/>
        </w:rPr>
        <w:t>VÍ DỤ VỀ CHÍNH SÁCH ỦY QUYỀN (DOA)</w:t>
      </w:r>
    </w:p>
    <w:p>
      <w:pPr>
        <w:pStyle w:val="Heading3"/>
      </w:pPr>
      <w:r>
        <w:rPr>
          <w:rFonts w:ascii="Calibri" w:hAnsi="Calibri"/>
          <w:b/>
          <w:i w:val="0"/>
          <w:sz w:val="26"/>
        </w:rPr>
        <w:t>Giới thiệu và Phạm vi</w:t>
      </w:r>
    </w:p>
    <w:p>
      <w:pPr>
        <w:spacing w:after="80"/>
      </w:pPr>
      <w:r>
        <w:rPr>
          <w:b w:val="0"/>
          <w:i w:val="0"/>
        </w:rPr>
        <w:t>Hội đồng quản trị của công ty (Hội đồng) đã phê duyệt chính sách Ủy quyền (DoA) này vào ngày (XXXX. XX, XXX). Hội đồng sẽ xem xét DoA hàng năm và phê duyệt mọi thay đổi cần thiết. Hội đồng đã chỉ định thư ký công ty và tổng cố vấn pháp lý hỗ trợ việc giải thích và áp dụng chính sách này, bao gồm các vấn đề gây thắc mắc trong ban quản lý. DoA này bị giới hạn và phụ thuộc vào các luật và quy chế hiện hành, cũng như Giấy chứng nhận thành lập và Điều lệ của công ty. DoA này áp dụng cho tất cả hoạt động của công ty trên phạm vi toàn cầu.</w:t>
      </w:r>
    </w:p>
    <w:p>
      <w:pPr>
        <w:spacing w:after="80"/>
      </w:pPr>
      <w:r>
        <w:rPr>
          <w:b w:val="0"/>
          <w:i w:val="0"/>
        </w:rPr>
        <w:t>Mục đích của DoA là đảm bảo hoạt động hiệu quả của công ty trong khi duy trì tính chính trực về tài chính và tuân thủ chính sách. Được nêu ra ở đây là những tình huống yêu cầu DoA. Các quy trình được tham chiếu để cung cấp thêm chi tiết cho việc thực thi chính sách. Trách nhiệm giải trình đối với việc quản lý tổng thể tài sản, nguồn lực tài chính và nhân sự của công ty thuộc về tổng giám đốc điều hành (CEO). Những người được giao thẩm quyền theo các điều khoản của DoA phải bảo vệ nguồn lực của công ty bằng cách thiết lập và duy trì các kiểm soát nội bộ nhằm ngăn chặn và phát hiện mọi hành vi lạm dụng nguồn lực tiềm ẩn.</w:t>
      </w:r>
    </w:p>
    <w:p>
      <w:pPr>
        <w:pStyle w:val="Heading3"/>
      </w:pPr>
      <w:r>
        <w:rPr>
          <w:rFonts w:ascii="Calibri" w:hAnsi="Calibri"/>
          <w:b/>
          <w:i w:val="0"/>
          <w:sz w:val="26"/>
        </w:rPr>
        <w:t>Ủy quyền Chi tiết</w:t>
      </w:r>
    </w:p>
    <w:p>
      <w:pPr>
        <w:pStyle w:val="Heading4"/>
      </w:pPr>
      <w:r>
        <w:rPr>
          <w:rFonts w:ascii="Calibri" w:hAnsi="Calibri"/>
          <w:b/>
          <w:i/>
          <w:sz w:val="23"/>
        </w:rPr>
        <w:t>Tuyên bố Ủy quyền Chi tiết</w:t>
      </w:r>
    </w:p>
    <w:p>
      <w:pPr>
        <w:spacing w:after="80"/>
        <w:ind w:left="360"/>
      </w:pPr>
      <w:r>
        <w:t xml:space="preserve">• </w:t>
      </w:r>
      <w:r>
        <w:rPr>
          <w:b/>
          <w:i w:val="0"/>
        </w:rPr>
        <w:t>Quy trình Ủy quyền:</w:t>
      </w:r>
      <w:r>
        <w:rPr>
          <w:b w:val="0"/>
          <w:i w:val="0"/>
        </w:rPr>
        <w:t xml:space="preserve"> Thẩm quyền không thể được ủy quyền ngoài những gì được quy định trong tài liệu này. Việc ủy quyền yêu cầu sự phê duyệt của cấp trên trực tiếp của người ủy quyền và phải được ghi nhận bằng một mẫu ủy quyền. (Tham khảo Phụ lục 1) Mẫu yêu cầu ủy quyền sẽ bao gồm tên của người được ủy quyền, mô tả phạm vi ủy quyền, lý do ủy quyền, ngày hiệu lực của thẩm quyền, và ngày hủy bỏ thẩm quyền (việc ủy quyền không được để mở vô thời hạn). Người ủy quyền phải cung cấp một bản sao của mẫu cho thư ký công ty.</w:t>
      </w:r>
    </w:p>
    <w:p>
      <w:pPr>
        <w:spacing w:after="80"/>
        <w:ind w:left="360"/>
      </w:pPr>
      <w:r>
        <w:t xml:space="preserve">• </w:t>
      </w:r>
      <w:r>
        <w:rPr>
          <w:b/>
          <w:i w:val="0"/>
        </w:rPr>
        <w:t>Các Cấp độ Thẩm quyền Được Xác định:</w:t>
      </w:r>
      <w:r>
        <w:rPr>
          <w:b w:val="0"/>
          <w:i w:val="0"/>
        </w:rPr>
        <w:t xml:space="preserve"> Ban quản lý đơn vị hoạt động có trách nhiệm hướng dẫn về các quy định của DoA này cho tất cả nhân sự phù hợp của đơn vị hoạt động. Tất cả nhân sự phải hiểu sự áp dụng các quy định của DoA này trong việc thực hiện trách nhiệm tương ứng của họ. Nhân viên nên xác nhận với giám đốc tài chính của đơn vị hoạt động của họ về các giới hạn thẩm quyền đã được ủy quyền cho họ. Chánh văn phòng, tổng cố vấn pháp lý, giám đốc nhân sự, giám đốc thông tin, và giám đốc tài chính có cùng sự ủy quyền tài chính như các lãnh đạo đơn vị kinh doanh.</w:t>
      </w:r>
    </w:p>
    <w:p>
      <w:pPr>
        <w:spacing w:after="80"/>
        <w:ind w:left="360"/>
      </w:pPr>
      <w:r>
        <w:t xml:space="preserve">• </w:t>
      </w:r>
      <w:r>
        <w:rPr>
          <w:b/>
          <w:i w:val="0"/>
        </w:rPr>
        <w:t>Trách nhiệm:</w:t>
      </w:r>
      <w:r>
        <w:rPr>
          <w:b w:val="0"/>
          <w:i w:val="0"/>
        </w:rPr>
        <w:t xml:space="preserve"> Mỗi đơn vị hoạt động phải duy trì một chính sách bằng văn bản triển khai DoA trong đơn vị hoạt động đó. Các đơn vị hoạt động có thẩm quyền thực hiện các quy trình ủy quyền nghiêm ngặt hơn các yêu cầu của chính sách nếu họ tin rằng điều đó vì lợi ích tốt nhất của doanh nghiệp. Mỗi đơn vị hoạt động được yêu cầu xem xét và cập nhật chính sách DoA của mình ít nhất hàng năm và thực hiện cập nhật kịp thời.</w:t>
      </w:r>
    </w:p>
    <w:p>
      <w:pPr>
        <w:spacing w:after="80"/>
        <w:ind w:left="360"/>
      </w:pPr>
      <w:r>
        <w:t xml:space="preserve">• </w:t>
      </w:r>
      <w:r>
        <w:rPr>
          <w:b/>
          <w:i w:val="0"/>
        </w:rPr>
        <w:t>Số Tiền Ở Cấp Phê duyệt:</w:t>
      </w:r>
      <w:r>
        <w:rPr>
          <w:b w:val="0"/>
          <w:i w:val="0"/>
        </w:rPr>
        <w:t xml:space="preserve"> Tất cả số tiền được nêu trong DoA này để xác định cấp phê duyệt hoặc mức độ ủy quyền đều đề cập đến giá trị tương đương bằng đô la Mỹ hiện tại của giá trị ước tính bằng nội tệ. Các số tiền được nêu biểu thị giới hạn tuyệt đối và không được vượt quá, ngay cả với những khoản </w:t>
      </w:r>
      <w:r>
        <w:rPr>
          <w:b w:val="0"/>
          <w:i/>
        </w:rPr>
        <w:t>de minimis</w:t>
      </w:r>
      <w:r>
        <w:rPr>
          <w:b w:val="0"/>
          <w:i w:val="0"/>
        </w:rPr>
        <w:t>.</w:t>
      </w:r>
    </w:p>
    <w:p>
      <w:pPr>
        <w:spacing w:after="80"/>
        <w:ind w:left="360"/>
      </w:pPr>
      <w:r>
        <w:t xml:space="preserve">• </w:t>
      </w:r>
      <w:r>
        <w:rPr>
          <w:b/>
          <w:i w:val="0"/>
        </w:rPr>
        <w:t>Thay đổi đối với Chính sách DoA:</w:t>
      </w:r>
      <w:r>
        <w:rPr>
          <w:b w:val="0"/>
          <w:i w:val="0"/>
        </w:rPr>
        <w:t xml:space="preserve"> Chỉ Hội đồng mới có thể ban hành thay đổi đối với cấp thẩm quyền được ủy quyền cho CEO. Mọi sai lệch hoặc miễn trừ liên quan đến DoA phải dưới hình thức một nghị quyết của Hội đồng. Các chính sách khác của công ty nên được quản lý sao cho không xung đột với DoA.</w:t>
      </w:r>
    </w:p>
    <w:p>
      <w:pPr>
        <w:spacing w:after="80"/>
        <w:ind w:left="360"/>
      </w:pPr>
      <w:r>
        <w:t xml:space="preserve">• </w:t>
      </w:r>
      <w:r>
        <w:rPr>
          <w:b/>
          <w:i w:val="0"/>
        </w:rPr>
        <w:t>Cơ cấu Ủy quyền Cam kết Tài chính:</w:t>
      </w:r>
      <w:r>
        <w:rPr>
          <w:b w:val="0"/>
          <w:i w:val="0"/>
        </w:rPr>
        <w:t xml:space="preserve"> Vì mục đích của DoA, các giới hạn thẩm quyền chi tiêu được quy định trong Mục 1.2 và được thể hiện bằng đồ họa bên dưới. Chánh văn phòng, tổng cố vấn pháp lý, giám đốc nhân sự, giám đốc thông tin, và giám đốc tài chính có cùng sự ủy quyền tài chính như các lãnh đạo đơn vị kinh doanh. Sơ đồ bên dưới mô tả quy trình “khóa đôi” cần thiết để phê duyệt các cam kết tài chính.</w:t>
      </w:r>
    </w:p>
    <w:p>
      <w:pPr>
        <w:jc w:val="center"/>
      </w:pPr>
      <w:r>
        <w:drawing>
          <wp:inline xmlns:a="http://schemas.openxmlformats.org/drawingml/2006/main" xmlns:pic="http://schemas.openxmlformats.org/drawingml/2006/picture">
            <wp:extent cx="5486400" cy="2936499"/>
            <wp:docPr id="19" name="Picture 19"/>
            <wp:cNvGraphicFramePr>
              <a:graphicFrameLocks noChangeAspect="1"/>
            </wp:cNvGraphicFramePr>
            <a:graphic>
              <a:graphicData uri="http://schemas.openxmlformats.org/drawingml/2006/picture">
                <pic:pic>
                  <pic:nvPicPr>
                    <pic:cNvPr id="0" name="Image00020.jpg"/>
                    <pic:cNvPicPr/>
                  </pic:nvPicPr>
                  <pic:blipFill>
                    <a:blip r:embed="rId27"/>
                    <a:stretch>
                      <a:fillRect/>
                    </a:stretch>
                  </pic:blipFill>
                  <pic:spPr>
                    <a:xfrm>
                      <a:off x="0" y="0"/>
                      <a:ext cx="5486400" cy="2936499"/>
                    </a:xfrm>
                    <a:prstGeom prst="rect"/>
                  </pic:spPr>
                </pic:pic>
              </a:graphicData>
            </a:graphic>
          </wp:inline>
        </w:drawing>
      </w:r>
    </w:p>
    <w:p>
      <w:pPr>
        <w:pStyle w:val="Heading3"/>
      </w:pPr>
      <w:r>
        <w:rPr>
          <w:rFonts w:ascii="Calibri" w:hAnsi="Calibri"/>
          <w:b/>
          <w:i w:val="0"/>
          <w:sz w:val="26"/>
        </w:rPr>
        <w:t>Hạn chế/Ngoại lệ/Quyền được Bảo lưu</w:t>
      </w:r>
    </w:p>
    <w:p>
      <w:pPr>
        <w:spacing w:after="80"/>
      </w:pPr>
      <w:r>
        <w:rPr>
          <w:b w:val="0"/>
          <w:i w:val="0"/>
        </w:rPr>
        <w:t>Ngoài những mục được quy định trong giấy chứng nhận thành lập và điều lệ, Hội đồng bảo lưu mọi thẩm quyền không được ủy quyền cụ thể theo DoA, bao gồm những điều sau đây:</w:t>
      </w:r>
    </w:p>
    <w:p>
      <w:pPr>
        <w:pStyle w:val="Heading3"/>
      </w:pPr>
      <w:r>
        <w:rPr>
          <w:rFonts w:ascii="Calibri" w:hAnsi="Calibri"/>
          <w:b/>
          <w:i w:val="0"/>
          <w:sz w:val="26"/>
        </w:rPr>
        <w:t>Quản trị công ty</w:t>
      </w:r>
    </w:p>
    <w:p>
      <w:pPr>
        <w:spacing w:after="80"/>
        <w:ind w:left="360"/>
      </w:pPr>
      <w:r>
        <w:t xml:space="preserve">• </w:t>
      </w:r>
      <w:r>
        <w:rPr>
          <w:b w:val="0"/>
          <w:i w:val="0"/>
        </w:rPr>
        <w:t>Việc thiết lập các chính sách điều chỉnh hành vi của công ty và các công ty con trong mối quan hệ với việc tuân thủ các luật hiện hành và các chính sách khác mà Hội đồng quản trị cho là có tầm quan trọng</w:t>
      </w:r>
    </w:p>
    <w:p>
      <w:pPr>
        <w:spacing w:after="80"/>
        <w:ind w:left="360"/>
      </w:pPr>
      <w:r>
        <w:t xml:space="preserve">• </w:t>
      </w:r>
      <w:r>
        <w:rPr>
          <w:b w:val="0"/>
          <w:i w:val="0"/>
        </w:rPr>
        <w:t>Những thay đổi đối với quy tắc đạo đức của công ty</w:t>
      </w:r>
    </w:p>
    <w:p>
      <w:pPr>
        <w:spacing w:after="80"/>
        <w:ind w:left="360"/>
      </w:pPr>
      <w:r>
        <w:t xml:space="preserve">• </w:t>
      </w:r>
      <w:r>
        <w:rPr>
          <w:b w:val="0"/>
          <w:i w:val="0"/>
        </w:rPr>
        <w:t>Hình thức và nội dung của bất kỳ thay đổi đề xuất nào đối với giấy chứng nhận thành lập hoặc điều lệ của công ty, bất kỳ thay đổi đề xuất nào đối với DoA này, hoặc bất kỳ thay đổi nào khác về hình thức quản trị và giám sát quản lý của công ty</w:t>
      </w:r>
    </w:p>
    <w:p>
      <w:pPr>
        <w:pStyle w:val="Heading3"/>
      </w:pPr>
      <w:r>
        <w:rPr>
          <w:rFonts w:ascii="Calibri" w:hAnsi="Calibri"/>
          <w:b/>
          <w:i w:val="0"/>
          <w:sz w:val="26"/>
        </w:rPr>
        <w:t>Công bố thông tin</w:t>
      </w:r>
    </w:p>
    <w:p>
      <w:pPr>
        <w:spacing w:after="80"/>
        <w:ind w:left="360"/>
      </w:pPr>
      <w:r>
        <w:t xml:space="preserve">• </w:t>
      </w:r>
      <w:r>
        <w:rPr>
          <w:b w:val="0"/>
          <w:i w:val="0"/>
        </w:rPr>
        <w:t>Tất cả các công bố thông tin công khai, bao gồm bất kỳ hồ sơ nộp thay mặt công ty lên Ủy ban Chứng khoán và Giao dịch (SEC) và các cơ quan quản lý khác</w:t>
      </w:r>
    </w:p>
    <w:p>
      <w:pPr>
        <w:spacing w:after="80"/>
        <w:ind w:left="360"/>
      </w:pPr>
      <w:r>
        <w:t xml:space="preserve">• </w:t>
      </w:r>
      <w:r>
        <w:rPr>
          <w:b w:val="0"/>
          <w:i w:val="0"/>
        </w:rPr>
        <w:t>Bất kỳ công bố thông tin nào khác của công ty cho các cổ đông và người đại diện của họ, công chúng nói chung và cộng đồng doanh nghiệp</w:t>
      </w:r>
    </w:p>
    <w:p>
      <w:pPr>
        <w:pStyle w:val="Heading3"/>
      </w:pPr>
      <w:r>
        <w:rPr>
          <w:rFonts w:ascii="Calibri" w:hAnsi="Calibri"/>
          <w:b/>
          <w:i w:val="0"/>
          <w:sz w:val="26"/>
        </w:rPr>
        <w:t>Các vấn đề tài chính</w:t>
      </w:r>
    </w:p>
    <w:p>
      <w:pPr>
        <w:spacing w:after="80"/>
        <w:ind w:left="360"/>
      </w:pPr>
      <w:r>
        <w:t xml:space="preserve">• </w:t>
      </w:r>
      <w:r>
        <w:rPr>
          <w:b w:val="0"/>
          <w:i w:val="0"/>
        </w:rPr>
        <w:t>Tuyên bố cổ tức</w:t>
      </w:r>
    </w:p>
    <w:p>
      <w:pPr>
        <w:spacing w:after="80"/>
        <w:ind w:left="360"/>
      </w:pPr>
      <w:r>
        <w:t xml:space="preserve">• </w:t>
      </w:r>
      <w:r>
        <w:rPr>
          <w:b w:val="0"/>
          <w:i w:val="0"/>
        </w:rPr>
        <w:t>Việc phát hành, mua lại, trao đổi và chuộc lại hoặc chuyển nhượng quyền đối với bất kỳ chứng khoán vốn nào của công ty</w:t>
      </w:r>
    </w:p>
    <w:p>
      <w:pPr>
        <w:spacing w:after="80"/>
        <w:ind w:left="360"/>
      </w:pPr>
      <w:r>
        <w:t xml:space="preserve">• </w:t>
      </w:r>
      <w:r>
        <w:rPr>
          <w:b w:val="0"/>
          <w:i w:val="0"/>
        </w:rPr>
        <w:t>Thành lập các cơ sở vay nợ hoặc phát hành nợ dài hạn</w:t>
      </w:r>
    </w:p>
    <w:p>
      <w:pPr>
        <w:spacing w:after="80"/>
        <w:ind w:left="360"/>
      </w:pPr>
      <w:r>
        <w:t xml:space="preserve">• </w:t>
      </w:r>
      <w:r>
        <w:rPr>
          <w:b w:val="0"/>
          <w:i w:val="0"/>
        </w:rPr>
        <w:t>Sáp nhập, hợp nhất, kết hợp, tái tổ chức, mua lại hoặc thoái vốn có giá trị từ $50M trở lên, liên quan đến công ty hoặc bất kỳ một công ty con nào của công ty</w:t>
      </w:r>
    </w:p>
    <w:p>
      <w:pPr>
        <w:spacing w:after="80"/>
        <w:ind w:left="360"/>
      </w:pPr>
      <w:r>
        <w:t xml:space="preserve">• </w:t>
      </w:r>
      <w:r>
        <w:rPr>
          <w:b w:val="0"/>
          <w:i w:val="0"/>
        </w:rPr>
        <w:t>Mua hoặc bán một doanh nghiệp, lợi ích trong một doanh nghiệp hoặc dòng sản phẩm có giá trị từ $50M trở lên</w:t>
      </w:r>
    </w:p>
    <w:p>
      <w:pPr>
        <w:spacing w:after="80"/>
        <w:ind w:left="360"/>
      </w:pPr>
      <w:r>
        <w:t xml:space="preserve">• </w:t>
      </w:r>
      <w:r>
        <w:rPr>
          <w:b w:val="0"/>
          <w:i w:val="0"/>
        </w:rPr>
        <w:t>Mua, bán, thuê hoặc bán/thuê lại bất động sản hoặc tài sản khác có giá trị từ $50M trở lên</w:t>
      </w:r>
    </w:p>
    <w:p>
      <w:pPr>
        <w:spacing w:after="80"/>
        <w:ind w:left="360"/>
      </w:pPr>
      <w:r>
        <w:t xml:space="preserve">• </w:t>
      </w:r>
      <w:r>
        <w:rPr>
          <w:b w:val="0"/>
          <w:i w:val="0"/>
        </w:rPr>
        <w:t>Tái cấp vốn, tái cơ cấu, tách công ty (spinoff), tách cổ phần (splitoff), Liên doanh (JVs), liên minh chiến lược và các giao dịch khác có ảnh hưởng trọng yếu đến cơ cấu vốn của công ty hoặc mối quan hệ của công ty với bất kỳ công ty con, nhóm công ty con hoặc bất kỳ bên thứ ba nào</w:t>
      </w:r>
    </w:p>
    <w:p>
      <w:pPr>
        <w:spacing w:after="80"/>
        <w:ind w:left="360"/>
      </w:pPr>
      <w:r>
        <w:t xml:space="preserve">• </w:t>
      </w:r>
      <w:r>
        <w:rPr>
          <w:b w:val="0"/>
          <w:i w:val="0"/>
        </w:rPr>
        <w:t>Thành lập, bán, sáp nhập hoặc giải thể một công ty con quan trọng</w:t>
      </w:r>
    </w:p>
    <w:p>
      <w:pPr>
        <w:spacing w:after="80"/>
        <w:ind w:left="360"/>
      </w:pPr>
      <w:r>
        <w:t xml:space="preserve">• </w:t>
      </w:r>
      <w:r>
        <w:rPr>
          <w:b w:val="0"/>
          <w:i w:val="0"/>
        </w:rPr>
        <w:t>Mua hoặc bán chứng khoán vốn hoặc lợi ích trong công ty khác từ 50 triệu USD trở lên</w:t>
      </w:r>
    </w:p>
    <w:p>
      <w:pPr>
        <w:spacing w:after="80"/>
        <w:ind w:left="360"/>
      </w:pPr>
      <w:r>
        <w:t xml:space="preserve">• </w:t>
      </w:r>
      <w:r>
        <w:rPr>
          <w:b w:val="0"/>
          <w:i w:val="0"/>
        </w:rPr>
        <w:t>Các khoản cho vay đối với bên không phải công ty liên kết từ 5 triệu USD trở lên</w:t>
      </w:r>
    </w:p>
    <w:p>
      <w:pPr>
        <w:spacing w:after="80"/>
        <w:ind w:left="360"/>
      </w:pPr>
      <w:r>
        <w:t xml:space="preserve">• </w:t>
      </w:r>
      <w:r>
        <w:rPr>
          <w:b w:val="0"/>
          <w:i w:val="0"/>
        </w:rPr>
        <w:t>Bảo lãnh các khoản nợ đối với bên không phải công ty liên kết từ 5 triệu USD trở lên</w:t>
      </w:r>
    </w:p>
    <w:p>
      <w:pPr>
        <w:spacing w:after="80"/>
        <w:ind w:left="360"/>
      </w:pPr>
      <w:r>
        <w:t xml:space="preserve">• </w:t>
      </w:r>
      <w:r>
        <w:rPr>
          <w:b w:val="0"/>
          <w:i w:val="0"/>
        </w:rPr>
        <w:t>Ngân sách đóng góp từ thiện hợp nhất hằng năm</w:t>
      </w:r>
    </w:p>
    <w:p>
      <w:pPr>
        <w:spacing w:after="80"/>
        <w:ind w:left="360"/>
      </w:pPr>
      <w:r>
        <w:t xml:space="preserve">• </w:t>
      </w:r>
      <w:r>
        <w:rPr>
          <w:b w:val="0"/>
          <w:i w:val="0"/>
        </w:rPr>
        <w:t>Các cam kết thông thường trong hoạt động kinh doanh trên 50 triệu USD</w:t>
      </w:r>
    </w:p>
    <w:p>
      <w:pPr>
        <w:pStyle w:val="Heading3"/>
      </w:pPr>
      <w:r>
        <w:rPr>
          <w:rFonts w:ascii="Calibri" w:hAnsi="Calibri"/>
          <w:b/>
          <w:i w:val="0"/>
          <w:sz w:val="26"/>
        </w:rPr>
        <w:t>Dịch vụ kiểm toán và phi kiểm toán</w:t>
      </w:r>
    </w:p>
    <w:p>
      <w:pPr>
        <w:spacing w:after="80"/>
        <w:ind w:left="360"/>
      </w:pPr>
      <w:r>
        <w:t xml:space="preserve">• </w:t>
      </w:r>
      <w:r>
        <w:rPr>
          <w:b w:val="0"/>
          <w:i w:val="0"/>
        </w:rPr>
        <w:t>Thay đổi chính sách và nguyên tắc kế toán</w:t>
      </w:r>
    </w:p>
    <w:p>
      <w:pPr>
        <w:spacing w:after="80"/>
        <w:ind w:left="360"/>
      </w:pPr>
      <w:r>
        <w:t xml:space="preserve">• </w:t>
      </w:r>
      <w:r>
        <w:rPr>
          <w:b w:val="0"/>
          <w:i w:val="0"/>
        </w:rPr>
        <w:t>Bổ nhiệm kiểm toán viên độc lập</w:t>
      </w:r>
    </w:p>
    <w:p>
      <w:pPr>
        <w:spacing w:after="80"/>
        <w:ind w:left="360"/>
      </w:pPr>
      <w:r>
        <w:t xml:space="preserve">• </w:t>
      </w:r>
      <w:r>
        <w:rPr>
          <w:b w:val="0"/>
          <w:i w:val="0"/>
        </w:rPr>
        <w:t>Phạm vi và phí của kiểm toán viên độc lập</w:t>
      </w:r>
    </w:p>
    <w:p>
      <w:pPr>
        <w:spacing w:after="80"/>
        <w:ind w:left="360"/>
      </w:pPr>
      <w:r>
        <w:t xml:space="preserve">• </w:t>
      </w:r>
      <w:r>
        <w:rPr>
          <w:b w:val="0"/>
          <w:i w:val="0"/>
        </w:rPr>
        <w:t>Dịch vụ phi kiểm toán do kiểm toán viên bên ngoài cung cấp</w:t>
      </w:r>
    </w:p>
    <w:p>
      <w:pPr>
        <w:spacing w:after="80"/>
        <w:ind w:left="360"/>
      </w:pPr>
      <w:r>
        <w:t xml:space="preserve">• </w:t>
      </w:r>
      <w:r>
        <w:rPr>
          <w:b w:val="0"/>
          <w:i w:val="0"/>
        </w:rPr>
        <w:t>Phạm vi của kiểm toán nội bộ</w:t>
      </w:r>
    </w:p>
    <w:p>
      <w:pPr>
        <w:pStyle w:val="Heading3"/>
      </w:pPr>
      <w:r>
        <w:rPr>
          <w:rFonts w:ascii="Calibri" w:hAnsi="Calibri"/>
          <w:b/>
          <w:i w:val="0"/>
          <w:sz w:val="26"/>
        </w:rPr>
        <w:t>Thù lao</w:t>
      </w:r>
    </w:p>
    <w:p>
      <w:pPr>
        <w:spacing w:after="80"/>
        <w:ind w:left="360"/>
      </w:pPr>
      <w:r>
        <w:t xml:space="preserve">• </w:t>
      </w:r>
      <w:r>
        <w:rPr>
          <w:b w:val="0"/>
          <w:i w:val="0"/>
        </w:rPr>
        <w:t>Mức thù lao tối đa, thay đổi tiền lương và khung lương cho tất cả cán bộ và nhân viên của công ty</w:t>
      </w:r>
    </w:p>
    <w:p>
      <w:pPr>
        <w:spacing w:after="80"/>
        <w:ind w:left="360"/>
      </w:pPr>
      <w:r>
        <w:t xml:space="preserve">• </w:t>
      </w:r>
      <w:r>
        <w:rPr>
          <w:b w:val="0"/>
          <w:i w:val="0"/>
        </w:rPr>
        <w:t>Các chương trình giữ chân nhân sự cho hoạt động mua lại, thoái vốn, đóng cửa cơ sở hoặc các sự kiện khác</w:t>
      </w:r>
    </w:p>
    <w:p>
      <w:pPr>
        <w:spacing w:after="80"/>
        <w:ind w:left="360"/>
      </w:pPr>
      <w:r>
        <w:t xml:space="preserve">• </w:t>
      </w:r>
      <w:r>
        <w:rPr>
          <w:b w:val="0"/>
          <w:i w:val="0"/>
        </w:rPr>
        <w:t>Các chương trình trợ cấp thôi việc</w:t>
      </w:r>
    </w:p>
    <w:p>
      <w:pPr>
        <w:spacing w:after="80"/>
        <w:ind w:left="360"/>
      </w:pPr>
      <w:r>
        <w:t xml:space="preserve">• </w:t>
      </w:r>
      <w:r>
        <w:rPr>
          <w:b w:val="0"/>
          <w:i w:val="0"/>
        </w:rPr>
        <w:t>Thời hạn của hợp đồng lao động</w:t>
      </w:r>
    </w:p>
    <w:p>
      <w:pPr>
        <w:spacing w:after="80"/>
        <w:ind w:left="360"/>
      </w:pPr>
      <w:r>
        <w:t xml:space="preserve">• </w:t>
      </w:r>
      <w:r>
        <w:rPr>
          <w:b w:val="0"/>
          <w:i w:val="0"/>
        </w:rPr>
        <w:t>Các khoản thưởng cổ phần</w:t>
      </w:r>
    </w:p>
    <w:p>
      <w:pPr>
        <w:spacing w:after="80"/>
        <w:ind w:left="360"/>
      </w:pPr>
      <w:r>
        <w:t xml:space="preserve">• </w:t>
      </w:r>
      <w:r>
        <w:rPr>
          <w:b w:val="0"/>
          <w:i w:val="0"/>
        </w:rPr>
        <w:t>Việc lựa chọn và giữ chân các chuyên gia tư vấn về thù lao</w:t>
      </w:r>
    </w:p>
    <w:p>
      <w:pPr>
        <w:pStyle w:val="Heading3"/>
      </w:pPr>
      <w:r>
        <w:rPr>
          <w:rFonts w:ascii="Calibri" w:hAnsi="Calibri"/>
          <w:b/>
          <w:i w:val="0"/>
          <w:sz w:val="26"/>
        </w:rPr>
        <w:t>Các cán bộ điều hành</w:t>
      </w:r>
    </w:p>
    <w:p>
      <w:pPr>
        <w:spacing w:after="80"/>
        <w:ind w:left="360"/>
      </w:pPr>
      <w:r>
        <w:t xml:space="preserve">• </w:t>
      </w:r>
      <w:r>
        <w:rPr>
          <w:b w:val="0"/>
          <w:i w:val="0"/>
        </w:rPr>
        <w:t>Việc bổ nhiệm, bầu cử, chấm dứt và các hành động khác liên quan đến cán bộ điều hành của công ty</w:t>
      </w:r>
    </w:p>
    <w:p>
      <w:pPr>
        <w:pStyle w:val="Heading3"/>
      </w:pPr>
      <w:r>
        <w:rPr>
          <w:rFonts w:ascii="Calibri" w:hAnsi="Calibri"/>
          <w:b/>
          <w:i w:val="0"/>
          <w:sz w:val="26"/>
        </w:rPr>
        <w:t>Các trường hợp miễn trừ</w:t>
      </w:r>
    </w:p>
    <w:p>
      <w:pPr>
        <w:spacing w:after="80"/>
        <w:ind w:left="360"/>
      </w:pPr>
      <w:r>
        <w:t xml:space="preserve">• </w:t>
      </w:r>
      <w:r>
        <w:rPr>
          <w:b w:val="0"/>
          <w:i w:val="0"/>
        </w:rPr>
        <w:t>Việc sử dụng tài sản của công ty cho mục đích cá nhân</w:t>
      </w:r>
    </w:p>
    <w:p>
      <w:pPr>
        <w:spacing w:after="80"/>
        <w:ind w:left="360"/>
      </w:pPr>
      <w:r>
        <w:t xml:space="preserve">• </w:t>
      </w:r>
      <w:r>
        <w:rPr>
          <w:b w:val="0"/>
          <w:i w:val="0"/>
        </w:rPr>
        <w:t>Các trường hợp miễn trừ hoặc loại trừ khỏi Bộ Quy tắc Đạo đức và Ứng xử Kinh doanh của công ty</w:t>
      </w:r>
    </w:p>
    <w:p>
      <w:pPr>
        <w:pStyle w:val="Heading3"/>
      </w:pPr>
      <w:r>
        <w:rPr>
          <w:rFonts w:ascii="Calibri" w:hAnsi="Calibri"/>
          <w:b/>
          <w:i w:val="0"/>
          <w:sz w:val="26"/>
        </w:rPr>
        <w:t>Các vấn đề khác</w:t>
      </w:r>
    </w:p>
    <w:p>
      <w:pPr>
        <w:spacing w:after="80"/>
      </w:pPr>
      <w:r>
        <w:rPr>
          <w:b w:val="0"/>
          <w:i w:val="0"/>
        </w:rPr>
        <w:t xml:space="preserve">Hội đồng Quản trị cũng bảo lưu quyền xem xét bất kỳ vấn đề nào khác mà hội đồng lựa chọn. </w:t>
      </w:r>
      <w:r>
        <w:rPr>
          <w:b w:val="0"/>
          <w:i/>
        </w:rPr>
        <w:t>Ngoài ra, Hội đồng Quản trị</w:t>
      </w:r>
      <w:r>
        <w:rPr>
          <w:b w:val="0"/>
          <w:i w:val="0"/>
        </w:rPr>
        <w:t xml:space="preserve"> </w:t>
      </w:r>
      <w:r>
        <w:rPr>
          <w:b w:val="0"/>
          <w:i/>
        </w:rPr>
        <w:t>phải được thông báo về những điều sau đây</w:t>
      </w:r>
      <w:r>
        <w:rPr>
          <w:b w:val="0"/>
          <w:i w:val="0"/>
        </w:rPr>
        <w:t xml:space="preserve"> :</w:t>
      </w:r>
    </w:p>
    <w:p>
      <w:pPr>
        <w:spacing w:after="80"/>
        <w:ind w:left="360"/>
      </w:pPr>
      <w:r>
        <w:t xml:space="preserve">• </w:t>
      </w:r>
      <w:r>
        <w:rPr>
          <w:b w:val="0"/>
          <w:i w:val="0"/>
        </w:rPr>
        <w:t>Việc giải quyết các vụ kiện và khiếu nại chống lại công ty trong phạm vi mà bất kỳ khoản thanh toán, thỏa thuận, sự đồng ý hoặc cam kết bắt buộc nào có thể được coi là ảnh hưởng đáng kể đến toàn bộ doanh nghiệp</w:t>
      </w:r>
    </w:p>
    <w:p>
      <w:pPr>
        <w:spacing w:after="80"/>
        <w:ind w:left="360"/>
      </w:pPr>
      <w:r>
        <w:t xml:space="preserve">• </w:t>
      </w:r>
      <w:r>
        <w:rPr>
          <w:b w:val="0"/>
          <w:i w:val="0"/>
        </w:rPr>
        <w:t>Việc thiết lập các mục tiêu của công ty và các sửa đổi đối với thu nhập, ngân sách, kế hoạch kinh doanh và kế hoạch chi tiêu vốn</w:t>
      </w:r>
    </w:p>
    <w:p>
      <w:pPr>
        <w:spacing w:after="80"/>
        <w:ind w:left="360"/>
      </w:pPr>
      <w:r>
        <w:t xml:space="preserve">• </w:t>
      </w:r>
      <w:r>
        <w:rPr>
          <w:b w:val="0"/>
          <w:i w:val="0"/>
        </w:rPr>
        <w:t>Việc thực hiện các hợp đồng liên quan đến những nghĩa vụ, rủi ro hoặc tổn thất bất thường, ngoại trừ các trường hợp gia hạn với các điều khoản và điều kiện hầu như không thay đổi</w:t>
      </w:r>
    </w:p>
    <w:p>
      <w:pPr>
        <w:spacing w:after="80"/>
        <w:ind w:left="360"/>
      </w:pPr>
      <w:r>
        <w:t xml:space="preserve">• </w:t>
      </w:r>
      <w:r>
        <w:rPr>
          <w:b w:val="0"/>
          <w:i w:val="0"/>
        </w:rPr>
        <w:t>Các vấn đề khác được ban lãnh đạo đánh giá là có tác động đáng kể và/hoặc trọng yếu đối với công ty, các hoạt động, nhân viên hoặc khách hàng của công ty</w:t>
      </w:r>
    </w:p>
    <w:p>
      <w:pPr>
        <w:pStyle w:val="Heading3"/>
      </w:pPr>
      <w:r>
        <w:rPr>
          <w:rFonts w:ascii="Calibri" w:hAnsi="Calibri"/>
          <w:b/>
          <w:i w:val="0"/>
          <w:sz w:val="26"/>
        </w:rPr>
        <w:t>Việc ủy quyền Thẩm quyền Chính</w:t>
      </w:r>
    </w:p>
    <w:p>
      <w:pPr>
        <w:spacing w:after="80"/>
      </w:pPr>
      <w:r>
        <w:rPr>
          <w:b w:val="0"/>
          <w:i w:val="0"/>
        </w:rPr>
        <w:t>Các cán bộ điều hành và nhân viên khi ủy quyền cho người khác vẫn phải chịu trách nhiệm giám sát và xem xét các hành động của những người được trao quyền. Phải hết sức cẩn trọng trong việc lựa chọn người được ủy quyền cũng như việc lập tài liệu, thông báo và thu hồi quyền hạn kịp thời. Các cán bộ điều hành và nhân viên được phép ủy quyền trách nhiệm và thẩm quyền của mình cho những nhân viên báo cáo trực tiếp cho họ. Cá nhân ủy quyền có trách nhiệm ghi lại bằng văn bản tất cả các trường hợp ủy quyền. Tham khảo bảng sau đây để biết các trường hợp ủy quyền Thẩm quyền Chính được phép.</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Thẩm quyền Chính</w:t>
            </w:r>
          </w:p>
        </w:tc>
        <w:tc>
          <w:tcPr>
            <w:tcW w:type="dxa" w:w="4680"/>
          </w:tcPr>
          <w:p>
            <w:r/>
            <w:r>
              <w:rPr>
                <w:b/>
                <w:i w:val="0"/>
                <w:sz w:val="19"/>
              </w:rPr>
              <w:t>Ủy quyền cho:</w:t>
            </w:r>
          </w:p>
        </w:tc>
      </w:tr>
      <w:tr>
        <w:tc>
          <w:tcPr>
            <w:tcW w:type="dxa" w:w="4680"/>
          </w:tcPr>
          <w:p>
            <w:r/>
            <w:r>
              <w:rPr>
                <w:b w:val="0"/>
                <w:i w:val="0"/>
                <w:sz w:val="19"/>
              </w:rPr>
              <w:t>Hội đồng quản trị</w:t>
            </w:r>
          </w:p>
        </w:tc>
        <w:tc>
          <w:tcPr>
            <w:tcW w:type="dxa" w:w="4680"/>
          </w:tcPr>
          <w:p>
            <w:r/>
            <w:r>
              <w:rPr>
                <w:b w:val="0"/>
                <w:i w:val="0"/>
                <w:sz w:val="19"/>
              </w:rPr>
              <w:t>Các ủy ban của Hội đồng quản trị</w:t>
            </w:r>
            <w:r>
              <w:br/>
            </w:r>
            <w:r>
              <w:rPr>
                <w:b w:val="0"/>
                <w:i w:val="0"/>
                <w:sz w:val="19"/>
              </w:rPr>
              <w:t xml:space="preserve"> Các cán bộ của Công ty</w:t>
            </w:r>
            <w:r>
              <w:br/>
            </w:r>
            <w:r>
              <w:rPr>
                <w:b w:val="0"/>
                <w:i w:val="0"/>
                <w:sz w:val="19"/>
              </w:rPr>
              <w:t xml:space="preserve"> Các cá nhân được chỉ định</w:t>
            </w:r>
          </w:p>
        </w:tc>
      </w:tr>
      <w:tr>
        <w:tc>
          <w:tcPr>
            <w:tcW w:type="dxa" w:w="4680"/>
          </w:tcPr>
          <w:p>
            <w:r/>
            <w:r>
              <w:rPr>
                <w:b w:val="0"/>
                <w:i w:val="0"/>
                <w:sz w:val="19"/>
              </w:rPr>
              <w:t>Tổng giám đốc điều hành</w:t>
            </w:r>
          </w:p>
        </w:tc>
        <w:tc>
          <w:tcPr>
            <w:tcW w:type="dxa" w:w="4680"/>
          </w:tcPr>
          <w:p>
            <w:r/>
            <w:r>
              <w:rPr>
                <w:b w:val="0"/>
                <w:i w:val="0"/>
                <w:sz w:val="19"/>
              </w:rPr>
              <w:t>Các cán bộ của Công ty</w:t>
            </w:r>
            <w:r>
              <w:br/>
            </w:r>
            <w:r>
              <w:rPr>
                <w:b w:val="0"/>
                <w:i w:val="0"/>
                <w:sz w:val="19"/>
              </w:rPr>
              <w:t xml:space="preserve"> Trưởng các đơn vị kinh doanh</w:t>
            </w:r>
            <w:r>
              <w:br/>
            </w:r>
            <w:r>
              <w:rPr>
                <w:b w:val="0"/>
                <w:i w:val="0"/>
                <w:sz w:val="19"/>
              </w:rPr>
              <w:t xml:space="preserve"> Trưởng bộ phận Vận hành và Công nghệ (O&amp;T)</w:t>
            </w:r>
            <w:r>
              <w:br/>
            </w:r>
            <w:r>
              <w:rPr>
                <w:b w:val="0"/>
                <w:i w:val="0"/>
                <w:sz w:val="19"/>
              </w:rPr>
              <w:t xml:space="preserve"> Các cá nhân được chỉ định</w:t>
            </w:r>
          </w:p>
        </w:tc>
      </w:tr>
      <w:tr>
        <w:tc>
          <w:tcPr>
            <w:tcW w:type="dxa" w:w="4680"/>
          </w:tcPr>
          <w:p>
            <w:r/>
            <w:r>
              <w:rPr>
                <w:b w:val="0"/>
                <w:i w:val="0"/>
                <w:sz w:val="19"/>
              </w:rPr>
              <w:t>Chánh văn phòng</w:t>
            </w:r>
          </w:p>
        </w:tc>
        <w:tc>
          <w:tcPr>
            <w:tcW w:type="dxa" w:w="4680"/>
          </w:tcPr>
          <w:p>
            <w:r/>
            <w:r>
              <w:rPr>
                <w:b w:val="0"/>
                <w:i w:val="0"/>
                <w:sz w:val="19"/>
              </w:rPr>
              <w:t>Các cá nhân được chỉ định</w:t>
            </w:r>
          </w:p>
        </w:tc>
      </w:tr>
      <w:tr>
        <w:tc>
          <w:tcPr>
            <w:tcW w:type="dxa" w:w="4680"/>
          </w:tcPr>
          <w:p>
            <w:r/>
            <w:r>
              <w:rPr>
                <w:b w:val="0"/>
                <w:i w:val="0"/>
                <w:sz w:val="19"/>
              </w:rPr>
              <w:t>Cố vấn pháp lý chung</w:t>
            </w:r>
          </w:p>
        </w:tc>
        <w:tc>
          <w:tcPr>
            <w:tcW w:type="dxa" w:w="4680"/>
          </w:tcPr>
          <w:p>
            <w:r/>
            <w:r>
              <w:rPr>
                <w:b w:val="0"/>
                <w:i w:val="0"/>
                <w:sz w:val="19"/>
              </w:rPr>
              <w:t>Các cá nhân trong tổ chức Pháp lý và Chính sách công</w:t>
            </w:r>
          </w:p>
        </w:tc>
      </w:tr>
      <w:tr>
        <w:tc>
          <w:tcPr>
            <w:tcW w:type="dxa" w:w="4680"/>
          </w:tcPr>
          <w:p>
            <w:r/>
            <w:r>
              <w:rPr>
                <w:b w:val="0"/>
                <w:i w:val="0"/>
                <w:sz w:val="19"/>
              </w:rPr>
              <w:t>Giám đốc đạo đức</w:t>
            </w:r>
          </w:p>
        </w:tc>
        <w:tc>
          <w:tcPr>
            <w:tcW w:type="dxa" w:w="4680"/>
          </w:tcPr>
          <w:p>
            <w:r/>
            <w:r>
              <w:rPr>
                <w:b w:val="0"/>
                <w:i w:val="0"/>
                <w:sz w:val="19"/>
              </w:rPr>
              <w:t>Các cá nhân trong tổ chức Đạo đức</w:t>
            </w:r>
          </w:p>
        </w:tc>
      </w:tr>
      <w:tr>
        <w:tc>
          <w:tcPr>
            <w:tcW w:type="dxa" w:w="4680"/>
          </w:tcPr>
          <w:p>
            <w:r/>
            <w:r>
              <w:rPr>
                <w:b w:val="0"/>
                <w:i w:val="0"/>
                <w:sz w:val="19"/>
              </w:rPr>
              <w:t>Giám đốc chiến lược</w:t>
            </w:r>
          </w:p>
        </w:tc>
        <w:tc>
          <w:tcPr>
            <w:tcW w:type="dxa" w:w="4680"/>
          </w:tcPr>
          <w:p>
            <w:r/>
            <w:r>
              <w:rPr>
                <w:b w:val="0"/>
                <w:i w:val="0"/>
                <w:sz w:val="19"/>
              </w:rPr>
              <w:t>Các cá nhân trong tổ chức Chiến lược</w:t>
            </w:r>
          </w:p>
        </w:tc>
      </w:tr>
      <w:tr>
        <w:tc>
          <w:tcPr>
            <w:tcW w:type="dxa" w:w="4680"/>
          </w:tcPr>
          <w:p>
            <w:r/>
            <w:r>
              <w:rPr>
                <w:b w:val="0"/>
                <w:i w:val="0"/>
                <w:sz w:val="19"/>
              </w:rPr>
              <w:t>Giám đốc nhân sự</w:t>
            </w:r>
          </w:p>
        </w:tc>
        <w:tc>
          <w:tcPr>
            <w:tcW w:type="dxa" w:w="4680"/>
          </w:tcPr>
          <w:p>
            <w:r/>
            <w:r>
              <w:rPr>
                <w:b w:val="0"/>
                <w:i w:val="0"/>
                <w:sz w:val="19"/>
              </w:rPr>
              <w:t>Các cá nhân trong tổ chức Nhân sự</w:t>
            </w:r>
          </w:p>
        </w:tc>
      </w:tr>
      <w:tr>
        <w:tc>
          <w:tcPr>
            <w:tcW w:type="dxa" w:w="4680"/>
          </w:tcPr>
          <w:p>
            <w:r/>
            <w:r>
              <w:rPr>
                <w:b w:val="0"/>
                <w:i w:val="0"/>
                <w:sz w:val="19"/>
              </w:rPr>
              <w:t>Giám đốc thông tin</w:t>
            </w:r>
          </w:p>
        </w:tc>
        <w:tc>
          <w:tcPr>
            <w:tcW w:type="dxa" w:w="4680"/>
          </w:tcPr>
          <w:p>
            <w:r/>
            <w:r>
              <w:rPr>
                <w:b w:val="0"/>
                <w:i w:val="0"/>
                <w:sz w:val="19"/>
              </w:rPr>
              <w:t>Các cá nhân trong Tổ chức Công nghệ Thông tin</w:t>
            </w:r>
          </w:p>
        </w:tc>
      </w:tr>
      <w:tr>
        <w:tc>
          <w:tcPr>
            <w:tcW w:type="dxa" w:w="4680"/>
          </w:tcPr>
          <w:p>
            <w:r/>
            <w:r>
              <w:rPr>
                <w:b w:val="0"/>
                <w:i w:val="0"/>
                <w:sz w:val="19"/>
              </w:rPr>
              <w:t>Các Trưởng Bộ phận Kinh doanh hoặc Thành viên Ban Lãnh đạo Điều hành</w:t>
            </w:r>
          </w:p>
        </w:tc>
        <w:tc>
          <w:tcPr>
            <w:tcW w:type="dxa" w:w="4680"/>
          </w:tcPr>
          <w:p>
            <w:r/>
            <w:r>
              <w:rPr>
                <w:b w:val="0"/>
                <w:i w:val="0"/>
                <w:sz w:val="19"/>
              </w:rPr>
              <w:t>Các báo cáo trực tiếp</w:t>
            </w:r>
            <w:r>
              <w:br/>
            </w:r>
            <w:r>
              <w:rPr>
                <w:b w:val="0"/>
                <w:i w:val="0"/>
                <w:sz w:val="19"/>
              </w:rPr>
              <w:t xml:space="preserve"> Các cá nhân được nêu tên</w:t>
            </w:r>
          </w:p>
        </w:tc>
      </w:tr>
      <w:tr>
        <w:tc>
          <w:tcPr>
            <w:tcW w:type="dxa" w:w="4680"/>
          </w:tcPr>
          <w:p>
            <w:r/>
            <w:r>
              <w:rPr>
                <w:b w:val="0"/>
                <w:i w:val="0"/>
                <w:sz w:val="19"/>
              </w:rPr>
              <w:t>Các Báo cáo Trực tiếp</w:t>
            </w:r>
          </w:p>
        </w:tc>
        <w:tc>
          <w:tcPr>
            <w:tcW w:type="dxa" w:w="4680"/>
          </w:tcPr>
          <w:p>
            <w:r/>
            <w:r>
              <w:rPr>
                <w:b w:val="0"/>
                <w:i w:val="0"/>
                <w:sz w:val="19"/>
              </w:rPr>
              <w:t>Các cá nhân được nêu tên</w:t>
            </w:r>
          </w:p>
        </w:tc>
      </w:tr>
      <w:tr>
        <w:tc>
          <w:tcPr>
            <w:tcW w:type="dxa" w:w="4680"/>
          </w:tcPr>
          <w:p>
            <w:r/>
            <w:r>
              <w:rPr>
                <w:b w:val="0"/>
                <w:i w:val="0"/>
                <w:sz w:val="19"/>
              </w:rPr>
              <w:t>Các nhà lãnh đạo Vận hành &amp; Công nghệ (O&amp;T)</w:t>
            </w:r>
          </w:p>
        </w:tc>
        <w:tc>
          <w:tcPr>
            <w:tcW w:type="dxa" w:w="4680"/>
          </w:tcPr>
          <w:p>
            <w:r/>
            <w:r>
              <w:rPr>
                <w:b w:val="0"/>
                <w:i w:val="0"/>
                <w:sz w:val="19"/>
              </w:rPr>
              <w:t>Các báo cáo trực tiếp cho Nhà lãnh đạo O&amp;T</w:t>
            </w:r>
            <w:r>
              <w:br/>
            </w:r>
            <w:r>
              <w:rPr>
                <w:b w:val="0"/>
                <w:i w:val="0"/>
                <w:sz w:val="19"/>
              </w:rPr>
              <w:t xml:space="preserve"> Các cá nhân được nêu tên</w:t>
            </w:r>
          </w:p>
        </w:tc>
      </w:tr>
      <w:tr>
        <w:tc>
          <w:tcPr>
            <w:tcW w:type="dxa" w:w="4680"/>
          </w:tcPr>
          <w:p>
            <w:r/>
            <w:r>
              <w:rPr>
                <w:b w:val="0"/>
                <w:i w:val="0"/>
                <w:sz w:val="19"/>
              </w:rPr>
              <w:t>Các Báo cáo Trực tiếp cho Nhà lãnh đạo O&amp;T</w:t>
            </w:r>
          </w:p>
        </w:tc>
        <w:tc>
          <w:tcPr>
            <w:tcW w:type="dxa" w:w="4680"/>
          </w:tcPr>
          <w:p>
            <w:r/>
            <w:r>
              <w:rPr>
                <w:b w:val="0"/>
                <w:i w:val="0"/>
                <w:sz w:val="19"/>
              </w:rPr>
              <w:t>Các cá nhân được nêu tên</w:t>
            </w:r>
          </w:p>
        </w:tc>
      </w:tr>
      <w:tr>
        <w:tc>
          <w:tcPr>
            <w:tcW w:type="dxa" w:w="4680"/>
          </w:tcPr>
          <w:p>
            <w:r/>
            <w:r>
              <w:rPr>
                <w:b w:val="0"/>
                <w:i w:val="0"/>
                <w:sz w:val="19"/>
              </w:rPr>
              <w:t>Nhà lãnh đạo Cơ sở vật chất và Bất động sản</w:t>
            </w:r>
          </w:p>
        </w:tc>
        <w:tc>
          <w:tcPr>
            <w:tcW w:type="dxa" w:w="4680"/>
          </w:tcPr>
          <w:p>
            <w:r/>
            <w:r>
              <w:rPr>
                <w:b w:val="0"/>
                <w:i w:val="0"/>
                <w:sz w:val="19"/>
              </w:rPr>
              <w:t>Các cá nhân trong tổ chức Cơ sở vật chất và Bất động sản và các giám đốc Bất động sản của đơn vị kinh doanh</w:t>
            </w:r>
          </w:p>
        </w:tc>
      </w:tr>
      <w:tr>
        <w:tc>
          <w:tcPr>
            <w:tcW w:type="dxa" w:w="4680"/>
          </w:tcPr>
          <w:p>
            <w:r/>
            <w:r>
              <w:rPr>
                <w:b w:val="0"/>
                <w:i w:val="0"/>
                <w:sz w:val="19"/>
              </w:rPr>
              <w:t>Giám đốc Tài chính</w:t>
            </w:r>
          </w:p>
        </w:tc>
        <w:tc>
          <w:tcPr>
            <w:tcW w:type="dxa" w:w="4680"/>
          </w:tcPr>
          <w:p>
            <w:r/>
            <w:r>
              <w:rPr>
                <w:b w:val="0"/>
                <w:i w:val="0"/>
                <w:sz w:val="19"/>
              </w:rPr>
              <w:t>Các cá nhân trong tổ chức tài chính</w:t>
            </w:r>
            <w:r>
              <w:br/>
            </w:r>
            <w:r>
              <w:rPr>
                <w:b w:val="0"/>
                <w:i w:val="0"/>
                <w:sz w:val="19"/>
              </w:rPr>
              <w:t xml:space="preserve"> Các cá nhân được nêu tên</w:t>
            </w:r>
          </w:p>
        </w:tc>
      </w:tr>
      <w:tr>
        <w:tc>
          <w:tcPr>
            <w:tcW w:type="dxa" w:w="4680"/>
          </w:tcPr>
          <w:p>
            <w:r/>
            <w:r>
              <w:rPr>
                <w:b w:val="0"/>
                <w:i w:val="0"/>
                <w:sz w:val="19"/>
              </w:rPr>
              <w:t>Tài chính Doanh nghiệp</w:t>
            </w:r>
          </w:p>
        </w:tc>
        <w:tc>
          <w:tcPr>
            <w:tcW w:type="dxa" w:w="4680"/>
          </w:tcPr>
          <w:p>
            <w:r/>
            <w:r>
              <w:rPr>
                <w:b w:val="0"/>
                <w:i w:val="0"/>
                <w:sz w:val="19"/>
              </w:rPr>
              <w:t>Các cá nhân trong tổ chức tài chính doanh nghiệp và các giám đốc tài chính của đơn vị kinh doanh</w:t>
            </w:r>
          </w:p>
        </w:tc>
      </w:tr>
      <w:tr>
        <w:tc>
          <w:tcPr>
            <w:tcW w:type="dxa" w:w="4680"/>
          </w:tcPr>
          <w:p>
            <w:r/>
            <w:r>
              <w:rPr>
                <w:b w:val="0"/>
                <w:i w:val="0"/>
                <w:sz w:val="19"/>
              </w:rPr>
              <w:t>Giám đốc Mua sắm</w:t>
            </w:r>
          </w:p>
        </w:tc>
        <w:tc>
          <w:tcPr>
            <w:tcW w:type="dxa" w:w="4680"/>
          </w:tcPr>
          <w:p>
            <w:r/>
            <w:r>
              <w:rPr>
                <w:b w:val="0"/>
                <w:i w:val="0"/>
                <w:sz w:val="19"/>
              </w:rPr>
              <w:t>Các cá nhân trong tổ chức mua hàng và giám đốc mua hàng của đơn vị kinh doanh</w:t>
            </w:r>
          </w:p>
        </w:tc>
      </w:tr>
      <w:tr>
        <w:tc>
          <w:tcPr>
            <w:tcW w:type="dxa" w:w="4680"/>
          </w:tcPr>
          <w:p>
            <w:r/>
            <w:r>
              <w:rPr>
                <w:b w:val="0"/>
                <w:i w:val="0"/>
                <w:sz w:val="19"/>
              </w:rPr>
              <w:t>Kiểm soát viên</w:t>
            </w:r>
          </w:p>
        </w:tc>
        <w:tc>
          <w:tcPr>
            <w:tcW w:type="dxa" w:w="4680"/>
          </w:tcPr>
          <w:p>
            <w:r/>
            <w:r>
              <w:rPr>
                <w:b w:val="0"/>
                <w:i w:val="0"/>
                <w:sz w:val="19"/>
              </w:rPr>
              <w:t>Các cá nhân trong tổ chức của kiểm soát viên và giám đốc tài chính của đơn vị kinh doanh</w:t>
            </w:r>
          </w:p>
        </w:tc>
      </w:tr>
      <w:tr>
        <w:tc>
          <w:tcPr>
            <w:tcW w:type="dxa" w:w="4680"/>
          </w:tcPr>
          <w:p>
            <w:r/>
            <w:r>
              <w:rPr>
                <w:b w:val="0"/>
                <w:i w:val="0"/>
                <w:sz w:val="19"/>
              </w:rPr>
              <w:t>Thủ quỹ</w:t>
            </w:r>
          </w:p>
        </w:tc>
        <w:tc>
          <w:tcPr>
            <w:tcW w:type="dxa" w:w="4680"/>
          </w:tcPr>
          <w:p>
            <w:r/>
            <w:r>
              <w:rPr>
                <w:b w:val="0"/>
                <w:i w:val="0"/>
                <w:sz w:val="19"/>
              </w:rPr>
              <w:t>Các cá nhân trong tổ chức của thủ quỹ</w:t>
            </w:r>
          </w:p>
        </w:tc>
      </w:tr>
      <w:tr>
        <w:tc>
          <w:tcPr>
            <w:tcW w:type="dxa" w:w="4680"/>
          </w:tcPr>
          <w:p>
            <w:r/>
            <w:r>
              <w:rPr>
                <w:b w:val="0"/>
                <w:i w:val="0"/>
                <w:sz w:val="19"/>
              </w:rPr>
              <w:t>Giám đốc Thuế</w:t>
            </w:r>
          </w:p>
        </w:tc>
        <w:tc>
          <w:tcPr>
            <w:tcW w:type="dxa" w:w="4680"/>
          </w:tcPr>
          <w:p>
            <w:r/>
            <w:r>
              <w:rPr>
                <w:b w:val="0"/>
                <w:i w:val="0"/>
                <w:sz w:val="19"/>
              </w:rPr>
              <w:t>Các cá nhân trong tổ chức thuế</w:t>
            </w:r>
          </w:p>
        </w:tc>
      </w:tr>
    </w:tbl>
    <w:p>
      <w:pPr>
        <w:spacing w:after="0"/>
      </w:pPr>
    </w:p>
    <w:p>
      <w:pPr>
        <w:pStyle w:val="Heading3"/>
      </w:pPr>
      <w:r>
        <w:rPr>
          <w:rFonts w:ascii="Calibri" w:hAnsi="Calibri"/>
          <w:b/>
          <w:i w:val="0"/>
          <w:sz w:val="26"/>
        </w:rPr>
        <w:t>Tuân thủ và Kiểm soát</w:t>
      </w:r>
    </w:p>
    <w:p>
      <w:pPr>
        <w:spacing w:after="80"/>
      </w:pPr>
      <w:r>
        <w:rPr>
          <w:b w:val="0"/>
          <w:i w:val="0"/>
        </w:rPr>
        <w:t>Việc tuân thủ chính sách này và tất cả các chính sách khác của công ty là bắt buộc. Mọi hành vi vi phạm sẽ bị xử lý kỷ luật, bao gồm sa thải và truy tố. Khi thích hợp, công ty sẽ không giới hạn ở các biện pháp kỷ luật mà sẽ theo đuổi hành động pháp lý đối với nhân viên vi phạm và các cá nhân khác có liên quan.</w:t>
      </w:r>
    </w:p>
    <w:p>
      <w:pPr>
        <w:spacing w:after="80"/>
      </w:pPr>
      <w:r>
        <w:rPr>
          <w:b w:val="0"/>
          <w:i w:val="0"/>
        </w:rPr>
        <w:t>Các thẩm quyền ở đây luôn phải tuân theo quy tắc đạo đức của công ty. Trong mọi trường hợp, cần sử dụng phán đoán tốt để nhận diện rủi ro và từ đó chỉ ra nơi có thể cần tham vấn thêm, phù hợp với tinh thần và ý định của DoA.</w:t>
      </w:r>
    </w:p>
    <w:p>
      <w:pPr>
        <w:spacing w:after="80"/>
      </w:pPr>
      <w:r>
        <w:rPr>
          <w:b w:val="0"/>
          <w:i w:val="0"/>
        </w:rPr>
        <w:t>Tất cả các phê duyệt cam kết tài chính phải bao gồm các đánh giá toàn diện và có hệ thống về giá trị kinh tế dự kiến của cam kết, sự phù hợp với chiến lược và kế hoạch của công ty, và các rủi ro liên quan có thể ảnh hưởng đến khả năng đạt được kết quả dự định của công ty.</w:t>
      </w:r>
    </w:p>
    <w:p>
      <w:pPr>
        <w:pStyle w:val="Heading3"/>
      </w:pPr>
      <w:r>
        <w:rPr>
          <w:rFonts w:ascii="Calibri" w:hAnsi="Calibri"/>
          <w:b/>
          <w:i w:val="0"/>
          <w:sz w:val="26"/>
        </w:rPr>
        <w:t>Định nghĩa</w:t>
      </w:r>
    </w:p>
    <w:p>
      <w:pPr>
        <w:spacing w:after="80"/>
      </w:pPr>
      <w:r>
        <w:rPr>
          <w:b/>
          <w:i w:val="0"/>
        </w:rPr>
        <w:t>Cam kết</w:t>
      </w:r>
      <w:r>
        <w:rPr>
          <w:b w:val="0"/>
          <w:i w:val="0"/>
        </w:rPr>
        <w:t xml:space="preserve"> của công ty bao gồm việc thực hiện bất kỳ thỏa thuận bằng văn bản nào hoặc bất kỳ cam kết nào khác ràng buộc hoặc bắt buộc công ty dưới bất kỳ hình thức nào (ví dụ: tuyên bố bằng lời nói, thư điện tử, hoặc các tuyên bố khác), bất kể có liên quan đến việc thanh toán tiền hay không. Nhân viên không bao giờ được ký kết một tài liệu hoặc cam kết công ty theo bất kỳ cách nào trừ khi họ có thẩm quyền rõ ràng để làm như vậy.</w:t>
      </w:r>
    </w:p>
    <w:p>
      <w:pPr>
        <w:spacing w:after="80"/>
      </w:pPr>
      <w:r>
        <w:rPr>
          <w:b/>
          <w:i w:val="0"/>
        </w:rPr>
        <w:t>Công ty</w:t>
      </w:r>
      <w:r>
        <w:rPr>
          <w:b w:val="0"/>
          <w:i w:val="0"/>
        </w:rPr>
        <w:t xml:space="preserve"> có nghĩa là công ty và các công ty con hoạt động trên toàn thế giới của công ty.</w:t>
      </w:r>
    </w:p>
    <w:p>
      <w:pPr>
        <w:spacing w:after="80"/>
      </w:pPr>
      <w:r>
        <w:rPr>
          <w:b/>
          <w:i w:val="0"/>
        </w:rPr>
        <w:t>Ủy quyền Thẩm quyền</w:t>
      </w:r>
      <w:r>
        <w:rPr>
          <w:b w:val="0"/>
          <w:i w:val="0"/>
        </w:rPr>
        <w:t xml:space="preserve"> là việc chuyển giao chính thức bằng văn bản từ người này sang người khác thẩm quyền ràng buộc công ty vào một nghĩa vụ có hiệu lực pháp lý. Thẩm quyền ký kết tài liệu, đưa ra cam kết ràng buộc, và ủy quyền hành động thay mặt công ty được ủy quyền cho viên chức công ty phù hợp hoặc những người được nêu tên trong một ủy quyền cụ thể.</w:t>
      </w:r>
    </w:p>
    <w:p>
      <w:pPr>
        <w:spacing w:after="80"/>
      </w:pPr>
      <w:r>
        <w:rPr>
          <w:b/>
          <w:i w:val="0"/>
        </w:rPr>
        <w:t>Ủy quyền Thẩm quyền Chính</w:t>
      </w:r>
      <w:r>
        <w:rPr>
          <w:b w:val="0"/>
          <w:i w:val="0"/>
        </w:rPr>
        <w:t xml:space="preserve"> áp dụng cho các viên chức và nhân viên ủy quyền thẩm quyền của họ. Những cá nhân này vẫn chịu trách nhiệm giám sát và xem xét các hành động của những người được cấp thẩm quyền.</w:t>
      </w:r>
    </w:p>
    <w:p>
      <w:pPr>
        <w:spacing w:after="80"/>
      </w:pPr>
      <w:r>
        <w:rPr>
          <w:b/>
          <w:i w:val="0"/>
        </w:rPr>
        <w:t>Quy trình “Khóa đôi” (Double-Key)</w:t>
      </w:r>
      <w:r>
        <w:rPr>
          <w:b w:val="0"/>
          <w:i w:val="0"/>
        </w:rPr>
        <w:t xml:space="preserve"> là cách tiếp cận của ban quản lý nhằm đảm bảo rằng một giao dịch đã được phê duyệt đúng cấp độ và phạm vi. Định nghĩa của nó là một nguyên tắc: “Đối với mọi quyết định quan trọng về mặt vật chất, người quản lý chịu trách nhiệm thực thi quyết định đó phải có được sự đồng thuận của một người quản lý khác ở cấp trách nhiệm tương đương.” Cách dùng của nó bắt nguồn từ hai chiếc chìa khóa cần thiết để mở một két an toàn trong kho bạc ngân hàng.</w:t>
      </w:r>
    </w:p>
    <w:p>
      <w:pPr>
        <w:spacing w:after="80"/>
      </w:pPr>
      <w:r>
        <w:rPr>
          <w:b/>
          <w:i w:val="0"/>
        </w:rPr>
        <w:t>Ban Giám đốc</w:t>
      </w:r>
      <w:r>
        <w:rPr>
          <w:b w:val="0"/>
          <w:i w:val="0"/>
        </w:rPr>
        <w:t xml:space="preserve"> đề cập đến Hội đồng Quản trị.</w:t>
      </w:r>
    </w:p>
    <w:p>
      <w:pPr>
        <w:spacing w:after="80"/>
      </w:pPr>
      <w:r>
        <w:rPr>
          <w:b w:val="0"/>
          <w:i w:val="0"/>
        </w:rPr>
        <w:t>Ví dụ về Ma trận Phân quyền</w:t>
      </w:r>
    </w:p>
    <w:tbl>
      <w:tblPr>
        <w:tblStyle w:val="TableGrid"/>
        <w:tblW w:type="auto" w:w="0"/>
        <w:tblLook w:firstColumn="1" w:firstRow="1" w:lastColumn="0" w:lastRow="0" w:noHBand="0" w:noVBand="1" w:val="04A0"/>
      </w:tblPr>
      <w:tblGrid>
        <w:gridCol w:w="1040"/>
        <w:gridCol w:w="1040"/>
        <w:gridCol w:w="1040"/>
        <w:gridCol w:w="1040"/>
        <w:gridCol w:w="1040"/>
        <w:gridCol w:w="1040"/>
        <w:gridCol w:w="1040"/>
        <w:gridCol w:w="1040"/>
        <w:gridCol w:w="1040"/>
      </w:tblGrid>
      <w:tr>
        <w:tc>
          <w:tcPr>
            <w:tcW w:type="dxa" w:w="1040"/>
          </w:tcPr>
          <w:p>
            <w:r/>
            <w:r>
              <w:rPr>
                <w:b/>
                <w:i w:val="0"/>
                <w:sz w:val="19"/>
              </w:rPr>
              <w:t>Tóm tắt Ma trận Phân quyền</w:t>
            </w:r>
          </w:p>
        </w:tc>
        <w:tc>
          <w:tcPr>
            <w:tcW w:type="dxa" w:w="1040"/>
          </w:tcPr>
          <w:p>
            <w:r/>
            <w:r>
              <w:rPr>
                <w:b/>
                <w:i w:val="0"/>
                <w:sz w:val="19"/>
              </w:rPr>
              <w:t>Ban Giám đốc MCI</w:t>
            </w:r>
          </w:p>
        </w:tc>
        <w:tc>
          <w:tcPr>
            <w:tcW w:type="dxa" w:w="1040"/>
          </w:tcPr>
          <w:p>
            <w:r/>
            <w:r>
              <w:rPr>
                <w:b/>
                <w:i w:val="0"/>
                <w:sz w:val="19"/>
              </w:rPr>
              <w:t>CEO</w:t>
            </w:r>
          </w:p>
        </w:tc>
        <w:tc>
          <w:tcPr>
            <w:tcW w:type="dxa" w:w="1040"/>
          </w:tcPr>
          <w:p>
            <w:r/>
            <w:r>
              <w:rPr>
                <w:b/>
                <w:i w:val="0"/>
                <w:sz w:val="19"/>
              </w:rPr>
              <w:t>BUL</w:t>
            </w:r>
          </w:p>
        </w:tc>
        <w:tc>
          <w:tcPr>
            <w:tcW w:type="dxa" w:w="1040"/>
          </w:tcPr>
          <w:p>
            <w:r/>
            <w:r>
              <w:rPr>
                <w:b/>
                <w:i w:val="0"/>
                <w:sz w:val="19"/>
              </w:rPr>
              <w:t>DR-BUL</w:t>
            </w:r>
          </w:p>
        </w:tc>
        <w:tc>
          <w:tcPr>
            <w:tcW w:type="dxa" w:w="1040"/>
          </w:tcPr>
          <w:p>
            <w:r/>
            <w:r>
              <w:rPr>
                <w:b/>
                <w:i w:val="0"/>
                <w:sz w:val="19"/>
              </w:rPr>
              <w:t>Cố vấn Pháp lý Tổng quát</w:t>
            </w:r>
          </w:p>
        </w:tc>
        <w:tc>
          <w:tcPr>
            <w:tcW w:type="dxa" w:w="1040"/>
          </w:tcPr>
          <w:p>
            <w:r/>
            <w:r>
              <w:rPr>
                <w:b/>
                <w:i w:val="0"/>
                <w:sz w:val="19"/>
              </w:rPr>
              <w:t>CFO</w:t>
            </w:r>
          </w:p>
        </w:tc>
        <w:tc>
          <w:tcPr>
            <w:tcW w:type="dxa" w:w="1040"/>
          </w:tcPr>
          <w:p>
            <w:r/>
            <w:r>
              <w:rPr>
                <w:b/>
                <w:i w:val="0"/>
                <w:sz w:val="19"/>
              </w:rPr>
              <w:t>Kiểm soát viên</w:t>
            </w:r>
          </w:p>
        </w:tc>
        <w:tc>
          <w:tcPr>
            <w:tcW w:type="dxa" w:w="1040"/>
          </w:tcPr>
          <w:p>
            <w:r/>
            <w:r>
              <w:rPr>
                <w:b/>
                <w:i w:val="0"/>
                <w:sz w:val="19"/>
              </w:rPr>
              <w:t>(8) Tài chính Doanh nghiệp</w:t>
            </w:r>
          </w:p>
        </w:tc>
      </w:tr>
      <w:tr>
        <w:tc>
          <w:tcPr>
            <w:tcW w:type="dxa" w:w="1040"/>
          </w:tcPr>
          <w:p>
            <w:r/>
            <w:r>
              <w:rPr>
                <w:b/>
                <w:i w:val="0"/>
                <w:sz w:val="19"/>
              </w:rPr>
              <w:t>O&amp;T và IT</w:t>
            </w:r>
          </w:p>
        </w:tc>
        <w:tc>
          <w:tcPr>
            <w:tcW w:type="dxa" w:w="1040"/>
          </w:tcPr>
          <w:p>
            <w:r/>
            <w:r>
              <w:rPr>
                <w:b/>
                <w:i w:val="0"/>
                <w:sz w:val="19"/>
              </w:rPr>
              <w:t>DR-O&amp;T và IT</w:t>
            </w:r>
          </w:p>
        </w:tc>
        <w:tc>
          <w:tcPr>
            <w:tcW w:type="dxa" w:w="1040"/>
          </w:tcPr>
          <w:p/>
        </w:tc>
        <w:tc>
          <w:tcPr>
            <w:tcW w:type="dxa" w:w="1040"/>
          </w:tcPr>
          <w:p/>
        </w:tc>
        <w:tc>
          <w:tcPr>
            <w:tcW w:type="dxa" w:w="1040"/>
          </w:tcPr>
          <w:p/>
        </w:tc>
        <w:tc>
          <w:tcPr>
            <w:tcW w:type="dxa" w:w="1040"/>
          </w:tcPr>
          <w:p/>
        </w:tc>
        <w:tc>
          <w:tcPr>
            <w:tcW w:type="dxa" w:w="1040"/>
          </w:tcPr>
          <w:p/>
        </w:tc>
        <w:tc>
          <w:tcPr>
            <w:tcW w:type="dxa" w:w="1040"/>
          </w:tcPr>
          <w:p/>
        </w:tc>
        <w:tc>
          <w:tcPr>
            <w:tcW w:type="dxa" w:w="1040"/>
          </w:tcPr>
          <w:p/>
        </w:tc>
      </w:tr>
      <w:tr>
        <w:tc>
          <w:tcPr>
            <w:tcW w:type="dxa" w:w="1040"/>
          </w:tcPr>
          <w:p>
            <w:r/>
            <w:r>
              <w:rPr>
                <w:b/>
                <w:i w:val="0"/>
                <w:sz w:val="19"/>
              </w:rPr>
              <w:t>CHI TIÊU (7) Các khoản Chi, Cam kết, Thuê, Mua sắm Chung, Thanh lý</w:t>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r/>
          </w:p>
        </w:tc>
      </w:tr>
      <w:tr>
        <w:tc>
          <w:tcPr>
            <w:tcW w:type="dxa" w:w="1040"/>
          </w:tcPr>
          <w:p>
            <w:r/>
            <w:r>
              <w:rPr>
                <w:b w:val="0"/>
                <w:i w:val="0"/>
                <w:sz w:val="19"/>
              </w:rPr>
              <w:t>≥ 50MM</w:t>
            </w:r>
          </w:p>
        </w:tc>
        <w:tc>
          <w:tcPr>
            <w:tcW w:type="dxa" w:w="1040"/>
          </w:tcPr>
          <w:p>
            <w:r/>
            <w:r>
              <w:rPr>
                <w:b/>
                <w:i w:val="0"/>
                <w:sz w:val="19"/>
              </w:rPr>
              <w:t>A (6)</w:t>
            </w:r>
          </w:p>
        </w:tc>
        <w:tc>
          <w:tcPr>
            <w:tcW w:type="dxa" w:w="1040"/>
          </w:tcPr>
          <w:p>
            <w:r/>
            <w:r>
              <w:rPr>
                <w:b/>
                <w:i w:val="0"/>
                <w:sz w:val="19"/>
              </w:rPr>
              <w:t>P</w:t>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r/>
          </w:p>
        </w:tc>
      </w:tr>
      <w:tr>
        <w:tc>
          <w:tcPr>
            <w:tcW w:type="dxa" w:w="1040"/>
          </w:tcPr>
          <w:p>
            <w:r/>
            <w:r>
              <w:rPr>
                <w:b w:val="0"/>
                <w:i w:val="0"/>
                <w:sz w:val="19"/>
              </w:rPr>
              <w:t>≥ 5MM</w:t>
            </w:r>
          </w:p>
        </w:tc>
        <w:tc>
          <w:tcPr>
            <w:tcW w:type="dxa" w:w="1040"/>
          </w:tcPr>
          <w:p>
            <w:r/>
          </w:p>
        </w:tc>
        <w:tc>
          <w:tcPr>
            <w:tcW w:type="dxa" w:w="1040"/>
          </w:tcPr>
          <w:p>
            <w:r/>
            <w:r>
              <w:rPr>
                <w:b/>
                <w:i w:val="0"/>
                <w:sz w:val="19"/>
              </w:rPr>
              <w:t>A (2)</w:t>
            </w:r>
          </w:p>
        </w:tc>
        <w:tc>
          <w:tcPr>
            <w:tcW w:type="dxa" w:w="1040"/>
          </w:tcPr>
          <w:p>
            <w:r/>
            <w:r>
              <w:rPr>
                <w:b/>
                <w:i w:val="0"/>
                <w:sz w:val="19"/>
              </w:rPr>
              <w:t>P</w:t>
            </w:r>
          </w:p>
        </w:tc>
        <w:tc>
          <w:tcPr>
            <w:tcW w:type="dxa" w:w="1040"/>
          </w:tcPr>
          <w:p>
            <w:r/>
          </w:p>
        </w:tc>
        <w:tc>
          <w:tcPr>
            <w:tcW w:type="dxa" w:w="1040"/>
          </w:tcPr>
          <w:p>
            <w:r/>
          </w:p>
        </w:tc>
        <w:tc>
          <w:tcPr>
            <w:tcW w:type="dxa" w:w="1040"/>
          </w:tcPr>
          <w:p>
            <w:r/>
            <w:r>
              <w:rPr>
                <w:b/>
                <w:i w:val="0"/>
                <w:sz w:val="19"/>
              </w:rPr>
              <w:t>A (2)</w:t>
            </w:r>
          </w:p>
        </w:tc>
        <w:tc>
          <w:tcPr>
            <w:tcW w:type="dxa" w:w="1040"/>
          </w:tcPr>
          <w:p>
            <w:r/>
            <w:r>
              <w:rPr>
                <w:b/>
                <w:i w:val="0"/>
                <w:sz w:val="19"/>
              </w:rPr>
              <w:t>R(5)</w:t>
            </w:r>
          </w:p>
        </w:tc>
        <w:tc>
          <w:tcPr>
            <w:tcW w:type="dxa" w:w="1040"/>
          </w:tcPr>
          <w:p>
            <w:r/>
            <w:r>
              <w:rPr>
                <w:b/>
                <w:i w:val="0"/>
                <w:sz w:val="19"/>
              </w:rPr>
              <w:t>R</w:t>
            </w:r>
          </w:p>
        </w:tc>
      </w:tr>
      <w:tr>
        <w:tc>
          <w:tcPr>
            <w:tcW w:type="dxa" w:w="1040"/>
          </w:tcPr>
          <w:p>
            <w:r/>
            <w:r>
              <w:rPr>
                <w:b w:val="0"/>
                <w:i w:val="0"/>
                <w:sz w:val="19"/>
              </w:rPr>
              <w:t>≥ 1MM</w:t>
            </w:r>
          </w:p>
        </w:tc>
        <w:tc>
          <w:tcPr>
            <w:tcW w:type="dxa" w:w="1040"/>
          </w:tcPr>
          <w:p>
            <w:r/>
          </w:p>
        </w:tc>
        <w:tc>
          <w:tcPr>
            <w:tcW w:type="dxa" w:w="1040"/>
          </w:tcPr>
          <w:p>
            <w:r/>
          </w:p>
        </w:tc>
        <w:tc>
          <w:tcPr>
            <w:tcW w:type="dxa" w:w="1040"/>
          </w:tcPr>
          <w:p>
            <w:r/>
            <w:r>
              <w:rPr>
                <w:b/>
                <w:i w:val="0"/>
                <w:sz w:val="19"/>
              </w:rPr>
              <w:t>A (3)</w:t>
            </w:r>
          </w:p>
        </w:tc>
        <w:tc>
          <w:tcPr>
            <w:tcW w:type="dxa" w:w="1040"/>
          </w:tcPr>
          <w:p>
            <w:r/>
            <w:r>
              <w:rPr>
                <w:b/>
                <w:i w:val="0"/>
                <w:sz w:val="19"/>
              </w:rPr>
              <w:t>P</w:t>
            </w:r>
          </w:p>
        </w:tc>
        <w:tc>
          <w:tcPr>
            <w:tcW w:type="dxa" w:w="1040"/>
          </w:tcPr>
          <w:p>
            <w:r/>
          </w:p>
        </w:tc>
        <w:tc>
          <w:tcPr>
            <w:tcW w:type="dxa" w:w="1040"/>
          </w:tcPr>
          <w:p>
            <w:r/>
          </w:p>
        </w:tc>
        <w:tc>
          <w:tcPr>
            <w:tcW w:type="dxa" w:w="1040"/>
          </w:tcPr>
          <w:p>
            <w:r/>
            <w:r>
              <w:rPr>
                <w:b/>
                <w:i w:val="0"/>
                <w:sz w:val="19"/>
              </w:rPr>
              <w:t>R(5)</w:t>
            </w:r>
          </w:p>
        </w:tc>
        <w:tc>
          <w:tcPr>
            <w:tcW w:type="dxa" w:w="1040"/>
          </w:tcPr>
          <w:p>
            <w:r/>
            <w:r>
              <w:rPr>
                <w:b/>
                <w:i w:val="0"/>
                <w:sz w:val="19"/>
              </w:rPr>
              <w:t>A (3)</w:t>
            </w:r>
          </w:p>
        </w:tc>
      </w:tr>
      <w:tr>
        <w:tc>
          <w:tcPr>
            <w:tcW w:type="dxa" w:w="1040"/>
          </w:tcPr>
          <w:p>
            <w:r/>
            <w:r>
              <w:rPr>
                <w:b w:val="0"/>
                <w:i w:val="0"/>
                <w:sz w:val="19"/>
              </w:rPr>
              <w:t>&lt; 1MM</w:t>
            </w:r>
          </w:p>
        </w:tc>
        <w:tc>
          <w:tcPr>
            <w:tcW w:type="dxa" w:w="1040"/>
          </w:tcPr>
          <w:p>
            <w:r/>
          </w:p>
        </w:tc>
        <w:tc>
          <w:tcPr>
            <w:tcW w:type="dxa" w:w="1040"/>
          </w:tcPr>
          <w:p>
            <w:r/>
          </w:p>
        </w:tc>
        <w:tc>
          <w:tcPr>
            <w:tcW w:type="dxa" w:w="1040"/>
          </w:tcPr>
          <w:p>
            <w:r/>
          </w:p>
        </w:tc>
        <w:tc>
          <w:tcPr>
            <w:tcW w:type="dxa" w:w="1040"/>
          </w:tcPr>
          <w:p>
            <w:r/>
            <w:r>
              <w:rPr>
                <w:b/>
                <w:i w:val="0"/>
                <w:sz w:val="19"/>
              </w:rPr>
              <w:t>A (4)</w:t>
            </w:r>
          </w:p>
        </w:tc>
        <w:tc>
          <w:tcPr>
            <w:tcW w:type="dxa" w:w="1040"/>
          </w:tcPr>
          <w:p>
            <w:r/>
          </w:p>
        </w:tc>
        <w:tc>
          <w:tcPr>
            <w:tcW w:type="dxa" w:w="1040"/>
          </w:tcPr>
          <w:p>
            <w:r/>
          </w:p>
        </w:tc>
        <w:tc>
          <w:tcPr>
            <w:tcW w:type="dxa" w:w="1040"/>
          </w:tcPr>
          <w:p>
            <w:r/>
            <w:r>
              <w:rPr>
                <w:b/>
                <w:i w:val="0"/>
                <w:sz w:val="19"/>
              </w:rPr>
              <w:t>R(5)</w:t>
            </w:r>
          </w:p>
        </w:tc>
        <w:tc>
          <w:tcPr>
            <w:tcW w:type="dxa" w:w="1040"/>
          </w:tcPr>
          <w:p>
            <w:r/>
            <w:r>
              <w:rPr>
                <w:b/>
                <w:i w:val="0"/>
                <w:sz w:val="19"/>
              </w:rPr>
              <w:t>A(4)</w:t>
            </w:r>
          </w:p>
        </w:tc>
      </w:tr>
      <w:tr>
        <w:tc>
          <w:tcPr>
            <w:tcW w:type="dxa" w:w="1040"/>
          </w:tcPr>
          <w:p>
            <w:r/>
            <w:r>
              <w:rPr>
                <w:b/>
                <w:i w:val="0"/>
                <w:sz w:val="19"/>
              </w:rPr>
              <w:t>MUA LẠI / SÁP NHẬP / THOÁI VỐN / LIÊN DOANH</w:t>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r/>
          </w:p>
        </w:tc>
      </w:tr>
      <w:tr>
        <w:tc>
          <w:tcPr>
            <w:tcW w:type="dxa" w:w="1040"/>
          </w:tcPr>
          <w:p>
            <w:r/>
            <w:r>
              <w:rPr>
                <w:b w:val="0"/>
                <w:i w:val="0"/>
                <w:sz w:val="19"/>
              </w:rPr>
              <w:t>≥ 50MM</w:t>
            </w:r>
          </w:p>
        </w:tc>
        <w:tc>
          <w:tcPr>
            <w:tcW w:type="dxa" w:w="1040"/>
          </w:tcPr>
          <w:p>
            <w:r/>
            <w:r>
              <w:rPr>
                <w:b/>
                <w:i w:val="0"/>
                <w:sz w:val="19"/>
              </w:rPr>
              <w:t>A (6)</w:t>
            </w:r>
          </w:p>
        </w:tc>
        <w:tc>
          <w:tcPr>
            <w:tcW w:type="dxa" w:w="1040"/>
          </w:tcPr>
          <w:p>
            <w:r/>
            <w:r>
              <w:rPr>
                <w:b/>
                <w:i w:val="0"/>
                <w:sz w:val="19"/>
              </w:rPr>
              <w:t>P</w:t>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r/>
          </w:p>
        </w:tc>
      </w:tr>
      <w:tr>
        <w:tc>
          <w:tcPr>
            <w:tcW w:type="dxa" w:w="1040"/>
          </w:tcPr>
          <w:p>
            <w:r/>
            <w:r>
              <w:rPr>
                <w:b w:val="0"/>
                <w:i w:val="0"/>
                <w:sz w:val="19"/>
              </w:rPr>
              <w:t>&lt; 50MM</w:t>
            </w:r>
          </w:p>
        </w:tc>
        <w:tc>
          <w:tcPr>
            <w:tcW w:type="dxa" w:w="1040"/>
          </w:tcPr>
          <w:p>
            <w:r/>
          </w:p>
        </w:tc>
        <w:tc>
          <w:tcPr>
            <w:tcW w:type="dxa" w:w="1040"/>
          </w:tcPr>
          <w:p>
            <w:r/>
            <w:r>
              <w:rPr>
                <w:b/>
                <w:i w:val="0"/>
                <w:sz w:val="19"/>
              </w:rPr>
              <w:t>A (2)</w:t>
            </w:r>
          </w:p>
        </w:tc>
        <w:tc>
          <w:tcPr>
            <w:tcW w:type="dxa" w:w="1040"/>
          </w:tcPr>
          <w:p>
            <w:r/>
            <w:r>
              <w:rPr>
                <w:b/>
                <w:i w:val="0"/>
                <w:sz w:val="19"/>
              </w:rPr>
              <w:t>P</w:t>
            </w:r>
          </w:p>
        </w:tc>
        <w:tc>
          <w:tcPr>
            <w:tcW w:type="dxa" w:w="1040"/>
          </w:tcPr>
          <w:p>
            <w:r/>
          </w:p>
        </w:tc>
        <w:tc>
          <w:tcPr>
            <w:tcW w:type="dxa" w:w="1040"/>
          </w:tcPr>
          <w:p>
            <w:r/>
            <w:r>
              <w:rPr>
                <w:b/>
                <w:i w:val="0"/>
                <w:sz w:val="19"/>
              </w:rPr>
              <w:t>A</w:t>
            </w:r>
          </w:p>
        </w:tc>
        <w:tc>
          <w:tcPr>
            <w:tcW w:type="dxa" w:w="1040"/>
          </w:tcPr>
          <w:p>
            <w:r/>
            <w:r>
              <w:rPr>
                <w:b/>
                <w:i w:val="0"/>
                <w:sz w:val="19"/>
              </w:rPr>
              <w:t>A (2)</w:t>
            </w:r>
          </w:p>
        </w:tc>
        <w:tc>
          <w:tcPr>
            <w:tcW w:type="dxa" w:w="1040"/>
          </w:tcPr>
          <w:p>
            <w:r/>
            <w:r>
              <w:rPr>
                <w:b/>
                <w:i w:val="0"/>
                <w:sz w:val="19"/>
              </w:rPr>
              <w:t>R</w:t>
            </w:r>
          </w:p>
        </w:tc>
        <w:tc>
          <w:tcPr>
            <w:tcW w:type="dxa" w:w="1040"/>
          </w:tcPr>
          <w:p>
            <w:r/>
            <w:r>
              <w:rPr>
                <w:b/>
                <w:i w:val="0"/>
                <w:sz w:val="19"/>
              </w:rPr>
              <w:t>R</w:t>
            </w:r>
          </w:p>
        </w:tc>
      </w:tr>
      <w:tr>
        <w:tc>
          <w:tcPr>
            <w:tcW w:type="dxa" w:w="1040"/>
          </w:tcPr>
          <w:p>
            <w:r/>
            <w:r>
              <w:rPr>
                <w:b/>
                <w:i w:val="0"/>
                <w:sz w:val="19"/>
              </w:rPr>
              <w:t>DÀN XẾP PHÁP LÝ</w:t>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r/>
          </w:p>
        </w:tc>
      </w:tr>
      <w:tr>
        <w:tc>
          <w:tcPr>
            <w:tcW w:type="dxa" w:w="1040"/>
          </w:tcPr>
          <w:p>
            <w:r/>
            <w:r>
              <w:rPr>
                <w:b w:val="0"/>
                <w:i w:val="0"/>
                <w:sz w:val="19"/>
              </w:rPr>
              <w:t>≥ 50MM</w:t>
            </w:r>
          </w:p>
        </w:tc>
        <w:tc>
          <w:tcPr>
            <w:tcW w:type="dxa" w:w="1040"/>
          </w:tcPr>
          <w:p>
            <w:r/>
            <w:r>
              <w:rPr>
                <w:b/>
                <w:i w:val="0"/>
                <w:sz w:val="19"/>
              </w:rPr>
              <w:t>I</w:t>
            </w:r>
          </w:p>
        </w:tc>
        <w:tc>
          <w:tcPr>
            <w:tcW w:type="dxa" w:w="1040"/>
          </w:tcPr>
          <w:p>
            <w:r/>
            <w:r>
              <w:rPr>
                <w:b/>
                <w:i w:val="0"/>
                <w:sz w:val="19"/>
              </w:rPr>
              <w:t>A (2)</w:t>
            </w:r>
          </w:p>
        </w:tc>
        <w:tc>
          <w:tcPr>
            <w:tcW w:type="dxa" w:w="1040"/>
          </w:tcPr>
          <w:p>
            <w:r/>
          </w:p>
        </w:tc>
        <w:tc>
          <w:tcPr>
            <w:tcW w:type="dxa" w:w="1040"/>
          </w:tcPr>
          <w:p>
            <w:r/>
          </w:p>
        </w:tc>
        <w:tc>
          <w:tcPr>
            <w:tcW w:type="dxa" w:w="1040"/>
          </w:tcPr>
          <w:p>
            <w:r/>
            <w:r>
              <w:rPr>
                <w:b/>
                <w:i w:val="0"/>
                <w:sz w:val="19"/>
              </w:rPr>
              <w:t>A</w:t>
            </w:r>
          </w:p>
        </w:tc>
        <w:tc>
          <w:tcPr>
            <w:tcW w:type="dxa" w:w="1040"/>
          </w:tcPr>
          <w:p>
            <w:r/>
            <w:r>
              <w:rPr>
                <w:b/>
                <w:i w:val="0"/>
                <w:sz w:val="19"/>
              </w:rPr>
              <w:t>A (2)</w:t>
            </w:r>
          </w:p>
        </w:tc>
        <w:tc>
          <w:tcPr>
            <w:tcW w:type="dxa" w:w="1040"/>
          </w:tcPr>
          <w:p>
            <w:r/>
            <w:r>
              <w:rPr>
                <w:b/>
                <w:i w:val="0"/>
                <w:sz w:val="19"/>
              </w:rPr>
              <w:t>R</w:t>
            </w:r>
          </w:p>
        </w:tc>
        <w:tc>
          <w:tcPr>
            <w:tcW w:type="dxa" w:w="1040"/>
          </w:tcPr>
          <w:p>
            <w:r/>
            <w:r>
              <w:rPr>
                <w:b/>
                <w:i w:val="0"/>
                <w:sz w:val="19"/>
              </w:rPr>
              <w:t>R</w:t>
            </w:r>
          </w:p>
        </w:tc>
      </w:tr>
      <w:tr>
        <w:tc>
          <w:tcPr>
            <w:tcW w:type="dxa" w:w="1040"/>
          </w:tcPr>
          <w:p>
            <w:r/>
            <w:r>
              <w:rPr>
                <w:b w:val="0"/>
                <w:i w:val="0"/>
                <w:sz w:val="19"/>
              </w:rPr>
              <w:t>≥ 5MM</w:t>
            </w:r>
          </w:p>
        </w:tc>
        <w:tc>
          <w:tcPr>
            <w:tcW w:type="dxa" w:w="1040"/>
          </w:tcPr>
          <w:p>
            <w:r/>
          </w:p>
        </w:tc>
        <w:tc>
          <w:tcPr>
            <w:tcW w:type="dxa" w:w="1040"/>
          </w:tcPr>
          <w:p>
            <w:r/>
            <w:r>
              <w:rPr>
                <w:b/>
                <w:i w:val="0"/>
                <w:sz w:val="19"/>
              </w:rPr>
              <w:t>A (2)</w:t>
            </w:r>
          </w:p>
        </w:tc>
        <w:tc>
          <w:tcPr>
            <w:tcW w:type="dxa" w:w="1040"/>
          </w:tcPr>
          <w:p>
            <w:r/>
            <w:r>
              <w:rPr>
                <w:b/>
                <w:i w:val="0"/>
                <w:sz w:val="19"/>
              </w:rPr>
              <w:t>P</w:t>
            </w:r>
          </w:p>
        </w:tc>
        <w:tc>
          <w:tcPr>
            <w:tcW w:type="dxa" w:w="1040"/>
          </w:tcPr>
          <w:p>
            <w:r/>
          </w:p>
        </w:tc>
        <w:tc>
          <w:tcPr>
            <w:tcW w:type="dxa" w:w="1040"/>
          </w:tcPr>
          <w:p>
            <w:r/>
            <w:r>
              <w:rPr>
                <w:b/>
                <w:i w:val="0"/>
                <w:sz w:val="19"/>
              </w:rPr>
              <w:t>A</w:t>
            </w:r>
          </w:p>
        </w:tc>
        <w:tc>
          <w:tcPr>
            <w:tcW w:type="dxa" w:w="1040"/>
          </w:tcPr>
          <w:p>
            <w:r/>
            <w:r>
              <w:rPr>
                <w:b/>
                <w:i w:val="0"/>
                <w:sz w:val="19"/>
              </w:rPr>
              <w:t>A (2)</w:t>
            </w:r>
          </w:p>
        </w:tc>
        <w:tc>
          <w:tcPr>
            <w:tcW w:type="dxa" w:w="1040"/>
          </w:tcPr>
          <w:p>
            <w:r/>
            <w:r>
              <w:rPr>
                <w:b/>
                <w:i w:val="0"/>
                <w:sz w:val="19"/>
              </w:rPr>
              <w:t>R</w:t>
            </w:r>
          </w:p>
        </w:tc>
        <w:tc>
          <w:tcPr>
            <w:tcW w:type="dxa" w:w="1040"/>
          </w:tcPr>
          <w:p>
            <w:r/>
            <w:r>
              <w:rPr>
                <w:b/>
                <w:i w:val="0"/>
                <w:sz w:val="19"/>
              </w:rPr>
              <w:t>R</w:t>
            </w:r>
          </w:p>
        </w:tc>
      </w:tr>
      <w:tr>
        <w:tc>
          <w:tcPr>
            <w:tcW w:type="dxa" w:w="1040"/>
          </w:tcPr>
          <w:p>
            <w:r/>
            <w:r>
              <w:rPr>
                <w:b w:val="0"/>
                <w:i w:val="0"/>
                <w:sz w:val="19"/>
              </w:rPr>
              <w:t>&lt; 5MM</w:t>
            </w:r>
          </w:p>
        </w:tc>
        <w:tc>
          <w:tcPr>
            <w:tcW w:type="dxa" w:w="1040"/>
          </w:tcPr>
          <w:p>
            <w:r/>
          </w:p>
        </w:tc>
        <w:tc>
          <w:tcPr>
            <w:tcW w:type="dxa" w:w="1040"/>
          </w:tcPr>
          <w:p>
            <w:r/>
          </w:p>
        </w:tc>
        <w:tc>
          <w:tcPr>
            <w:tcW w:type="dxa" w:w="1040"/>
          </w:tcPr>
          <w:p>
            <w:r/>
            <w:r>
              <w:rPr>
                <w:b/>
                <w:i w:val="0"/>
                <w:sz w:val="19"/>
              </w:rPr>
              <w:t>A (3)</w:t>
            </w:r>
          </w:p>
        </w:tc>
        <w:tc>
          <w:tcPr>
            <w:tcW w:type="dxa" w:w="1040"/>
          </w:tcPr>
          <w:p>
            <w:r/>
            <w:r>
              <w:rPr>
                <w:b/>
                <w:i w:val="0"/>
                <w:sz w:val="19"/>
              </w:rPr>
              <w:t>P</w:t>
            </w:r>
          </w:p>
        </w:tc>
        <w:tc>
          <w:tcPr>
            <w:tcW w:type="dxa" w:w="1040"/>
          </w:tcPr>
          <w:p>
            <w:r/>
            <w:r>
              <w:rPr>
                <w:b/>
                <w:i w:val="0"/>
                <w:sz w:val="19"/>
              </w:rPr>
              <w:t>A</w:t>
            </w:r>
          </w:p>
        </w:tc>
        <w:tc>
          <w:tcPr>
            <w:tcW w:type="dxa" w:w="1040"/>
          </w:tcPr>
          <w:p>
            <w:r/>
          </w:p>
        </w:tc>
        <w:tc>
          <w:tcPr>
            <w:tcW w:type="dxa" w:w="1040"/>
          </w:tcPr>
          <w:p>
            <w:r/>
            <w:r>
              <w:rPr>
                <w:b/>
                <w:i w:val="0"/>
                <w:sz w:val="19"/>
              </w:rPr>
              <w:t>R</w:t>
            </w:r>
          </w:p>
        </w:tc>
        <w:tc>
          <w:tcPr>
            <w:tcW w:type="dxa" w:w="1040"/>
          </w:tcPr>
          <w:p>
            <w:r/>
            <w:r>
              <w:rPr>
                <w:b/>
                <w:i w:val="0"/>
                <w:sz w:val="19"/>
              </w:rPr>
              <w:t>A (3)</w:t>
            </w:r>
          </w:p>
        </w:tc>
      </w:tr>
      <w:tr>
        <w:tc>
          <w:tcPr>
            <w:tcW w:type="dxa" w:w="1040"/>
          </w:tcPr>
          <w:p>
            <w:r/>
            <w:r>
              <w:rPr>
                <w:b/>
                <w:i w:val="0"/>
                <w:sz w:val="19"/>
              </w:rPr>
              <w:t>THỎA THUẬN TƯ VẤN/NHÀ THẦU</w:t>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r/>
          </w:p>
        </w:tc>
      </w:tr>
      <w:tr>
        <w:tc>
          <w:tcPr>
            <w:tcW w:type="dxa" w:w="1040"/>
          </w:tcPr>
          <w:p>
            <w:r/>
            <w:r>
              <w:rPr>
                <w:b w:val="0"/>
                <w:i w:val="0"/>
                <w:sz w:val="19"/>
              </w:rPr>
              <w:t>≥ 1MM</w:t>
            </w:r>
          </w:p>
        </w:tc>
        <w:tc>
          <w:tcPr>
            <w:tcW w:type="dxa" w:w="1040"/>
          </w:tcPr>
          <w:p>
            <w:r/>
            <w:r>
              <w:rPr>
                <w:b/>
                <w:i w:val="0"/>
                <w:sz w:val="19"/>
              </w:rPr>
              <w:t>A(1) (6)</w:t>
            </w:r>
          </w:p>
        </w:tc>
        <w:tc>
          <w:tcPr>
            <w:tcW w:type="dxa" w:w="1040"/>
          </w:tcPr>
          <w:p>
            <w:r/>
            <w:r>
              <w:rPr>
                <w:b/>
                <w:i w:val="0"/>
                <w:sz w:val="19"/>
              </w:rPr>
              <w:t>A (2)</w:t>
            </w:r>
          </w:p>
        </w:tc>
        <w:tc>
          <w:tcPr>
            <w:tcW w:type="dxa" w:w="1040"/>
          </w:tcPr>
          <w:p>
            <w:r/>
            <w:r>
              <w:rPr>
                <w:b/>
                <w:i w:val="0"/>
                <w:sz w:val="19"/>
              </w:rPr>
              <w:t>P</w:t>
            </w:r>
          </w:p>
        </w:tc>
        <w:tc>
          <w:tcPr>
            <w:tcW w:type="dxa" w:w="1040"/>
          </w:tcPr>
          <w:p>
            <w:r/>
          </w:p>
        </w:tc>
        <w:tc>
          <w:tcPr>
            <w:tcW w:type="dxa" w:w="1040"/>
          </w:tcPr>
          <w:p>
            <w:r/>
            <w:r>
              <w:rPr>
                <w:b/>
                <w:i w:val="0"/>
                <w:sz w:val="19"/>
              </w:rPr>
              <w:t>R</w:t>
            </w:r>
          </w:p>
        </w:tc>
        <w:tc>
          <w:tcPr>
            <w:tcW w:type="dxa" w:w="1040"/>
          </w:tcPr>
          <w:p>
            <w:r/>
            <w:r>
              <w:rPr>
                <w:b/>
                <w:i w:val="0"/>
                <w:sz w:val="19"/>
              </w:rPr>
              <w:t>A (2)</w:t>
            </w:r>
          </w:p>
        </w:tc>
        <w:tc>
          <w:tcPr>
            <w:tcW w:type="dxa" w:w="1040"/>
          </w:tcPr>
          <w:p>
            <w:r/>
            <w:r>
              <w:rPr>
                <w:b/>
                <w:i w:val="0"/>
                <w:sz w:val="19"/>
              </w:rPr>
              <w:t>R (1)</w:t>
            </w:r>
          </w:p>
        </w:tc>
        <w:tc>
          <w:tcPr>
            <w:tcW w:type="dxa" w:w="1040"/>
          </w:tcPr>
          <w:p>
            <w:r/>
            <w:r>
              <w:rPr>
                <w:b/>
                <w:i w:val="0"/>
                <w:sz w:val="19"/>
              </w:rPr>
              <w:t>R</w:t>
            </w:r>
          </w:p>
        </w:tc>
      </w:tr>
      <w:tr>
        <w:tc>
          <w:tcPr>
            <w:tcW w:type="dxa" w:w="1040"/>
          </w:tcPr>
          <w:p>
            <w:r/>
            <w:r>
              <w:rPr>
                <w:b w:val="0"/>
                <w:i w:val="0"/>
                <w:sz w:val="19"/>
              </w:rPr>
              <w:t>≥ 500K</w:t>
            </w:r>
          </w:p>
        </w:tc>
        <w:tc>
          <w:tcPr>
            <w:tcW w:type="dxa" w:w="1040"/>
          </w:tcPr>
          <w:p>
            <w:r/>
            <w:r>
              <w:rPr>
                <w:b/>
                <w:i w:val="0"/>
                <w:sz w:val="19"/>
              </w:rPr>
              <w:t>A(1) (6)</w:t>
            </w:r>
          </w:p>
        </w:tc>
        <w:tc>
          <w:tcPr>
            <w:tcW w:type="dxa" w:w="1040"/>
          </w:tcPr>
          <w:p>
            <w:r/>
          </w:p>
        </w:tc>
        <w:tc>
          <w:tcPr>
            <w:tcW w:type="dxa" w:w="1040"/>
          </w:tcPr>
          <w:p>
            <w:r/>
            <w:r>
              <w:rPr>
                <w:b/>
                <w:i w:val="0"/>
                <w:sz w:val="19"/>
              </w:rPr>
              <w:t>A (3)</w:t>
            </w:r>
          </w:p>
        </w:tc>
        <w:tc>
          <w:tcPr>
            <w:tcW w:type="dxa" w:w="1040"/>
          </w:tcPr>
          <w:p>
            <w:r/>
            <w:r>
              <w:rPr>
                <w:b/>
                <w:i w:val="0"/>
                <w:sz w:val="19"/>
              </w:rPr>
              <w:t>P</w:t>
            </w:r>
          </w:p>
        </w:tc>
        <w:tc>
          <w:tcPr>
            <w:tcW w:type="dxa" w:w="1040"/>
          </w:tcPr>
          <w:p>
            <w:r/>
            <w:r>
              <w:rPr>
                <w:b/>
                <w:i w:val="0"/>
                <w:sz w:val="19"/>
              </w:rPr>
              <w:t>R</w:t>
            </w:r>
          </w:p>
        </w:tc>
        <w:tc>
          <w:tcPr>
            <w:tcW w:type="dxa" w:w="1040"/>
          </w:tcPr>
          <w:p>
            <w:r/>
          </w:p>
        </w:tc>
        <w:tc>
          <w:tcPr>
            <w:tcW w:type="dxa" w:w="1040"/>
          </w:tcPr>
          <w:p>
            <w:r/>
            <w:r>
              <w:rPr>
                <w:b/>
                <w:i w:val="0"/>
                <w:sz w:val="19"/>
              </w:rPr>
              <w:t>R (1)</w:t>
            </w:r>
          </w:p>
        </w:tc>
        <w:tc>
          <w:tcPr>
            <w:tcW w:type="dxa" w:w="1040"/>
          </w:tcPr>
          <w:p>
            <w:r/>
            <w:r>
              <w:rPr>
                <w:b/>
                <w:i w:val="0"/>
                <w:sz w:val="19"/>
              </w:rPr>
              <w:t>A (3)</w:t>
            </w:r>
          </w:p>
        </w:tc>
      </w:tr>
      <w:tr>
        <w:tc>
          <w:tcPr>
            <w:tcW w:type="dxa" w:w="1040"/>
          </w:tcPr>
          <w:p>
            <w:r/>
            <w:r>
              <w:rPr>
                <w:b w:val="0"/>
                <w:i w:val="0"/>
                <w:sz w:val="19"/>
              </w:rPr>
              <w:t>&lt; 500K</w:t>
            </w:r>
          </w:p>
        </w:tc>
        <w:tc>
          <w:tcPr>
            <w:tcW w:type="dxa" w:w="1040"/>
          </w:tcPr>
          <w:p>
            <w:r/>
            <w:r>
              <w:rPr>
                <w:b/>
                <w:i w:val="0"/>
                <w:sz w:val="19"/>
              </w:rPr>
              <w:t>A(1) (6)</w:t>
            </w:r>
          </w:p>
        </w:tc>
        <w:tc>
          <w:tcPr>
            <w:tcW w:type="dxa" w:w="1040"/>
          </w:tcPr>
          <w:p>
            <w:r/>
          </w:p>
        </w:tc>
        <w:tc>
          <w:tcPr>
            <w:tcW w:type="dxa" w:w="1040"/>
          </w:tcPr>
          <w:p>
            <w:r/>
          </w:p>
        </w:tc>
        <w:tc>
          <w:tcPr>
            <w:tcW w:type="dxa" w:w="1040"/>
          </w:tcPr>
          <w:p>
            <w:r/>
            <w:r>
              <w:rPr>
                <w:b/>
                <w:i w:val="0"/>
                <w:sz w:val="19"/>
              </w:rPr>
              <w:t>A (4)</w:t>
            </w:r>
          </w:p>
        </w:tc>
        <w:tc>
          <w:tcPr>
            <w:tcW w:type="dxa" w:w="1040"/>
          </w:tcPr>
          <w:p>
            <w:r/>
            <w:r>
              <w:rPr>
                <w:b/>
                <w:i w:val="0"/>
                <w:sz w:val="19"/>
              </w:rPr>
              <w:t>R</w:t>
            </w:r>
          </w:p>
        </w:tc>
        <w:tc>
          <w:tcPr>
            <w:tcW w:type="dxa" w:w="1040"/>
          </w:tcPr>
          <w:p>
            <w:r/>
          </w:p>
        </w:tc>
        <w:tc>
          <w:tcPr>
            <w:tcW w:type="dxa" w:w="1040"/>
          </w:tcPr>
          <w:p>
            <w:r/>
            <w:r>
              <w:rPr>
                <w:b/>
                <w:i w:val="0"/>
                <w:sz w:val="19"/>
              </w:rPr>
              <w:t>R (1)</w:t>
            </w:r>
          </w:p>
        </w:tc>
        <w:tc>
          <w:tcPr>
            <w:tcW w:type="dxa" w:w="1040"/>
          </w:tcPr>
          <w:p>
            <w:r/>
            <w:r>
              <w:rPr>
                <w:b/>
                <w:i w:val="0"/>
                <w:sz w:val="19"/>
              </w:rPr>
              <w:t>A (4)</w:t>
            </w:r>
          </w:p>
        </w:tc>
      </w:tr>
    </w:tbl>
    <w:p>
      <w:pPr>
        <w:spacing w:after="0"/>
      </w:pPr>
    </w:p>
    <w:p>
      <w:pPr>
        <w:spacing w:after="80"/>
      </w:pPr>
      <w:r>
        <w:rPr>
          <w:b w:val="0"/>
          <w:i w:val="0"/>
        </w:rPr>
        <w:t>LƯU Ý:</w:t>
      </w:r>
      <w:r>
        <w:br/>
      </w:r>
      <w:r>
        <w:rPr>
          <w:b w:val="0"/>
          <w:i w:val="0"/>
        </w:rPr>
        <w:t xml:space="preserve"> Tất cả các phê duyệt đều phụ thuộc vào sự cho phép của ngân sách đơn vị hoạt động. R là Xem xét, A là Phê duyệt, I là Thông báo, và P là Đề xuất. DR là Báo cáo trực tiếp. BUL là Trưởng đơn vị kinh doanh. O&amp;TL là Trưởng bộ phận Vận hành và Công nghệ. (1) Dịch vụ Kế toán, Thuế hoặc Tư vấn phi Kiểm toán do kiểm toán viên bên ngoài cung cấp. (2) CEO và CFO sẽ cùng phê duyệt. (3) BUL/O&amp;TL và Tài chính Doanh nghiệp sẽ cùng phê duyệt. (4) DR-BUL/O&amp;TL và Tài chính Doanh nghiệp sẽ cùng phê duyệt. (5) Xem xét đối với chi phí vốn. (6) Phê duyệt đối với các Giao dịch không phải Hoạt động Thông thường. (7) Việc tăng cường yêu cầu phê duyệt cao hơn ít nhất một cấp so với dự án ban đầu (không bao gồm CEO). (8) Việc xem xét của Mua sắm và Thuế được coi là một phần của việc xem xét và phê duyệt tổng thể của Tài chính Doanh nghiệp.</w:t>
      </w:r>
    </w:p>
    <w:p>
      <w:pPr>
        <w:spacing w:after="80"/>
      </w:pPr>
      <w:r>
        <w:rPr>
          <w:b/>
          <w:i w:val="0"/>
        </w:rPr>
        <w:t>Đơn vị hoạt động</w:t>
      </w:r>
      <w:r>
        <w:rPr>
          <w:b w:val="0"/>
          <w:i w:val="0"/>
        </w:rPr>
        <w:t xml:space="preserve"> nghĩa là bất kỳ công ty con, liên doanh, nhóm kinh doanh, bộ phận chức năng, hoặc hoạt động kinh doanh nào khác mà công ty kiểm soát các hoạt động của doanh nghiệp đó.</w:t>
      </w:r>
    </w:p>
    <w:p>
      <w:pPr>
        <w:spacing w:after="80"/>
      </w:pPr>
      <w:r>
        <w:rPr>
          <w:b/>
          <w:i w:val="0"/>
        </w:rPr>
        <w:t>Công ty con</w:t>
      </w:r>
      <w:r>
        <w:rPr>
          <w:b w:val="0"/>
          <w:i w:val="0"/>
        </w:rPr>
        <w:t xml:space="preserve"> là các thực thể mà công ty sở hữu hơn 50%, hoặc sở hữu 50% hoặc ít hơn và thực hiện quyền kiểm soát quản lý.</w:t>
      </w:r>
    </w:p>
    <w:p>
      <w:pPr>
        <w:spacing w:after="80"/>
      </w:pPr>
      <w:r>
        <w:rPr>
          <w:b/>
          <w:i w:val="0"/>
        </w:rPr>
        <w:t>Hội đồng quản trị công ty con</w:t>
      </w:r>
      <w:r>
        <w:rPr>
          <w:b w:val="0"/>
          <w:i w:val="0"/>
        </w:rPr>
        <w:t xml:space="preserve"> đề cập đến hội đồng quản trị của từng công ty con của công ty hoặc các công ty con của công ty. Trong phạm vi mà luật pháp địa phương trao quyền lực lớn hơn cho hội đồng quản trị công ty con so với quyền lực được quy định trong DoA này, thì quyền lực hẹp hơn được quy định trong DoA này sẽ chi phối. Cần thừa nhận rằng trong trường hợp các thực thể pháp lý riêng biệt, đôi khi sẽ cần có sự xem xét của một cơ quan cấp cao hơn trong công ty (ví dụ: Hội đồng quản trị của một công ty liên kết là cấp dưới của Hội đồng quản trị).</w:t>
      </w:r>
    </w:p>
    <w:p>
      <w:pPr>
        <w:pStyle w:val="Heading2"/>
      </w:pPr>
      <w:r>
        <w:rPr>
          <w:rFonts w:ascii="Calibri" w:hAnsi="Calibri"/>
          <w:b/>
          <w:i w:val="0"/>
          <w:sz w:val="32"/>
        </w:rPr>
        <w:t>VÍ DỤ VỀ CHÍNH SÁCH PHÂN TÁCH NHIỆM VỤ (SOD)</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1.0</w:t>
            </w:r>
          </w:p>
        </w:tc>
        <w:tc>
          <w:tcPr>
            <w:tcW w:type="dxa" w:w="6240"/>
            <w:gridSpan w:val="2"/>
          </w:tcPr>
          <w:p>
            <w:r/>
            <w:r>
              <w:rPr>
                <w:b/>
                <w:i w:val="0"/>
                <w:sz w:val="19"/>
              </w:rPr>
              <w:t>Giới thiệu và Phạm vi</w:t>
            </w:r>
          </w:p>
        </w:tc>
      </w:tr>
      <w:tr>
        <w:tc>
          <w:tcPr>
            <w:tcW w:type="dxa" w:w="3120"/>
          </w:tcPr>
          <w:p>
            <w:r/>
          </w:p>
        </w:tc>
        <w:tc>
          <w:tcPr>
            <w:tcW w:type="dxa" w:w="6240"/>
            <w:gridSpan w:val="2"/>
          </w:tcPr>
          <w:p>
            <w:r/>
            <w:r>
              <w:rPr>
                <w:b w:val="0"/>
                <w:i w:val="0"/>
                <w:sz w:val="19"/>
              </w:rPr>
              <w:t>Chính sách này phản ánh các quyết định kinh doanh quan trọng thiết lập các mục tiêu và định hướng cho công ty. Các chính sách thiết lập quy trình cơ bản, triết lý nền tảng, và các giá trị chính mà tổ chức phải vận hành dựa trên đó. Chính sách khác với thủ tục ở chỗ thủ tục quy định phương tiện để thực hiện chính sách. Thủ tục cung cấp cho nhân viên các hướng dẫn và hoạt động cụ thể để đảm bảo tính thống nhất, tuân thủ, và kiểm soát các hoạt động liên quan đến chính sách. Cách tiếp cận tổng thể là đảm bảo tính nhất quán toàn cầu từ khâu chuẩn bị ngân sách đến báo cáo hợp nhất, chỉ có sự xử lý khác biệt đối với các quy trình cho các yêu cầu theo luật định hoặc yêu cầu cụ thể của từng bộ phận. Chính sách được chia thành sáu mục:</w:t>
            </w:r>
            <w:r>
              <w:br/>
            </w:r>
            <w:r>
              <w:rPr>
                <w:b w:val="0"/>
                <w:i w:val="0"/>
                <w:sz w:val="19"/>
              </w:rPr>
              <w:t xml:space="preserve">1.  </w:t>
            </w:r>
            <w:r>
              <w:rPr>
                <w:b/>
                <w:i w:val="0"/>
                <w:sz w:val="19"/>
              </w:rPr>
              <w:t>Giới thiệu</w:t>
            </w:r>
            <w:r>
              <w:rPr>
                <w:b w:val="0"/>
                <w:i w:val="0"/>
                <w:sz w:val="19"/>
              </w:rPr>
              <w:t xml:space="preserve"> </w:t>
            </w:r>
            <w:r>
              <w:br/>
            </w:r>
            <w:r>
              <w:rPr>
                <w:b w:val="0"/>
                <w:i w:val="0"/>
                <w:sz w:val="19"/>
              </w:rPr>
              <w:t xml:space="preserve">2.  </w:t>
            </w:r>
            <w:r>
              <w:rPr>
                <w:b/>
                <w:i w:val="0"/>
                <w:sz w:val="19"/>
              </w:rPr>
              <w:t>Chính sách Tổ chức</w:t>
            </w:r>
            <w:r>
              <w:rPr>
                <w:b w:val="0"/>
                <w:i w:val="0"/>
                <w:sz w:val="19"/>
              </w:rPr>
              <w:t xml:space="preserve"> </w:t>
            </w:r>
            <w:r>
              <w:br/>
            </w:r>
            <w:r>
              <w:rPr>
                <w:b w:val="0"/>
                <w:i w:val="0"/>
                <w:sz w:val="19"/>
              </w:rPr>
              <w:t xml:space="preserve">3.  </w:t>
            </w:r>
            <w:r>
              <w:rPr>
                <w:b/>
                <w:i w:val="0"/>
                <w:sz w:val="19"/>
              </w:rPr>
              <w:t>Tiêu chuẩn Nghề nghiệp</w:t>
            </w:r>
            <w:r>
              <w:rPr>
                <w:b w:val="0"/>
                <w:i w:val="0"/>
                <w:sz w:val="19"/>
              </w:rPr>
              <w:t xml:space="preserve"> </w:t>
            </w:r>
            <w:r>
              <w:br/>
            </w:r>
            <w:r>
              <w:rPr>
                <w:b w:val="0"/>
                <w:i w:val="0"/>
                <w:sz w:val="19"/>
              </w:rPr>
              <w:t xml:space="preserve">4.  </w:t>
            </w:r>
            <w:r>
              <w:rPr>
                <w:b/>
                <w:i w:val="0"/>
                <w:sz w:val="19"/>
              </w:rPr>
              <w:t>Rủi ro và Mục tiêu Kiểm soát Nội bộ được Chính sách Giải quyết</w:t>
            </w:r>
            <w:r>
              <w:rPr>
                <w:b w:val="0"/>
                <w:i w:val="0"/>
                <w:sz w:val="19"/>
              </w:rPr>
              <w:t xml:space="preserve"> </w:t>
            </w:r>
            <w:r>
              <w:br/>
            </w:r>
            <w:r>
              <w:rPr>
                <w:b w:val="0"/>
                <w:i w:val="0"/>
                <w:sz w:val="19"/>
              </w:rPr>
              <w:t xml:space="preserve">5.  </w:t>
            </w:r>
            <w:r>
              <w:rPr>
                <w:b/>
                <w:i w:val="0"/>
                <w:sz w:val="19"/>
              </w:rPr>
              <w:t>Thủ tục Chức năng</w:t>
            </w:r>
            <w:r>
              <w:rPr>
                <w:b w:val="0"/>
                <w:i w:val="0"/>
                <w:sz w:val="19"/>
              </w:rPr>
              <w:t xml:space="preserve"> </w:t>
            </w:r>
            <w:r>
              <w:br/>
            </w:r>
            <w:r>
              <w:rPr>
                <w:b w:val="0"/>
                <w:i w:val="0"/>
                <w:sz w:val="19"/>
              </w:rPr>
              <w:t xml:space="preserve">6.  </w:t>
            </w:r>
            <w:r>
              <w:rPr>
                <w:b/>
                <w:i w:val="0"/>
                <w:sz w:val="19"/>
              </w:rPr>
              <w:t>Phụ lục</w:t>
            </w:r>
          </w:p>
        </w:tc>
      </w:tr>
      <w:tr>
        <w:tc>
          <w:tcPr>
            <w:tcW w:type="dxa" w:w="3120"/>
          </w:tcPr>
          <w:p>
            <w:r/>
            <w:r>
              <w:rPr>
                <w:b/>
                <w:i w:val="0"/>
                <w:sz w:val="19"/>
              </w:rPr>
              <w:t>2.0</w:t>
            </w:r>
          </w:p>
        </w:tc>
        <w:tc>
          <w:tcPr>
            <w:tcW w:type="dxa" w:w="6240"/>
            <w:gridSpan w:val="2"/>
          </w:tcPr>
          <w:p>
            <w:r/>
            <w:r>
              <w:rPr>
                <w:b/>
                <w:i w:val="0"/>
                <w:sz w:val="19"/>
              </w:rPr>
              <w:t>Chính sách tổ chức</w:t>
            </w:r>
          </w:p>
        </w:tc>
      </w:tr>
      <w:tr>
        <w:tc>
          <w:tcPr>
            <w:tcW w:type="dxa" w:w="3120"/>
          </w:tcPr>
          <w:p>
            <w:r/>
          </w:p>
        </w:tc>
        <w:tc>
          <w:tcPr>
            <w:tcW w:type="dxa" w:w="6240"/>
            <w:gridSpan w:val="2"/>
          </w:tcPr>
          <w:p>
            <w:r/>
            <w:r>
              <w:rPr>
                <w:b w:val="0"/>
                <w:i w:val="0"/>
                <w:sz w:val="19"/>
              </w:rPr>
              <w:t>Chính sách của công ty là phải duy trì việc phân tách nhiệm vụ (segregation of duties) phù hợp theo các nguyên tắc được nêu trong tài liệu này. Công ty phải xác định, khắc phục và duy trì sự tách biệt giữa các chức năng kinh doanh không tương thích. Trong những trường hợp được phép mà các chức năng kinh doanh không thể được phân tách hoàn toàn và phù hợp do những hoàn cảnh cụ thể, ban lãnh đạo phải triển khai các kiểm soát giảm thiểu (mitigating controls) để bù đắp cho những tình huống đó. Khi có thay đổi trong môi trường tổ chức, chức năng và công nghệ, cần thực hiện các đánh giá để giải quyết tác động lên việc phân tách nhiệm vụ phát sinh từ những thay đổi đó. Ban lãnh đạo cấp cao của công ty phải xem xét, sửa đổi và thực thi chính sách này khi có những phát triển quan trọng liên quan đến việc phân tách nhiệm vụ.</w:t>
            </w:r>
          </w:p>
        </w:tc>
      </w:tr>
      <w:tr>
        <w:tc>
          <w:tcPr>
            <w:tcW w:type="dxa" w:w="3120"/>
          </w:tcPr>
          <w:p>
            <w:r/>
          </w:p>
        </w:tc>
        <w:tc>
          <w:tcPr>
            <w:tcW w:type="dxa" w:w="3120"/>
          </w:tcPr>
          <w:p>
            <w:r/>
            <w:r>
              <w:rPr>
                <w:b/>
                <w:i w:val="0"/>
                <w:sz w:val="19"/>
              </w:rPr>
              <w:t>2.1</w:t>
            </w:r>
          </w:p>
        </w:tc>
        <w:tc>
          <w:tcPr>
            <w:tcW w:type="dxa" w:w="3120"/>
          </w:tcPr>
          <w:p>
            <w:r/>
            <w:r>
              <w:rPr>
                <w:b/>
                <w:i w:val="0"/>
                <w:sz w:val="19"/>
              </w:rPr>
              <w:t>Mục đích của việc phân tách nhiệm vụ</w:t>
            </w:r>
          </w:p>
        </w:tc>
      </w:tr>
      <w:tr>
        <w:tc>
          <w:tcPr>
            <w:tcW w:type="dxa" w:w="3120"/>
          </w:tcPr>
          <w:p>
            <w:r/>
          </w:p>
        </w:tc>
        <w:tc>
          <w:tcPr>
            <w:tcW w:type="dxa" w:w="3120"/>
          </w:tcPr>
          <w:p>
            <w:r/>
          </w:p>
        </w:tc>
        <w:tc>
          <w:tcPr>
            <w:tcW w:type="dxa" w:w="3120"/>
          </w:tcPr>
          <w:p>
            <w:r/>
            <w:r>
              <w:rPr>
                <w:b w:val="0"/>
                <w:i w:val="0"/>
                <w:sz w:val="19"/>
              </w:rPr>
              <w:t>Việc phân tách nhiệm vụ đầy đủ làm giảm khả năng các sai sót (cố ý hoặc vô ý) vẫn không bị phát hiện bằng cách bố trí các cá nhân khác nhau xử lý riêng biệt ở nhiều giai đoạn khác nhau của một giao dịch và thực hiện việc đánh giá độc lập đối với công việc đã thực hiện. Việc phân tách nhiệm vụ mang lại bốn lợi ích chính: (1) rủi ro gian lận có chủ đích được giảm thiểu vì cần phải có sự thông đồng của hai hoặc nhiều người để lách qua các kiểm soát; (2) rủi ro sai sót hợp pháp được giảm thiểu vì khả năng phát hiện được tăng lên; (3) chi phí cho các hành động khắc phục được giảm thiểu vì các sai sót thường được phát hiện tương đối sớm hơn trong vòng đời của chúng; và (4) uy tín về tính chính trực và chất lượng của tổ chức được nâng cao thông qua một hệ thống kiểm tra và cân đối (checks and balances). Việc phân tách nhiệm vụ là một kiểm soát nội bộ cơ bản, then chốt và là một trong những kiểm soát khó thực hiện nhất. Về bản chất, sẽ có sự đảm bảo cao hơn rằng các trách nhiệm kiểm soát nội bộ sẽ được triển khai đầy đủ khi các trách nhiệm đó được phân tán nhiều hơn giữa nhiều cá nhân và nhóm làm việc.</w:t>
            </w:r>
          </w:p>
        </w:tc>
      </w:tr>
      <w:tr>
        <w:tc>
          <w:tcPr>
            <w:tcW w:type="dxa" w:w="3120"/>
          </w:tcPr>
          <w:p>
            <w:r/>
          </w:p>
        </w:tc>
        <w:tc>
          <w:tcPr>
            <w:tcW w:type="dxa" w:w="3120"/>
          </w:tcPr>
          <w:p>
            <w:r/>
            <w:r>
              <w:rPr>
                <w:b/>
                <w:i w:val="0"/>
                <w:sz w:val="19"/>
              </w:rPr>
              <w:t>2.2</w:t>
            </w:r>
          </w:p>
        </w:tc>
        <w:tc>
          <w:tcPr>
            <w:tcW w:type="dxa" w:w="3120"/>
          </w:tcPr>
          <w:p>
            <w:r/>
            <w:r>
              <w:rPr>
                <w:b/>
                <w:i w:val="0"/>
                <w:sz w:val="19"/>
              </w:rPr>
              <w:t>Các nguyên tắc của việc phân tách nhiệm vụ</w:t>
            </w:r>
          </w:p>
        </w:tc>
      </w:tr>
      <w:tr>
        <w:tc>
          <w:tcPr>
            <w:tcW w:type="dxa" w:w="3120"/>
          </w:tcPr>
          <w:p>
            <w:r/>
          </w:p>
        </w:tc>
        <w:tc>
          <w:tcPr>
            <w:tcW w:type="dxa" w:w="3120"/>
          </w:tcPr>
          <w:p>
            <w:r/>
          </w:p>
        </w:tc>
        <w:tc>
          <w:tcPr>
            <w:tcW w:type="dxa" w:w="3120"/>
          </w:tcPr>
          <w:p>
            <w:r/>
            <w:r>
              <w:rPr>
                <w:b w:val="0"/>
                <w:i w:val="0"/>
                <w:sz w:val="19"/>
              </w:rPr>
              <w:t>Nguyên tắc then chốt của việc phân tách nhiệm vụ là một cá nhân hoặc một nhóm nhỏ cá nhân không nên ở vị trí có thể kiểm soát mọi khía cạnh của một giao dịch hoặc quy trình kinh doanh. Về cơ bản, các nhiệm vụ chung cần được phân tách là: lập kế hoạch/khởi tạo, phê duyệt, giám sát tài sản (custody of assets), và ghi chép hoặc báo cáo các giao dịch. Ngoài ra, các nhiệm vụ kiểm soát như xem xét, kiểm toán và đối chiếu không nên do cùng một cá nhân chịu trách nhiệm ghi chép hoặc báo cáo giao dịch thực hiện. Nguyên tắc phân tách nhiệm vụ nói chung giúp xác định các cấu trúc sẽ chi phối việc định nghĩa các quy trình, kiểm soát và cơ cấu báo cáo của các đơn vị tổ chức. Một yếu tố khác của việc phân tách nhiệm vụ là trong một đơn vị tổ chức mà lương, hoa hồng và đánh giá hiệu suất của nhân viên bị kiểm soát hoặc chi phối bởi cùng một Ban lãnh đạo, điều quan trọng là phải đảm bảo rằng nhân viên không bị áp lực phải lách qua các kiểm soát, quy trình hoặc cấu trúc phân tách nhiệm vụ.</w:t>
            </w:r>
          </w:p>
        </w:tc>
      </w:tr>
      <w:tr>
        <w:tc>
          <w:tcPr>
            <w:tcW w:type="dxa" w:w="3120"/>
          </w:tcPr>
          <w:p>
            <w:r/>
          </w:p>
        </w:tc>
        <w:tc>
          <w:tcPr>
            <w:tcW w:type="dxa" w:w="3120"/>
          </w:tcPr>
          <w:p>
            <w:r/>
          </w:p>
        </w:tc>
        <w:tc>
          <w:tcPr>
            <w:tcW w:type="dxa" w:w="3120"/>
          </w:tcPr>
          <w:p>
            <w:r/>
            <w:r>
              <w:rPr>
                <w:b w:val="0"/>
                <w:i w:val="0"/>
                <w:sz w:val="19"/>
              </w:rPr>
              <w:t>Nguyên tắc phân tách nhiệm vụ trong môi trường hệ thống thông tin cũng rất quan trọng vì nó đảm bảo sự tách biệt giữa các chức năng khác nhau như nhập giao dịch, phê duyệt giao dịch trực tuyến, khởi tạo tệp chính (master file), bảo trì tệp chính, quyền truy cập của người dùng, và việc xem xét các giao dịch. Trong bối cảnh các kiểm soát ở cấp ứng dụng, điều này có nghĩa là một cá nhân không nên có quyền truy cập cho phép họ nhập, phê duyệt và xem xét giao dịch. Do đó, việc gán các hồ sơ bảo mật (security profiles) khác nhau cho các cá nhân khác nhau sẽ hỗ trợ nguyên tắc phân tách nhiệm vụ. Các nhóm nhiệm vụ hoặc trách nhiệm chung sau đây được xem xét liên quan đến việc phân tách nhiệm vụ:</w:t>
            </w:r>
            <w:r>
              <w:br/>
            </w:r>
            <w:r>
              <w:rPr>
                <w:b w:val="0"/>
                <w:i w:val="0"/>
                <w:sz w:val="19"/>
              </w:rPr>
              <w:t>• Xây dựng chính sách, kế hoạch và mục tiêu</w:t>
            </w:r>
            <w:r>
              <w:br/>
            </w:r>
            <w:r>
              <w:rPr>
                <w:b w:val="0"/>
                <w:i w:val="0"/>
                <w:sz w:val="19"/>
              </w:rPr>
              <w:t>• Phê duyệt chính sách, kế hoạch và mục tiêu</w:t>
            </w:r>
            <w:r>
              <w:br/>
            </w:r>
            <w:r>
              <w:rPr>
                <w:b w:val="0"/>
                <w:i w:val="0"/>
                <w:sz w:val="19"/>
              </w:rPr>
              <w:t>• Phát triển/phân tích biện minh cho trường hợp kinh doanh</w:t>
            </w:r>
            <w:r>
              <w:br/>
            </w:r>
            <w:r>
              <w:rPr>
                <w:b w:val="0"/>
                <w:i w:val="0"/>
                <w:sz w:val="19"/>
              </w:rPr>
              <w:t>• Khởi tạo một giao dịch</w:t>
            </w:r>
            <w:r>
              <w:br/>
            </w:r>
            <w:r>
              <w:rPr>
                <w:b w:val="0"/>
                <w:i w:val="0"/>
                <w:sz w:val="19"/>
              </w:rPr>
              <w:t>• Phê duyệt giao dịch</w:t>
            </w:r>
            <w:r>
              <w:br/>
            </w:r>
            <w:r>
              <w:rPr>
                <w:b w:val="0"/>
                <w:i w:val="0"/>
                <w:sz w:val="19"/>
              </w:rPr>
              <w:t>• Ghi chép giao dịch</w:t>
            </w:r>
            <w:r>
              <w:br/>
            </w:r>
            <w:r>
              <w:rPr>
                <w:b w:val="0"/>
                <w:i w:val="0"/>
                <w:sz w:val="19"/>
              </w:rPr>
              <w:t>• Giám sát hoặc giám hộ tài sản vật chất</w:t>
            </w:r>
            <w:r>
              <w:br/>
            </w:r>
            <w:r>
              <w:rPr>
                <w:b w:val="0"/>
                <w:i w:val="0"/>
                <w:sz w:val="19"/>
              </w:rPr>
              <w:t>• Giám sát và/hoặc báo cáo về kết quả hiệu suất</w:t>
            </w:r>
            <w:r>
              <w:br/>
            </w:r>
            <w:r>
              <w:rPr>
                <w:b w:val="0"/>
                <w:i w:val="0"/>
                <w:sz w:val="19"/>
              </w:rPr>
              <w:t>• Đối chiếu tài khoản và giao dịch</w:t>
            </w:r>
            <w:r>
              <w:br/>
            </w:r>
            <w:r>
              <w:rPr>
                <w:b w:val="0"/>
                <w:i w:val="0"/>
                <w:sz w:val="19"/>
              </w:rPr>
              <w:t>• Phê duyệt các giao dịch tệp chính</w:t>
            </w:r>
            <w:r>
              <w:br/>
            </w:r>
            <w:r>
              <w:rPr>
                <w:b w:val="0"/>
                <w:i w:val="0"/>
                <w:sz w:val="19"/>
              </w:rPr>
              <w:t>• Xử lý các giao dịch tệp chính</w:t>
            </w:r>
            <w:r>
              <w:br/>
            </w:r>
            <w:r>
              <w:rPr>
                <w:b w:val="0"/>
                <w:i w:val="0"/>
                <w:sz w:val="19"/>
              </w:rPr>
              <w:t>• Cung cấp dịch vụ phát triển hệ thống thông tin, quản trị bảo mật và các hỗ trợ liên quan khác</w:t>
            </w:r>
            <w:r>
              <w:br/>
            </w:r>
            <w:r>
              <w:rPr>
                <w:b w:val="0"/>
                <w:i w:val="0"/>
                <w:sz w:val="19"/>
              </w:rPr>
              <w:t>• Theo dõi/giải quyết các vấn đề hoặc sai lệch. Trong một hệ thống lý tưởng, các nhân viên khác nhau sẽ thực hiện từng chức năng chính này. Việc phân tách nhiệm vụ sẽ ngụ ý rằng không ai có quyền kiểm soát hai hoặc nhiều trách nhiệm này trong một chu trình con hoặc quy trình nhất định. Xét về mức độ áp dụng, tài sản càng dễ chuyển nhượng trên thị trường thì thường càng cần phân tách nhiệm vụ đúng đắn—đặc biệt là khi xử lý tiền mặt, séc chuyển nhượng và hàng tồn kho. Một người có thể đảm nhận nhiều trách nhiệm miễn là chúng thuộc các quy trình, hoạt động, giao dịch và các vấn đề kinh doanh khác tách biệt hoặc được phân tách. Ví dụ, một nhân viên đại diện tài khoản khách hàng có thể có trách nhiệm thu thập thông tin tín dụng, cập nhật thông tin hồ sơ khách hàng, xác minh các điều khoản hợp đồng và đăng các thay đổi thiết bị.</w:t>
            </w:r>
          </w:p>
        </w:tc>
      </w:tr>
      <w:tr>
        <w:tc>
          <w:tcPr>
            <w:tcW w:type="dxa" w:w="3120"/>
          </w:tcPr>
          <w:p>
            <w:r/>
          </w:p>
        </w:tc>
        <w:tc>
          <w:tcPr>
            <w:tcW w:type="dxa" w:w="3120"/>
          </w:tcPr>
          <w:p>
            <w:r/>
            <w:r>
              <w:rPr>
                <w:b/>
                <w:i w:val="0"/>
                <w:sz w:val="19"/>
              </w:rPr>
              <w:t>2.3</w:t>
            </w:r>
          </w:p>
        </w:tc>
        <w:tc>
          <w:tcPr>
            <w:tcW w:type="dxa" w:w="3120"/>
          </w:tcPr>
          <w:p>
            <w:r/>
            <w:r>
              <w:rPr>
                <w:b/>
                <w:i w:val="0"/>
                <w:sz w:val="19"/>
              </w:rPr>
              <w:t>Các lĩnh vực của việc phân tách nhiệm vụ</w:t>
            </w:r>
          </w:p>
        </w:tc>
      </w:tr>
      <w:tr>
        <w:tc>
          <w:tcPr>
            <w:tcW w:type="dxa" w:w="3120"/>
          </w:tcPr>
          <w:p>
            <w:r/>
          </w:p>
        </w:tc>
        <w:tc>
          <w:tcPr>
            <w:tcW w:type="dxa" w:w="3120"/>
          </w:tcPr>
          <w:p>
            <w:r/>
          </w:p>
        </w:tc>
        <w:tc>
          <w:tcPr>
            <w:tcW w:type="dxa" w:w="3120"/>
          </w:tcPr>
          <w:p>
            <w:r/>
            <w:r>
              <w:rPr>
                <w:b w:val="0"/>
                <w:i w:val="0"/>
                <w:sz w:val="19"/>
              </w:rPr>
              <w:t>Có ba lĩnh vực chiến lược của việc phân tách nhiệm vụ được chính sách này đề cập. Các lĩnh vực này là tổ chức, chức năng và công nghệ. Lĩnh vực tổ chức đề cập đến các vấn đề phân tách nhiệm vụ có thể phát sinh do cơ cấu tổ chức của công ty. Lĩnh vực chức năng đề cập đến các vấn đề phân tách nhiệm vụ có thể phát sinh do các chức năng công việc mà các cá nhân được giao trách nhiệm. Cuối cùng, lĩnh vực công nghệ đề cập đến các vấn đề phân tách nhiệm vụ có thể phát sinh do cấu hình bảo mật của các hệ thống IT khác nhau.</w:t>
            </w:r>
          </w:p>
        </w:tc>
      </w:tr>
      <w:tr>
        <w:tc>
          <w:tcPr>
            <w:tcW w:type="dxa" w:w="3120"/>
          </w:tcPr>
          <w:p>
            <w:r/>
          </w:p>
        </w:tc>
        <w:tc>
          <w:tcPr>
            <w:tcW w:type="dxa" w:w="3120"/>
          </w:tcPr>
          <w:p>
            <w:r/>
            <w:r>
              <w:rPr>
                <w:b/>
                <w:i w:val="0"/>
                <w:sz w:val="19"/>
              </w:rPr>
              <w:t>2.4</w:t>
            </w:r>
          </w:p>
        </w:tc>
        <w:tc>
          <w:tcPr>
            <w:tcW w:type="dxa" w:w="3120"/>
          </w:tcPr>
          <w:p>
            <w:r/>
            <w:r>
              <w:rPr>
                <w:b/>
                <w:i w:val="0"/>
                <w:sz w:val="19"/>
              </w:rPr>
              <w:t>Việc sử dụng các kiểm soát bù đắp</w:t>
            </w:r>
          </w:p>
        </w:tc>
      </w:tr>
      <w:tr>
        <w:tc>
          <w:tcPr>
            <w:tcW w:type="dxa" w:w="3120"/>
          </w:tcPr>
          <w:p>
            <w:r/>
          </w:p>
        </w:tc>
        <w:tc>
          <w:tcPr>
            <w:tcW w:type="dxa" w:w="3120"/>
          </w:tcPr>
          <w:p>
            <w:r/>
          </w:p>
        </w:tc>
        <w:tc>
          <w:tcPr>
            <w:tcW w:type="dxa" w:w="3120"/>
          </w:tcPr>
          <w:p>
            <w:r/>
            <w:r>
              <w:rPr>
                <w:b w:val="0"/>
                <w:i w:val="0"/>
                <w:sz w:val="19"/>
              </w:rPr>
              <w:t>Trong những trường hợp không thể phân tách hoàn toàn các nhiệm vụ, phải thiết lập các kiểm soát giảm thiểu hoặc bù đắp. Các kiểm soát giảm thiểu hoặc bù đắp là các thủ tục bổ sung được thiết kế để giảm rủi ro sai sót hoặc bất thường. Ví dụ, nếu người ghi chép sổ sách cũng thực hiện quy trình đối chiếu, thì một người giám sát có thể thực hiện và ghi lại việc xem xét chi tiết quá trình đối chiếu đó để cung cấp thêm kiểm soát đối với việc giao các chức năng không tương thích. Việc phân tách nhiệm vụ khó đạt được hơn trong môi trường tập trung, tin học hóa. Các kiểm soát bù đắp trong lĩnh vực này có thể bao gồm mật khẩu, quyền truy cập chỉ để tra cứu, nhật ký (logs), yêu cầu phê duyệt kép và việc xem xét đầu vào/đầu ra được ghi lại.</w:t>
            </w:r>
          </w:p>
        </w:tc>
      </w:tr>
      <w:tr>
        <w:tc>
          <w:tcPr>
            <w:tcW w:type="dxa" w:w="3120"/>
          </w:tcPr>
          <w:p>
            <w:r/>
          </w:p>
        </w:tc>
        <w:tc>
          <w:tcPr>
            <w:tcW w:type="dxa" w:w="3120"/>
          </w:tcPr>
          <w:p>
            <w:r/>
            <w:r>
              <w:rPr>
                <w:b/>
                <w:i w:val="0"/>
                <w:sz w:val="19"/>
              </w:rPr>
              <w:t>2.5</w:t>
            </w:r>
          </w:p>
        </w:tc>
        <w:tc>
          <w:tcPr>
            <w:tcW w:type="dxa" w:w="3120"/>
          </w:tcPr>
          <w:p>
            <w:r/>
            <w:r>
              <w:rPr>
                <w:b/>
                <w:i w:val="0"/>
                <w:sz w:val="19"/>
              </w:rPr>
              <w:t>Mối quan hệ với các biện pháp kiểm soát nội bộ khác</w:t>
            </w:r>
          </w:p>
        </w:tc>
      </w:tr>
      <w:tr>
        <w:tc>
          <w:tcPr>
            <w:tcW w:type="dxa" w:w="3120"/>
          </w:tcPr>
          <w:p>
            <w:r/>
          </w:p>
        </w:tc>
        <w:tc>
          <w:tcPr>
            <w:tcW w:type="dxa" w:w="3120"/>
          </w:tcPr>
          <w:p>
            <w:r/>
          </w:p>
        </w:tc>
        <w:tc>
          <w:tcPr>
            <w:tcW w:type="dxa" w:w="3120"/>
          </w:tcPr>
          <w:p>
            <w:r/>
            <w:r>
              <w:rPr>
                <w:b w:val="0"/>
                <w:i w:val="0"/>
                <w:sz w:val="19"/>
              </w:rPr>
              <w:t>Phân tách nhiệm vụ là một phần không thể thiếu trong các tiêu chuẩn kiểm soát nội bộ tổng thể của công ty và là nền tảng của các tiêu chuẩn kiểm soát nội bộ. Đây là một kiểm soát then chốt cần thiết để đảm bảo rằng các kiểm soát khác được thực hiện một cách hiệu quả bởi những cá nhân và nhóm phù hợp.</w:t>
            </w:r>
          </w:p>
        </w:tc>
      </w:tr>
      <w:tr>
        <w:tc>
          <w:tcPr>
            <w:tcW w:type="dxa" w:w="3120"/>
          </w:tcPr>
          <w:p>
            <w:r/>
            <w:r>
              <w:rPr>
                <w:b/>
                <w:i w:val="0"/>
                <w:sz w:val="19"/>
              </w:rPr>
              <w:t>3.0</w:t>
            </w:r>
          </w:p>
        </w:tc>
        <w:tc>
          <w:tcPr>
            <w:tcW w:type="dxa" w:w="6240"/>
            <w:gridSpan w:val="2"/>
          </w:tcPr>
          <w:p>
            <w:r/>
            <w:r>
              <w:rPr>
                <w:b/>
                <w:i w:val="0"/>
                <w:sz w:val="19"/>
              </w:rPr>
              <w:t>Các tiêu chuẩn nghề nghiệp</w:t>
            </w:r>
          </w:p>
        </w:tc>
      </w:tr>
      <w:tr>
        <w:tc>
          <w:tcPr>
            <w:tcW w:type="dxa" w:w="3120"/>
          </w:tcPr>
          <w:p>
            <w:r/>
          </w:p>
        </w:tc>
        <w:tc>
          <w:tcPr>
            <w:tcW w:type="dxa" w:w="3120"/>
          </w:tcPr>
          <w:p>
            <w:r/>
          </w:p>
        </w:tc>
        <w:tc>
          <w:tcPr>
            <w:tcW w:type="dxa" w:w="3120"/>
          </w:tcPr>
          <w:p>
            <w:r/>
            <w:r>
              <w:rPr>
                <w:b w:val="0"/>
                <w:i w:val="0"/>
                <w:sz w:val="19"/>
              </w:rPr>
              <w:t>Chính sách này thiết lập các tiêu chuẩn và hướng dẫn có thẩm quyền cho công ty và tất cả các công ty con của mình.</w:t>
            </w:r>
          </w:p>
        </w:tc>
      </w:tr>
      <w:tr>
        <w:tc>
          <w:tcPr>
            <w:tcW w:type="dxa" w:w="3120"/>
          </w:tcPr>
          <w:p>
            <w:r/>
            <w:r>
              <w:rPr>
                <w:b/>
                <w:i w:val="0"/>
                <w:sz w:val="19"/>
              </w:rPr>
              <w:t>4.0</w:t>
            </w:r>
          </w:p>
        </w:tc>
        <w:tc>
          <w:tcPr>
            <w:tcW w:type="dxa" w:w="6240"/>
            <w:gridSpan w:val="2"/>
          </w:tcPr>
          <w:p>
            <w:r/>
            <w:r>
              <w:rPr>
                <w:b/>
                <w:i w:val="0"/>
                <w:sz w:val="19"/>
              </w:rPr>
              <w:t>Các rủi ro và mục tiêu kiểm soát nội bộ được chính sách này giải quyết</w:t>
            </w:r>
          </w:p>
        </w:tc>
      </w:tr>
      <w:tr>
        <w:tc>
          <w:tcPr>
            <w:tcW w:type="dxa" w:w="3120"/>
          </w:tcPr>
          <w:p>
            <w:r/>
          </w:p>
        </w:tc>
        <w:tc>
          <w:tcPr>
            <w:tcW w:type="dxa" w:w="3120"/>
          </w:tcPr>
          <w:p>
            <w:r/>
          </w:p>
        </w:tc>
        <w:tc>
          <w:tcPr>
            <w:tcW w:type="dxa" w:w="3120"/>
          </w:tcPr>
          <w:p>
            <w:r/>
            <w:r>
              <w:rPr>
                <w:b w:val="0"/>
                <w:i w:val="0"/>
                <w:sz w:val="19"/>
              </w:rPr>
              <w:t>Sai lệch trong tài khoản tài chính và thông tin quản lý do: lỗi cố ý hoặc vô ý, thiếu sót và gian lận; mất dấu vết kiểm toán (audit trail) để xác thực việc phân tích chi tiết, phê duyệt và thực hiện các giao dịch; không tuân thủ các yêu cầu pháp lý; điểm yếu về bảo mật CNTT</w:t>
            </w:r>
          </w:p>
        </w:tc>
      </w:tr>
      <w:tr>
        <w:tc>
          <w:tcPr>
            <w:tcW w:type="dxa" w:w="3120"/>
          </w:tcPr>
          <w:p>
            <w:r/>
          </w:p>
        </w:tc>
        <w:tc>
          <w:tcPr>
            <w:tcW w:type="dxa" w:w="3120"/>
          </w:tcPr>
          <w:p>
            <w:r/>
            <w:r>
              <w:rPr>
                <w:b/>
                <w:i w:val="0"/>
                <w:sz w:val="19"/>
              </w:rPr>
              <w:t>4.1</w:t>
            </w:r>
          </w:p>
        </w:tc>
        <w:tc>
          <w:tcPr>
            <w:tcW w:type="dxa" w:w="3120"/>
          </w:tcPr>
          <w:p>
            <w:r/>
            <w:r>
              <w:rPr>
                <w:b/>
                <w:i w:val="0"/>
                <w:sz w:val="19"/>
              </w:rPr>
              <w:t>Các mục tiêu kiểm soát nội bộ được chính sách này giải quyết</w:t>
            </w:r>
          </w:p>
        </w:tc>
      </w:tr>
      <w:tr>
        <w:tc>
          <w:tcPr>
            <w:tcW w:type="dxa" w:w="3120"/>
          </w:tcPr>
          <w:p>
            <w:r/>
          </w:p>
        </w:tc>
        <w:tc>
          <w:tcPr>
            <w:tcW w:type="dxa" w:w="3120"/>
          </w:tcPr>
          <w:p>
            <w:r/>
          </w:p>
        </w:tc>
        <w:tc>
          <w:tcPr>
            <w:tcW w:type="dxa" w:w="3120"/>
          </w:tcPr>
          <w:p>
            <w:r/>
            <w:r>
              <w:rPr>
                <w:b/>
                <w:i w:val="0"/>
                <w:sz w:val="19"/>
              </w:rPr>
              <w:t>a) Mục 1.5—Các yêu cầu kiểm soát chung</w:t>
            </w:r>
            <w:r>
              <w:rPr>
                <w:b w:val="0"/>
                <w:i w:val="0"/>
                <w:sz w:val="19"/>
              </w:rPr>
              <w:t xml:space="preserve"> Phải thiết lập và duy trì việc phân tách nhiệm vụ và trách nhiệm kiểm soát một cách thỏa đáng trong tất cả các lĩnh vực chức năng của công ty. Nói chung, cần tách biệt trách nhiệm trông coi, xử lý/vận hành và kế toán để thúc đẩy việc xem xét và đánh giá độc lập các hoạt động của công ty. Khi không thể đạt được sự phân tách thỏa đáng, phải thiết lập và ghi nhận các kiểm soát bù đắp (compensating controls) khác.</w:t>
            </w:r>
          </w:p>
        </w:tc>
      </w:tr>
      <w:tr>
        <w:tc>
          <w:tcPr>
            <w:tcW w:type="dxa" w:w="3120"/>
          </w:tcPr>
          <w:p>
            <w:r/>
            <w:r>
              <w:rPr>
                <w:b/>
                <w:i w:val="0"/>
                <w:sz w:val="19"/>
              </w:rPr>
              <w:t>5.0</w:t>
            </w:r>
          </w:p>
        </w:tc>
        <w:tc>
          <w:tcPr>
            <w:tcW w:type="dxa" w:w="6240"/>
            <w:gridSpan w:val="2"/>
          </w:tcPr>
          <w:p>
            <w:r/>
            <w:r>
              <w:rPr>
                <w:b/>
                <w:i w:val="0"/>
                <w:sz w:val="19"/>
              </w:rPr>
              <w:t>Các quy trình chức năng</w:t>
            </w:r>
          </w:p>
        </w:tc>
      </w:tr>
      <w:tr>
        <w:tc>
          <w:tcPr>
            <w:tcW w:type="dxa" w:w="3120"/>
          </w:tcPr>
          <w:p>
            <w:r/>
          </w:p>
        </w:tc>
        <w:tc>
          <w:tcPr>
            <w:tcW w:type="dxa" w:w="3120"/>
          </w:tcPr>
          <w:p>
            <w:r/>
            <w:r>
              <w:rPr>
                <w:b/>
                <w:i w:val="0"/>
                <w:sz w:val="19"/>
              </w:rPr>
              <w:t>5.1</w:t>
            </w:r>
          </w:p>
        </w:tc>
        <w:tc>
          <w:tcPr>
            <w:tcW w:type="dxa" w:w="3120"/>
          </w:tcPr>
          <w:p>
            <w:r/>
            <w:r>
              <w:rPr>
                <w:b/>
                <w:i w:val="0"/>
                <w:sz w:val="19"/>
              </w:rPr>
              <w:t>Nhận diện các vấn đề về phân tách nhiệm vụ</w:t>
            </w:r>
          </w:p>
        </w:tc>
      </w:tr>
      <w:tr>
        <w:tc>
          <w:tcPr>
            <w:tcW w:type="dxa" w:w="3120"/>
          </w:tcPr>
          <w:p>
            <w:r/>
          </w:p>
        </w:tc>
        <w:tc>
          <w:tcPr>
            <w:tcW w:type="dxa" w:w="3120"/>
          </w:tcPr>
          <w:p>
            <w:r/>
          </w:p>
        </w:tc>
        <w:tc>
          <w:tcPr>
            <w:tcW w:type="dxa" w:w="3120"/>
          </w:tcPr>
          <w:p>
            <w:r/>
            <w:r>
              <w:rPr>
                <w:b w:val="0"/>
                <w:i w:val="0"/>
                <w:sz w:val="19"/>
              </w:rPr>
              <w:t>a. Mỗi lĩnh vực kinh doanh chức năng phải chịu trách nhiệm xây dựng và triển khai một lịch trình để đánh giá lĩnh vực của mình nhằm phát hiện các vấn đề phân tách nhiệm vụ tiềm ẩn hoặc thực tế trên cơ sở định kỳ.</w:t>
            </w:r>
            <w:r>
              <w:br/>
            </w:r>
            <w:r>
              <w:rPr>
                <w:b w:val="0"/>
                <w:i w:val="0"/>
                <w:sz w:val="19"/>
              </w:rPr>
              <w:t>b. Mỗi lĩnh vực kinh doanh chức năng phải chính thức đánh giá lĩnh vực của mình để xác định sự tồn tại của các vấn đề phân tách nhiệm vụ tiềm ẩn hoặc thực tế trên cơ sở định kỳ.</w:t>
            </w:r>
            <w:r>
              <w:br/>
            </w:r>
            <w:r>
              <w:rPr>
                <w:b w:val="0"/>
                <w:i w:val="0"/>
                <w:sz w:val="19"/>
              </w:rPr>
              <w:t>c. Các vấn đề phân tách nhiệm vụ về mặt tổ chức phải được xem xét trong các đợt đánh giá định kỳ. Vị trí của lĩnh vực kinh doanh trong công ty, mối quan hệ của nó với các lĩnh vực kinh doanh chức năng khác và bản chất trách nhiệm của nó phải được xem xét.</w:t>
            </w:r>
            <w:r>
              <w:br/>
            </w:r>
            <w:r>
              <w:rPr>
                <w:b w:val="0"/>
                <w:i w:val="0"/>
                <w:sz w:val="19"/>
              </w:rPr>
              <w:t>d. Các vấn đề phân tách nhiệm vụ về mặt chức năng phải được xem xét trong các đợt đánh giá định kỳ. Các chức năng công việc được giao cho nhân sự trong lĩnh vực kinh doanh phải được xem xét từ góc độ các nhiệm vụ không tương thích.</w:t>
            </w:r>
            <w:r>
              <w:br/>
            </w:r>
            <w:r>
              <w:rPr>
                <w:b w:val="0"/>
                <w:i w:val="0"/>
                <w:sz w:val="19"/>
              </w:rPr>
              <w:t>e. Các vấn đề phân tách nhiệm vụ về mặt công nghệ phải được xem xét trong các đợt đánh giá định kỳ. Quyền bảo mật hệ thống và ứng dụng được giao cho nhân sự phải được xem xét từ góc độ quyền truy cập trong các hệ thống để thực hiện các chức năng không tương thích.</w:t>
            </w:r>
          </w:p>
        </w:tc>
      </w:tr>
      <w:tr>
        <w:tc>
          <w:tcPr>
            <w:tcW w:type="dxa" w:w="3120"/>
          </w:tcPr>
          <w:p>
            <w:r/>
          </w:p>
        </w:tc>
        <w:tc>
          <w:tcPr>
            <w:tcW w:type="dxa" w:w="3120"/>
          </w:tcPr>
          <w:p>
            <w:r/>
            <w:r>
              <w:rPr>
                <w:b/>
                <w:i w:val="0"/>
                <w:sz w:val="19"/>
              </w:rPr>
              <w:t>5.2</w:t>
            </w:r>
          </w:p>
        </w:tc>
        <w:tc>
          <w:tcPr>
            <w:tcW w:type="dxa" w:w="3120"/>
          </w:tcPr>
          <w:p>
            <w:r/>
            <w:r>
              <w:rPr>
                <w:b/>
                <w:i w:val="0"/>
                <w:sz w:val="19"/>
              </w:rPr>
              <w:t>Khắc phục các vấn đề về Phân tách Nhiệm vụ</w:t>
            </w:r>
          </w:p>
        </w:tc>
      </w:tr>
      <w:tr>
        <w:tc>
          <w:tcPr>
            <w:tcW w:type="dxa" w:w="3120"/>
          </w:tcPr>
          <w:p>
            <w:r/>
          </w:p>
        </w:tc>
        <w:tc>
          <w:tcPr>
            <w:tcW w:type="dxa" w:w="3120"/>
          </w:tcPr>
          <w:p>
            <w:r/>
          </w:p>
        </w:tc>
        <w:tc>
          <w:tcPr>
            <w:tcW w:type="dxa" w:w="3120"/>
          </w:tcPr>
          <w:p>
            <w:r/>
            <w:r>
              <w:rPr>
                <w:b w:val="0"/>
                <w:i w:val="0"/>
                <w:sz w:val="19"/>
              </w:rPr>
              <w:t>a. Mỗi lĩnh vực kinh doanh chức năng phải ghi lại các vấn đề về phân tách nhiệm vụ (segregation of duties) được phát hiện trong các đợt đánh giá định kỳ chính thức.</w:t>
            </w:r>
            <w:r>
              <w:br/>
            </w:r>
            <w:r>
              <w:rPr>
                <w:b w:val="0"/>
                <w:i w:val="0"/>
                <w:sz w:val="19"/>
              </w:rPr>
              <w:t>b. Bản chất của vấn đề, phạm vi (ví dụ: tổ chức, chức năng hoặc công nghệ) và các bên/hệ thống liên quan phải được đưa vào tài liệu ghi nhận các vấn đề về phân tách nhiệm vụ.</w:t>
            </w:r>
            <w:r>
              <w:br/>
            </w:r>
            <w:r>
              <w:rPr>
                <w:b w:val="0"/>
                <w:i w:val="0"/>
                <w:sz w:val="19"/>
              </w:rPr>
              <w:t>c. Ban quản lý lĩnh vực kinh doanh phải xem xét tài liệu và xác định các phương án khắc phục cho từng vấn đề.</w:t>
            </w:r>
            <w:r>
              <w:br/>
            </w:r>
            <w:r>
              <w:rPr>
                <w:b w:val="0"/>
                <w:i w:val="0"/>
                <w:sz w:val="19"/>
              </w:rPr>
              <w:t>d. Các phương án khắc phục có thể bao gồm sự kết hợp của các biện pháp sửa chữa hoặc giảm thiểu.</w:t>
            </w:r>
            <w:r>
              <w:br/>
            </w:r>
            <w:r>
              <w:rPr>
                <w:b w:val="0"/>
                <w:i w:val="0"/>
                <w:sz w:val="19"/>
              </w:rPr>
              <w:t>e. Ban quản lý lĩnh vực kinh doanh phải ghi lại phương pháp khắc phục đã chọn, cùng với ngày hiệu lực của việc khắc phục.</w:t>
            </w:r>
            <w:r>
              <w:br/>
            </w:r>
            <w:r>
              <w:rPr>
                <w:b w:val="0"/>
                <w:i w:val="0"/>
                <w:sz w:val="19"/>
              </w:rPr>
              <w:t>f. Ban quản lý cấp cao của công ty và bộ phận kiểm toán nội bộ phải được cung cấp bản sao của tất cả tài liệu liên quan đến phân tích và khắc phục phân tách nhiệm vụ.</w:t>
            </w:r>
          </w:p>
        </w:tc>
      </w:tr>
      <w:tr>
        <w:tc>
          <w:tcPr>
            <w:tcW w:type="dxa" w:w="3120"/>
          </w:tcPr>
          <w:p>
            <w:r/>
          </w:p>
        </w:tc>
        <w:tc>
          <w:tcPr>
            <w:tcW w:type="dxa" w:w="3120"/>
          </w:tcPr>
          <w:p>
            <w:r/>
            <w:r>
              <w:rPr>
                <w:b/>
                <w:i w:val="0"/>
                <w:sz w:val="19"/>
              </w:rPr>
              <w:t>5.3</w:t>
            </w:r>
          </w:p>
        </w:tc>
        <w:tc>
          <w:tcPr>
            <w:tcW w:type="dxa" w:w="3120"/>
          </w:tcPr>
          <w:p>
            <w:r/>
            <w:r>
              <w:rPr>
                <w:b/>
                <w:i w:val="0"/>
                <w:sz w:val="19"/>
              </w:rPr>
              <w:t>Duy trì Phân tách Nhiệm vụ</w:t>
            </w:r>
          </w:p>
        </w:tc>
      </w:tr>
      <w:tr>
        <w:tc>
          <w:tcPr>
            <w:tcW w:type="dxa" w:w="3120"/>
          </w:tcPr>
          <w:p>
            <w:r/>
          </w:p>
        </w:tc>
        <w:tc>
          <w:tcPr>
            <w:tcW w:type="dxa" w:w="3120"/>
          </w:tcPr>
          <w:p>
            <w:r/>
          </w:p>
        </w:tc>
        <w:tc>
          <w:tcPr>
            <w:tcW w:type="dxa" w:w="3120"/>
          </w:tcPr>
          <w:p>
            <w:r/>
            <w:r>
              <w:rPr>
                <w:b w:val="0"/>
                <w:i w:val="0"/>
                <w:sz w:val="19"/>
              </w:rPr>
              <w:t>a. Trong quá trình ra quyết định thường xuyên, ban quản lý lĩnh vực kinh doanh phải cân nhắc tác động của các vấn đề về phân tách nhiệm vụ.</w:t>
            </w:r>
            <w:r>
              <w:br/>
            </w:r>
            <w:r>
              <w:rPr>
                <w:b w:val="0"/>
                <w:i w:val="0"/>
                <w:sz w:val="19"/>
              </w:rPr>
              <w:t>b. Hướng dẫn được cung cấp trong Mục 6 sẽ là nền tảng để đánh giá các quyết định kinh doanh trong bối cảnh phân tách nhiệm vụ.</w:t>
            </w:r>
          </w:p>
        </w:tc>
      </w:tr>
      <w:tr>
        <w:tc>
          <w:tcPr>
            <w:tcW w:type="dxa" w:w="3120"/>
          </w:tcPr>
          <w:p>
            <w:r/>
            <w:r>
              <w:rPr>
                <w:b/>
                <w:i w:val="0"/>
                <w:sz w:val="19"/>
              </w:rPr>
              <w:t>6.0</w:t>
            </w:r>
          </w:p>
        </w:tc>
        <w:tc>
          <w:tcPr>
            <w:tcW w:type="dxa" w:w="6240"/>
            <w:gridSpan w:val="2"/>
          </w:tcPr>
          <w:p>
            <w:r/>
            <w:r>
              <w:rPr>
                <w:b/>
                <w:i w:val="0"/>
                <w:sz w:val="19"/>
              </w:rPr>
              <w:t>Phụ lục</w:t>
            </w:r>
          </w:p>
        </w:tc>
      </w:tr>
      <w:tr>
        <w:tc>
          <w:tcPr>
            <w:tcW w:type="dxa" w:w="3120"/>
          </w:tcPr>
          <w:p>
            <w:r/>
          </w:p>
        </w:tc>
        <w:tc>
          <w:tcPr>
            <w:tcW w:type="dxa" w:w="3120"/>
          </w:tcPr>
          <w:p>
            <w:r/>
            <w:r>
              <w:rPr>
                <w:b/>
                <w:i w:val="0"/>
                <w:sz w:val="19"/>
              </w:rPr>
              <w:t>6.1</w:t>
            </w:r>
          </w:p>
        </w:tc>
        <w:tc>
          <w:tcPr>
            <w:tcW w:type="dxa" w:w="3120"/>
          </w:tcPr>
          <w:p>
            <w:r/>
            <w:r>
              <w:rPr>
                <w:b/>
                <w:i w:val="0"/>
                <w:sz w:val="19"/>
              </w:rPr>
              <w:t>Tổng quan về các Ma trận Phân tách Nhiệm vụ</w:t>
            </w:r>
          </w:p>
        </w:tc>
      </w:tr>
      <w:tr>
        <w:tc>
          <w:tcPr>
            <w:tcW w:type="dxa" w:w="3120"/>
          </w:tcPr>
          <w:p>
            <w:r/>
          </w:p>
        </w:tc>
        <w:tc>
          <w:tcPr>
            <w:tcW w:type="dxa" w:w="3120"/>
          </w:tcPr>
          <w:p>
            <w:r/>
          </w:p>
        </w:tc>
        <w:tc>
          <w:tcPr>
            <w:tcW w:type="dxa" w:w="3120"/>
          </w:tcPr>
          <w:p>
            <w:r/>
            <w:r>
              <w:rPr>
                <w:b w:val="0"/>
                <w:i w:val="0"/>
                <w:sz w:val="19"/>
              </w:rPr>
              <w:t>a. Ma trận trong 6.2 cung cấp hướng dẫn chung về phân tách nhiệm vụ.</w:t>
            </w:r>
            <w:r>
              <w:br/>
            </w:r>
            <w:r>
              <w:rPr>
                <w:b w:val="0"/>
                <w:i w:val="0"/>
                <w:sz w:val="19"/>
              </w:rPr>
              <w:t>b. Các ma trận trong 6.3 đến 6.9 cung cấp hướng dẫn cho các quy trình kinh doanh cụ thể. Khi thích hợp, các ma trận này có thể được sử dụng thay cho ma trận chung trong 6.2.</w:t>
            </w:r>
            <w:r>
              <w:br/>
            </w:r>
            <w:r>
              <w:rPr>
                <w:b w:val="0"/>
                <w:i w:val="0"/>
                <w:sz w:val="19"/>
              </w:rPr>
              <w:t>c. Các ma trận phản ánh trạng thái mong muốn của phân tách nhiệm vụ, và chúng đại diện cho cơ sở để các lĩnh vực kinh doanh chức năng đánh giá trạng thái hiện tại của mình.</w:t>
            </w:r>
            <w:r>
              <w:br/>
            </w:r>
            <w:r>
              <w:rPr>
                <w:b w:val="0"/>
                <w:i w:val="0"/>
                <w:sz w:val="19"/>
              </w:rPr>
              <w:t>d. Mỗi hàng và cột trong ma trận đại diện cho một quy trình con kinh doanh chính.</w:t>
            </w:r>
            <w:r>
              <w:br/>
            </w:r>
            <w:r>
              <w:rPr>
                <w:b w:val="0"/>
                <w:i w:val="0"/>
                <w:sz w:val="19"/>
              </w:rPr>
              <w:t>e. Khi giao điểm của một hàng và cột được ký hiệu bằng dấu "X", các quy trình con kinh doanh tương ứng đại diện cho các chức năng không tương thích cần được phân tách.</w:t>
            </w:r>
            <w:r>
              <w:br/>
            </w:r>
            <w:r>
              <w:rPr>
                <w:b w:val="0"/>
                <w:i w:val="0"/>
                <w:sz w:val="19"/>
              </w:rPr>
              <w:t>f. Việc phân tách nhiệm vụ có thể tồn tại và cần được đánh giá ở cấp độ tổ chức, chức năng và/hoặc hệ thống.</w:t>
            </w:r>
          </w:p>
        </w:tc>
      </w:tr>
      <w:tr>
        <w:tc>
          <w:tcPr>
            <w:tcW w:type="dxa" w:w="3120"/>
          </w:tcPr>
          <w:p>
            <w:r/>
          </w:p>
        </w:tc>
        <w:tc>
          <w:tcPr>
            <w:tcW w:type="dxa" w:w="3120"/>
          </w:tcPr>
          <w:p>
            <w:r/>
            <w:r>
              <w:rPr>
                <w:b/>
                <w:i w:val="0"/>
                <w:sz w:val="19"/>
              </w:rPr>
              <w:t>6.2</w:t>
            </w:r>
          </w:p>
        </w:tc>
        <w:tc>
          <w:tcPr>
            <w:tcW w:type="dxa" w:w="3120"/>
          </w:tcPr>
          <w:p>
            <w:r/>
            <w:r>
              <w:rPr>
                <w:b/>
                <w:i w:val="0"/>
                <w:sz w:val="19"/>
              </w:rPr>
              <w:t>Ma trận Phân tách Nhiệm vụ Chung</w:t>
            </w:r>
          </w:p>
        </w:tc>
      </w:tr>
      <w:tr>
        <w:tc>
          <w:tcPr>
            <w:tcW w:type="dxa" w:w="9360"/>
            <w:gridSpan w:val="3"/>
          </w:tcPr>
          <w:p>
            <w:r/>
            <w:r>
              <w:br/>
            </w:r>
          </w:p>
        </w:tc>
      </w:tr>
      <w:tr>
        <w:tc>
          <w:tcPr>
            <w:tcW w:type="dxa" w:w="3120"/>
          </w:tcPr>
          <w:p>
            <w:r/>
          </w:p>
        </w:tc>
        <w:tc>
          <w:tcPr>
            <w:tcW w:type="dxa" w:w="3120"/>
          </w:tcPr>
          <w:p>
            <w:r/>
            <w:r>
              <w:rPr>
                <w:b/>
                <w:i w:val="0"/>
                <w:sz w:val="19"/>
              </w:rPr>
              <w:t>6.3</w:t>
            </w:r>
          </w:p>
        </w:tc>
        <w:tc>
          <w:tcPr>
            <w:tcW w:type="dxa" w:w="3120"/>
          </w:tcPr>
          <w:p>
            <w:r/>
            <w:r>
              <w:rPr>
                <w:b/>
                <w:i w:val="0"/>
                <w:sz w:val="19"/>
              </w:rPr>
              <w:t>Ma trận Phân tách Nhiệm vụ Doanh thu</w:t>
            </w:r>
          </w:p>
        </w:tc>
      </w:tr>
      <w:tr>
        <w:tc>
          <w:tcPr>
            <w:tcW w:type="dxa" w:w="9360"/>
            <w:gridSpan w:val="3"/>
          </w:tcPr>
          <w:p>
            <w:r/>
            <w:r>
              <w:rPr>
                <w:b w:val="0"/>
                <w:i w:val="0"/>
                <w:sz w:val="19"/>
              </w:rPr>
              <w:t xml:space="preserve"> </w:t>
            </w:r>
          </w:p>
        </w:tc>
      </w:tr>
      <w:tr>
        <w:tc>
          <w:tcPr>
            <w:tcW w:type="dxa" w:w="3120"/>
          </w:tcPr>
          <w:p>
            <w:r/>
          </w:p>
        </w:tc>
        <w:tc>
          <w:tcPr>
            <w:tcW w:type="dxa" w:w="3120"/>
          </w:tcPr>
          <w:p>
            <w:r/>
            <w:r>
              <w:rPr>
                <w:b/>
                <w:i w:val="0"/>
                <w:sz w:val="19"/>
              </w:rPr>
              <w:t>6.4</w:t>
            </w:r>
          </w:p>
        </w:tc>
        <w:tc>
          <w:tcPr>
            <w:tcW w:type="dxa" w:w="3120"/>
          </w:tcPr>
          <w:p>
            <w:r/>
            <w:r>
              <w:rPr>
                <w:b/>
                <w:i w:val="0"/>
                <w:sz w:val="19"/>
              </w:rPr>
              <w:t>Ma trận Phân tách Nhiệm vụ Kiểm toán Hóa đơn</w:t>
            </w:r>
          </w:p>
        </w:tc>
      </w:tr>
      <w:tr>
        <w:tc>
          <w:tcPr>
            <w:tcW w:type="dxa" w:w="9360"/>
            <w:gridSpan w:val="3"/>
          </w:tcPr>
          <w:p>
            <w:r/>
            <w:r>
              <w:rPr>
                <w:b w:val="0"/>
                <w:i w:val="0"/>
                <w:sz w:val="19"/>
              </w:rPr>
              <w:t xml:space="preserve"> </w:t>
            </w:r>
          </w:p>
        </w:tc>
      </w:tr>
      <w:tr>
        <w:tc>
          <w:tcPr>
            <w:tcW w:type="dxa" w:w="3120"/>
          </w:tcPr>
          <w:p>
            <w:r/>
          </w:p>
        </w:tc>
        <w:tc>
          <w:tcPr>
            <w:tcW w:type="dxa" w:w="3120"/>
          </w:tcPr>
          <w:p>
            <w:r/>
            <w:r>
              <w:rPr>
                <w:b/>
                <w:i w:val="0"/>
                <w:sz w:val="19"/>
              </w:rPr>
              <w:t>6.5</w:t>
            </w:r>
          </w:p>
        </w:tc>
        <w:tc>
          <w:tcPr>
            <w:tcW w:type="dxa" w:w="3120"/>
          </w:tcPr>
          <w:p>
            <w:r/>
            <w:r>
              <w:rPr>
                <w:b/>
                <w:i w:val="0"/>
                <w:sz w:val="19"/>
              </w:rPr>
              <w:t>Ma trận Phân tách Nhiệm vụ Mua sắm</w:t>
            </w:r>
          </w:p>
        </w:tc>
      </w:tr>
      <w:tr>
        <w:tc>
          <w:tcPr>
            <w:tcW w:type="dxa" w:w="9360"/>
            <w:gridSpan w:val="3"/>
          </w:tcPr>
          <w:p>
            <w:r/>
            <w:r>
              <w:rPr>
                <w:b w:val="0"/>
                <w:i w:val="0"/>
                <w:sz w:val="19"/>
              </w:rPr>
              <w:t xml:space="preserve"> </w:t>
            </w:r>
          </w:p>
        </w:tc>
      </w:tr>
      <w:tr>
        <w:tc>
          <w:tcPr>
            <w:tcW w:type="dxa" w:w="3120"/>
          </w:tcPr>
          <w:p>
            <w:r/>
          </w:p>
        </w:tc>
        <w:tc>
          <w:tcPr>
            <w:tcW w:type="dxa" w:w="3120"/>
          </w:tcPr>
          <w:p>
            <w:r/>
            <w:r>
              <w:rPr>
                <w:b/>
                <w:i w:val="0"/>
                <w:sz w:val="19"/>
              </w:rPr>
              <w:t>6.6</w:t>
            </w:r>
          </w:p>
        </w:tc>
        <w:tc>
          <w:tcPr>
            <w:tcW w:type="dxa" w:w="3120"/>
          </w:tcPr>
          <w:p>
            <w:r/>
            <w:r>
              <w:rPr>
                <w:b/>
                <w:i w:val="0"/>
                <w:sz w:val="19"/>
              </w:rPr>
              <w:t>Ma trận Phân tách Nhiệm vụ Quản lý Hàng tồn kho</w:t>
            </w:r>
          </w:p>
        </w:tc>
      </w:tr>
      <w:tr>
        <w:tc>
          <w:tcPr>
            <w:tcW w:type="dxa" w:w="9360"/>
            <w:gridSpan w:val="3"/>
          </w:tcPr>
          <w:p>
            <w:r/>
            <w:r>
              <w:rPr>
                <w:b w:val="0"/>
                <w:i w:val="0"/>
                <w:sz w:val="19"/>
              </w:rPr>
              <w:t xml:space="preserve"> </w:t>
            </w:r>
          </w:p>
        </w:tc>
      </w:tr>
      <w:tr>
        <w:tc>
          <w:tcPr>
            <w:tcW w:type="dxa" w:w="3120"/>
          </w:tcPr>
          <w:p>
            <w:r/>
          </w:p>
        </w:tc>
        <w:tc>
          <w:tcPr>
            <w:tcW w:type="dxa" w:w="3120"/>
          </w:tcPr>
          <w:p>
            <w:r/>
            <w:r>
              <w:rPr>
                <w:b/>
                <w:i w:val="0"/>
                <w:sz w:val="19"/>
              </w:rPr>
              <w:t>6.7</w:t>
            </w:r>
          </w:p>
        </w:tc>
        <w:tc>
          <w:tcPr>
            <w:tcW w:type="dxa" w:w="3120"/>
          </w:tcPr>
          <w:p>
            <w:r/>
            <w:r>
              <w:rPr>
                <w:b/>
                <w:i w:val="0"/>
                <w:sz w:val="19"/>
              </w:rPr>
              <w:t>Ma trận Phân tách Nhiệm vụ Quản lý Tài sản</w:t>
            </w:r>
          </w:p>
        </w:tc>
      </w:tr>
      <w:tr>
        <w:tc>
          <w:tcPr>
            <w:tcW w:type="dxa" w:w="9360"/>
            <w:gridSpan w:val="3"/>
          </w:tcPr>
          <w:p>
            <w:r/>
            <w:r>
              <w:rPr>
                <w:b w:val="0"/>
                <w:i w:val="0"/>
                <w:sz w:val="19"/>
              </w:rPr>
              <w:t xml:space="preserve"> </w:t>
            </w:r>
          </w:p>
        </w:tc>
      </w:tr>
      <w:tr>
        <w:tc>
          <w:tcPr>
            <w:tcW w:type="dxa" w:w="3120"/>
          </w:tcPr>
          <w:p>
            <w:r/>
          </w:p>
        </w:tc>
        <w:tc>
          <w:tcPr>
            <w:tcW w:type="dxa" w:w="3120"/>
          </w:tcPr>
          <w:p>
            <w:r/>
            <w:r>
              <w:rPr>
                <w:b/>
                <w:i w:val="0"/>
                <w:sz w:val="19"/>
              </w:rPr>
              <w:t>6.8</w:t>
            </w:r>
          </w:p>
        </w:tc>
        <w:tc>
          <w:tcPr>
            <w:tcW w:type="dxa" w:w="3120"/>
          </w:tcPr>
          <w:p>
            <w:r/>
            <w:r>
              <w:rPr>
                <w:b/>
                <w:i w:val="0"/>
                <w:sz w:val="19"/>
              </w:rPr>
              <w:t>Ma trận Phân tách Nhiệm vụ Kế toán Sổ cái Tổng hợp</w:t>
            </w:r>
          </w:p>
        </w:tc>
      </w:tr>
      <w:tr>
        <w:tc>
          <w:tcPr>
            <w:tcW w:type="dxa" w:w="9360"/>
            <w:gridSpan w:val="3"/>
          </w:tcPr>
          <w:p>
            <w:r/>
            <w:r>
              <w:rPr>
                <w:b w:val="0"/>
                <w:i w:val="0"/>
                <w:sz w:val="19"/>
              </w:rPr>
              <w:t xml:space="preserve"> </w:t>
            </w:r>
          </w:p>
        </w:tc>
      </w:tr>
      <w:tr>
        <w:tc>
          <w:tcPr>
            <w:tcW w:type="dxa" w:w="3120"/>
          </w:tcPr>
          <w:p>
            <w:r/>
          </w:p>
        </w:tc>
        <w:tc>
          <w:tcPr>
            <w:tcW w:type="dxa" w:w="3120"/>
          </w:tcPr>
          <w:p>
            <w:r/>
            <w:r>
              <w:rPr>
                <w:b/>
                <w:i w:val="0"/>
                <w:sz w:val="19"/>
              </w:rPr>
              <w:t>6.9</w:t>
            </w:r>
          </w:p>
        </w:tc>
        <w:tc>
          <w:tcPr>
            <w:tcW w:type="dxa" w:w="3120"/>
          </w:tcPr>
          <w:p>
            <w:r/>
            <w:r>
              <w:rPr>
                <w:b/>
                <w:i w:val="0"/>
                <w:sz w:val="19"/>
              </w:rPr>
              <w:t>Ma trận Phân tách Nhiệm vụ Nhân sự/Tiền lương</w:t>
            </w:r>
          </w:p>
        </w:tc>
      </w:tr>
      <w:tr>
        <w:tc>
          <w:tcPr>
            <w:tcW w:type="dxa" w:w="9360"/>
            <w:gridSpan w:val="3"/>
          </w:tcPr>
          <w:p>
            <w:r/>
            <w:r>
              <w:br/>
            </w:r>
          </w:p>
        </w:tc>
      </w:tr>
    </w:tbl>
    <w:p>
      <w:pPr>
        <w:spacing w:after="0"/>
      </w:pPr>
    </w:p>
    <w:p>
      <w:pPr>
        <w:jc w:val="center"/>
      </w:pPr>
      <w:r>
        <w:drawing>
          <wp:inline xmlns:a="http://schemas.openxmlformats.org/drawingml/2006/main" xmlns:pic="http://schemas.openxmlformats.org/drawingml/2006/picture">
            <wp:extent cx="5486400" cy="3420094"/>
            <wp:docPr id="20" name="Picture 20"/>
            <wp:cNvGraphicFramePr>
              <a:graphicFrameLocks noChangeAspect="1"/>
            </wp:cNvGraphicFramePr>
            <a:graphic>
              <a:graphicData uri="http://schemas.openxmlformats.org/drawingml/2006/picture">
                <pic:pic>
                  <pic:nvPicPr>
                    <pic:cNvPr id="0" name="Image00021.jpg"/>
                    <pic:cNvPicPr/>
                  </pic:nvPicPr>
                  <pic:blipFill>
                    <a:blip r:embed="rId28"/>
                    <a:stretch>
                      <a:fillRect/>
                    </a:stretch>
                  </pic:blipFill>
                  <pic:spPr>
                    <a:xfrm>
                      <a:off x="0" y="0"/>
                      <a:ext cx="5486400" cy="3420094"/>
                    </a:xfrm>
                    <a:prstGeom prst="rect"/>
                  </pic:spPr>
                </pic:pic>
              </a:graphicData>
            </a:graphic>
          </wp:inline>
        </w:drawing>
      </w:r>
    </w:p>
    <w:p>
      <w:pPr>
        <w:jc w:val="center"/>
      </w:pPr>
      <w:r>
        <w:drawing>
          <wp:inline xmlns:a="http://schemas.openxmlformats.org/drawingml/2006/main" xmlns:pic="http://schemas.openxmlformats.org/drawingml/2006/picture">
            <wp:extent cx="5486400" cy="4062127"/>
            <wp:docPr id="21" name="Picture 21"/>
            <wp:cNvGraphicFramePr>
              <a:graphicFrameLocks noChangeAspect="1"/>
            </wp:cNvGraphicFramePr>
            <a:graphic>
              <a:graphicData uri="http://schemas.openxmlformats.org/drawingml/2006/picture">
                <pic:pic>
                  <pic:nvPicPr>
                    <pic:cNvPr id="0" name="Image00022.jpg"/>
                    <pic:cNvPicPr/>
                  </pic:nvPicPr>
                  <pic:blipFill>
                    <a:blip r:embed="rId29"/>
                    <a:stretch>
                      <a:fillRect/>
                    </a:stretch>
                  </pic:blipFill>
                  <pic:spPr>
                    <a:xfrm>
                      <a:off x="0" y="0"/>
                      <a:ext cx="5486400" cy="4062127"/>
                    </a:xfrm>
                    <a:prstGeom prst="rect"/>
                  </pic:spPr>
                </pic:pic>
              </a:graphicData>
            </a:graphic>
          </wp:inline>
        </w:drawing>
      </w:r>
    </w:p>
    <w:p>
      <w:pPr>
        <w:jc w:val="center"/>
      </w:pPr>
      <w:r>
        <w:drawing>
          <wp:inline xmlns:a="http://schemas.openxmlformats.org/drawingml/2006/main" xmlns:pic="http://schemas.openxmlformats.org/drawingml/2006/picture">
            <wp:extent cx="5486400" cy="3965667"/>
            <wp:docPr id="22" name="Picture 22"/>
            <wp:cNvGraphicFramePr>
              <a:graphicFrameLocks noChangeAspect="1"/>
            </wp:cNvGraphicFramePr>
            <a:graphic>
              <a:graphicData uri="http://schemas.openxmlformats.org/drawingml/2006/picture">
                <pic:pic>
                  <pic:nvPicPr>
                    <pic:cNvPr id="0" name="Image00023.jpg"/>
                    <pic:cNvPicPr/>
                  </pic:nvPicPr>
                  <pic:blipFill>
                    <a:blip r:embed="rId30"/>
                    <a:stretch>
                      <a:fillRect/>
                    </a:stretch>
                  </pic:blipFill>
                  <pic:spPr>
                    <a:xfrm>
                      <a:off x="0" y="0"/>
                      <a:ext cx="5486400" cy="3965667"/>
                    </a:xfrm>
                    <a:prstGeom prst="rect"/>
                  </pic:spPr>
                </pic:pic>
              </a:graphicData>
            </a:graphic>
          </wp:inline>
        </w:drawing>
      </w:r>
    </w:p>
    <w:p>
      <w:pPr>
        <w:jc w:val="center"/>
      </w:pPr>
      <w:r>
        <w:drawing>
          <wp:inline xmlns:a="http://schemas.openxmlformats.org/drawingml/2006/main" xmlns:pic="http://schemas.openxmlformats.org/drawingml/2006/picture">
            <wp:extent cx="5486400" cy="3483864"/>
            <wp:docPr id="23" name="Picture 23"/>
            <wp:cNvGraphicFramePr>
              <a:graphicFrameLocks noChangeAspect="1"/>
            </wp:cNvGraphicFramePr>
            <a:graphic>
              <a:graphicData uri="http://schemas.openxmlformats.org/drawingml/2006/picture">
                <pic:pic>
                  <pic:nvPicPr>
                    <pic:cNvPr id="0" name="Image00024.jpg"/>
                    <pic:cNvPicPr/>
                  </pic:nvPicPr>
                  <pic:blipFill>
                    <a:blip r:embed="rId31"/>
                    <a:stretch>
                      <a:fillRect/>
                    </a:stretch>
                  </pic:blipFill>
                  <pic:spPr>
                    <a:xfrm>
                      <a:off x="0" y="0"/>
                      <a:ext cx="5486400" cy="3483864"/>
                    </a:xfrm>
                    <a:prstGeom prst="rect"/>
                  </pic:spPr>
                </pic:pic>
              </a:graphicData>
            </a:graphic>
          </wp:inline>
        </w:drawing>
      </w:r>
    </w:p>
    <w:p>
      <w:pPr>
        <w:jc w:val="center"/>
      </w:pPr>
      <w:r>
        <w:drawing>
          <wp:inline xmlns:a="http://schemas.openxmlformats.org/drawingml/2006/main" xmlns:pic="http://schemas.openxmlformats.org/drawingml/2006/picture">
            <wp:extent cx="5486400" cy="4190658"/>
            <wp:docPr id="24" name="Picture 24"/>
            <wp:cNvGraphicFramePr>
              <a:graphicFrameLocks noChangeAspect="1"/>
            </wp:cNvGraphicFramePr>
            <a:graphic>
              <a:graphicData uri="http://schemas.openxmlformats.org/drawingml/2006/picture">
                <pic:pic>
                  <pic:nvPicPr>
                    <pic:cNvPr id="0" name="Image00025.jpg"/>
                    <pic:cNvPicPr/>
                  </pic:nvPicPr>
                  <pic:blipFill>
                    <a:blip r:embed="rId32"/>
                    <a:stretch>
                      <a:fillRect/>
                    </a:stretch>
                  </pic:blipFill>
                  <pic:spPr>
                    <a:xfrm>
                      <a:off x="0" y="0"/>
                      <a:ext cx="5486400" cy="4190658"/>
                    </a:xfrm>
                    <a:prstGeom prst="rect"/>
                  </pic:spPr>
                </pic:pic>
              </a:graphicData>
            </a:graphic>
          </wp:inline>
        </w:drawing>
      </w:r>
    </w:p>
    <w:p>
      <w:pPr>
        <w:jc w:val="center"/>
      </w:pPr>
      <w:r>
        <w:drawing>
          <wp:inline xmlns:a="http://schemas.openxmlformats.org/drawingml/2006/main" xmlns:pic="http://schemas.openxmlformats.org/drawingml/2006/picture">
            <wp:extent cx="5486400" cy="3854422"/>
            <wp:docPr id="25" name="Picture 25"/>
            <wp:cNvGraphicFramePr>
              <a:graphicFrameLocks noChangeAspect="1"/>
            </wp:cNvGraphicFramePr>
            <a:graphic>
              <a:graphicData uri="http://schemas.openxmlformats.org/drawingml/2006/picture">
                <pic:pic>
                  <pic:nvPicPr>
                    <pic:cNvPr id="0" name="Image00026.jpg"/>
                    <pic:cNvPicPr/>
                  </pic:nvPicPr>
                  <pic:blipFill>
                    <a:blip r:embed="rId33"/>
                    <a:stretch>
                      <a:fillRect/>
                    </a:stretch>
                  </pic:blipFill>
                  <pic:spPr>
                    <a:xfrm>
                      <a:off x="0" y="0"/>
                      <a:ext cx="5486400" cy="3854422"/>
                    </a:xfrm>
                    <a:prstGeom prst="rect"/>
                  </pic:spPr>
                </pic:pic>
              </a:graphicData>
            </a:graphic>
          </wp:inline>
        </w:drawing>
      </w:r>
    </w:p>
    <w:p>
      <w:pPr>
        <w:jc w:val="center"/>
      </w:pPr>
      <w:r>
        <w:drawing>
          <wp:inline xmlns:a="http://schemas.openxmlformats.org/drawingml/2006/main" xmlns:pic="http://schemas.openxmlformats.org/drawingml/2006/picture">
            <wp:extent cx="5486400" cy="3747810"/>
            <wp:docPr id="26" name="Picture 26"/>
            <wp:cNvGraphicFramePr>
              <a:graphicFrameLocks noChangeAspect="1"/>
            </wp:cNvGraphicFramePr>
            <a:graphic>
              <a:graphicData uri="http://schemas.openxmlformats.org/drawingml/2006/picture">
                <pic:pic>
                  <pic:nvPicPr>
                    <pic:cNvPr id="0" name="Image00027.jpg"/>
                    <pic:cNvPicPr/>
                  </pic:nvPicPr>
                  <pic:blipFill>
                    <a:blip r:embed="rId34"/>
                    <a:stretch>
                      <a:fillRect/>
                    </a:stretch>
                  </pic:blipFill>
                  <pic:spPr>
                    <a:xfrm>
                      <a:off x="0" y="0"/>
                      <a:ext cx="5486400" cy="3747810"/>
                    </a:xfrm>
                    <a:prstGeom prst="rect"/>
                  </pic:spPr>
                </pic:pic>
              </a:graphicData>
            </a:graphic>
          </wp:inline>
        </w:drawing>
      </w:r>
    </w:p>
    <w:p>
      <w:pPr>
        <w:jc w:val="center"/>
      </w:pPr>
      <w:r>
        <w:drawing>
          <wp:inline xmlns:a="http://schemas.openxmlformats.org/drawingml/2006/main" xmlns:pic="http://schemas.openxmlformats.org/drawingml/2006/picture">
            <wp:extent cx="5486400" cy="4198859"/>
            <wp:docPr id="27" name="Picture 27"/>
            <wp:cNvGraphicFramePr>
              <a:graphicFrameLocks noChangeAspect="1"/>
            </wp:cNvGraphicFramePr>
            <a:graphic>
              <a:graphicData uri="http://schemas.openxmlformats.org/drawingml/2006/picture">
                <pic:pic>
                  <pic:nvPicPr>
                    <pic:cNvPr id="0" name="Image00028.jpg"/>
                    <pic:cNvPicPr/>
                  </pic:nvPicPr>
                  <pic:blipFill>
                    <a:blip r:embed="rId35"/>
                    <a:stretch>
                      <a:fillRect/>
                    </a:stretch>
                  </pic:blipFill>
                  <pic:spPr>
                    <a:xfrm>
                      <a:off x="0" y="0"/>
                      <a:ext cx="5486400" cy="4198859"/>
                    </a:xfrm>
                    <a:prstGeom prst="rect"/>
                  </pic:spPr>
                </pic:pic>
              </a:graphicData>
            </a:graphic>
          </wp:inline>
        </w:drawing>
      </w:r>
    </w:p>
    <w:p>
      <w:pPr>
        <w:pStyle w:val="Heading2"/>
      </w:pPr>
      <w:r>
        <w:rPr>
          <w:rFonts w:ascii="Calibri" w:hAnsi="Calibri"/>
          <w:b/>
          <w:i w:val="0"/>
          <w:sz w:val="32"/>
        </w:rPr>
        <w:t>VÍ DỤ VỀ CHÍNH SÁCH TRUY CẬP HỆ THỐNG (SA)</w:t>
      </w:r>
    </w:p>
    <w:p>
      <w:pPr>
        <w:pStyle w:val="Heading3"/>
      </w:pPr>
      <w:r>
        <w:rPr>
          <w:rFonts w:ascii="Calibri" w:hAnsi="Calibri"/>
          <w:b/>
          <w:i w:val="0"/>
          <w:sz w:val="26"/>
        </w:rPr>
        <w:t>Giới thiệu và Phạm vi</w:t>
      </w:r>
    </w:p>
    <w:p>
      <w:pPr>
        <w:spacing w:after="80"/>
      </w:pPr>
      <w:r>
        <w:rPr>
          <w:b w:val="0"/>
          <w:i w:val="0"/>
        </w:rPr>
        <w:t>Chính sách Truy cập Hệ thống (System Access - SA) áp dụng cho cả hệ thống tài chính và vận hành trong nước lẫn quốc tế, và là một phần không thể tách rời của việc phân tách nhiệm vụ. Phạm vi của chính sách Truy cập Hệ thống là trên toàn cầu. Chính sách này áp dụng cho việc phê duyệt các yêu cầu truy cập mới và thiết lập môi trường kiểm soát nội bộ cho việc truy cập hệ thống nói chung.</w:t>
      </w:r>
    </w:p>
    <w:p>
      <w:pPr>
        <w:spacing w:after="80"/>
      </w:pPr>
      <w:r>
        <w:rPr>
          <w:b w:val="0"/>
          <w:i w:val="0"/>
        </w:rPr>
        <w:t>Chính sách SA đảm bảo rằng các giao dịch không thể bị tạo ra một cách có hệ thống để gây ra các vấn đề kiểm soát phân tách nhiệm vụ. Có hai loại kiểm soát phân tách nhiệm vụ phải được thiết lập: (1) Kiểm soát Đặc quyền Đối tượng Bảo mật, và (2) Kiểm soát Nhiều Hồ sơ Bảo mật. Chính sách thiết lập một khuôn khổ cho các chức năng không tương thích như được mô tả trong biểu đồ dưới đây:</w:t>
      </w:r>
    </w:p>
    <w:p>
      <w:pPr>
        <w:jc w:val="center"/>
      </w:pPr>
      <w:r>
        <w:drawing>
          <wp:inline xmlns:a="http://schemas.openxmlformats.org/drawingml/2006/main" xmlns:pic="http://schemas.openxmlformats.org/drawingml/2006/picture">
            <wp:extent cx="5486400" cy="2038806"/>
            <wp:docPr id="28" name="Picture 28"/>
            <wp:cNvGraphicFramePr>
              <a:graphicFrameLocks noChangeAspect="1"/>
            </wp:cNvGraphicFramePr>
            <a:graphic>
              <a:graphicData uri="http://schemas.openxmlformats.org/drawingml/2006/picture">
                <pic:pic>
                  <pic:nvPicPr>
                    <pic:cNvPr id="0" name="Image00029.jpg"/>
                    <pic:cNvPicPr/>
                  </pic:nvPicPr>
                  <pic:blipFill>
                    <a:blip r:embed="rId36"/>
                    <a:stretch>
                      <a:fillRect/>
                    </a:stretch>
                  </pic:blipFill>
                  <pic:spPr>
                    <a:xfrm>
                      <a:off x="0" y="0"/>
                      <a:ext cx="5486400" cy="2038806"/>
                    </a:xfrm>
                    <a:prstGeom prst="rect"/>
                  </pic:spPr>
                </pic:pic>
              </a:graphicData>
            </a:graphic>
          </wp:inline>
        </w:drawing>
      </w:r>
    </w:p>
    <w:p>
      <w:pPr>
        <w:pStyle w:val="Heading3"/>
      </w:pPr>
      <w:r>
        <w:rPr>
          <w:rFonts w:ascii="Calibri" w:hAnsi="Calibri"/>
          <w:b/>
          <w:i w:val="0"/>
          <w:sz w:val="26"/>
        </w:rPr>
        <w:t>Trách nhiệm</w:t>
      </w:r>
    </w:p>
    <w:p>
      <w:pPr>
        <w:spacing w:after="80"/>
      </w:pPr>
      <w:r>
        <w:rPr>
          <w:b w:val="0"/>
          <w:i w:val="0"/>
        </w:rPr>
        <w:t>Quyền truy cập hệ thống sẽ được xác định dựa trên vai trò và trách nhiệm của từng nhân viên trong các quy trình tài chính và vận hành. Chủ sở hữu nghiệp vụ có trách nhiệm cốt lõi trong việc xác định các vai trò truy cập hệ thống. Chủ sở hữu nghiệp vụ sẽ chịu trách nhiệm xem xét và phê duyệt tất cả các yêu cầu truy cập của người dùng.</w:t>
      </w:r>
    </w:p>
    <w:p>
      <w:pPr>
        <w:spacing w:after="80"/>
      </w:pPr>
      <w:r>
        <w:rPr>
          <w:b/>
          <w:i w:val="0"/>
        </w:rPr>
        <w:t>Đánh giá Rủi ro:</w:t>
      </w:r>
      <w:r>
        <w:rPr>
          <w:b w:val="0"/>
          <w:i w:val="0"/>
        </w:rPr>
        <w:t xml:space="preserve"> Nếu các kiểm soát truy cập hệ thống không được triển khai, các điểm yếu trong kiểm soát có thể xảy ra.</w:t>
      </w:r>
    </w:p>
    <w:p>
      <w:pPr>
        <w:spacing w:after="80"/>
        <w:ind w:left="360"/>
      </w:pPr>
      <w:r>
        <w:t xml:space="preserve">• </w:t>
      </w:r>
      <w:r>
        <w:rPr>
          <w:b w:val="0"/>
          <w:i w:val="0"/>
        </w:rPr>
        <w:t>Việc mua hàng có thể được ủy quyền và hàng hóa có thể được nhận từ giao dịch ở cấp độ người dùng.</w:t>
      </w:r>
    </w:p>
    <w:p>
      <w:pPr>
        <w:spacing w:after="80"/>
        <w:ind w:left="360"/>
      </w:pPr>
      <w:r>
        <w:t xml:space="preserve">• </w:t>
      </w:r>
      <w:r>
        <w:rPr>
          <w:b w:val="0"/>
          <w:i w:val="0"/>
        </w:rPr>
        <w:t>Quản lý tồn kho và kiểm kê thực tế có thể được thực hiện bởi cùng một người dùng.</w:t>
      </w:r>
    </w:p>
    <w:p>
      <w:pPr>
        <w:spacing w:after="80"/>
        <w:ind w:left="360"/>
      </w:pPr>
      <w:r>
        <w:t xml:space="preserve">• </w:t>
      </w:r>
      <w:r>
        <w:rPr>
          <w:b w:val="0"/>
          <w:i w:val="0"/>
        </w:rPr>
        <w:t>Bán hàng có thể được xuất hóa đơn và tiền mặt có thể được áp dụng bởi cùng một người dùng.</w:t>
      </w:r>
    </w:p>
    <w:p>
      <w:pPr>
        <w:spacing w:after="80"/>
        <w:ind w:left="360"/>
      </w:pPr>
      <w:r>
        <w:t xml:space="preserve">• </w:t>
      </w:r>
      <w:r>
        <w:rPr>
          <w:b w:val="0"/>
          <w:i w:val="0"/>
        </w:rPr>
        <w:t>Một đơn bán hàng và các điều khoản bán hàng có thể được phê duyệt bởi cùng một người dùng.</w:t>
      </w:r>
    </w:p>
    <w:p>
      <w:pPr>
        <w:spacing w:after="80"/>
        <w:ind w:left="360"/>
      </w:pPr>
      <w:r>
        <w:t xml:space="preserve">• </w:t>
      </w:r>
      <w:r>
        <w:rPr>
          <w:b w:val="0"/>
          <w:i w:val="0"/>
        </w:rPr>
        <w:t>Cùng một người dùng có thể sửa đổi một hợp đồng biên nhận đã được đánh giá và nhận hàng theo một đơn đặt hàng mua.</w:t>
      </w:r>
    </w:p>
    <w:p>
      <w:pPr>
        <w:spacing w:after="80"/>
        <w:ind w:left="360"/>
      </w:pPr>
      <w:r>
        <w:t xml:space="preserve">• </w:t>
      </w:r>
      <w:r>
        <w:rPr>
          <w:b w:val="0"/>
          <w:i w:val="0"/>
        </w:rPr>
        <w:t>Sản phẩm có thể được vận chuyển và dung sai đơn bán hàng có thể được sửa đổi.</w:t>
      </w:r>
    </w:p>
    <w:p>
      <w:pPr>
        <w:spacing w:after="80"/>
        <w:ind w:left="360"/>
      </w:pPr>
      <w:r>
        <w:t xml:space="preserve">• </w:t>
      </w:r>
      <w:r>
        <w:rPr>
          <w:b w:val="0"/>
          <w:i w:val="0"/>
        </w:rPr>
        <w:t>Một nhà cung cấp có thể được thiết lập trong quy trình tài khoản phải trả và các khoản thanh toán có thể được thực hiện.</w:t>
      </w:r>
    </w:p>
    <w:p>
      <w:pPr>
        <w:spacing w:after="80"/>
        <w:ind w:left="360"/>
      </w:pPr>
      <w:r>
        <w:t xml:space="preserve">• </w:t>
      </w:r>
      <w:r>
        <w:rPr>
          <w:b w:val="0"/>
          <w:i w:val="0"/>
        </w:rPr>
        <w:t>Một người dùng tài khoản phải trả có thể tạo ra một giao dịch tài khoản phải thu bị lỗi.</w:t>
      </w:r>
    </w:p>
    <w:p>
      <w:pPr>
        <w:spacing w:after="80"/>
        <w:ind w:left="360"/>
      </w:pPr>
      <w:r>
        <w:t xml:space="preserve">• </w:t>
      </w:r>
      <w:r>
        <w:rPr>
          <w:b w:val="0"/>
          <w:i w:val="0"/>
        </w:rPr>
        <w:t>Một người dùng sổ cái chung có thể đăng và thanh toán các hóa đơn tài khoản phải trả.</w:t>
      </w:r>
    </w:p>
    <w:p>
      <w:pPr>
        <w:jc w:val="center"/>
      </w:pPr>
      <w:r>
        <w:drawing>
          <wp:inline xmlns:a="http://schemas.openxmlformats.org/drawingml/2006/main" xmlns:pic="http://schemas.openxmlformats.org/drawingml/2006/picture">
            <wp:extent cx="5486400" cy="6231160"/>
            <wp:docPr id="29" name="Picture 29"/>
            <wp:cNvGraphicFramePr>
              <a:graphicFrameLocks noChangeAspect="1"/>
            </wp:cNvGraphicFramePr>
            <a:graphic>
              <a:graphicData uri="http://schemas.openxmlformats.org/drawingml/2006/picture">
                <pic:pic>
                  <pic:nvPicPr>
                    <pic:cNvPr id="0" name="Image00030.jpg"/>
                    <pic:cNvPicPr/>
                  </pic:nvPicPr>
                  <pic:blipFill>
                    <a:blip r:embed="rId37"/>
                    <a:stretch>
                      <a:fillRect/>
                    </a:stretch>
                  </pic:blipFill>
                  <pic:spPr>
                    <a:xfrm>
                      <a:off x="0" y="0"/>
                      <a:ext cx="5486400" cy="6231160"/>
                    </a:xfrm>
                    <a:prstGeom prst="rect"/>
                  </pic:spPr>
                </pic:pic>
              </a:graphicData>
            </a:graphic>
          </wp:inline>
        </w:drawing>
      </w:r>
    </w:p>
    <w:p>
      <w:pPr>
        <w:spacing w:after="160"/>
        <w:jc w:val="center"/>
      </w:pPr>
      <w:r>
        <w:rPr>
          <w:rFonts w:ascii="Calibri" w:hAnsi="Calibri"/>
          <w:b w:val="0"/>
          <w:i/>
          <w:sz w:val="19"/>
        </w:rPr>
        <w:t>Luồng Quy trình và Cơ chế Kiểm soát</w:t>
      </w:r>
    </w:p>
    <w:p>
      <w:pPr>
        <w:pStyle w:val="Heading3"/>
      </w:pPr>
      <w:r>
        <w:rPr>
          <w:rFonts w:ascii="Calibri" w:hAnsi="Calibri"/>
          <w:b/>
          <w:i w:val="0"/>
          <w:sz w:val="26"/>
        </w:rPr>
        <w:t>Cơ chế Kiểm soát</w:t>
      </w:r>
    </w:p>
    <w:p>
      <w:pPr>
        <w:pStyle w:val="Heading4"/>
      </w:pPr>
      <w:r>
        <w:rPr>
          <w:rFonts w:ascii="Calibri" w:hAnsi="Calibri"/>
          <w:b/>
          <w:i/>
          <w:sz w:val="23"/>
        </w:rPr>
        <w:t>1. Kiểm soát Đặc quyền Đối tượng Bảo mật</w:t>
      </w:r>
    </w:p>
    <w:p>
      <w:pPr>
        <w:spacing w:after="80"/>
      </w:pPr>
      <w:r>
        <w:rPr>
          <w:b w:val="0"/>
          <w:i w:val="0"/>
        </w:rPr>
        <w:t>Nếu các quyền của đối tượng bảo mật không được định nghĩa đúng cách, có thể xảy ra xung đột nội bộ (intra-conflicts), trong đó người dùng có thể có quyền truy cập quá mức hoặc mâu thuẫn. Vấn đề phân tách nhiệm vụ (segregation-of-duties) phát sinh khi các hồ sơ (profiles), vai trò (roles) hoặc lớp (classes) không được định nghĩa rõ ràng ở cấp độ người dùng. Các quyền mâu thuẫn này tạo ra rủi ro được gán cho người dùng thông qua một đối tượng bảo mật duy nhất.</w:t>
      </w:r>
    </w:p>
    <w:p>
      <w:pPr>
        <w:pStyle w:val="Heading4"/>
      </w:pPr>
      <w:r>
        <w:rPr>
          <w:rFonts w:ascii="Calibri" w:hAnsi="Calibri"/>
          <w:b/>
          <w:i/>
          <w:sz w:val="23"/>
        </w:rPr>
        <w:t>2. Kiểm soát nhiều hồ sơ bảo mật</w:t>
      </w:r>
    </w:p>
    <w:p>
      <w:pPr>
        <w:spacing w:after="80"/>
      </w:pPr>
      <w:r>
        <w:rPr>
          <w:b w:val="0"/>
          <w:i w:val="0"/>
        </w:rPr>
        <w:t>Nếu nhiều quyền bảo mật không được định nghĩa đúng cách, có thể xảy ra xung đột bổ sung (extra-conflicts), trong đó tổng hợp các quyền của người dùng là quá mức và mâu thuẫn. Các quyền mâu thuẫn này tạo ra rủi ro khi được gán cho người dùng thông qua nhiều đối tượng bảo mật.</w:t>
      </w:r>
    </w:p>
    <w:p>
      <w:pPr>
        <w:pStyle w:val="Heading4"/>
      </w:pPr>
      <w:r>
        <w:rPr>
          <w:rFonts w:ascii="Calibri" w:hAnsi="Calibri"/>
          <w:b/>
          <w:i/>
          <w:sz w:val="23"/>
        </w:rPr>
        <w:t>3. Quy trình xem xét hồ sơ/kiểm soát truy cập</w:t>
      </w:r>
    </w:p>
    <w:p>
      <w:pPr>
        <w:spacing w:after="80"/>
      </w:pPr>
      <w:r>
        <w:rPr>
          <w:b w:val="0"/>
          <w:i w:val="0"/>
        </w:rPr>
        <w:t>Quyền truy cập hệ thống sẽ được chủ sở hữu hệ thống kinh doanh xem xét để đảm bảo rằng không có các quyền mâu thuẫn trong nội bộ tổ chức (xung đột nội bộ). Chủ sở hữu hệ thống kinh doanh cũng sẽ xem xét các quyền truy cập hệ thống để đảm bảo rằng tổ chức bên ngoài không thể truy cập vào các quy trình thuộc trách nhiệm của tổ chức chủ sở hữu kinh doanh. Các lỗ hổng kiểm soát sẽ được khắc phục ngay khi được phát hiện. Nếu quyền truy cập bị gỡ bỏ hoặc sửa đổi, nhân viên phải đăng ký lại quyền truy cập trong vòng 30 ngày kể từ bất kỳ thay đổi nào về phòng ban/trung tâm chi phí. Điều này sẽ đảm bảo rằng quyền truy cập hệ thống tuân thủ tất cả các yêu cầu Kiểm toán (Audit) về quản lý trực tiếp và phê duyệt thứ cấp cũng như các chính sách liên quan đến phân tách nhiệm vụ.</w:t>
      </w:r>
    </w:p>
    <w:p>
      <w:pPr>
        <w:pStyle w:val="Heading4"/>
      </w:pPr>
      <w:r>
        <w:rPr>
          <w:rFonts w:ascii="Calibri" w:hAnsi="Calibri"/>
          <w:b/>
          <w:i/>
          <w:sz w:val="23"/>
        </w:rPr>
        <w:t>4. Xác nhận và xem xét kiểm soát</w:t>
      </w:r>
    </w:p>
    <w:p>
      <w:pPr>
        <w:spacing w:after="80"/>
      </w:pPr>
      <w:r>
        <w:rPr>
          <w:b w:val="0"/>
          <w:i w:val="0"/>
        </w:rPr>
        <w:t>Ban quản lý sẽ luân chuyển các báo cáo ở cấp ứng dụng đến nhân sự IT và kinh doanh phù hợp để xác nhận liên tục.</w:t>
      </w:r>
    </w:p>
    <w:p>
      <w:pPr>
        <w:spacing w:after="80"/>
        <w:ind w:left="360"/>
      </w:pPr>
      <w:r>
        <w:t xml:space="preserve">1. </w:t>
      </w:r>
      <w:r>
        <w:rPr>
          <w:b w:val="0"/>
          <w:i w:val="0"/>
        </w:rPr>
        <w:t>Xác nhận các định nghĩa xung đột, chỉ ra các điều kiện cấu thành xung đột trong nhiệm vụ. Xem xét các kiểm soát giám sát có thể giảm thiểu rủi ro của một định nghĩa xung đột.</w:t>
      </w:r>
    </w:p>
    <w:p>
      <w:pPr>
        <w:spacing w:after="80"/>
        <w:ind w:left="360"/>
      </w:pPr>
      <w:r>
        <w:t xml:space="preserve">2. </w:t>
      </w:r>
      <w:r>
        <w:rPr>
          <w:b w:val="0"/>
          <w:i w:val="0"/>
        </w:rPr>
        <w:t>Xác nhận các báo cáo phân tách nhiệm vụ về mặt kỹ thuật, phác thảo các xung đột hiện có. Kiểm toán nội bộ (Internal Audit) sẽ thực hiện kiểm tra theo quy trình lập kế hoạch hàng năm của họ.</w:t>
      </w:r>
    </w:p>
    <w:p>
      <w:pPr>
        <w:pStyle w:val="Heading2"/>
      </w:pPr>
      <w:r>
        <w:rPr>
          <w:rFonts w:ascii="Calibri" w:hAnsi="Calibri"/>
          <w:b/>
          <w:i w:val="0"/>
          <w:sz w:val="32"/>
        </w:rPr>
        <w:t>VÍ DỤ VỀ CHÍNH SÁCH ĐỊNH GIÁ</w:t>
      </w:r>
    </w:p>
    <w:p>
      <w:pPr>
        <w:pStyle w:val="Heading3"/>
      </w:pPr>
      <w:r>
        <w:rPr>
          <w:rFonts w:ascii="Calibri" w:hAnsi="Calibri"/>
          <w:b/>
          <w:i w:val="0"/>
          <w:sz w:val="26"/>
        </w:rPr>
        <w:t>Giới thiệu và phạm vi</w:t>
      </w:r>
    </w:p>
    <w:p>
      <w:pPr>
        <w:spacing w:after="80"/>
      </w:pPr>
      <w:r>
        <w:rPr>
          <w:b w:val="0"/>
          <w:i w:val="0"/>
        </w:rPr>
        <w:t>Chính sách định giá là một phần không thể thiếu trong các yêu cầu phân tách nhiệm vụ đối với kiểm soát nội bộ của công ty. Cụ thể, quy trình định giá sẽ báo cáo cho bộ phận tài chính để đảm bảo phân tách nhiệm vụ khỏi việc quản lý hợp đồng và phân tích kinh doanh.</w:t>
      </w:r>
    </w:p>
    <w:p>
      <w:pPr>
        <w:spacing w:after="80"/>
      </w:pPr>
      <w:r>
        <w:rPr>
          <w:b w:val="0"/>
          <w:i w:val="0"/>
        </w:rPr>
        <w:t>Quy trình định giá bao gồm định giá tiêu chuẩn và phi tiêu chuẩn, quản lý mô hình định giá, phân tích và xem xét. Các tổ chức tài chính và kiểm soát nội bộ chịu trách nhiệm thiết lập quy trình giám sát như một phần của môi trường kiểm soát.</w:t>
      </w:r>
    </w:p>
    <w:p>
      <w:pPr>
        <w:spacing w:after="80"/>
      </w:pPr>
      <w:r>
        <w:rPr>
          <w:b w:val="0"/>
          <w:i w:val="0"/>
        </w:rPr>
        <w:t>Phạm vi của chính sách này là toàn cầu và áp dụng cho các thị trường doanh nghiệp, Thị trường Quốc tế và Bán buôn của công ty, và Bán hàng và Dịch vụ tại Hoa Kỳ.</w:t>
      </w:r>
    </w:p>
    <w:p>
      <w:pPr>
        <w:pStyle w:val="Heading3"/>
      </w:pPr>
      <w:r>
        <w:rPr>
          <w:rFonts w:ascii="Calibri" w:hAnsi="Calibri"/>
          <w:b/>
          <w:i w:val="0"/>
          <w:sz w:val="26"/>
        </w:rPr>
        <w:t>Hợp đồng khách hàng và các dịch vụ chào bán</w:t>
      </w:r>
    </w:p>
    <w:p>
      <w:pPr>
        <w:spacing w:after="80"/>
      </w:pPr>
      <w:r>
        <w:rPr>
          <w:b w:val="0"/>
          <w:i w:val="0"/>
        </w:rPr>
        <w:t>Tổng giám đốc điều hành (CEO) sẽ xác định trách nhiệm tổ chức đối với việc chấp nhận hợp đồng khách hàng, thiết lập các điều khoản hợp đồng tiêu chuẩn, và phân tích lợi ích và rủi ro. Hợp đồng chỉ có thể được ký kết bởi các cán bộ và nhân viên công ty được ủy quyền hoặc theo ủy quyền của các trưởng đơn vị kinh doanh được chỉ định (BUL).</w:t>
      </w:r>
    </w:p>
    <w:p>
      <w:pPr>
        <w:spacing w:after="80"/>
      </w:pPr>
      <w:r>
        <w:rPr>
          <w:b w:val="0"/>
          <w:i w:val="0"/>
        </w:rPr>
        <w:t>Giám đốc điều hành (CEO) có trách nhiệm xác định đơn vị vận hành được giao phụ trách các chính sách và hướng dẫn định giá gắn với các sản phẩm chào bán. Việc xây dựng và triển khai các chính sách và hướng dẫn định giá thuộc trách nhiệm của đơn vị vận hành được chỉ định, với sự tham vấn của bộ phận pháp lý và chính sách công (law and public policy - LPP), bộ phận marketing và bộ phận tài chính doanh nghiệp. Bộ phận tài chính doanh nghiệp xem xét khả năng xuất hóa đơn và thu tiền đối với từng sản phẩm chào bán. Kiểm soát viên (controller) xem xét việc hạch toán cho các sản phẩm mới và các thay đổi đối với sản phẩm hiện có. Bộ phận LPP sẽ xem xét các tác động về quy định pháp luật và luật hợp đồng. Việc phê duyệt chính sách định giá thuộc trách nhiệm của Giám đốc tài chính (CFO). Trong các trách nhiệm này bao gồm các sản phẩm mới, chiết khấu tiêu chuẩn, chương trình khuyến mãi và báo giá đặc biệt, cũng như các điều chỉnh và sửa đổi hợp đồng.</w:t>
      </w:r>
    </w:p>
    <w:p>
      <w:pPr>
        <w:spacing w:after="80"/>
      </w:pPr>
      <w:r>
        <w:rPr>
          <w:b w:val="0"/>
          <w:i w:val="0"/>
        </w:rPr>
        <w:t>Bộ phận LPP chuẩn bị các hợp đồng khách hàng tiêu chuẩn để ký kết. Mỗi đơn vị vận hành phải ký kết các hợp đồng khách hàng tiêu chuẩn của mình và phải xem xét cũng như đảm bảo được sự phê duyệt của bộ phận LPP đối với các hợp đồng khách hàng không theo tiêu chuẩn.</w:t>
      </w:r>
    </w:p>
    <w:p>
      <w:pPr>
        <w:jc w:val="center"/>
      </w:pPr>
      <w:r>
        <w:drawing>
          <wp:inline xmlns:a="http://schemas.openxmlformats.org/drawingml/2006/main" xmlns:pic="http://schemas.openxmlformats.org/drawingml/2006/picture">
            <wp:extent cx="5486400" cy="3307590"/>
            <wp:docPr id="30" name="Picture 30"/>
            <wp:cNvGraphicFramePr>
              <a:graphicFrameLocks noChangeAspect="1"/>
            </wp:cNvGraphicFramePr>
            <a:graphic>
              <a:graphicData uri="http://schemas.openxmlformats.org/drawingml/2006/picture">
                <pic:pic>
                  <pic:nvPicPr>
                    <pic:cNvPr id="0" name="Image00031.jpg"/>
                    <pic:cNvPicPr/>
                  </pic:nvPicPr>
                  <pic:blipFill>
                    <a:blip r:embed="rId38"/>
                    <a:stretch>
                      <a:fillRect/>
                    </a:stretch>
                  </pic:blipFill>
                  <pic:spPr>
                    <a:xfrm>
                      <a:off x="0" y="0"/>
                      <a:ext cx="5486400" cy="3307590"/>
                    </a:xfrm>
                    <a:prstGeom prst="rect"/>
                  </pic:spPr>
                </pic:pic>
              </a:graphicData>
            </a:graphic>
          </wp:inline>
        </w:drawing>
      </w:r>
    </w:p>
    <w:p>
      <w:pPr>
        <w:pStyle w:val="Heading2"/>
      </w:pPr>
      <w:r>
        <w:rPr>
          <w:rFonts w:ascii="Calibri" w:hAnsi="Calibri"/>
          <w:b/>
          <w:i w:val="0"/>
          <w:sz w:val="32"/>
        </w:rPr>
        <w:t>KIỂM THỬ KIỂM SOÁT NỘI BỘ VÀ LỰA CHỌN KÍCH THƯỚC MẪU</w:t>
      </w:r>
    </w:p>
    <w:p>
      <w:pPr>
        <w:spacing w:after="80"/>
      </w:pPr>
      <w:r>
        <w:rPr>
          <w:b w:val="0"/>
          <w:i w:val="0"/>
        </w:rPr>
        <w:t>Mục đích của công cụ này là xác định một chiến lược kiểm thử chuẩn mực và nhất quán, đồng thời thiết lập nền tảng nhận thức về vai trò và trách nhiệm trong việc kiểm thử kiểm soát nội bộ xuyên suốt quy trình thanh toán. Công cụ này cũng cung cấp một khuôn khổ để thiết kế kế hoạch kiểm thử cho từng quy trình kinh doanh riêng lẻ. Các doanh nghiệp nên có một phương pháp lựa chọn mẫu được định nghĩa rõ ràng, được ghi chép lại và được tuân thủ cho mỗi lần kiểm thử kiểm soát.</w:t>
      </w:r>
    </w:p>
    <w:p>
      <w:pPr>
        <w:spacing w:after="80"/>
      </w:pPr>
      <w:r>
        <w:rPr>
          <w:b w:val="0"/>
          <w:i w:val="0"/>
        </w:rPr>
        <w:t>Theo các hướng dẫn chung, kích thước mẫu kiểm thử kiểm soát nội bộ nên thay đổi tùy theo các khía cạnh sau của kiểm soát kinh doanh:</w:t>
      </w:r>
    </w:p>
    <w:p>
      <w:pPr>
        <w:spacing w:after="80"/>
        <w:ind w:left="360"/>
      </w:pPr>
      <w:r>
        <w:t xml:space="preserve">• </w:t>
      </w:r>
      <w:r>
        <w:rPr>
          <w:b w:val="0"/>
          <w:i w:val="0"/>
        </w:rPr>
        <w:t>Tần suất của hoạt động kiểm soát</w:t>
      </w:r>
    </w:p>
    <w:p>
      <w:pPr>
        <w:spacing w:after="80"/>
        <w:ind w:left="360"/>
      </w:pPr>
      <w:r>
        <w:t xml:space="preserve">• </w:t>
      </w:r>
      <w:r>
        <w:rPr>
          <w:b w:val="0"/>
          <w:i w:val="0"/>
        </w:rPr>
        <w:t>Rủi ro cố hữu của chu kỳ kinh doanh</w:t>
      </w:r>
    </w:p>
    <w:p>
      <w:pPr>
        <w:spacing w:after="80"/>
        <w:ind w:left="360"/>
      </w:pPr>
      <w:r>
        <w:t xml:space="preserve">• </w:t>
      </w:r>
      <w:r>
        <w:rPr>
          <w:b w:val="0"/>
          <w:i w:val="0"/>
        </w:rPr>
        <w:t>Kiểm soát tự động so với kiểm soát thủ công</w:t>
      </w:r>
    </w:p>
    <w:p>
      <w:pPr>
        <w:spacing w:after="80"/>
        <w:ind w:left="360"/>
      </w:pPr>
      <w:r>
        <w:t xml:space="preserve">• </w:t>
      </w:r>
      <w:r>
        <w:rPr>
          <w:b w:val="0"/>
          <w:i w:val="0"/>
        </w:rPr>
        <w:t>Mức độ phức tạp của chu kỳ kinh doanh</w:t>
      </w:r>
    </w:p>
    <w:p>
      <w:pPr>
        <w:pStyle w:val="Heading3"/>
      </w:pPr>
      <w:r>
        <w:rPr>
          <w:rFonts w:ascii="Calibri" w:hAnsi="Calibri"/>
          <w:b/>
          <w:i w:val="0"/>
          <w:sz w:val="26"/>
        </w:rPr>
        <w:t>Các nguyên tắc chỉ đạo để lựa chọn kích thước mẫu</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1. Ban lãnh đạo nên kiểm thử nhiều hơn mức kích thước mẫu tối thiểu được quy định trong phương pháp.</w:t>
            </w:r>
          </w:p>
        </w:tc>
      </w:tr>
      <w:tr>
        <w:tc>
          <w:tcPr>
            <w:tcW w:type="dxa" w:w="9360"/>
          </w:tcPr>
          <w:p>
            <w:r/>
            <w:r>
              <w:rPr>
                <w:b w:val="0"/>
                <w:i w:val="0"/>
                <w:sz w:val="19"/>
              </w:rPr>
              <w:t>Kích thước mẫu nên nhất quán về mặt định hướng và tương ứng với các yêu cầu tối thiểu.</w:t>
            </w:r>
          </w:p>
        </w:tc>
      </w:tr>
      <w:tr>
        <w:tc>
          <w:tcPr>
            <w:tcW w:type="dxa" w:w="9360"/>
          </w:tcPr>
          <w:p>
            <w:r/>
            <w:r>
              <w:rPr>
                <w:b w:val="0"/>
                <w:i w:val="0"/>
                <w:sz w:val="19"/>
              </w:rPr>
              <w:t>Kích thước mẫu để kiểm thử các kiểm soát thủ công dựa trên tần suất của kiểm soát đó và các kích thước trong quá khứ vẫn là mức tối thiểu.</w:t>
            </w:r>
          </w:p>
        </w:tc>
      </w:tr>
      <w:tr>
        <w:tc>
          <w:tcPr>
            <w:tcW w:type="dxa" w:w="9360"/>
          </w:tcPr>
          <w:p>
            <w:r/>
            <w:r>
              <w:rPr>
                <w:b w:val="0"/>
                <w:i w:val="0"/>
                <w:sz w:val="19"/>
              </w:rPr>
              <w:t>Các khu vực có rủi ro trung bình và cao hơn nên có kích thước mẫu lớn hơn.</w:t>
            </w:r>
          </w:p>
        </w:tc>
      </w:tr>
      <w:tr>
        <w:tc>
          <w:tcPr>
            <w:tcW w:type="dxa" w:w="9360"/>
          </w:tcPr>
          <w:p>
            <w:r/>
            <w:r>
              <w:rPr>
                <w:b w:val="0"/>
                <w:i w:val="0"/>
                <w:sz w:val="19"/>
              </w:rPr>
              <w:t>Các yêu cầu tối thiểu về kích thước mẫu dựa trên tần suất của từng kiểm soát. Các mẫu kiểm thử của ban lãnh đạo phải mang tính đại diện và lớn hơn các yêu cầu kích thước tối thiểu này.</w:t>
            </w:r>
          </w:p>
        </w:tc>
      </w:tr>
      <w:tr>
        <w:tc>
          <w:tcPr>
            <w:tcW w:type="dxa" w:w="9360"/>
          </w:tcPr>
          <w:p>
            <w:r/>
            <w:r>
              <w:rPr>
                <w:b w:val="0"/>
                <w:i w:val="0"/>
                <w:sz w:val="19"/>
              </w:rPr>
              <w:t>Cần sử dụng phán đoán chuyên môn để xác định nhu cầu tăng kích thước mẫu lên trên mức tối thiểu. Một số cân nhắc khi kiểm thử để tăng kích thước mẫu bao gồm:</w:t>
            </w:r>
            <w:r>
              <w:br/>
            </w:r>
            <w:r>
              <w:rPr>
                <w:b w:val="0"/>
                <w:i w:val="0"/>
                <w:sz w:val="19"/>
              </w:rPr>
              <w:t>• Độ phức tạp gia tăng của kiểm soát nội bộ là một yếu tố.</w:t>
            </w:r>
            <w:r>
              <w:br/>
            </w:r>
            <w:r>
              <w:rPr>
                <w:b w:val="0"/>
                <w:i w:val="0"/>
                <w:sz w:val="19"/>
              </w:rPr>
              <w:t>• Theo Chuẩn mực Kiểm toán số 5 (Auditing Standard Number 5), kiểm toán viên bên ngoài được phép dựa vào một mức độ nhất định đối với việc kiểm thử do ban lãnh đạo thực hiện, tùy thuộc vào:</w:t>
            </w:r>
            <w:r>
              <w:br/>
            </w:r>
            <w:r>
              <w:rPr>
                <w:b w:val="0"/>
                <w:i w:val="0"/>
                <w:sz w:val="19"/>
              </w:rPr>
              <w:t>a. Bản chất của cuộc kiểm thử</w:t>
            </w:r>
            <w:r>
              <w:br/>
            </w:r>
            <w:r>
              <w:rPr>
                <w:b w:val="0"/>
                <w:i w:val="0"/>
                <w:sz w:val="19"/>
              </w:rPr>
              <w:t>b. Mức độ mà các cuộc kiểm thử mang tính thường quy/tiêu chuẩn</w:t>
            </w:r>
            <w:r>
              <w:br/>
            </w:r>
            <w:r>
              <w:rPr>
                <w:b w:val="0"/>
                <w:i w:val="0"/>
                <w:sz w:val="19"/>
              </w:rPr>
              <w:t>c. Năng lực và tính khách quan của nhóm thực hiện kiểm thử</w:t>
            </w:r>
          </w:p>
        </w:tc>
      </w:tr>
      <w:tr>
        <w:tc>
          <w:tcPr>
            <w:tcW w:type="dxa" w:w="9360"/>
          </w:tcPr>
          <w:p>
            <w:r/>
            <w:r>
              <w:rPr>
                <w:b w:val="0"/>
                <w:i w:val="0"/>
                <w:sz w:val="19"/>
              </w:rPr>
              <w:t>Khi dựa vào hoạt động quản lý, kiểm toán viên thường giảm số lượng kiểm soát mà họ kiểm tra, thay vì giảm số lần kiểm tra cho mỗi kiểm soát.</w:t>
            </w:r>
            <w:r>
              <w:br/>
            </w:r>
            <w:r>
              <w:rPr>
                <w:b w:val="0"/>
                <w:i w:val="0"/>
                <w:sz w:val="19"/>
              </w:rPr>
              <w:t>•  Nếu ban quản lý xác định 10 kiểm soát được thực hiện nhiều lần mỗi ngày và kiểm toán viên bên ngoài đang dựa vào 80% hoạt động kiểm tra của ban quản lý (rủi ro thấp, độ tin cậy cao), thì kiểm toán viên có thể kiểm tra 2 kiểm soát với mẫu tối thiểu là 30.</w:t>
            </w:r>
            <w:r>
              <w:br/>
            </w:r>
            <w:r>
              <w:rPr>
                <w:b w:val="0"/>
                <w:i w:val="0"/>
                <w:sz w:val="19"/>
              </w:rPr>
              <w:t>• Môi trường kiểm soát và các bước kiểm tra thực tế (walkthrough) phải được kiểm toán viên bên ngoài thực hiện 100%.</w:t>
            </w:r>
          </w:p>
        </w:tc>
      </w:tr>
    </w:tbl>
    <w:p>
      <w:pPr>
        <w:spacing w:after="0"/>
      </w:pPr>
    </w:p>
    <w:p>
      <w:pPr>
        <w:spacing w:after="80"/>
      </w:pPr>
      <w:r>
        <w:rPr>
          <w:b/>
          <w:i w:val="0"/>
        </w:rPr>
        <w:t>Bảng chọn cỡ mẫu</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Tần suất kiểm soát</w:t>
            </w:r>
          </w:p>
        </w:tc>
        <w:tc>
          <w:tcPr>
            <w:tcW w:type="dxa" w:w="4680"/>
          </w:tcPr>
          <w:p>
            <w:r/>
            <w:r>
              <w:rPr>
                <w:b/>
                <w:i w:val="0"/>
                <w:sz w:val="19"/>
              </w:rPr>
              <w:t>Số lượng mục (Cỡ mẫu tối thiểu)</w:t>
            </w:r>
          </w:p>
        </w:tc>
      </w:tr>
      <w:tr>
        <w:tc>
          <w:tcPr>
            <w:tcW w:type="dxa" w:w="4680"/>
          </w:tcPr>
          <w:p>
            <w:r/>
            <w:r>
              <w:rPr>
                <w:b w:val="0"/>
                <w:i w:val="0"/>
                <w:sz w:val="19"/>
              </w:rPr>
              <w:t>Hàng năm</w:t>
            </w:r>
          </w:p>
        </w:tc>
        <w:tc>
          <w:tcPr>
            <w:tcW w:type="dxa" w:w="4680"/>
          </w:tcPr>
          <w:p>
            <w:r/>
            <w:r>
              <w:rPr>
                <w:b w:val="0"/>
                <w:i w:val="0"/>
                <w:sz w:val="19"/>
              </w:rPr>
              <w:t>1</w:t>
            </w:r>
          </w:p>
        </w:tc>
      </w:tr>
      <w:tr>
        <w:tc>
          <w:tcPr>
            <w:tcW w:type="dxa" w:w="4680"/>
          </w:tcPr>
          <w:p>
            <w:r/>
            <w:r>
              <w:rPr>
                <w:b w:val="0"/>
                <w:i w:val="0"/>
                <w:sz w:val="19"/>
              </w:rPr>
              <w:t>Hàng quý</w:t>
            </w:r>
          </w:p>
        </w:tc>
        <w:tc>
          <w:tcPr>
            <w:tcW w:type="dxa" w:w="4680"/>
          </w:tcPr>
          <w:p>
            <w:r/>
            <w:r>
              <w:rPr>
                <w:b w:val="0"/>
                <w:i w:val="0"/>
                <w:sz w:val="19"/>
              </w:rPr>
              <w:t>2</w:t>
            </w:r>
          </w:p>
        </w:tc>
      </w:tr>
      <w:tr>
        <w:tc>
          <w:tcPr>
            <w:tcW w:type="dxa" w:w="4680"/>
          </w:tcPr>
          <w:p>
            <w:r/>
            <w:r>
              <w:rPr>
                <w:b w:val="0"/>
                <w:i w:val="0"/>
                <w:sz w:val="19"/>
              </w:rPr>
              <w:t>Hàng tháng</w:t>
            </w:r>
          </w:p>
        </w:tc>
        <w:tc>
          <w:tcPr>
            <w:tcW w:type="dxa" w:w="4680"/>
          </w:tcPr>
          <w:p>
            <w:r/>
            <w:r>
              <w:rPr>
                <w:b w:val="0"/>
                <w:i w:val="0"/>
                <w:sz w:val="19"/>
              </w:rPr>
              <w:t>3 đến 6</w:t>
            </w:r>
          </w:p>
        </w:tc>
      </w:tr>
      <w:tr>
        <w:tc>
          <w:tcPr>
            <w:tcW w:type="dxa" w:w="4680"/>
          </w:tcPr>
          <w:p>
            <w:r/>
            <w:r>
              <w:rPr>
                <w:b w:val="0"/>
                <w:i w:val="0"/>
                <w:sz w:val="19"/>
              </w:rPr>
              <w:t>Hàng tuần</w:t>
            </w:r>
          </w:p>
        </w:tc>
        <w:tc>
          <w:tcPr>
            <w:tcW w:type="dxa" w:w="4680"/>
          </w:tcPr>
          <w:p>
            <w:r/>
            <w:r>
              <w:rPr>
                <w:b w:val="0"/>
                <w:i w:val="0"/>
                <w:sz w:val="19"/>
              </w:rPr>
              <w:t>10, 15, 20</w:t>
            </w:r>
          </w:p>
        </w:tc>
      </w:tr>
      <w:tr>
        <w:tc>
          <w:tcPr>
            <w:tcW w:type="dxa" w:w="4680"/>
          </w:tcPr>
          <w:p>
            <w:r/>
            <w:r>
              <w:rPr>
                <w:b w:val="0"/>
                <w:i w:val="0"/>
                <w:sz w:val="19"/>
              </w:rPr>
              <w:t>Hàng ngày</w:t>
            </w:r>
          </w:p>
        </w:tc>
        <w:tc>
          <w:tcPr>
            <w:tcW w:type="dxa" w:w="4680"/>
          </w:tcPr>
          <w:p>
            <w:r/>
            <w:r>
              <w:rPr>
                <w:b w:val="0"/>
                <w:i w:val="0"/>
                <w:sz w:val="19"/>
              </w:rPr>
              <w:t>20, 30, 40</w:t>
            </w:r>
          </w:p>
        </w:tc>
      </w:tr>
      <w:tr>
        <w:tc>
          <w:tcPr>
            <w:tcW w:type="dxa" w:w="4680"/>
          </w:tcPr>
          <w:p>
            <w:r/>
            <w:r>
              <w:rPr>
                <w:b w:val="0"/>
                <w:i w:val="0"/>
                <w:sz w:val="19"/>
              </w:rPr>
              <w:t>Nhiều lần mỗi ngày</w:t>
            </w:r>
          </w:p>
        </w:tc>
        <w:tc>
          <w:tcPr>
            <w:tcW w:type="dxa" w:w="4680"/>
          </w:tcPr>
          <w:p>
            <w:r/>
            <w:r>
              <w:rPr>
                <w:b w:val="0"/>
                <w:i w:val="0"/>
                <w:sz w:val="19"/>
              </w:rPr>
              <w:t>30, 45, 60</w:t>
            </w:r>
          </w:p>
        </w:tc>
      </w:tr>
    </w:tbl>
    <w:p>
      <w:pPr>
        <w:spacing w:after="0"/>
      </w:pPr>
    </w:p>
    <w:p>
      <w:pPr>
        <w:spacing w:after="80"/>
      </w:pPr>
      <w:r>
        <w:rPr>
          <w:b w:val="0"/>
          <w:i w:val="0"/>
        </w:rPr>
        <w:t>Các chỉ báo trong việc xác định mức độ phụ thuộc của kiểm toán viên vào kiểm tra của ban quản lý</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Các chỉ báo để giảm kích thước mẫu kiểm toán và dựa vào ban quản lý</w:t>
            </w:r>
          </w:p>
        </w:tc>
        <w:tc>
          <w:tcPr>
            <w:tcW w:type="dxa" w:w="4680"/>
          </w:tcPr>
          <w:p>
            <w:r/>
            <w:r>
              <w:rPr>
                <w:b/>
                <w:i w:val="0"/>
                <w:sz w:val="19"/>
              </w:rPr>
              <w:t>Các chỉ báo cho việc kiểm tra độc lập toàn diện</w:t>
            </w:r>
          </w:p>
        </w:tc>
      </w:tr>
      <w:tr>
        <w:tc>
          <w:tcPr>
            <w:tcW w:type="dxa" w:w="4680"/>
          </w:tcPr>
          <w:p>
            <w:r/>
            <w:r>
              <w:rPr>
                <w:b w:val="0"/>
                <w:i w:val="0"/>
                <w:sz w:val="19"/>
              </w:rPr>
              <w:t>• Rủi ro sai sót trọng yếu thấp</w:t>
            </w:r>
          </w:p>
        </w:tc>
        <w:tc>
          <w:tcPr>
            <w:tcW w:type="dxa" w:w="4680"/>
          </w:tcPr>
          <w:p>
            <w:r/>
            <w:r>
              <w:rPr>
                <w:b w:val="0"/>
                <w:i w:val="0"/>
                <w:sz w:val="19"/>
              </w:rPr>
              <w:t>• Các tài khoản có tính trọng yếu cao hơn, có xét đoán, ước tính và/hoặc rủi ro sai sót trọng yếu</w:t>
            </w:r>
          </w:p>
        </w:tc>
      </w:tr>
      <w:tr>
        <w:tc>
          <w:tcPr>
            <w:tcW w:type="dxa" w:w="4680"/>
          </w:tcPr>
          <w:p>
            <w:r/>
            <w:r>
              <w:rPr>
                <w:b w:val="0"/>
                <w:i w:val="0"/>
                <w:sz w:val="19"/>
              </w:rPr>
              <w:t>• Mức độ xét đoán thấp được yêu cầu để đánh giá tính hữu hiệu trong hoạt động của kiểm soát</w:t>
            </w:r>
          </w:p>
        </w:tc>
        <w:tc>
          <w:tcPr>
            <w:tcW w:type="dxa" w:w="4680"/>
          </w:tcPr>
          <w:p>
            <w:r/>
            <w:r>
              <w:rPr>
                <w:b w:val="0"/>
                <w:i w:val="0"/>
                <w:sz w:val="19"/>
              </w:rPr>
              <w:t>• Cần xét đoán để đánh giá tính hữu hiệu trong hoạt động</w:t>
            </w:r>
          </w:p>
        </w:tc>
      </w:tr>
      <w:tr>
        <w:tc>
          <w:tcPr>
            <w:tcW w:type="dxa" w:w="4680"/>
          </w:tcPr>
          <w:p>
            <w:r/>
            <w:r>
              <w:rPr>
                <w:b w:val="0"/>
                <w:i w:val="0"/>
                <w:sz w:val="19"/>
              </w:rPr>
              <w:t>• Khả năng ban quản lý lấn át kiểm soát thấp</w:t>
            </w:r>
          </w:p>
        </w:tc>
        <w:tc>
          <w:tcPr>
            <w:tcW w:type="dxa" w:w="4680"/>
          </w:tcPr>
          <w:p>
            <w:r/>
            <w:r>
              <w:rPr>
                <w:b w:val="0"/>
                <w:i w:val="0"/>
                <w:sz w:val="19"/>
              </w:rPr>
              <w:t>• Mang tính lan tỏa</w:t>
            </w:r>
          </w:p>
        </w:tc>
      </w:tr>
      <w:tr>
        <w:tc>
          <w:tcPr>
            <w:tcW w:type="dxa" w:w="4680"/>
          </w:tcPr>
          <w:p>
            <w:r/>
            <w:r>
              <w:rPr>
                <w:b w:val="0"/>
                <w:i w:val="0"/>
                <w:sz w:val="19"/>
              </w:rPr>
              <w:t>• Khả năng ban quản lý lấn át kiểm soát cao hơn</w:t>
            </w:r>
          </w:p>
        </w:tc>
        <w:tc>
          <w:tcPr>
            <w:tcW w:type="dxa" w:w="4680"/>
          </w:tcPr>
          <w:p/>
        </w:tc>
      </w:tr>
      <w:tr>
        <w:tc>
          <w:tcPr>
            <w:tcW w:type="dxa" w:w="4680"/>
          </w:tcPr>
          <w:p>
            <w:r/>
            <w:r>
              <w:rPr>
                <w:b w:val="0"/>
                <w:i w:val="0"/>
                <w:sz w:val="19"/>
              </w:rPr>
              <w:t>• Cần kiểm tra vào thời điểm cuối kỳ tài chính</w:t>
            </w:r>
          </w:p>
        </w:tc>
        <w:tc>
          <w:tcPr>
            <w:tcW w:type="dxa" w:w="4680"/>
          </w:tcPr>
          <w:p/>
        </w:tc>
      </w:tr>
    </w:tbl>
    <w:p>
      <w:pPr>
        <w:spacing w:after="0"/>
      </w:pPr>
    </w:p>
    <w:p>
      <w:pPr>
        <w:pStyle w:val="Heading3"/>
      </w:pPr>
      <w:r>
        <w:rPr>
          <w:rFonts w:ascii="Calibri" w:hAnsi="Calibri"/>
          <w:b/>
          <w:i w:val="0"/>
          <w:sz w:val="26"/>
        </w:rPr>
        <w:t>Các kỹ thuật kiểm tra</w:t>
      </w:r>
    </w:p>
    <w:p>
      <w:pPr>
        <w:spacing w:after="80"/>
      </w:pPr>
      <w:r>
        <w:rPr>
          <w:b w:val="0"/>
          <w:i w:val="0"/>
        </w:rPr>
        <w:t>Có bốn kỹ thuật kiểm tra khác nhau có thể được sử dụng để kiểm tra các kiểm soát nội bộ. Các kỹ thuật kiểm tra này được tóm tắt dưới đây:</w:t>
      </w:r>
    </w:p>
    <w:p>
      <w:pPr>
        <w:spacing w:after="80"/>
        <w:ind w:left="360"/>
      </w:pPr>
      <w:r>
        <w:t xml:space="preserve">1. </w:t>
      </w:r>
      <w:r>
        <w:rPr>
          <w:b/>
          <w:i w:val="0"/>
        </w:rPr>
        <w:t>Việc trao đổi với chủ sở hữu quy trình cung cấp thông tin liên quan về các kiểm soát.</w:t>
      </w:r>
      <w:r>
        <w:rPr>
          <w:b w:val="0"/>
          <w:i w:val="0"/>
        </w:rPr>
        <w:t xml:space="preserve"> Thu thập bằng chứng hỗ trợ cho các trao đổi này thông qua việc trao đổi đối chiếu với những người khác, hoặc bằng cách xem xét các báo cáo, sổ tay hướng dẫn, hoặc các tài liệu khác được sử dụng trong hoặc được tạo ra bởi việc thực hiện kiểm soát. Chỉ riêng việc trao đổi không cung cấp đủ bằng chứng về việc liệu một kiểm soát cụ thể có đang hoạt động hữu hiệu hay không, và do đó phải được sử dụng kết hợp với các kỹ thuật khác được mô tả dưới đây.</w:t>
      </w:r>
    </w:p>
    <w:p>
      <w:pPr>
        <w:spacing w:after="80"/>
        <w:ind w:left="360"/>
      </w:pPr>
      <w:r>
        <w:t xml:space="preserve">2. </w:t>
      </w:r>
      <w:r>
        <w:rPr>
          <w:b/>
          <w:i w:val="0"/>
        </w:rPr>
        <w:t>Quan sát nên được sử dụng nếu không có tài liệu, hoặc có ít tài liệu, về hoạt động của một kiểm soát.</w:t>
      </w:r>
      <w:r>
        <w:rPr>
          <w:b w:val="0"/>
          <w:i w:val="0"/>
        </w:rPr>
        <w:t xml:space="preserve"> Quan sát hữu ích cho các kiểm soát vật lý (ví dụ: nhìn thấy cửa kho được khóa, hoặc séc trắng được bảo vệ an toàn) và các kiểm soát phân tách nhiệm vụ. (</w:t>
      </w:r>
      <w:r>
        <w:rPr>
          <w:b w:val="0"/>
          <w:i/>
        </w:rPr>
        <w:t>Lưu ý</w:t>
      </w:r>
      <w:r>
        <w:rPr>
          <w:b w:val="0"/>
          <w:i w:val="0"/>
        </w:rPr>
        <w:t xml:space="preserve"> : Mặc dù tốt hơn việc trao đổi, rủi ro với quan sát là kiểm soát có thể không được thực hiện một cách nhất quán.)</w:t>
      </w:r>
    </w:p>
    <w:p>
      <w:pPr>
        <w:spacing w:after="80"/>
        <w:ind w:left="360"/>
      </w:pPr>
      <w:r>
        <w:t xml:space="preserve">3. </w:t>
      </w:r>
      <w:r>
        <w:rPr>
          <w:b/>
          <w:i w:val="0"/>
        </w:rPr>
        <w:t>Kiểm tra</w:t>
      </w:r>
      <w:r>
        <w:rPr>
          <w:b w:val="0"/>
          <w:i w:val="0"/>
        </w:rPr>
        <w:t xml:space="preserve"> bằng chứng nên được sử dụng để xác định liệu các kiểm soát thủ công, như việc theo dõi các báo cáo ngoại lệ, có đang được thực hiện hay không. Bằng chứng có thể bao gồm các giải thích bằng văn bản, dấu đánh dấu, chữ ký tắt, hoặc các dấu hiệu khác của việc theo dõi được ghi lại trên chính báo cáo ngoại lệ. Việc kiểm tra các hồ sơ, tài liệu, bảng đối chiếu, và báo cáo có thể đóng vai trò là bằng chứng rằng một kiểm soát đã được áp dụng đúng cách.</w:t>
      </w:r>
    </w:p>
    <w:p>
      <w:pPr>
        <w:spacing w:after="80"/>
        <w:ind w:left="360"/>
      </w:pPr>
      <w:r>
        <w:t xml:space="preserve">4. </w:t>
      </w:r>
      <w:r>
        <w:rPr>
          <w:b/>
          <w:i w:val="0"/>
        </w:rPr>
        <w:t>Thực hiện lại</w:t>
      </w:r>
      <w:r>
        <w:rPr>
          <w:b w:val="0"/>
          <w:i w:val="0"/>
        </w:rPr>
        <w:t xml:space="preserve"> một kiểm soát được dùng để đảm bảo thêm (vượt ra ngoài việc hỏi han, quan sát và kiểm tra bằng chứng) rằng một kiểm soát đang vận hành hiệu quả.</w:t>
      </w:r>
    </w:p>
    <w:p>
      <w:pPr>
        <w:pStyle w:val="Heading3"/>
      </w:pPr>
      <w:r>
        <w:rPr>
          <w:rFonts w:ascii="Calibri" w:hAnsi="Calibri"/>
          <w:b/>
          <w:i w:val="0"/>
          <w:sz w:val="26"/>
        </w:rPr>
        <w:t>Đánh giá các khiếm khuyết kiểm soát nội bộ</w:t>
      </w:r>
    </w:p>
    <w:p>
      <w:pPr>
        <w:spacing w:after="80"/>
      </w:pPr>
      <w:r>
        <w:rPr>
          <w:b w:val="0"/>
          <w:i w:val="0"/>
        </w:rPr>
        <w:t>Một khiếm khuyết được coi là khiếm khuyết trọng yếu hoặc điểm yếu nghiêm trọng nếu, dù riêng lẻ hay tổng hợp lại, sau khi xem xét các kiểm soát bù đắp, khả năng xảy ra và mức độ tác động tiềm tàng nằm trong các tiêu chí ở bảng dưới đây.</w:t>
      </w:r>
    </w:p>
    <w:p>
      <w:pPr>
        <w:spacing w:after="80"/>
      </w:pPr>
      <w:r>
        <w:rPr>
          <w:b w:val="0"/>
          <w:i w:val="0"/>
        </w:rPr>
        <w:t>Các kiểm soát bù đắp phải ở cùng mức độ chi tiết (tức là so sánh ngân sách với thực tế không phải là một kiểm soát bù đắp tốt), phải được xem xét trong tài liệu luồng quy trình, và phải được kiểm thử và vận hành hiệu quả.</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Phân loại khiếm khuyết</w:t>
            </w:r>
          </w:p>
        </w:tc>
        <w:tc>
          <w:tcPr>
            <w:tcW w:type="dxa" w:w="2340"/>
          </w:tcPr>
          <w:p>
            <w:r/>
            <w:r>
              <w:rPr>
                <w:b/>
                <w:i w:val="0"/>
                <w:sz w:val="19"/>
              </w:rPr>
              <w:t>Khả năng xảy ra sai sót</w:t>
            </w:r>
          </w:p>
        </w:tc>
        <w:tc>
          <w:tcPr>
            <w:tcW w:type="dxa" w:w="2340"/>
          </w:tcPr>
          <w:p>
            <w:r/>
          </w:p>
        </w:tc>
        <w:tc>
          <w:tcPr>
            <w:tcW w:type="dxa" w:w="2340"/>
          </w:tcPr>
          <w:p>
            <w:r/>
            <w:r>
              <w:rPr>
                <w:b/>
                <w:i w:val="0"/>
                <w:sz w:val="19"/>
              </w:rPr>
              <w:t>Mức độ tác động tiềm tàng của sai sót</w:t>
            </w:r>
          </w:p>
        </w:tc>
      </w:tr>
      <w:tr>
        <w:tc>
          <w:tcPr>
            <w:tcW w:type="dxa" w:w="2340"/>
          </w:tcPr>
          <w:p>
            <w:r/>
            <w:r>
              <w:rPr>
                <w:b w:val="0"/>
                <w:i w:val="0"/>
                <w:sz w:val="19"/>
              </w:rPr>
              <w:t>Khiếm khuyết kiểm soát nội bộ</w:t>
            </w:r>
          </w:p>
        </w:tc>
        <w:tc>
          <w:tcPr>
            <w:tcW w:type="dxa" w:w="2340"/>
          </w:tcPr>
          <w:p>
            <w:r/>
            <w:r>
              <w:rPr>
                <w:b w:val="0"/>
                <w:i w:val="0"/>
                <w:sz w:val="19"/>
              </w:rPr>
              <w:t xml:space="preserve">Rất thấp </w:t>
            </w:r>
            <w:r>
              <w:rPr>
                <w:b w:val="0"/>
                <w:i/>
                <w:sz w:val="19"/>
              </w:rPr>
              <w:t>(ít hơn 5% đến 10% khả năng)</w:t>
            </w:r>
          </w:p>
        </w:tc>
        <w:tc>
          <w:tcPr>
            <w:tcW w:type="dxa" w:w="2340"/>
          </w:tcPr>
          <w:p>
            <w:r/>
            <w:r>
              <w:rPr>
                <w:b/>
                <w:i w:val="0"/>
                <w:sz w:val="19"/>
              </w:rPr>
              <w:t>HOẶC</w:t>
            </w:r>
          </w:p>
        </w:tc>
        <w:tc>
          <w:tcPr>
            <w:tcW w:type="dxa" w:w="2340"/>
          </w:tcPr>
          <w:p>
            <w:r/>
            <w:r>
              <w:rPr>
                <w:b w:val="0"/>
                <w:i w:val="0"/>
                <w:sz w:val="19"/>
              </w:rPr>
              <w:t xml:space="preserve">Không đáng kể </w:t>
            </w:r>
            <w:r>
              <w:rPr>
                <w:b w:val="0"/>
                <w:i/>
                <w:sz w:val="19"/>
              </w:rPr>
              <w:t>(ít hơn 0,5% đến 1,0% thu nhập trước thuế)</w:t>
            </w:r>
          </w:p>
        </w:tc>
      </w:tr>
      <w:tr>
        <w:tc>
          <w:tcPr>
            <w:tcW w:type="dxa" w:w="2340"/>
          </w:tcPr>
          <w:p>
            <w:r/>
            <w:r>
              <w:rPr>
                <w:b w:val="0"/>
                <w:i w:val="0"/>
                <w:sz w:val="19"/>
              </w:rPr>
              <w:t>Khiếm khuyết trọng yếu</w:t>
            </w:r>
          </w:p>
        </w:tc>
        <w:tc>
          <w:tcPr>
            <w:tcW w:type="dxa" w:w="2340"/>
          </w:tcPr>
          <w:p>
            <w:r/>
            <w:r>
              <w:rPr>
                <w:b w:val="0"/>
                <w:i w:val="0"/>
                <w:sz w:val="19"/>
              </w:rPr>
              <w:t xml:space="preserve">Cao hơn mức rất thấp </w:t>
            </w:r>
            <w:r>
              <w:rPr>
                <w:b w:val="0"/>
                <w:i/>
                <w:sz w:val="19"/>
              </w:rPr>
              <w:t>(hơn 5% đến 10%)</w:t>
            </w:r>
          </w:p>
        </w:tc>
        <w:tc>
          <w:tcPr>
            <w:tcW w:type="dxa" w:w="2340"/>
          </w:tcPr>
          <w:p>
            <w:r/>
            <w:r>
              <w:rPr>
                <w:b/>
                <w:i w:val="0"/>
                <w:sz w:val="19"/>
              </w:rPr>
              <w:t>VÀ</w:t>
            </w:r>
          </w:p>
        </w:tc>
        <w:tc>
          <w:tcPr>
            <w:tcW w:type="dxa" w:w="2340"/>
          </w:tcPr>
          <w:p>
            <w:r/>
            <w:r>
              <w:rPr>
                <w:b w:val="0"/>
                <w:i w:val="0"/>
                <w:sz w:val="19"/>
              </w:rPr>
              <w:t xml:space="preserve">Cao hơn mức không đáng kể </w:t>
            </w:r>
            <w:r>
              <w:rPr>
                <w:b w:val="0"/>
                <w:i/>
                <w:sz w:val="19"/>
              </w:rPr>
              <w:t>(lớn hơn 0,5% đến 1,0% thu nhập trước thuế)</w:t>
            </w:r>
          </w:p>
        </w:tc>
      </w:tr>
      <w:tr>
        <w:tc>
          <w:tcPr>
            <w:tcW w:type="dxa" w:w="2340"/>
          </w:tcPr>
          <w:p>
            <w:r/>
            <w:r>
              <w:rPr>
                <w:b w:val="0"/>
                <w:i w:val="0"/>
                <w:sz w:val="19"/>
              </w:rPr>
              <w:t>Điểm yếu nghiêm trọng</w:t>
            </w:r>
          </w:p>
        </w:tc>
        <w:tc>
          <w:tcPr>
            <w:tcW w:type="dxa" w:w="2340"/>
          </w:tcPr>
          <w:p>
            <w:r/>
            <w:r>
              <w:rPr>
                <w:b w:val="0"/>
                <w:i w:val="0"/>
                <w:sz w:val="19"/>
              </w:rPr>
              <w:t xml:space="preserve">Nhiều hơn mức từ xa </w:t>
            </w:r>
            <w:r>
              <w:rPr>
                <w:b w:val="0"/>
                <w:i/>
                <w:sz w:val="19"/>
              </w:rPr>
              <w:t>(hơn 5% đến 10%)</w:t>
            </w:r>
          </w:p>
        </w:tc>
        <w:tc>
          <w:tcPr>
            <w:tcW w:type="dxa" w:w="2340"/>
          </w:tcPr>
          <w:p>
            <w:r/>
            <w:r>
              <w:rPr>
                <w:b/>
                <w:i w:val="0"/>
                <w:sz w:val="19"/>
              </w:rPr>
              <w:t>VÀ</w:t>
            </w:r>
          </w:p>
        </w:tc>
        <w:tc>
          <w:tcPr>
            <w:tcW w:type="dxa" w:w="2340"/>
          </w:tcPr>
          <w:p>
            <w:r/>
            <w:r>
              <w:rPr>
                <w:b w:val="0"/>
                <w:i w:val="0"/>
                <w:sz w:val="19"/>
              </w:rPr>
              <w:t xml:space="preserve">Trọng yếu </w:t>
            </w:r>
            <w:r>
              <w:rPr>
                <w:b w:val="0"/>
                <w:i/>
                <w:sz w:val="19"/>
              </w:rPr>
              <w:t>(lớn hơn 4% đến 5% thu nhập trước thuế)</w:t>
            </w:r>
          </w:p>
        </w:tc>
      </w:tr>
    </w:tbl>
    <w:p>
      <w:pPr>
        <w:spacing w:after="0"/>
      </w:pPr>
    </w:p>
    <w:p>
      <w:pPr>
        <w:spacing w:after="80"/>
      </w:pPr>
      <w:r>
        <w:rPr>
          <w:b w:val="0"/>
          <w:i w:val="0"/>
        </w:rPr>
        <w:t>Trong quá trình kiểm tra, có thể phát hiện nhiều ngoại lệ khác nhau và chúng sẽ được phân loại là thiếu sót (deficiency) hoặc điểm yếu (weakness). Dưới đây là quy trình mà người kiểm soát (controller) hoặc chủ sở hữu kiểm soát nội bộ nên sử dụng để xử lý đúng đắn các thiếu sót đó.</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1. Xác định thiếu sót.</w:t>
            </w:r>
            <w:r>
              <w:br/>
            </w:r>
            <w:r>
              <w:rPr>
                <w:b w:val="0"/>
                <w:i w:val="0"/>
                <w:sz w:val="19"/>
              </w:rPr>
              <w:t>2.  Hiểu và đánh giá sự đánh giá của ban quản lý.</w:t>
            </w:r>
            <w:r>
              <w:br/>
            </w:r>
            <w:r>
              <w:rPr>
                <w:b w:val="0"/>
                <w:i w:val="0"/>
                <w:sz w:val="19"/>
              </w:rPr>
              <w:t>3.  Xác định các kiểm soát bù đắp (compensating controls).</w:t>
            </w:r>
            <w:r>
              <w:br/>
            </w:r>
            <w:r>
              <w:rPr>
                <w:b w:val="0"/>
                <w:i w:val="0"/>
                <w:sz w:val="19"/>
              </w:rPr>
              <w:t>4.  Đánh giá khả năng xảy ra sai sót trọng yếu.</w:t>
            </w:r>
            <w:r>
              <w:br/>
            </w:r>
            <w:r>
              <w:rPr>
                <w:b w:val="0"/>
                <w:i w:val="0"/>
                <w:sz w:val="19"/>
              </w:rPr>
              <w:t>5.  Đánh giá mức độ tiềm tàng của sai sót trọng yếu.</w:t>
            </w:r>
            <w:r>
              <w:br/>
            </w:r>
            <w:r>
              <w:rPr>
                <w:b w:val="0"/>
                <w:i w:val="0"/>
                <w:sz w:val="19"/>
              </w:rPr>
              <w:t>6.  Xác định phân loại các thiếu sót.</w:t>
            </w:r>
            <w:r>
              <w:br/>
            </w:r>
            <w:r>
              <w:rPr>
                <w:b w:val="0"/>
                <w:i w:val="0"/>
                <w:sz w:val="19"/>
              </w:rPr>
              <w:t>7.  Đánh giá việc tổng hợp với các thiếu sót khác.</w:t>
            </w:r>
          </w:p>
        </w:tc>
      </w:tr>
    </w:tbl>
    <w:p>
      <w:pPr>
        <w:spacing w:after="0"/>
      </w:pPr>
    </w:p>
    <w:p>
      <w:pPr>
        <w:pStyle w:val="Heading3"/>
      </w:pPr>
      <w:r>
        <w:rPr>
          <w:rFonts w:ascii="Calibri" w:hAnsi="Calibri"/>
          <w:b/>
          <w:i w:val="0"/>
          <w:sz w:val="26"/>
        </w:rPr>
        <w:t>Khắc phục Kiểm soát Nội bộ</w:t>
      </w:r>
    </w:p>
    <w:p>
      <w:pPr>
        <w:spacing w:after="80"/>
      </w:pPr>
      <w:r>
        <w:rPr>
          <w:b w:val="0"/>
          <w:i w:val="0"/>
        </w:rPr>
        <w:t>Khoảng thời gian mà các kiểm soát đã được khắc phục cần phải duy trì để được coi là hiệu quả trong vận hành như sau:</w:t>
      </w:r>
    </w:p>
    <w:p>
      <w:pPr>
        <w:spacing w:after="80"/>
        <w:ind w:left="360"/>
      </w:pPr>
      <w:r>
        <w:t xml:space="preserve">• </w:t>
      </w:r>
      <w:r>
        <w:rPr>
          <w:b w:val="0"/>
          <w:i w:val="0"/>
        </w:rPr>
        <w:t>Nếu kiểm soát đã được khắc phục &gt; 90 ngày, thì nên kiểm tra với cỡ mẫu thông thường theo tần suất của kiểm soát/mức độ rủi ro.</w:t>
      </w:r>
    </w:p>
    <w:p>
      <w:pPr>
        <w:spacing w:after="80"/>
        <w:ind w:left="360"/>
      </w:pPr>
      <w:r>
        <w:t xml:space="preserve">• </w:t>
      </w:r>
      <w:r>
        <w:rPr>
          <w:b w:val="0"/>
          <w:i w:val="0"/>
        </w:rPr>
        <w:t>Nếu kiểm soát đã được khắc phục &lt; 90 ngày, thì phải sử dụng các cỡ mẫu dưới đây:</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Tần suất của Kiểm soát</w:t>
            </w:r>
          </w:p>
        </w:tc>
        <w:tc>
          <w:tcPr>
            <w:tcW w:type="dxa" w:w="3120"/>
          </w:tcPr>
          <w:p>
            <w:r/>
            <w:r>
              <w:rPr>
                <w:b/>
                <w:i w:val="0"/>
                <w:sz w:val="19"/>
              </w:rPr>
              <w:t>Khoảng thời gian vận hành tối thiểu</w:t>
            </w:r>
          </w:p>
        </w:tc>
        <w:tc>
          <w:tcPr>
            <w:tcW w:type="dxa" w:w="3120"/>
          </w:tcPr>
          <w:p>
            <w:r/>
            <w:r>
              <w:rPr>
                <w:b/>
                <w:i w:val="0"/>
                <w:sz w:val="19"/>
              </w:rPr>
              <w:t>Số lượng mục tối thiểu cần kiểm tra</w:t>
            </w:r>
          </w:p>
        </w:tc>
      </w:tr>
      <w:tr>
        <w:tc>
          <w:tcPr>
            <w:tcW w:type="dxa" w:w="3120"/>
          </w:tcPr>
          <w:p>
            <w:r/>
            <w:r>
              <w:rPr>
                <w:b w:val="0"/>
                <w:i w:val="0"/>
                <w:sz w:val="19"/>
              </w:rPr>
              <w:t>Hàng quý</w:t>
            </w:r>
          </w:p>
        </w:tc>
        <w:tc>
          <w:tcPr>
            <w:tcW w:type="dxa" w:w="3120"/>
          </w:tcPr>
          <w:p>
            <w:r/>
            <w:r>
              <w:rPr>
                <w:b w:val="0"/>
                <w:i w:val="0"/>
                <w:sz w:val="19"/>
              </w:rPr>
              <w:t>2 quý</w:t>
            </w:r>
          </w:p>
        </w:tc>
        <w:tc>
          <w:tcPr>
            <w:tcW w:type="dxa" w:w="3120"/>
          </w:tcPr>
          <w:p>
            <w:r/>
            <w:r>
              <w:rPr>
                <w:b w:val="0"/>
                <w:i w:val="0"/>
                <w:sz w:val="19"/>
              </w:rPr>
              <w:t>1</w:t>
            </w:r>
          </w:p>
        </w:tc>
      </w:tr>
      <w:tr>
        <w:tc>
          <w:tcPr>
            <w:tcW w:type="dxa" w:w="3120"/>
          </w:tcPr>
          <w:p>
            <w:r/>
            <w:r>
              <w:rPr>
                <w:b w:val="0"/>
                <w:i w:val="0"/>
                <w:sz w:val="19"/>
              </w:rPr>
              <w:t>Hàng tháng</w:t>
            </w:r>
          </w:p>
        </w:tc>
        <w:tc>
          <w:tcPr>
            <w:tcW w:type="dxa" w:w="3120"/>
          </w:tcPr>
          <w:p>
            <w:r/>
            <w:r>
              <w:rPr>
                <w:b w:val="0"/>
                <w:i w:val="0"/>
                <w:sz w:val="19"/>
              </w:rPr>
              <w:t>2 tháng</w:t>
            </w:r>
          </w:p>
        </w:tc>
        <w:tc>
          <w:tcPr>
            <w:tcW w:type="dxa" w:w="3120"/>
          </w:tcPr>
          <w:p>
            <w:r/>
            <w:r>
              <w:rPr>
                <w:b w:val="0"/>
                <w:i w:val="0"/>
                <w:sz w:val="19"/>
              </w:rPr>
              <w:t>2</w:t>
            </w:r>
          </w:p>
        </w:tc>
      </w:tr>
      <w:tr>
        <w:tc>
          <w:tcPr>
            <w:tcW w:type="dxa" w:w="3120"/>
          </w:tcPr>
          <w:p>
            <w:r/>
            <w:r>
              <w:rPr>
                <w:b w:val="0"/>
                <w:i w:val="0"/>
                <w:sz w:val="19"/>
              </w:rPr>
              <w:t>Hàng tuần</w:t>
            </w:r>
          </w:p>
        </w:tc>
        <w:tc>
          <w:tcPr>
            <w:tcW w:type="dxa" w:w="3120"/>
          </w:tcPr>
          <w:p>
            <w:r/>
            <w:r>
              <w:rPr>
                <w:b w:val="0"/>
                <w:i w:val="0"/>
                <w:sz w:val="19"/>
              </w:rPr>
              <w:t>4 tuần</w:t>
            </w:r>
          </w:p>
        </w:tc>
        <w:tc>
          <w:tcPr>
            <w:tcW w:type="dxa" w:w="3120"/>
          </w:tcPr>
          <w:p>
            <w:r/>
            <w:r>
              <w:rPr>
                <w:b w:val="0"/>
                <w:i w:val="0"/>
                <w:sz w:val="19"/>
              </w:rPr>
              <w:t>2</w:t>
            </w:r>
          </w:p>
        </w:tc>
      </w:tr>
      <w:tr>
        <w:tc>
          <w:tcPr>
            <w:tcW w:type="dxa" w:w="3120"/>
          </w:tcPr>
          <w:p>
            <w:r/>
            <w:r>
              <w:rPr>
                <w:b w:val="0"/>
                <w:i w:val="0"/>
                <w:sz w:val="19"/>
              </w:rPr>
              <w:t>Hàng ngày</w:t>
            </w:r>
          </w:p>
        </w:tc>
        <w:tc>
          <w:tcPr>
            <w:tcW w:type="dxa" w:w="3120"/>
          </w:tcPr>
          <w:p>
            <w:r/>
            <w:r>
              <w:rPr>
                <w:b w:val="0"/>
                <w:i w:val="0"/>
                <w:sz w:val="19"/>
              </w:rPr>
              <w:t>30 ngày</w:t>
            </w:r>
          </w:p>
        </w:tc>
        <w:tc>
          <w:tcPr>
            <w:tcW w:type="dxa" w:w="3120"/>
          </w:tcPr>
          <w:p>
            <w:r/>
            <w:r>
              <w:rPr>
                <w:b w:val="0"/>
                <w:i w:val="0"/>
                <w:sz w:val="19"/>
              </w:rPr>
              <w:t>10</w:t>
            </w:r>
          </w:p>
        </w:tc>
      </w:tr>
      <w:tr>
        <w:tc>
          <w:tcPr>
            <w:tcW w:type="dxa" w:w="3120"/>
          </w:tcPr>
          <w:p>
            <w:r/>
            <w:r>
              <w:rPr>
                <w:b w:val="0"/>
                <w:i w:val="0"/>
                <w:sz w:val="19"/>
              </w:rPr>
              <w:t>Nhiều lần một ngày</w:t>
            </w:r>
          </w:p>
        </w:tc>
        <w:tc>
          <w:tcPr>
            <w:tcW w:type="dxa" w:w="3120"/>
          </w:tcPr>
          <w:p>
            <w:r/>
            <w:r>
              <w:rPr>
                <w:b w:val="0"/>
                <w:i w:val="0"/>
                <w:sz w:val="19"/>
              </w:rPr>
              <w:t>30 ngày</w:t>
            </w:r>
          </w:p>
        </w:tc>
        <w:tc>
          <w:tcPr>
            <w:tcW w:type="dxa" w:w="3120"/>
          </w:tcPr>
          <w:p>
            <w:r/>
            <w:r>
              <w:rPr>
                <w:b w:val="0"/>
                <w:i w:val="0"/>
                <w:sz w:val="19"/>
              </w:rPr>
              <w:t>30</w:t>
            </w:r>
          </w:p>
        </w:tc>
      </w:tr>
    </w:tbl>
    <w:p>
      <w:pPr>
        <w:spacing w:after="0"/>
      </w:pPr>
    </w:p>
    <w:p>
      <w:pPr>
        <w:pStyle w:val="Heading1"/>
      </w:pPr>
      <w:r>
        <w:rPr>
          <w:rFonts w:ascii="Calibri" w:hAnsi="Calibri"/>
          <w:b/>
          <w:i w:val="0"/>
          <w:sz w:val="40"/>
        </w:rPr>
        <w:t>Chỉ mục</w:t>
      </w:r>
    </w:p>
    <w:p>
      <w:pPr>
        <w:spacing w:after="80"/>
      </w:pPr>
      <w:r>
        <w:rPr>
          <w:b w:val="0"/>
          <w:i w:val="0"/>
        </w:rPr>
        <w:t xml:space="preserve">Các tham chiếu trang theo sau bởi </w:t>
      </w:r>
      <w:r>
        <w:rPr>
          <w:b w:val="0"/>
          <w:i/>
        </w:rPr>
        <w:t>t</w:t>
      </w:r>
      <w:r>
        <w:rPr>
          <w:b w:val="0"/>
          <w:i w:val="0"/>
        </w:rPr>
        <w:t xml:space="preserve"> biểu thị một bảng</w:t>
      </w:r>
    </w:p>
    <w:p>
      <w:pPr>
        <w:spacing w:after="80"/>
        <w:ind w:left="360"/>
      </w:pPr>
      <w:r>
        <w:rPr>
          <w:b w:val="0"/>
          <w:i w:val="0"/>
        </w:rPr>
        <w:t>A</w:t>
      </w:r>
    </w:p>
    <w:p>
      <w:pPr>
        <w:spacing w:after="80"/>
        <w:ind w:left="720"/>
      </w:pPr>
      <w:r>
        <w:rPr>
          <w:b w:val="0"/>
          <w:i w:val="0"/>
        </w:rPr>
        <w:t>Kiểm soát truy cập, 233</w:t>
      </w:r>
    </w:p>
    <w:p>
      <w:pPr>
        <w:spacing w:after="80"/>
        <w:ind w:left="1080"/>
      </w:pPr>
      <w:r>
        <w:rPr>
          <w:b w:val="0"/>
          <w:i w:val="0"/>
        </w:rPr>
        <w:t>mua hàng/đặt hàng, 108</w:t>
      </w:r>
    </w:p>
    <w:p>
      <w:pPr>
        <w:spacing w:after="80"/>
        <w:ind w:left="720"/>
      </w:pPr>
      <w:r>
        <w:rPr>
          <w:b w:val="0"/>
          <w:i w:val="0"/>
        </w:rPr>
        <w:t>Yêu cầu truy cập, 233</w:t>
      </w:r>
    </w:p>
    <w:p>
      <w:pPr>
        <w:spacing w:after="80"/>
        <w:ind w:left="720"/>
      </w:pPr>
      <w:r>
        <w:rPr>
          <w:b w:val="0"/>
          <w:i w:val="0"/>
        </w:rPr>
        <w:t>Trách nhiệm giải trình, cơ cấu, 35</w:t>
      </w:r>
    </w:p>
    <w:p>
      <w:pPr>
        <w:spacing w:after="80"/>
        <w:ind w:left="720"/>
      </w:pPr>
      <w:r>
        <w:rPr>
          <w:b w:val="0"/>
          <w:i w:val="0"/>
        </w:rPr>
        <w:t>Hệ thống chuẩn mực kế toán (Accounting Standards Codification - ASC), Chủ đề 985, 322</w:t>
      </w:r>
    </w:p>
    <w:p>
      <w:pPr>
        <w:spacing w:after="80"/>
        <w:ind w:left="720"/>
      </w:pPr>
      <w:r>
        <w:rPr>
          <w:b w:val="0"/>
          <w:i w:val="0"/>
        </w:rPr>
        <w:t>Đánh giá tài khoản, 69</w:t>
      </w:r>
    </w:p>
    <w:p>
      <w:pPr>
        <w:spacing w:after="80"/>
        <w:ind w:left="720"/>
      </w:pPr>
      <w:r>
        <w:rPr>
          <w:b w:val="0"/>
          <w:i w:val="0"/>
        </w:rPr>
        <w:t>Các khoản phải trả (Accounts payable - AP), 116 –119</w:t>
      </w:r>
    </w:p>
    <w:p>
      <w:pPr>
        <w:spacing w:after="80"/>
        <w:ind w:left="1080"/>
      </w:pPr>
      <w:r>
        <w:rPr>
          <w:b w:val="0"/>
          <w:i w:val="0"/>
        </w:rPr>
        <w:t>các chỉ số chi phí/quy trình, 104 –105</w:t>
      </w:r>
    </w:p>
    <w:p>
      <w:pPr>
        <w:spacing w:after="80"/>
        <w:ind w:left="1080"/>
      </w:pPr>
      <w:r>
        <w:rPr>
          <w:b w:val="0"/>
          <w:i w:val="0"/>
        </w:rPr>
        <w:t>tiêu chuẩn kiểm soát nội bộ, 116 –118</w:t>
      </w:r>
    </w:p>
    <w:p>
      <w:pPr>
        <w:spacing w:after="80"/>
        <w:ind w:left="1080"/>
      </w:pPr>
      <w:r>
        <w:rPr>
          <w:b w:val="0"/>
          <w:i w:val="0"/>
        </w:rPr>
        <w:t>các giải pháp tự động hóa P2P, 102</w:t>
      </w:r>
    </w:p>
    <w:p>
      <w:pPr>
        <w:spacing w:after="80"/>
        <w:ind w:left="1080"/>
      </w:pPr>
      <w:r>
        <w:rPr>
          <w:b w:val="0"/>
          <w:i w:val="0"/>
        </w:rPr>
        <w:t>rủi ro, 119</w:t>
      </w:r>
    </w:p>
    <w:p>
      <w:pPr>
        <w:spacing w:after="80"/>
        <w:ind w:left="1080"/>
      </w:pPr>
      <w:r>
        <w:rPr>
          <w:b w:val="0"/>
          <w:i w:val="0"/>
        </w:rPr>
        <w:t>công cụ tự đánh giá, 101</w:t>
      </w:r>
    </w:p>
    <w:p>
      <w:pPr>
        <w:spacing w:after="80"/>
        <w:ind w:left="720"/>
      </w:pPr>
      <w:r>
        <w:rPr>
          <w:b w:val="0"/>
          <w:i w:val="0"/>
        </w:rPr>
        <w:t>Các khoản phải thu (Accounts receivable - AR), 49 , 72 –75</w:t>
      </w:r>
    </w:p>
    <w:p>
      <w:pPr>
        <w:spacing w:after="80"/>
        <w:ind w:left="1080"/>
      </w:pPr>
      <w:r>
        <w:rPr>
          <w:b w:val="0"/>
          <w:i w:val="0"/>
        </w:rPr>
        <w:t>tuổi nợ (chỉ số), 51 , 73</w:t>
      </w:r>
    </w:p>
    <w:p>
      <w:pPr>
        <w:spacing w:after="80"/>
        <w:ind w:left="1080"/>
      </w:pPr>
      <w:r>
        <w:rPr>
          <w:b w:val="0"/>
          <w:i w:val="0"/>
        </w:rPr>
        <w:t>đánh giá số dư, 76</w:t>
      </w:r>
    </w:p>
    <w:p>
      <w:pPr>
        <w:spacing w:after="80"/>
        <w:ind w:left="1080"/>
      </w:pPr>
      <w:r>
        <w:rPr>
          <w:b w:val="0"/>
          <w:i w:val="0"/>
        </w:rPr>
        <w:t>tiêu chuẩn kiểm soát nội bộ, 73 –74</w:t>
      </w:r>
    </w:p>
    <w:p>
      <w:pPr>
        <w:spacing w:after="80"/>
        <w:ind w:left="1080"/>
      </w:pPr>
      <w:r>
        <w:rPr>
          <w:b w:val="0"/>
          <w:i w:val="0"/>
        </w:rPr>
        <w:t>rủi ro, 74 –75</w:t>
      </w:r>
    </w:p>
    <w:p>
      <w:pPr>
        <w:spacing w:after="80"/>
        <w:ind w:left="720"/>
      </w:pPr>
      <w:r>
        <w:rPr>
          <w:b w:val="0"/>
          <w:i w:val="0"/>
        </w:rPr>
        <w:t>Doanh thu dồn tích, 69</w:t>
      </w:r>
    </w:p>
    <w:p>
      <w:pPr>
        <w:spacing w:after="80"/>
        <w:ind w:left="720"/>
      </w:pPr>
      <w:r>
        <w:rPr>
          <w:b w:val="0"/>
          <w:i w:val="0"/>
        </w:rPr>
        <w:t>Tính chính xác (thành phần mục tiêu kiểm soát), 32</w:t>
      </w:r>
    </w:p>
    <w:p>
      <w:pPr>
        <w:spacing w:after="80"/>
        <w:ind w:left="720"/>
      </w:pPr>
      <w:r>
        <w:rPr>
          <w:b w:val="0"/>
          <w:i w:val="0"/>
        </w:rPr>
        <w:t>Thanh toán ACH, 122</w:t>
      </w:r>
    </w:p>
    <w:p>
      <w:pPr>
        <w:spacing w:after="80"/>
        <w:ind w:left="720"/>
      </w:pPr>
      <w:r>
        <w:rPr>
          <w:b w:val="0"/>
          <w:i w:val="0"/>
        </w:rPr>
        <w:t>Chuyển tiền cho nhà cung cấp qua ACH, 100</w:t>
      </w:r>
    </w:p>
    <w:p>
      <w:pPr>
        <w:spacing w:after="80"/>
        <w:ind w:left="720"/>
      </w:pPr>
      <w:r>
        <w:rPr>
          <w:b w:val="0"/>
          <w:i w:val="0"/>
        </w:rPr>
        <w:t>Bút toán điều chỉnh, tổng số (chỉ số), 175</w:t>
      </w:r>
    </w:p>
    <w:p>
      <w:pPr>
        <w:spacing w:after="80"/>
        <w:ind w:left="720"/>
      </w:pPr>
      <w:r>
        <w:rPr>
          <w:b w:val="0"/>
          <w:i w:val="0"/>
        </w:rPr>
        <w:t>Tuân thủ Hành động Khẳng định (Affirmative Action), 192</w:t>
      </w:r>
    </w:p>
    <w:p>
      <w:pPr>
        <w:spacing w:after="80"/>
        <w:ind w:left="720"/>
      </w:pPr>
      <w:r>
        <w:rPr>
          <w:b w:val="0"/>
          <w:i w:val="0"/>
        </w:rPr>
        <w:t>Đơn đặt hàng mua sau khi đã thực hiện, 110</w:t>
      </w:r>
    </w:p>
    <w:p>
      <w:pPr>
        <w:spacing w:after="80"/>
        <w:ind w:left="720"/>
      </w:pPr>
      <w:r>
        <w:rPr>
          <w:b w:val="0"/>
          <w:i w:val="0"/>
        </w:rPr>
        <w:t>Phí đại lý, thanh toán, 87</w:t>
      </w:r>
    </w:p>
    <w:p>
      <w:pPr>
        <w:spacing w:after="80"/>
        <w:ind w:left="720"/>
      </w:pPr>
      <w:r>
        <w:rPr>
          <w:b w:val="0"/>
          <w:i w:val="0"/>
        </w:rPr>
        <w:t>Phân tích tuổi nợ (chỉ số), 51 , 73</w:t>
      </w:r>
    </w:p>
    <w:p>
      <w:pPr>
        <w:spacing w:after="80"/>
        <w:ind w:left="720"/>
      </w:pPr>
      <w:r>
        <w:rPr>
          <w:b w:val="0"/>
          <w:i w:val="0"/>
        </w:rPr>
        <w:t>Hiệp hội Kế toán Hoa Kỳ (AAA), 20</w:t>
      </w:r>
    </w:p>
    <w:p>
      <w:pPr>
        <w:spacing w:after="80"/>
        <w:ind w:left="720"/>
      </w:pPr>
      <w:r>
        <w:rPr>
          <w:b w:val="0"/>
          <w:i w:val="0"/>
        </w:rPr>
        <w:t>Viện Kế toán Công chứng Hoa Kỳ (AICPA), 20 , 24 , 40</w:t>
      </w:r>
    </w:p>
    <w:p>
      <w:pPr>
        <w:spacing w:after="80"/>
        <w:ind w:left="1080"/>
      </w:pPr>
      <w:r>
        <w:rPr>
          <w:b w:val="0"/>
          <w:i/>
        </w:rPr>
        <w:t>CPA Insider</w:t>
      </w:r>
      <w:r>
        <w:rPr>
          <w:b w:val="0"/>
          <w:i w:val="0"/>
        </w:rPr>
        <w:t xml:space="preserve"> , 42</w:t>
      </w:r>
    </w:p>
    <w:p>
      <w:pPr>
        <w:spacing w:after="80"/>
        <w:ind w:left="720"/>
      </w:pPr>
      <w:r>
        <w:rPr>
          <w:b w:val="0"/>
          <w:i w:val="0"/>
        </w:rPr>
        <w:t>Tỷ lệ thất bại theo năm (AFRs), thiết lập, 305</w:t>
      </w:r>
    </w:p>
    <w:p>
      <w:pPr>
        <w:spacing w:after="80"/>
        <w:ind w:left="720"/>
      </w:pPr>
      <w:r>
        <w:rPr>
          <w:b w:val="0"/>
          <w:i w:val="0"/>
        </w:rPr>
        <w:t>Chủ sở hữu ứng dụng, 225</w:t>
      </w:r>
    </w:p>
    <w:p>
      <w:pPr>
        <w:spacing w:after="80"/>
        <w:ind w:left="720"/>
      </w:pPr>
      <w:r>
        <w:rPr>
          <w:b w:val="0"/>
          <w:i w:val="0"/>
        </w:rPr>
        <w:t>AR</w:t>
      </w:r>
    </w:p>
    <w:p>
      <w:pPr>
        <w:spacing w:after="80"/>
        <w:ind w:left="720"/>
      </w:pPr>
      <w:r>
        <w:rPr>
          <w:b w:val="0"/>
          <w:i w:val="0"/>
        </w:rPr>
        <w:t>trạng thái/xem xét (chỉ số), 52</w:t>
      </w:r>
    </w:p>
    <w:p>
      <w:pPr>
        <w:spacing w:after="80"/>
        <w:ind w:left="720"/>
      </w:pPr>
      <w:r>
        <w:rPr>
          <w:b w:val="0"/>
          <w:i w:val="0"/>
        </w:rPr>
        <w:t>Nguyên tắc giao dịch độc lập (Arm's-length principle), định nghĩa của OECD, 177 –178</w:t>
      </w:r>
    </w:p>
    <w:p>
      <w:pPr>
        <w:spacing w:after="80"/>
        <w:ind w:left="720"/>
      </w:pPr>
      <w:r>
        <w:rPr>
          <w:b w:val="0"/>
          <w:i w:val="0"/>
        </w:rPr>
        <w:t>Bảo vệ tài sản, 83, 271</w:t>
      </w:r>
    </w:p>
    <w:p>
      <w:pPr>
        <w:spacing w:after="80"/>
        <w:ind w:left="1080"/>
      </w:pPr>
      <w:r>
        <w:rPr>
          <w:b w:val="0"/>
          <w:i w:val="0"/>
        </w:rPr>
        <w:t>bảo vệ tài sản công ty, 272</w:t>
      </w:r>
    </w:p>
    <w:p>
      <w:pPr>
        <w:spacing w:after="80"/>
        <w:ind w:left="1080"/>
      </w:pPr>
      <w:r>
        <w:rPr>
          <w:b w:val="0"/>
          <w:i w:val="0"/>
        </w:rPr>
        <w:t>kiểm soát nội bộ, ứng dụng, 273</w:t>
      </w:r>
    </w:p>
    <w:p>
      <w:pPr>
        <w:spacing w:after="80"/>
        <w:ind w:left="1080"/>
      </w:pPr>
      <w:r>
        <w:rPr>
          <w:b w:val="0"/>
          <w:i w:val="0"/>
        </w:rPr>
        <w:t>các chỉ số, 273</w:t>
      </w:r>
    </w:p>
    <w:p>
      <w:pPr>
        <w:spacing w:after="80"/>
        <w:ind w:left="1080"/>
      </w:pPr>
      <w:r>
        <w:rPr>
          <w:b w:val="0"/>
          <w:i w:val="0"/>
        </w:rPr>
        <w:t>quy trình, 271</w:t>
      </w:r>
    </w:p>
    <w:p>
      <w:pPr>
        <w:spacing w:after="80"/>
        <w:ind w:left="1080"/>
      </w:pPr>
      <w:r>
        <w:rPr>
          <w:b w:val="0"/>
          <w:i w:val="0"/>
        </w:rPr>
        <w:t>các quy trình con, 274</w:t>
      </w:r>
    </w:p>
    <w:p>
      <w:pPr>
        <w:spacing w:after="80"/>
        <w:ind w:left="720"/>
      </w:pPr>
      <w:r>
        <w:rPr>
          <w:b w:val="0"/>
          <w:i w:val="0"/>
        </w:rPr>
        <w:t>Hiệp hội Các chuyên gia điều tra gian lận (ACFE), Báo cáo với các Quốc gia, 1</w:t>
      </w:r>
    </w:p>
    <w:p>
      <w:pPr>
        <w:spacing w:after="80"/>
        <w:ind w:left="720"/>
      </w:pPr>
      <w:r>
        <w:rPr>
          <w:b w:val="0"/>
          <w:i w:val="0"/>
        </w:rPr>
        <w:t>Kiểm soát của ủy ban kiểm toán, 335 –339</w:t>
      </w:r>
    </w:p>
    <w:p>
      <w:pPr>
        <w:spacing w:after="80"/>
        <w:ind w:left="1080"/>
      </w:pPr>
      <w:r>
        <w:rPr>
          <w:b w:val="0"/>
          <w:i w:val="0"/>
        </w:rPr>
        <w:t>các chuẩn mực kiểm soát nội bộ, 336 –338</w:t>
      </w:r>
    </w:p>
    <w:p>
      <w:pPr>
        <w:spacing w:after="80"/>
        <w:ind w:left="1080"/>
      </w:pPr>
      <w:r>
        <w:rPr>
          <w:b w:val="0"/>
          <w:i w:val="0"/>
        </w:rPr>
        <w:t>rủi ro, 338 –339</w:t>
      </w:r>
    </w:p>
    <w:p>
      <w:pPr>
        <w:spacing w:after="80"/>
        <w:ind w:left="720"/>
      </w:pPr>
      <w:r>
        <w:rPr>
          <w:b w:val="0"/>
          <w:i w:val="0"/>
        </w:rPr>
        <w:t>Kiểm toán, 169</w:t>
      </w:r>
    </w:p>
    <w:p>
      <w:pPr>
        <w:spacing w:after="80"/>
        <w:ind w:left="720"/>
      </w:pPr>
      <w:r>
        <w:rPr>
          <w:b w:val="0"/>
          <w:i w:val="0"/>
        </w:rPr>
        <w:t>Ủy quyền (thành phần mục tiêu kiểm soát), 32</w:t>
      </w:r>
    </w:p>
    <w:p>
      <w:pPr>
        <w:spacing w:after="80"/>
        <w:ind w:left="720"/>
      </w:pPr>
      <w:r>
        <w:rPr>
          <w:b w:val="0"/>
          <w:i w:val="0"/>
        </w:rPr>
        <w:t>Các lô hàng được ủy quyền, 65</w:t>
      </w:r>
    </w:p>
    <w:p>
      <w:pPr>
        <w:spacing w:after="80"/>
        <w:ind w:left="720"/>
      </w:pPr>
      <w:r>
        <w:rPr>
          <w:b w:val="0"/>
          <w:i w:val="0"/>
        </w:rPr>
        <w:t>Đối chiếu tự động, 99 –100</w:t>
      </w:r>
    </w:p>
    <w:p>
      <w:pPr>
        <w:spacing w:after="80"/>
        <w:ind w:left="720"/>
      </w:pPr>
      <w:r>
        <w:rPr>
          <w:b w:val="0"/>
          <w:i w:val="0"/>
        </w:rPr>
        <w:t>Phê duyệt quy trình công việc tự động, 100</w:t>
      </w:r>
    </w:p>
    <w:p>
      <w:pPr>
        <w:spacing w:after="80"/>
        <w:ind w:left="720"/>
      </w:pPr>
      <w:r>
        <w:rPr>
          <w:b w:val="0"/>
          <w:i w:val="0"/>
        </w:rPr>
        <w:t>Nguồn vốn khả dụng, đầu tư, 92 –94</w:t>
      </w:r>
    </w:p>
    <w:p>
      <w:pPr>
        <w:spacing w:after="80"/>
        <w:ind w:left="1080"/>
      </w:pPr>
      <w:r>
        <w:rPr>
          <w:b w:val="0"/>
          <w:i w:val="0"/>
        </w:rPr>
        <w:t>tiêu chuẩn kiểm soát nội bộ, 93</w:t>
      </w:r>
    </w:p>
    <w:p>
      <w:pPr>
        <w:spacing w:after="80"/>
        <w:ind w:left="1080"/>
      </w:pPr>
      <w:r>
        <w:rPr>
          <w:b w:val="0"/>
          <w:i w:val="0"/>
        </w:rPr>
        <w:t>rủi ro, 93 –94</w:t>
      </w:r>
    </w:p>
    <w:p>
      <w:pPr>
        <w:spacing w:after="80"/>
        <w:ind w:left="360"/>
      </w:pPr>
      <w:r>
        <w:rPr>
          <w:b w:val="0"/>
          <w:i w:val="0"/>
        </w:rPr>
        <w:t>B</w:t>
      </w:r>
    </w:p>
    <w:p>
      <w:pPr>
        <w:spacing w:after="80"/>
        <w:ind w:left="720"/>
      </w:pPr>
      <w:r>
        <w:rPr>
          <w:b w:val="0"/>
          <w:i w:val="0"/>
        </w:rPr>
        <w:t>Backbone, 242</w:t>
      </w:r>
    </w:p>
    <w:p>
      <w:pPr>
        <w:spacing w:after="80"/>
        <w:ind w:left="720"/>
      </w:pPr>
      <w:r>
        <w:rPr>
          <w:b w:val="0"/>
          <w:i w:val="0"/>
        </w:rPr>
        <w:t>Điều chỉnh số dư, 73 –74</w:t>
      </w:r>
    </w:p>
    <w:p>
      <w:pPr>
        <w:spacing w:after="80"/>
        <w:ind w:left="720"/>
      </w:pPr>
      <w:r>
        <w:rPr>
          <w:b w:val="0"/>
          <w:i w:val="0"/>
        </w:rPr>
        <w:t>Các chương trình Cán cân Thanh toán, 196</w:t>
      </w:r>
    </w:p>
    <w:p>
      <w:pPr>
        <w:spacing w:after="80"/>
        <w:ind w:left="720"/>
      </w:pPr>
      <w:r>
        <w:rPr>
          <w:b w:val="0"/>
          <w:i w:val="0"/>
        </w:rPr>
        <w:t>Ngân hàng</w:t>
      </w:r>
    </w:p>
    <w:p>
      <w:pPr>
        <w:spacing w:after="80"/>
        <w:ind w:left="1080"/>
      </w:pPr>
      <w:r>
        <w:rPr>
          <w:b w:val="0"/>
          <w:i w:val="0"/>
        </w:rPr>
        <w:t>tài khoản, hạn mức, 121</w:t>
      </w:r>
    </w:p>
    <w:p>
      <w:pPr>
        <w:spacing w:after="80"/>
        <w:ind w:left="1080"/>
      </w:pPr>
      <w:r>
        <w:rPr>
          <w:b w:val="0"/>
          <w:i w:val="0"/>
        </w:rPr>
        <w:t>thanh toán, xác minh, 130</w:t>
      </w:r>
    </w:p>
    <w:p>
      <w:pPr>
        <w:spacing w:after="80"/>
        <w:ind w:left="720"/>
      </w:pPr>
      <w:r>
        <w:rPr>
          <w:b w:val="0"/>
          <w:i w:val="0"/>
        </w:rPr>
        <w:t>Yêu cầu về ngân hàng, kiểm soát của Kho bạc, 89</w:t>
      </w:r>
    </w:p>
    <w:p>
      <w:pPr>
        <w:spacing w:after="80"/>
        <w:ind w:left="720"/>
      </w:pPr>
      <w:r>
        <w:rPr>
          <w:b w:val="0"/>
          <w:i w:val="0"/>
        </w:rPr>
        <w:t>Séc vô danh, 120</w:t>
      </w:r>
    </w:p>
    <w:p>
      <w:pPr>
        <w:spacing w:after="80"/>
        <w:ind w:left="720"/>
      </w:pPr>
      <w:r>
        <w:rPr>
          <w:b w:val="0"/>
          <w:i w:val="0"/>
        </w:rPr>
        <w:t>DSO tốt nhất có thể (chỉ số), 52</w:t>
      </w:r>
    </w:p>
    <w:p>
      <w:pPr>
        <w:spacing w:after="80"/>
        <w:ind w:left="720"/>
      </w:pPr>
      <w:r>
        <w:rPr>
          <w:b w:val="0"/>
          <w:i w:val="0"/>
        </w:rPr>
        <w:t>Lập hóa đơn</w:t>
      </w:r>
    </w:p>
    <w:p>
      <w:pPr>
        <w:spacing w:after="80"/>
        <w:ind w:left="1080"/>
      </w:pPr>
      <w:r>
        <w:rPr>
          <w:b w:val="0"/>
          <w:i w:val="0"/>
        </w:rPr>
        <w:t>dữ liệu đầu vào, 73</w:t>
      </w:r>
    </w:p>
    <w:p>
      <w:pPr>
        <w:spacing w:after="80"/>
        <w:ind w:left="1080"/>
      </w:pPr>
      <w:r>
        <w:rPr>
          <w:b w:val="0"/>
          <w:i w:val="0"/>
        </w:rPr>
        <w:t>giao dịch, 69</w:t>
      </w:r>
    </w:p>
    <w:p>
      <w:pPr>
        <w:spacing w:after="80"/>
        <w:ind w:left="720"/>
      </w:pPr>
      <w:r>
        <w:rPr>
          <w:b w:val="0"/>
          <w:i w:val="0"/>
        </w:rPr>
        <w:t>Bảng kê nguyên vật liệu (BOM), 165</w:t>
      </w:r>
    </w:p>
    <w:p>
      <w:pPr>
        <w:spacing w:after="80"/>
        <w:ind w:left="720"/>
      </w:pPr>
      <w:r>
        <w:rPr>
          <w:b w:val="0"/>
          <w:i w:val="0"/>
        </w:rPr>
        <w:t>Lưu trữ séc trắng, 121</w:t>
      </w:r>
    </w:p>
    <w:p>
      <w:pPr>
        <w:spacing w:after="80"/>
        <w:ind w:left="720"/>
      </w:pPr>
      <w:r>
        <w:rPr>
          <w:b w:val="0"/>
          <w:i w:val="0"/>
        </w:rPr>
        <w:t>Đơn đặt hàng mua theo hợp đồng khung, 109</w:t>
      </w:r>
    </w:p>
    <w:p>
      <w:pPr>
        <w:spacing w:after="80"/>
        <w:ind w:left="720"/>
      </w:pPr>
      <w:r>
        <w:rPr>
          <w:b w:val="0"/>
          <w:i w:val="0"/>
        </w:rPr>
        <w:t>Giấy trắng dự trữ, cách sử dụng, 71</w:t>
      </w:r>
    </w:p>
    <w:p>
      <w:pPr>
        <w:spacing w:after="80"/>
        <w:ind w:left="720"/>
      </w:pPr>
      <w:r>
        <w:rPr>
          <w:b w:val="0"/>
          <w:i w:val="0"/>
        </w:rPr>
        <w:t>Séc lương trắng, bảo mật, 142</w:t>
      </w:r>
    </w:p>
    <w:p>
      <w:pPr>
        <w:spacing w:after="80"/>
        <w:ind w:left="720"/>
      </w:pPr>
      <w:r>
        <w:rPr>
          <w:b w:val="0"/>
          <w:i w:val="0"/>
        </w:rPr>
        <w:t>Biểu mẫu vận chuyển trắng, 66</w:t>
      </w:r>
    </w:p>
    <w:p>
      <w:pPr>
        <w:spacing w:after="80"/>
        <w:ind w:left="720"/>
      </w:pPr>
      <w:r>
        <w:rPr>
          <w:b w:val="0"/>
          <w:i w:val="0"/>
        </w:rPr>
        <w:t>Bảng tin, 264 –269</w:t>
      </w:r>
    </w:p>
    <w:p>
      <w:pPr>
        <w:spacing w:after="80"/>
        <w:ind w:left="1080"/>
      </w:pPr>
      <w:r>
        <w:rPr>
          <w:b w:val="0"/>
          <w:i w:val="0"/>
        </w:rPr>
        <w:t>tiêu chuẩn kiểm soát nội bộ, 266 –268</w:t>
      </w:r>
    </w:p>
    <w:p>
      <w:pPr>
        <w:spacing w:after="80"/>
        <w:ind w:left="1080"/>
      </w:pPr>
      <w:r>
        <w:rPr>
          <w:b w:val="0"/>
          <w:i w:val="0"/>
        </w:rPr>
        <w:t>rủi ro, 268 –269</w:t>
      </w:r>
    </w:p>
    <w:p>
      <w:pPr>
        <w:spacing w:after="80"/>
        <w:ind w:left="720"/>
      </w:pPr>
      <w:r>
        <w:rPr>
          <w:b w:val="0"/>
          <w:i w:val="0"/>
        </w:rPr>
        <w:t>Khả năng duy trì hoạt động liên tục</w:t>
      </w:r>
    </w:p>
    <w:p>
      <w:pPr>
        <w:spacing w:after="80"/>
        <w:ind w:left="1080"/>
      </w:pPr>
      <w:r>
        <w:rPr>
          <w:b w:val="0"/>
          <w:i w:val="0"/>
        </w:rPr>
        <w:t>tiêu chuẩn/rủi ro kiểm soát nội bộ, 290</w:t>
      </w:r>
    </w:p>
    <w:p>
      <w:pPr>
        <w:spacing w:after="80"/>
        <w:ind w:left="720"/>
      </w:pPr>
      <w:r>
        <w:rPr>
          <w:b w:val="0"/>
          <w:i w:val="0"/>
        </w:rPr>
        <w:t>Kế hoạch duy trì hoạt động liên tục, 252 –259, 342</w:t>
      </w:r>
    </w:p>
    <w:p>
      <w:pPr>
        <w:spacing w:after="80"/>
        <w:ind w:left="1080"/>
      </w:pPr>
      <w:r>
        <w:rPr>
          <w:b w:val="0"/>
          <w:i w:val="0"/>
        </w:rPr>
        <w:t>tiêu chuẩn kiểm soát nội bộ, 257 –258</w:t>
      </w:r>
    </w:p>
    <w:p>
      <w:pPr>
        <w:spacing w:after="80"/>
        <w:ind w:left="1080"/>
      </w:pPr>
      <w:r>
        <w:rPr>
          <w:b w:val="0"/>
          <w:i w:val="0"/>
        </w:rPr>
        <w:t>rủi ro, 258 –259</w:t>
      </w:r>
    </w:p>
    <w:p>
      <w:pPr>
        <w:spacing w:after="80"/>
        <w:ind w:left="720"/>
      </w:pPr>
      <w:r>
        <w:rPr>
          <w:b w:val="0"/>
          <w:i w:val="0"/>
        </w:rPr>
        <w:t>Kế hoạch dự phòng gián đoạn kinh doanh, 107</w:t>
      </w:r>
    </w:p>
    <w:p>
      <w:pPr>
        <w:spacing w:after="80"/>
        <w:ind w:left="720"/>
      </w:pPr>
      <w:r>
        <w:rPr>
          <w:b w:val="0"/>
          <w:i w:val="0"/>
        </w:rPr>
        <w:t>Quy trình kinh doanh</w:t>
      </w:r>
    </w:p>
    <w:p>
      <w:pPr>
        <w:spacing w:after="80"/>
        <w:ind w:left="1080"/>
      </w:pPr>
      <w:r>
        <w:rPr>
          <w:b w:val="0"/>
          <w:i w:val="0"/>
        </w:rPr>
        <w:t>các yếu tố cần cân nhắc, 253 –254</w:t>
      </w:r>
    </w:p>
    <w:p>
      <w:pPr>
        <w:spacing w:after="80"/>
        <w:ind w:left="1080"/>
      </w:pPr>
      <w:r>
        <w:rPr>
          <w:b w:val="0"/>
          <w:i w:val="0"/>
        </w:rPr>
        <w:t>hiểu biết, 37</w:t>
      </w:r>
    </w:p>
    <w:p>
      <w:pPr>
        <w:spacing w:after="80"/>
        <w:ind w:left="720"/>
      </w:pPr>
      <w:r>
        <w:rPr>
          <w:b w:val="0"/>
          <w:i w:val="0"/>
        </w:rPr>
        <w:t>Đạo luật Mua hàng Mỹ (Buy American Act), 196</w:t>
      </w:r>
    </w:p>
    <w:p>
      <w:pPr>
        <w:spacing w:after="80"/>
        <w:ind w:left="360"/>
      </w:pPr>
      <w:r>
        <w:rPr>
          <w:b w:val="0"/>
          <w:i w:val="0"/>
        </w:rPr>
        <w:t>C</w:t>
      </w:r>
    </w:p>
    <w:p>
      <w:pPr>
        <w:spacing w:after="80"/>
        <w:ind w:left="720"/>
      </w:pPr>
      <w:r>
        <w:rPr>
          <w:b w:val="0"/>
          <w:i w:val="0"/>
        </w:rPr>
        <w:t>Quản lý trung tâm cuộc gọi (call center), 302 –304</w:t>
      </w:r>
    </w:p>
    <w:p>
      <w:pPr>
        <w:spacing w:after="80"/>
        <w:ind w:left="1080"/>
      </w:pPr>
      <w:r>
        <w:rPr>
          <w:b w:val="0"/>
          <w:i w:val="0"/>
        </w:rPr>
        <w:t>tiêu chuẩn kiểm soát nội bộ, 302 –303</w:t>
      </w:r>
    </w:p>
    <w:p>
      <w:pPr>
        <w:spacing w:after="80"/>
        <w:ind w:left="1080"/>
      </w:pPr>
      <w:r>
        <w:rPr>
          <w:b w:val="0"/>
          <w:i w:val="0"/>
        </w:rPr>
        <w:t>rủi ro, 304</w:t>
      </w:r>
    </w:p>
    <w:p>
      <w:pPr>
        <w:spacing w:after="80"/>
        <w:ind w:left="720"/>
      </w:pPr>
      <w:r>
        <w:rPr>
          <w:b w:val="0"/>
          <w:i w:val="0"/>
        </w:rPr>
        <w:t>Viện Kế toán viên Công chứng Canada (Canadian Institute of Chartered Accountants - CICA), 24</w:t>
      </w:r>
    </w:p>
    <w:p>
      <w:pPr>
        <w:spacing w:after="80"/>
        <w:ind w:left="720"/>
      </w:pPr>
      <w:r>
        <w:rPr>
          <w:b w:val="0"/>
          <w:i w:val="0"/>
        </w:rPr>
        <w:t>Giao dịch vốn, 91</w:t>
      </w:r>
    </w:p>
    <w:p>
      <w:pPr>
        <w:spacing w:after="80"/>
        <w:ind w:left="720"/>
      </w:pPr>
      <w:r>
        <w:rPr>
          <w:b w:val="0"/>
          <w:i w:val="0"/>
        </w:rPr>
        <w:t>Thỏa thuận chủ thẻ, 130</w:t>
      </w:r>
    </w:p>
    <w:p>
      <w:pPr>
        <w:spacing w:after="80"/>
        <w:ind w:left="720"/>
      </w:pPr>
      <w:r>
        <w:rPr>
          <w:b w:val="0"/>
          <w:i w:val="0"/>
        </w:rPr>
        <w:t>Tiền mặt</w:t>
      </w:r>
    </w:p>
    <w:p>
      <w:pPr>
        <w:spacing w:after="80"/>
        <w:ind w:left="1080"/>
      </w:pPr>
      <w:r>
        <w:rPr>
          <w:b w:val="0"/>
          <w:i w:val="0"/>
        </w:rPr>
        <w:t>dự báo, độ chính xác, 87</w:t>
      </w:r>
    </w:p>
    <w:p>
      <w:pPr>
        <w:spacing w:after="80"/>
        <w:ind w:left="1080"/>
      </w:pPr>
      <w:r>
        <w:rPr>
          <w:b w:val="0"/>
          <w:i w:val="0"/>
        </w:rPr>
        <w:t>tiền mặt lặt vặt (petty cash), 122</w:t>
      </w:r>
    </w:p>
    <w:p>
      <w:pPr>
        <w:spacing w:after="80"/>
        <w:ind w:left="1080"/>
      </w:pPr>
      <w:r>
        <w:rPr>
          <w:b w:val="0"/>
          <w:i w:val="0"/>
        </w:rPr>
        <w:t>gộp chung (pooling), 90</w:t>
      </w:r>
    </w:p>
    <w:p>
      <w:pPr>
        <w:spacing w:after="80"/>
        <w:ind w:left="720"/>
      </w:pPr>
      <w:r>
        <w:rPr>
          <w:b w:val="0"/>
          <w:i w:val="0"/>
        </w:rPr>
        <w:t>Hoàn tiền/khấu trừ tiền mặt, 64</w:t>
      </w:r>
    </w:p>
    <w:p>
      <w:pPr>
        <w:spacing w:after="80"/>
        <w:ind w:left="1080"/>
      </w:pPr>
      <w:r>
        <w:rPr>
          <w:b w:val="0"/>
          <w:i w:val="0"/>
        </w:rPr>
        <w:t>tạm ứng, 69</w:t>
      </w:r>
    </w:p>
    <w:p>
      <w:pPr>
        <w:spacing w:after="80"/>
        <w:ind w:left="720"/>
      </w:pPr>
      <w:r>
        <w:rPr>
          <w:b w:val="0"/>
          <w:i w:val="0"/>
        </w:rPr>
        <w:t>Biên nhận/áp dụng tiền mặt, 77 –79</w:t>
      </w:r>
    </w:p>
    <w:p>
      <w:pPr>
        <w:spacing w:after="80"/>
        <w:ind w:left="1080"/>
      </w:pPr>
      <w:r>
        <w:rPr>
          <w:b w:val="0"/>
          <w:i w:val="0"/>
        </w:rPr>
        <w:t>nhiệm vụ, sự phân tách, 77</w:t>
      </w:r>
    </w:p>
    <w:p>
      <w:pPr>
        <w:spacing w:after="80"/>
        <w:ind w:left="1080"/>
      </w:pPr>
      <w:r>
        <w:rPr>
          <w:b w:val="0"/>
          <w:i w:val="0"/>
        </w:rPr>
        <w:t>tiêu chuẩn kiểm soát nội bộ, 77 –78</w:t>
      </w:r>
    </w:p>
    <w:p>
      <w:pPr>
        <w:spacing w:after="80"/>
        <w:ind w:left="1080"/>
      </w:pPr>
      <w:r>
        <w:rPr>
          <w:b w:val="0"/>
          <w:i w:val="0"/>
        </w:rPr>
        <w:t>rủi ro, 78 –79</w:t>
      </w:r>
    </w:p>
    <w:p>
      <w:pPr>
        <w:spacing w:after="80"/>
        <w:ind w:left="720"/>
      </w:pPr>
      <w:r>
        <w:rPr>
          <w:b w:val="0"/>
          <w:i w:val="0"/>
        </w:rPr>
        <w:t>Thời gian chu kỳ tiền mặt sang tiền mặt (Cash-to-cash cycle time), 155</w:t>
      </w:r>
    </w:p>
    <w:p>
      <w:pPr>
        <w:spacing w:after="80"/>
        <w:ind w:left="720"/>
      </w:pPr>
      <w:r>
        <w:rPr>
          <w:b w:val="0"/>
          <w:i w:val="0"/>
        </w:rPr>
        <w:t xml:space="preserve">CCL. </w:t>
      </w:r>
      <w:r>
        <w:rPr>
          <w:b w:val="0"/>
          <w:i/>
        </w:rPr>
        <w:t>Xem</w:t>
      </w:r>
      <w:r>
        <w:rPr>
          <w:b w:val="0"/>
          <w:i w:val="0"/>
        </w:rPr>
        <w:t xml:space="preserve"> Danh sách kiểm soát thương mại (Commerce Control List)</w:t>
      </w:r>
    </w:p>
    <w:p>
      <w:pPr>
        <w:spacing w:after="80"/>
        <w:ind w:left="720"/>
      </w:pPr>
      <w:r>
        <w:rPr>
          <w:b w:val="0"/>
          <w:i w:val="0"/>
        </w:rPr>
        <w:t>Quản lý thay đổi (Change management), 248 –251</w:t>
      </w:r>
    </w:p>
    <w:p>
      <w:pPr>
        <w:spacing w:after="80"/>
        <w:ind w:left="1080"/>
      </w:pPr>
      <w:r>
        <w:rPr>
          <w:b w:val="0"/>
          <w:i w:val="0"/>
        </w:rPr>
        <w:t>tiêu chuẩn kiểm soát nội bộ, 249 –250</w:t>
      </w:r>
    </w:p>
    <w:p>
      <w:pPr>
        <w:spacing w:after="80"/>
        <w:ind w:left="1080"/>
      </w:pPr>
      <w:r>
        <w:rPr>
          <w:b w:val="0"/>
          <w:i w:val="0"/>
        </w:rPr>
        <w:t>rủi ro, 250 –251</w:t>
      </w:r>
    </w:p>
    <w:p>
      <w:pPr>
        <w:spacing w:after="80"/>
        <w:ind w:left="720"/>
      </w:pPr>
      <w:r>
        <w:rPr>
          <w:b w:val="0"/>
          <w:i w:val="0"/>
        </w:rPr>
        <w:t>Check 21</w:t>
      </w:r>
    </w:p>
    <w:p>
      <w:pPr>
        <w:spacing w:after="80"/>
        <w:ind w:left="720"/>
      </w:pPr>
      <w:r>
        <w:rPr>
          <w:b w:val="0"/>
          <w:i w:val="0"/>
        </w:rPr>
        <w:t>Séc (Checks)</w:t>
      </w:r>
    </w:p>
    <w:p>
      <w:pPr>
        <w:spacing w:after="80"/>
        <w:ind w:left="1080"/>
      </w:pPr>
      <w:r>
        <w:rPr>
          <w:b w:val="0"/>
          <w:i w:val="0"/>
        </w:rPr>
        <w:t>séc lương trống, bảo mật, 142</w:t>
      </w:r>
    </w:p>
    <w:p>
      <w:pPr>
        <w:spacing w:after="80"/>
        <w:ind w:left="1080"/>
      </w:pPr>
      <w:r>
        <w:rPr>
          <w:b w:val="0"/>
          <w:i w:val="0"/>
        </w:rPr>
        <w:t>thiết bị ký séc, quyền giám hộ/bảo mật, 122 , 143</w:t>
      </w:r>
    </w:p>
    <w:p>
      <w:pPr>
        <w:spacing w:after="80"/>
        <w:ind w:left="1080"/>
      </w:pPr>
      <w:r>
        <w:rPr>
          <w:b w:val="0"/>
          <w:i w:val="0"/>
        </w:rPr>
        <w:t>quy trình xử lý séc bị hủy, 142</w:t>
      </w:r>
    </w:p>
    <w:p>
      <w:pPr>
        <w:spacing w:after="80"/>
        <w:ind w:left="720"/>
      </w:pPr>
      <w:r>
        <w:rPr>
          <w:b w:val="0"/>
          <w:i w:val="0"/>
        </w:rPr>
        <w:t>Danh mục phân loại, ví dụ (loại thông tin), 216t</w:t>
      </w:r>
    </w:p>
    <w:p>
      <w:pPr>
        <w:spacing w:after="80"/>
        <w:ind w:left="720"/>
      </w:pPr>
      <w:r>
        <w:rPr>
          <w:b w:val="0"/>
          <w:i w:val="0"/>
        </w:rPr>
        <w:t>Luật Không khí/Nước sạch (Clean Air/Water Acts), 192</w:t>
      </w:r>
    </w:p>
    <w:p>
      <w:pPr>
        <w:spacing w:after="80"/>
        <w:ind w:left="720"/>
      </w:pPr>
      <w:r>
        <w:rPr>
          <w:b w:val="0"/>
          <w:i w:val="0"/>
        </w:rPr>
        <w:t>Nhà cung cấp dịch vụ đám mây (Cloud providers), 256</w:t>
      </w:r>
    </w:p>
    <w:p>
      <w:pPr>
        <w:spacing w:after="80"/>
        <w:ind w:left="720"/>
      </w:pPr>
      <w:r>
        <w:rPr>
          <w:b w:val="0"/>
          <w:i w:val="0"/>
        </w:rPr>
        <w:t>Quy tắc ứng xử, 174, 190, 208</w:t>
      </w:r>
    </w:p>
    <w:p>
      <w:pPr>
        <w:spacing w:after="80"/>
        <w:ind w:left="1080"/>
      </w:pPr>
      <w:r>
        <w:rPr>
          <w:b w:val="0"/>
          <w:i w:val="0"/>
        </w:rPr>
        <w:t>các thành phần, 39–40</w:t>
      </w:r>
    </w:p>
    <w:p>
      <w:pPr>
        <w:spacing w:after="80"/>
        <w:ind w:left="1440"/>
      </w:pPr>
      <w:r>
        <w:rPr>
          <w:b w:val="0"/>
          <w:i w:val="0"/>
        </w:rPr>
        <w:t>danh sách của Institute of Business Ethics, 39–40</w:t>
      </w:r>
    </w:p>
    <w:p>
      <w:pPr>
        <w:spacing w:after="80"/>
        <w:ind w:left="1080"/>
      </w:pPr>
      <w:r>
        <w:rPr>
          <w:b w:val="0"/>
          <w:i w:val="0"/>
        </w:rPr>
        <w:t>những cân nhắc, 41</w:t>
      </w:r>
    </w:p>
    <w:p>
      <w:pPr>
        <w:spacing w:after="80"/>
        <w:ind w:left="1080"/>
      </w:pPr>
      <w:r>
        <w:rPr>
          <w:b w:val="0"/>
          <w:i w:val="0"/>
        </w:rPr>
        <w:t>quy trình Treasury, 86</w:t>
      </w:r>
    </w:p>
    <w:p>
      <w:pPr>
        <w:spacing w:after="80"/>
        <w:ind w:left="720"/>
      </w:pPr>
      <w:r>
        <w:rPr>
          <w:b w:val="0"/>
          <w:i w:val="0"/>
        </w:rPr>
        <w:t>Thu tiền, 75–76</w:t>
      </w:r>
    </w:p>
    <w:p>
      <w:pPr>
        <w:spacing w:after="80"/>
        <w:ind w:left="1080"/>
      </w:pPr>
      <w:r>
        <w:rPr>
          <w:b w:val="0"/>
          <w:i w:val="0"/>
        </w:rPr>
        <w:t>tiêu chuẩn kiểm soát nội bộ, 76</w:t>
      </w:r>
    </w:p>
    <w:p>
      <w:pPr>
        <w:spacing w:after="80"/>
        <w:ind w:left="1080"/>
      </w:pPr>
      <w:r>
        <w:rPr>
          <w:b w:val="0"/>
          <w:i w:val="0"/>
        </w:rPr>
        <w:t>rủi ro, 76</w:t>
      </w:r>
    </w:p>
    <w:p>
      <w:pPr>
        <w:spacing w:after="80"/>
        <w:ind w:left="720"/>
      </w:pPr>
      <w:r>
        <w:rPr>
          <w:b w:val="0"/>
          <w:i w:val="0"/>
        </w:rPr>
        <w:t>Chỉ số hiệu quả thu tiền (Collection Effectiveness Index - CEI), 52</w:t>
      </w:r>
    </w:p>
    <w:p>
      <w:pPr>
        <w:spacing w:after="80"/>
        <w:ind w:left="720"/>
      </w:pPr>
      <w:r>
        <w:rPr>
          <w:b w:val="0"/>
          <w:i w:val="0"/>
        </w:rPr>
        <w:t>Thông đồng, 41</w:t>
      </w:r>
    </w:p>
    <w:p>
      <w:pPr>
        <w:spacing w:after="80"/>
        <w:ind w:left="720"/>
      </w:pPr>
      <w:r>
        <w:rPr>
          <w:b w:val="0"/>
          <w:i w:val="0"/>
        </w:rPr>
        <w:t>Danh sách kiểm soát thương mại (Commerce Control List - CCL), 56</w:t>
      </w:r>
    </w:p>
    <w:p>
      <w:pPr>
        <w:spacing w:after="80"/>
        <w:ind w:left="1080"/>
      </w:pPr>
      <w:r>
        <w:rPr>
          <w:b w:val="0"/>
          <w:i w:val="0"/>
        </w:rPr>
        <w:t>các thành phần, 57</w:t>
      </w:r>
    </w:p>
    <w:p>
      <w:pPr>
        <w:spacing w:after="80"/>
        <w:ind w:left="720"/>
      </w:pPr>
      <w:r>
        <w:rPr>
          <w:b w:val="0"/>
          <w:i w:val="0"/>
        </w:rPr>
        <w:t>Tín dụng cam kết, tỷ lệ phần trăm, 87</w:t>
      </w:r>
    </w:p>
    <w:p>
      <w:pPr>
        <w:spacing w:after="80"/>
        <w:ind w:left="720"/>
      </w:pPr>
      <w:r>
        <w:rPr>
          <w:b w:val="0"/>
          <w:i w:val="0"/>
        </w:rPr>
        <w:t>Ủy ban các tổ chức tài trợ thuộc Ủy ban Treadway (Committee of Sponsoring Organizations of the Treadway Commission - COSO), 5, 20, 325</w:t>
      </w:r>
    </w:p>
    <w:p>
      <w:pPr>
        <w:spacing w:after="80"/>
        <w:ind w:left="1080"/>
      </w:pPr>
      <w:r>
        <w:rPr>
          <w:b w:val="0"/>
          <w:i w:val="0"/>
        </w:rPr>
        <w:t>các thành phần, 21–22</w:t>
      </w:r>
    </w:p>
    <w:p>
      <w:pPr>
        <w:spacing w:after="80"/>
        <w:ind w:left="1080"/>
      </w:pPr>
      <w:r>
        <w:rPr>
          <w:b w:val="0"/>
          <w:i/>
        </w:rPr>
        <w:t>Internal Control — Integrated Framework</w:t>
      </w:r>
      <w:r>
        <w:rPr>
          <w:b w:val="0"/>
          <w:i w:val="0"/>
        </w:rPr>
        <w:t xml:space="preserve"> (ban hành), 29</w:t>
      </w:r>
    </w:p>
    <w:p>
      <w:pPr>
        <w:spacing w:after="80"/>
        <w:ind w:left="1080"/>
      </w:pPr>
      <w:r>
        <w:rPr>
          <w:b w:val="0"/>
          <w:i w:val="0"/>
        </w:rPr>
        <w:t>hướng dẫn giám sát, 22 –23</w:t>
      </w:r>
    </w:p>
    <w:p>
      <w:pPr>
        <w:spacing w:after="80"/>
        <w:ind w:left="1080"/>
      </w:pPr>
      <w:r>
        <w:rPr>
          <w:b w:val="0"/>
          <w:i w:val="0"/>
        </w:rPr>
        <w:t>mục tiêu, việc không tuân thủ, 335</w:t>
      </w:r>
    </w:p>
    <w:p>
      <w:pPr>
        <w:spacing w:after="80"/>
        <w:ind w:left="720"/>
      </w:pPr>
      <w:r>
        <w:rPr>
          <w:b w:val="0"/>
          <w:i w:val="0"/>
        </w:rPr>
        <w:t>Mục tiêu cấp doanh nghiệp được truyền đạt, 30 –31</w:t>
      </w:r>
    </w:p>
    <w:p>
      <w:pPr>
        <w:spacing w:after="80"/>
        <w:ind w:left="720"/>
      </w:pPr>
      <w:r>
        <w:rPr>
          <w:b w:val="0"/>
          <w:i w:val="0"/>
        </w:rPr>
        <w:t>Truyền thông, 149</w:t>
      </w:r>
    </w:p>
    <w:p>
      <w:pPr>
        <w:spacing w:after="80"/>
        <w:ind w:left="1080"/>
      </w:pPr>
      <w:r>
        <w:rPr>
          <w:b w:val="0"/>
          <w:i w:val="0"/>
        </w:rPr>
        <w:t>Thành phần ERM, 30</w:t>
      </w:r>
    </w:p>
    <w:p>
      <w:pPr>
        <w:spacing w:after="80"/>
        <w:ind w:left="1080"/>
      </w:pPr>
      <w:r>
        <w:rPr>
          <w:b w:val="0"/>
          <w:i w:val="0"/>
        </w:rPr>
        <w:t>thành phần hệ thống kiểm soát nội bộ, 21</w:t>
      </w:r>
    </w:p>
    <w:p>
      <w:pPr>
        <w:spacing w:after="80"/>
        <w:ind w:left="1080"/>
      </w:pPr>
      <w:r>
        <w:rPr>
          <w:b w:val="0"/>
          <w:i w:val="0"/>
        </w:rPr>
        <w:t>phương pháp, 14</w:t>
      </w:r>
    </w:p>
    <w:p>
      <w:pPr>
        <w:spacing w:after="80"/>
        <w:ind w:left="1080"/>
      </w:pPr>
      <w:r>
        <w:rPr>
          <w:b w:val="0"/>
          <w:i w:val="0"/>
        </w:rPr>
        <w:t>truyền thông cấp tổ chức, 31</w:t>
      </w:r>
    </w:p>
    <w:p>
      <w:pPr>
        <w:spacing w:after="80"/>
        <w:ind w:left="1080"/>
      </w:pPr>
      <w:r>
        <w:rPr>
          <w:b w:val="0"/>
          <w:i w:val="0"/>
        </w:rPr>
        <w:t>cam kết/truyền thông của ban lãnh đạo cấp cao, 14</w:t>
      </w:r>
    </w:p>
    <w:p>
      <w:pPr>
        <w:spacing w:after="80"/>
        <w:ind w:left="720"/>
      </w:pPr>
      <w:r>
        <w:rPr>
          <w:b w:val="0"/>
          <w:i w:val="0"/>
        </w:rPr>
        <w:t>Công ty</w:t>
      </w:r>
    </w:p>
    <w:p>
      <w:pPr>
        <w:spacing w:after="80"/>
        <w:ind w:left="1080"/>
      </w:pPr>
      <w:r>
        <w:rPr>
          <w:b w:val="0"/>
          <w:i w:val="0"/>
        </w:rPr>
        <w:t>bảo mật/hạn chế, 209</w:t>
      </w:r>
    </w:p>
    <w:p>
      <w:pPr>
        <w:spacing w:after="80"/>
        <w:ind w:left="1080"/>
      </w:pPr>
      <w:r>
        <w:rPr>
          <w:b w:val="0"/>
          <w:i w:val="0"/>
        </w:rPr>
        <w:t>chứng khoán, kế toán, 89</w:t>
      </w:r>
    </w:p>
    <w:p>
      <w:pPr>
        <w:spacing w:after="80"/>
        <w:ind w:left="720"/>
      </w:pPr>
      <w:r>
        <w:rPr>
          <w:b w:val="0"/>
          <w:i w:val="0"/>
        </w:rPr>
        <w:t>Kiểm soát bù đắp, 34</w:t>
      </w:r>
    </w:p>
    <w:p>
      <w:pPr>
        <w:spacing w:after="80"/>
        <w:ind w:left="720"/>
      </w:pPr>
      <w:r>
        <w:rPr>
          <w:b w:val="0"/>
          <w:i w:val="0"/>
        </w:rPr>
        <w:t>Thù lao/phúc lợi, 145 –147</w:t>
      </w:r>
    </w:p>
    <w:p>
      <w:pPr>
        <w:spacing w:after="80"/>
        <w:ind w:left="1080"/>
      </w:pPr>
      <w:r>
        <w:rPr>
          <w:b w:val="0"/>
          <w:i w:val="0"/>
        </w:rPr>
        <w:t>tiêu chuẩn kiểm soát nội bộ, 145 –146</w:t>
      </w:r>
    </w:p>
    <w:p>
      <w:pPr>
        <w:spacing w:after="80"/>
        <w:ind w:left="1080"/>
      </w:pPr>
      <w:r>
        <w:rPr>
          <w:b w:val="0"/>
          <w:i w:val="0"/>
        </w:rPr>
        <w:t>rủi ro, 146 –147</w:t>
      </w:r>
    </w:p>
    <w:p>
      <w:pPr>
        <w:spacing w:after="80"/>
        <w:ind w:left="1080"/>
      </w:pPr>
      <w:r>
        <w:rPr>
          <w:b w:val="0"/>
          <w:i w:val="0"/>
        </w:rPr>
        <w:t>phân tách nhiệm vụ (segregation of duties), 146</w:t>
      </w:r>
    </w:p>
    <w:p>
      <w:pPr>
        <w:spacing w:after="80"/>
        <w:ind w:left="720"/>
      </w:pPr>
      <w:r>
        <w:rPr>
          <w:b w:val="0"/>
          <w:i w:val="0"/>
        </w:rPr>
        <w:t>Tính đầy đủ (thành phần mục tiêu kiểm soát), 32</w:t>
      </w:r>
    </w:p>
    <w:p>
      <w:pPr>
        <w:spacing w:after="80"/>
        <w:ind w:left="720"/>
      </w:pPr>
      <w:r>
        <w:rPr>
          <w:b w:val="0"/>
          <w:i w:val="0"/>
        </w:rPr>
        <w:t>Thời gian hoàn thành (chỉ số đo lường), 175</w:t>
      </w:r>
    </w:p>
    <w:p>
      <w:pPr>
        <w:spacing w:after="80"/>
        <w:ind w:left="720"/>
      </w:pPr>
      <w:r>
        <w:rPr>
          <w:b w:val="0"/>
          <w:i w:val="0"/>
        </w:rPr>
        <w:t>Tuân thủ/sàng lọc tuân thủ, 328 –331</w:t>
      </w:r>
    </w:p>
    <w:p>
      <w:pPr>
        <w:spacing w:after="80"/>
        <w:ind w:left="1080"/>
      </w:pPr>
      <w:r>
        <w:rPr>
          <w:b w:val="0"/>
          <w:i w:val="0"/>
        </w:rPr>
        <w:t>tiêu chuẩn kiểm soát nội bộ, 329 –330</w:t>
      </w:r>
    </w:p>
    <w:p>
      <w:pPr>
        <w:spacing w:after="80"/>
        <w:ind w:left="1080"/>
      </w:pPr>
      <w:r>
        <w:rPr>
          <w:b w:val="0"/>
          <w:i w:val="0"/>
        </w:rPr>
        <w:t>yêu cầu pháp lý, 329</w:t>
      </w:r>
    </w:p>
    <w:p>
      <w:pPr>
        <w:spacing w:after="80"/>
        <w:ind w:left="1080"/>
      </w:pPr>
      <w:r>
        <w:rPr>
          <w:b w:val="0"/>
          <w:i w:val="0"/>
        </w:rPr>
        <w:t>rủi ro, 330 –331</w:t>
      </w:r>
    </w:p>
    <w:p>
      <w:pPr>
        <w:spacing w:after="80"/>
        <w:ind w:left="720"/>
      </w:pPr>
      <w:r>
        <w:rPr>
          <w:b w:val="0"/>
          <w:i w:val="0"/>
        </w:rPr>
        <w:t>Đạo luật Kiểm soát Tội phạm Toàn diện (1984), 19</w:t>
      </w:r>
    </w:p>
    <w:p>
      <w:pPr>
        <w:spacing w:after="80"/>
        <w:ind w:left="720"/>
      </w:pPr>
      <w:r>
        <w:rPr>
          <w:b w:val="0"/>
          <w:i w:val="0"/>
        </w:rPr>
        <w:t>Kiểm soát truy cập máy tính, 232 –241</w:t>
      </w:r>
    </w:p>
    <w:p>
      <w:pPr>
        <w:spacing w:after="80"/>
        <w:ind w:left="1080"/>
      </w:pPr>
      <w:r>
        <w:rPr>
          <w:b w:val="0"/>
          <w:i w:val="0"/>
        </w:rPr>
        <w:t>tiêu chuẩn kiểm soát nội bộ, 234 –240</w:t>
      </w:r>
    </w:p>
    <w:p>
      <w:pPr>
        <w:spacing w:after="80"/>
        <w:ind w:left="1080"/>
      </w:pPr>
      <w:r>
        <w:rPr>
          <w:b w:val="0"/>
          <w:i w:val="0"/>
        </w:rPr>
        <w:t>rủi ro, 240 –241</w:t>
      </w:r>
    </w:p>
    <w:p>
      <w:pPr>
        <w:spacing w:after="80"/>
        <w:ind w:left="720"/>
      </w:pPr>
      <w:r>
        <w:rPr>
          <w:b w:val="0"/>
          <w:i w:val="0"/>
        </w:rPr>
        <w:t>Kiểm soát máy tính, 219</w:t>
      </w:r>
    </w:p>
    <w:p>
      <w:pPr>
        <w:spacing w:after="80"/>
        <w:ind w:left="1080"/>
      </w:pPr>
      <w:r>
        <w:rPr>
          <w:b w:val="0"/>
          <w:i w:val="0"/>
        </w:rPr>
        <w:t>quy tắc ứng xử/Tone at the Top, 220</w:t>
      </w:r>
    </w:p>
    <w:p>
      <w:pPr>
        <w:spacing w:after="80"/>
        <w:ind w:left="1080"/>
      </w:pPr>
      <w:r>
        <w:rPr>
          <w:b w:val="0"/>
          <w:i w:val="0"/>
        </w:rPr>
        <w:t>kiểm soát nội bộ, ứng dụng, 223</w:t>
      </w:r>
    </w:p>
    <w:p>
      <w:pPr>
        <w:spacing w:after="80"/>
        <w:ind w:left="1080"/>
      </w:pPr>
      <w:r>
        <w:rPr>
          <w:b w:val="0"/>
          <w:i w:val="0"/>
        </w:rPr>
        <w:t>chỉ số đo lường, 221 –223</w:t>
      </w:r>
    </w:p>
    <w:p>
      <w:pPr>
        <w:spacing w:after="80"/>
        <w:ind w:left="1080"/>
      </w:pPr>
      <w:r>
        <w:rPr>
          <w:b w:val="0"/>
          <w:i w:val="0"/>
        </w:rPr>
        <w:t>quy trình, 221</w:t>
      </w:r>
    </w:p>
    <w:p>
      <w:pPr>
        <w:spacing w:after="80"/>
        <w:ind w:left="1080"/>
      </w:pPr>
      <w:r>
        <w:rPr>
          <w:b w:val="0"/>
          <w:i w:val="0"/>
        </w:rPr>
        <w:t>các tiểu quy trình, 224</w:t>
      </w:r>
    </w:p>
    <w:p>
      <w:pPr>
        <w:spacing w:after="80"/>
        <w:ind w:left="720"/>
      </w:pPr>
      <w:r>
        <w:rPr>
          <w:b w:val="0"/>
          <w:i w:val="0"/>
        </w:rPr>
        <w:t>Virus máy tính, 265</w:t>
      </w:r>
    </w:p>
    <w:p>
      <w:pPr>
        <w:spacing w:after="80"/>
        <w:ind w:left="720"/>
      </w:pPr>
      <w:r>
        <w:rPr>
          <w:b w:val="0"/>
          <w:i w:val="0"/>
        </w:rPr>
        <w:t>Gian lận theo kiểu âm mưu, 41</w:t>
      </w:r>
    </w:p>
    <w:p>
      <w:pPr>
        <w:spacing w:after="80"/>
        <w:ind w:left="720"/>
      </w:pPr>
      <w:r>
        <w:rPr>
          <w:b w:val="0"/>
          <w:i w:val="0"/>
        </w:rPr>
        <w:t>Kế hoạch (lập kế hoạch) dự phòng, 255</w:t>
      </w:r>
    </w:p>
    <w:p>
      <w:pPr>
        <w:spacing w:after="80"/>
        <w:ind w:left="720"/>
      </w:pPr>
      <w:r>
        <w:rPr>
          <w:b w:val="0"/>
          <w:i w:val="0"/>
        </w:rPr>
        <w:t>Lực lượng lao động tạm thời, 149 –151</w:t>
      </w:r>
    </w:p>
    <w:p>
      <w:pPr>
        <w:spacing w:after="80"/>
        <w:ind w:left="1080"/>
      </w:pPr>
      <w:r>
        <w:rPr>
          <w:b w:val="0"/>
          <w:i w:val="0"/>
        </w:rPr>
        <w:t>tiêu chuẩn kiểm soát nội bộ, 150</w:t>
      </w:r>
    </w:p>
    <w:p>
      <w:pPr>
        <w:spacing w:after="80"/>
        <w:ind w:left="1080"/>
      </w:pPr>
      <w:r>
        <w:rPr>
          <w:b w:val="0"/>
          <w:i w:val="0"/>
        </w:rPr>
        <w:t>rủi ro, 151</w:t>
      </w:r>
    </w:p>
    <w:p>
      <w:pPr>
        <w:spacing w:after="80"/>
        <w:ind w:left="720"/>
      </w:pPr>
      <w:r>
        <w:rPr>
          <w:b w:val="0"/>
          <w:i w:val="0"/>
        </w:rPr>
        <w:t>Quy trình giám sát kiểm soát liên tục (Continuous control monitoring - CCM), 6 , 13</w:t>
      </w:r>
    </w:p>
    <w:p>
      <w:pPr>
        <w:spacing w:after="80"/>
        <w:ind w:left="720"/>
      </w:pPr>
      <w:r>
        <w:rPr>
          <w:b w:val="0"/>
          <w:i w:val="0"/>
        </w:rPr>
        <w:t>Hợp đồng</w:t>
      </w:r>
    </w:p>
    <w:p>
      <w:pPr>
        <w:spacing w:after="80"/>
        <w:ind w:left="1080"/>
      </w:pPr>
      <w:r>
        <w:rPr>
          <w:b w:val="0"/>
          <w:i w:val="0"/>
        </w:rPr>
        <w:t>quản trị, 170</w:t>
      </w:r>
    </w:p>
    <w:p>
      <w:pPr>
        <w:spacing w:after="80"/>
        <w:ind w:left="1080"/>
      </w:pPr>
      <w:r>
        <w:rPr>
          <w:b w:val="0"/>
          <w:i w:val="0"/>
        </w:rPr>
        <w:t>phê duyệt, thời gian chu kỳ (chỉ số), 191</w:t>
      </w:r>
    </w:p>
    <w:p>
      <w:pPr>
        <w:spacing w:after="80"/>
        <w:ind w:left="1080"/>
      </w:pPr>
      <w:r>
        <w:rPr>
          <w:b w:val="0"/>
          <w:i w:val="0"/>
        </w:rPr>
        <w:t>yêu cầu riêng theo từng hợp đồng, 192</w:t>
      </w:r>
    </w:p>
    <w:p>
      <w:pPr>
        <w:spacing w:after="80"/>
        <w:ind w:left="1080"/>
      </w:pPr>
      <w:r>
        <w:rPr>
          <w:b w:val="0"/>
          <w:i w:val="0"/>
        </w:rPr>
        <w:t>lỗi khiếm khuyết (chỉ số), 191</w:t>
      </w:r>
    </w:p>
    <w:p>
      <w:pPr>
        <w:spacing w:after="80"/>
        <w:ind w:left="1080"/>
      </w:pPr>
      <w:r>
        <w:rPr>
          <w:b w:val="0"/>
          <w:i w:val="0"/>
        </w:rPr>
        <w:t>hợp đồng toàn cầu/khu vực, 107</w:t>
      </w:r>
    </w:p>
    <w:p>
      <w:pPr>
        <w:spacing w:after="80"/>
        <w:ind w:left="1080"/>
      </w:pPr>
      <w:r>
        <w:rPr>
          <w:b w:val="0"/>
          <w:i w:val="0"/>
        </w:rPr>
        <w:t>gia hạn/xem xét lại, 61 , 68</w:t>
      </w:r>
    </w:p>
    <w:p>
      <w:pPr>
        <w:spacing w:after="80"/>
        <w:ind w:left="1080"/>
      </w:pPr>
      <w:r>
        <w:rPr>
          <w:b w:val="0"/>
          <w:i w:val="0"/>
        </w:rPr>
        <w:t>lưu trữ/loại, 61</w:t>
      </w:r>
    </w:p>
    <w:p>
      <w:pPr>
        <w:spacing w:after="80"/>
        <w:ind w:left="720"/>
      </w:pPr>
      <w:r>
        <w:rPr>
          <w:b w:val="0"/>
          <w:i w:val="0"/>
        </w:rPr>
        <w:t>Kiểm soát</w:t>
      </w:r>
    </w:p>
    <w:p>
      <w:pPr>
        <w:spacing w:after="80"/>
        <w:ind w:left="1080"/>
      </w:pPr>
      <w:r>
        <w:rPr>
          <w:b w:val="0"/>
          <w:i w:val="0"/>
        </w:rPr>
        <w:t>các hoạt động</w:t>
      </w:r>
    </w:p>
    <w:p>
      <w:pPr>
        <w:spacing w:after="80"/>
        <w:ind w:left="1440"/>
      </w:pPr>
      <w:r>
        <w:rPr>
          <w:b w:val="0"/>
          <w:i w:val="0"/>
        </w:rPr>
        <w:t>thành phần ERM, 30</w:t>
      </w:r>
    </w:p>
    <w:p>
      <w:pPr>
        <w:spacing w:after="80"/>
        <w:ind w:left="1440"/>
      </w:pPr>
      <w:r>
        <w:rPr>
          <w:b w:val="0"/>
          <w:i w:val="0"/>
        </w:rPr>
        <w:t>thành phần của hệ thống kiểm soát nội bộ, 21</w:t>
      </w:r>
    </w:p>
    <w:p>
      <w:pPr>
        <w:spacing w:after="80"/>
        <w:ind w:left="1080"/>
      </w:pPr>
      <w:r>
        <w:rPr>
          <w:b w:val="0"/>
          <w:i w:val="0"/>
        </w:rPr>
        <w:t>khiếm khuyết, 27</w:t>
      </w:r>
    </w:p>
    <w:p>
      <w:pPr>
        <w:spacing w:after="80"/>
        <w:ind w:left="1080"/>
      </w:pPr>
      <w:r>
        <w:rPr>
          <w:b w:val="0"/>
          <w:i w:val="0"/>
        </w:rPr>
        <w:t>môi trường (thành phần của hệ thống kiểm soát nội bộ), 21</w:t>
      </w:r>
    </w:p>
    <w:p>
      <w:pPr>
        <w:spacing w:after="80"/>
        <w:ind w:left="1080"/>
      </w:pPr>
      <w:r>
        <w:rPr>
          <w:b w:val="0"/>
          <w:i w:val="0"/>
        </w:rPr>
        <w:t>mục tiêu, các thành phần, 32 –33</w:t>
      </w:r>
    </w:p>
    <w:p>
      <w:pPr>
        <w:spacing w:after="80"/>
        <w:ind w:left="720"/>
      </w:pPr>
      <w:r>
        <w:rPr>
          <w:b w:val="0"/>
          <w:i w:val="0"/>
        </w:rPr>
        <w:t>Mục tiêu Kiểm soát cho Công nghệ Thông tin và Công nghệ Liên quan (COBIT), 23 –24</w:t>
      </w:r>
    </w:p>
    <w:p>
      <w:pPr>
        <w:spacing w:after="80"/>
        <w:ind w:left="720"/>
      </w:pPr>
      <w:r>
        <w:rPr>
          <w:b w:val="0"/>
          <w:i w:val="0"/>
        </w:rPr>
        <w:t>Tự đánh giá kiểm soát (CSA), 36 –38</w:t>
      </w:r>
    </w:p>
    <w:p>
      <w:pPr>
        <w:spacing w:after="80"/>
        <w:ind w:left="1080"/>
      </w:pPr>
      <w:r>
        <w:rPr>
          <w:b w:val="0"/>
          <w:i w:val="0"/>
        </w:rPr>
        <w:t>các phát hiện, theo dõi/kiểm tra lại, 38</w:t>
      </w:r>
    </w:p>
    <w:p>
      <w:pPr>
        <w:spacing w:after="80"/>
        <w:ind w:left="1080"/>
      </w:pPr>
      <w:r>
        <w:rPr>
          <w:b w:val="0"/>
          <w:i w:val="0"/>
        </w:rPr>
        <w:t>định nghĩa của IIA, 36</w:t>
      </w:r>
    </w:p>
    <w:p>
      <w:pPr>
        <w:spacing w:after="80"/>
        <w:ind w:left="1080"/>
      </w:pPr>
      <w:r>
        <w:rPr>
          <w:b w:val="0"/>
          <w:i w:val="0"/>
        </w:rPr>
        <w:t>sáng kiến, phạm vi (xác định), 37</w:t>
      </w:r>
    </w:p>
    <w:p>
      <w:pPr>
        <w:spacing w:after="80"/>
        <w:ind w:left="1080"/>
      </w:pPr>
      <w:r>
        <w:rPr>
          <w:b w:val="0"/>
          <w:i w:val="0"/>
        </w:rPr>
        <w:t>báo cáo/xem xét của ban quản lý, 38</w:t>
      </w:r>
    </w:p>
    <w:p>
      <w:pPr>
        <w:spacing w:after="80"/>
        <w:ind w:left="1080"/>
      </w:pPr>
      <w:r>
        <w:rPr>
          <w:b w:val="0"/>
          <w:i w:val="0"/>
        </w:rPr>
        <w:t>đào tạo thường xuyên, tiến hành, 38</w:t>
      </w:r>
    </w:p>
    <w:p>
      <w:pPr>
        <w:spacing w:after="80"/>
        <w:ind w:left="1080"/>
      </w:pPr>
      <w:r>
        <w:rPr>
          <w:b w:val="0"/>
          <w:i w:val="0"/>
        </w:rPr>
        <w:t>đội ngũ, thành lập, 37</w:t>
      </w:r>
    </w:p>
    <w:p>
      <w:pPr>
        <w:spacing w:after="80"/>
        <w:ind w:left="720"/>
      </w:pPr>
      <w:r>
        <w:rPr>
          <w:b w:val="0"/>
          <w:i w:val="0"/>
        </w:rPr>
        <w:t>Cooper, Cynthia, 25</w:t>
      </w:r>
    </w:p>
    <w:p>
      <w:pPr>
        <w:spacing w:after="80"/>
        <w:ind w:left="720"/>
      </w:pPr>
      <w:r>
        <w:rPr>
          <w:b w:val="0"/>
          <w:i w:val="0"/>
        </w:rPr>
        <w:t>Sao chép, 209</w:t>
      </w:r>
    </w:p>
    <w:p>
      <w:pPr>
        <w:spacing w:after="80"/>
        <w:ind w:left="720"/>
      </w:pPr>
      <w:r>
        <w:rPr>
          <w:b w:val="0"/>
          <w:i w:val="0"/>
        </w:rPr>
        <w:t>Kiểm soát doanh nghiệp, 15 –17</w:t>
      </w:r>
    </w:p>
    <w:p>
      <w:pPr>
        <w:spacing w:after="80"/>
        <w:ind w:left="720"/>
      </w:pPr>
      <w:r>
        <w:rPr>
          <w:b w:val="0"/>
          <w:i w:val="0"/>
        </w:rPr>
        <w:t>Thẻ tín dụng doanh nghiệp, cách sử dụng, 124</w:t>
      </w:r>
    </w:p>
    <w:p>
      <w:pPr>
        <w:spacing w:after="80"/>
        <w:ind w:left="720"/>
      </w:pPr>
      <w:r>
        <w:rPr>
          <w:b w:val="0"/>
          <w:i w:val="0"/>
        </w:rPr>
        <w:t>Gian lận doanh nghiệp (2001-2002), 24 –25</w:t>
      </w:r>
    </w:p>
    <w:p>
      <w:pPr>
        <w:spacing w:after="80"/>
        <w:ind w:left="720"/>
      </w:pPr>
      <w:r>
        <w:rPr>
          <w:b w:val="0"/>
          <w:i w:val="0"/>
        </w:rPr>
        <w:t>Mạng lưới doanh nghiệp, cách sử dụng, 221</w:t>
      </w:r>
    </w:p>
    <w:p>
      <w:pPr>
        <w:spacing w:after="80"/>
        <w:ind w:left="720"/>
      </w:pPr>
      <w:r>
        <w:rPr>
          <w:b w:val="0"/>
          <w:i w:val="0"/>
        </w:rPr>
        <w:t>Kế hoạch hành động khắc phục, xây dựng, 37 –38</w:t>
      </w:r>
    </w:p>
    <w:p>
      <w:pPr>
        <w:spacing w:after="80"/>
        <w:ind w:left="720"/>
      </w:pPr>
      <w:r>
        <w:rPr>
          <w:b w:val="0"/>
          <w:i w:val="0"/>
        </w:rPr>
        <w:t>Kiểm soát nội bộ khắc phục, 33</w:t>
      </w:r>
    </w:p>
    <w:p>
      <w:pPr>
        <w:spacing w:after="80"/>
        <w:ind w:left="720"/>
      </w:pPr>
      <w:r>
        <w:rPr>
          <w:b w:val="0"/>
          <w:i w:val="0"/>
        </w:rPr>
        <w:t xml:space="preserve">COSO. </w:t>
      </w:r>
      <w:r>
        <w:rPr>
          <w:b w:val="0"/>
          <w:i/>
        </w:rPr>
        <w:t>Xem</w:t>
      </w:r>
      <w:r>
        <w:rPr>
          <w:b w:val="0"/>
          <w:i w:val="0"/>
        </w:rPr>
        <w:t xml:space="preserve"> Committee of Sponsoring Organizations of the Treadway Commission</w:t>
      </w:r>
    </w:p>
    <w:p>
      <w:pPr>
        <w:spacing w:after="80"/>
        <w:ind w:left="720"/>
      </w:pPr>
      <w:r>
        <w:rPr>
          <w:b w:val="0"/>
          <w:i w:val="0"/>
        </w:rPr>
        <w:t>Thủ tục/hệ thống kế toán chi phí, 165</w:t>
      </w:r>
    </w:p>
    <w:p>
      <w:pPr>
        <w:spacing w:after="80"/>
        <w:ind w:left="720"/>
      </w:pPr>
      <w:r>
        <w:rPr>
          <w:b w:val="0"/>
          <w:i w:val="0"/>
        </w:rPr>
        <w:t>Trung tâm chi phí/quản lý chi phí, 213</w:t>
      </w:r>
    </w:p>
    <w:p>
      <w:pPr>
        <w:spacing w:after="80"/>
        <w:ind w:left="720"/>
      </w:pPr>
      <w:r>
        <w:rPr>
          <w:b w:val="0"/>
          <w:i w:val="0"/>
        </w:rPr>
        <w:t>Giá vốn hàng bán, 71</w:t>
      </w:r>
    </w:p>
    <w:p>
      <w:pPr>
        <w:spacing w:after="80"/>
        <w:ind w:left="720"/>
      </w:pPr>
      <w:r>
        <w:rPr>
          <w:b w:val="0"/>
          <w:i w:val="0"/>
        </w:rPr>
        <w:t>Cách tính DSO theo phương pháp đếm ngược (chỉ số), 52</w:t>
      </w:r>
    </w:p>
    <w:p>
      <w:pPr>
        <w:spacing w:after="80"/>
        <w:ind w:left="720"/>
      </w:pPr>
      <w:r>
        <w:rPr>
          <w:b w:val="0"/>
          <w:i w:val="0"/>
        </w:rPr>
        <w:t>Tín dụng, 70</w:t>
      </w:r>
    </w:p>
    <w:p>
      <w:pPr>
        <w:spacing w:after="80"/>
        <w:ind w:left="1080"/>
      </w:pPr>
      <w:r>
        <w:rPr>
          <w:b w:val="0"/>
          <w:i w:val="0"/>
        </w:rPr>
        <w:t>khả năng sẵn có, 87</w:t>
      </w:r>
    </w:p>
    <w:p>
      <w:pPr>
        <w:spacing w:after="80"/>
        <w:ind w:left="1080"/>
      </w:pPr>
      <w:r>
        <w:rPr>
          <w:b w:val="0"/>
          <w:i w:val="0"/>
        </w:rPr>
        <w:t>hạn mức, 62 –63</w:t>
      </w:r>
    </w:p>
    <w:p>
      <w:pPr>
        <w:spacing w:after="80"/>
        <w:ind w:left="1440"/>
      </w:pPr>
      <w:r>
        <w:rPr>
          <w:b w:val="0"/>
          <w:i w:val="0"/>
        </w:rPr>
        <w:t>tính hợp lệ, chỉ số, 52</w:t>
      </w:r>
    </w:p>
    <w:p>
      <w:pPr>
        <w:spacing w:after="80"/>
        <w:ind w:left="1080"/>
      </w:pPr>
      <w:r>
        <w:rPr>
          <w:b w:val="0"/>
          <w:i w:val="0"/>
        </w:rPr>
        <w:t>bản ghi nhớ, 74, 118</w:t>
      </w:r>
    </w:p>
    <w:p>
      <w:pPr>
        <w:spacing w:after="80"/>
        <w:ind w:left="1440"/>
      </w:pPr>
      <w:r>
        <w:rPr>
          <w:b w:val="0"/>
          <w:i w:val="0"/>
        </w:rPr>
        <w:t>dấu vết kiểm toán, 118</w:t>
      </w:r>
    </w:p>
    <w:p>
      <w:pPr>
        <w:spacing w:after="80"/>
        <w:ind w:left="1080"/>
      </w:pPr>
      <w:r>
        <w:rPr>
          <w:b w:val="0"/>
          <w:i w:val="0"/>
        </w:rPr>
        <w:t>các chính sách, 62</w:t>
      </w:r>
    </w:p>
    <w:p>
      <w:pPr>
        <w:spacing w:after="80"/>
        <w:ind w:left="1080"/>
      </w:pPr>
      <w:r>
        <w:rPr>
          <w:b w:val="0"/>
          <w:i w:val="0"/>
        </w:rPr>
        <w:t>đánh giá (tiêu chuẩn kiểm soát nội bộ), 54</w:t>
      </w:r>
    </w:p>
    <w:p>
      <w:pPr>
        <w:spacing w:after="80"/>
        <w:ind w:left="1080"/>
      </w:pPr>
      <w:r>
        <w:rPr>
          <w:b w:val="0"/>
          <w:i w:val="0"/>
        </w:rPr>
        <w:t>rủi ro, 64</w:t>
      </w:r>
    </w:p>
    <w:p>
      <w:pPr>
        <w:spacing w:after="80"/>
        <w:ind w:left="720"/>
      </w:pPr>
      <w:r>
        <w:rPr>
          <w:b w:val="0"/>
          <w:i w:val="0"/>
        </w:rPr>
        <w:t>Các kiểm soát trọng yếu, 15 –17</w:t>
      </w:r>
    </w:p>
    <w:p>
      <w:pPr>
        <w:spacing w:after="80"/>
        <w:ind w:left="720"/>
      </w:pPr>
      <w:r>
        <w:rPr>
          <w:b w:val="0"/>
          <w:i w:val="0"/>
        </w:rPr>
        <w:t xml:space="preserve">CSA. </w:t>
      </w:r>
      <w:r>
        <w:rPr>
          <w:b w:val="0"/>
          <w:i/>
        </w:rPr>
        <w:t>Xem</w:t>
      </w:r>
      <w:r>
        <w:rPr>
          <w:b w:val="0"/>
          <w:i w:val="0"/>
        </w:rPr>
        <w:t xml:space="preserve"> Tự đánh giá kiểm soát</w:t>
      </w:r>
    </w:p>
    <w:p>
      <w:pPr>
        <w:spacing w:after="80"/>
        <w:ind w:left="720"/>
      </w:pPr>
      <w:r>
        <w:rPr>
          <w:b w:val="0"/>
          <w:i w:val="0"/>
        </w:rPr>
        <w:t>Tính hợp lệ của dữ liệu khách hàng, 51</w:t>
      </w:r>
    </w:p>
    <w:p>
      <w:pPr>
        <w:spacing w:after="80"/>
        <w:ind w:left="720"/>
      </w:pPr>
      <w:r>
        <w:rPr>
          <w:b w:val="0"/>
          <w:i w:val="0"/>
        </w:rPr>
        <w:t>Điểm nỗ lực của khách hàng (CES), 299</w:t>
      </w:r>
    </w:p>
    <w:p>
      <w:pPr>
        <w:spacing w:after="80"/>
        <w:ind w:left="720"/>
      </w:pPr>
      <w:r>
        <w:rPr>
          <w:b w:val="0"/>
          <w:i w:val="0"/>
        </w:rPr>
        <w:t>Thời gian chu kỳ đơn hàng của khách hàng, 155</w:t>
      </w:r>
    </w:p>
    <w:p>
      <w:pPr>
        <w:spacing w:after="80"/>
        <w:ind w:left="720"/>
      </w:pPr>
      <w:r>
        <w:rPr>
          <w:b w:val="0"/>
          <w:i w:val="0"/>
        </w:rPr>
        <w:t>Quản lý đơn hàng của khách hàng, 321 –324</w:t>
      </w:r>
    </w:p>
    <w:p>
      <w:pPr>
        <w:spacing w:after="80"/>
        <w:ind w:left="1080"/>
      </w:pPr>
      <w:r>
        <w:rPr>
          <w:b w:val="0"/>
          <w:i w:val="0"/>
        </w:rPr>
        <w:t>tiêu chuẩn kiểm soát nội bộ, 321 –323</w:t>
      </w:r>
    </w:p>
    <w:p>
      <w:pPr>
        <w:spacing w:after="80"/>
        <w:ind w:left="1080"/>
      </w:pPr>
      <w:r>
        <w:rPr>
          <w:b w:val="0"/>
          <w:i w:val="0"/>
        </w:rPr>
        <w:t>rủi ro, 323 –324</w:t>
      </w:r>
    </w:p>
    <w:p>
      <w:pPr>
        <w:spacing w:after="80"/>
        <w:ind w:left="720"/>
      </w:pPr>
      <w:r>
        <w:rPr>
          <w:b w:val="0"/>
          <w:i w:val="0"/>
        </w:rPr>
        <w:t>Điểm xếp hạng mức độ hài lòng của khách hàng (CAS), 297</w:t>
      </w:r>
    </w:p>
    <w:p>
      <w:pPr>
        <w:spacing w:after="80"/>
        <w:ind w:left="720"/>
      </w:pPr>
      <w:r>
        <w:rPr>
          <w:b w:val="0"/>
          <w:i w:val="0"/>
        </w:rPr>
        <w:t>Dịch vụ khách hàng</w:t>
      </w:r>
    </w:p>
    <w:p>
      <w:pPr>
        <w:spacing w:after="80"/>
        <w:ind w:left="1080"/>
      </w:pPr>
      <w:r>
        <w:rPr>
          <w:b w:val="0"/>
          <w:i w:val="0"/>
        </w:rPr>
        <w:t>kiểm soát nội bộ, ứng dụng, 299</w:t>
      </w:r>
    </w:p>
    <w:p>
      <w:pPr>
        <w:spacing w:after="80"/>
        <w:ind w:left="1080"/>
      </w:pPr>
      <w:r>
        <w:rPr>
          <w:b w:val="0"/>
          <w:i w:val="0"/>
        </w:rPr>
        <w:t>tiêu chuẩn kiểm soát nội bộ, 300 –301</w:t>
      </w:r>
    </w:p>
    <w:p>
      <w:pPr>
        <w:spacing w:after="80"/>
        <w:ind w:left="1080"/>
      </w:pPr>
      <w:r>
        <w:rPr>
          <w:b w:val="0"/>
          <w:i w:val="0"/>
        </w:rPr>
        <w:t>các chỉ số, 297 , 299</w:t>
      </w:r>
    </w:p>
    <w:p>
      <w:pPr>
        <w:spacing w:after="80"/>
        <w:ind w:left="1080"/>
      </w:pPr>
      <w:r>
        <w:rPr>
          <w:b w:val="0"/>
          <w:i w:val="0"/>
        </w:rPr>
        <w:t>chính sách, 300 –302</w:t>
      </w:r>
    </w:p>
    <w:p>
      <w:pPr>
        <w:spacing w:after="80"/>
        <w:ind w:left="1080"/>
      </w:pPr>
      <w:r>
        <w:rPr>
          <w:b w:val="0"/>
          <w:i w:val="0"/>
        </w:rPr>
        <w:t>quy trình, 297</w:t>
      </w:r>
    </w:p>
    <w:p>
      <w:pPr>
        <w:spacing w:after="80"/>
        <w:ind w:left="1080"/>
      </w:pPr>
      <w:r>
        <w:rPr>
          <w:b w:val="0"/>
          <w:i w:val="0"/>
        </w:rPr>
        <w:t>các quy trình/kiểm soát, 298</w:t>
      </w:r>
    </w:p>
    <w:p>
      <w:pPr>
        <w:spacing w:after="80"/>
        <w:ind w:left="1080"/>
      </w:pPr>
      <w:r>
        <w:rPr>
          <w:b w:val="0"/>
          <w:i w:val="0"/>
        </w:rPr>
        <w:t>rủi ro, 302</w:t>
      </w:r>
    </w:p>
    <w:p>
      <w:pPr>
        <w:spacing w:after="80"/>
        <w:ind w:left="1080"/>
      </w:pPr>
      <w:r>
        <w:rPr>
          <w:b w:val="0"/>
          <w:i w:val="0"/>
        </w:rPr>
        <w:t>các quy trình con, 299</w:t>
      </w:r>
    </w:p>
    <w:p>
      <w:pPr>
        <w:spacing w:after="80"/>
        <w:ind w:left="720"/>
      </w:pPr>
      <w:r>
        <w:rPr>
          <w:b w:val="0"/>
          <w:i w:val="0"/>
        </w:rPr>
        <w:t>Tuần tra biên giới Hải quan (CBP), 111</w:t>
      </w:r>
    </w:p>
    <w:p>
      <w:pPr>
        <w:spacing w:after="80"/>
        <w:ind w:left="720"/>
      </w:pPr>
      <w:r>
        <w:rPr>
          <w:b w:val="0"/>
          <w:i w:val="0"/>
        </w:rPr>
        <w:t>Môi giới hải quan, kiểm soát nhập khẩu, 112</w:t>
      </w:r>
    </w:p>
    <w:p>
      <w:pPr>
        <w:spacing w:after="80"/>
        <w:ind w:left="360"/>
      </w:pPr>
      <w:r>
        <w:rPr>
          <w:b w:val="0"/>
          <w:i w:val="0"/>
        </w:rPr>
        <w:t>D</w:t>
      </w:r>
    </w:p>
    <w:p>
      <w:pPr>
        <w:spacing w:after="80"/>
        <w:ind w:left="720"/>
      </w:pPr>
      <w:r>
        <w:rPr>
          <w:b w:val="0"/>
          <w:i w:val="0"/>
        </w:rPr>
        <w:t>Tỷ lệ phần trăm số dư tiền mặt hằng ngày, dự báo (đối chiếu), 87</w:t>
      </w:r>
    </w:p>
    <w:p>
      <w:pPr>
        <w:spacing w:after="80"/>
        <w:ind w:left="720"/>
      </w:pPr>
      <w:r>
        <w:rPr>
          <w:b w:val="0"/>
          <w:i w:val="0"/>
        </w:rPr>
        <w:t>Dữ liệu</w:t>
      </w:r>
    </w:p>
    <w:p>
      <w:pPr>
        <w:spacing w:after="80"/>
        <w:ind w:left="1080"/>
      </w:pPr>
      <w:r>
        <w:rPr>
          <w:b w:val="0"/>
          <w:i w:val="0"/>
        </w:rPr>
        <w:t>thu thập, 99</w:t>
      </w:r>
    </w:p>
    <w:p>
      <w:pPr>
        <w:spacing w:after="80"/>
        <w:ind w:left="720"/>
      </w:pPr>
      <w:r>
        <w:rPr>
          <w:b w:val="0"/>
          <w:i w:val="0"/>
        </w:rPr>
        <w:t>Số ngày tiền mặt khả dụng, 87</w:t>
      </w:r>
    </w:p>
    <w:p>
      <w:pPr>
        <w:spacing w:after="80"/>
        <w:ind w:left="720"/>
      </w:pPr>
      <w:r>
        <w:rPr>
          <w:b w:val="0"/>
          <w:i w:val="0"/>
        </w:rPr>
        <w:t>Số ngày dự trữ (DoS), 156</w:t>
      </w:r>
    </w:p>
    <w:p>
      <w:pPr>
        <w:spacing w:after="80"/>
        <w:ind w:left="720"/>
      </w:pPr>
      <w:r>
        <w:rPr>
          <w:b w:val="0"/>
          <w:i w:val="0"/>
        </w:rPr>
        <w:t>Số ngày thu tiền bán hàng (DSO), bao gồm, 74</w:t>
      </w:r>
    </w:p>
    <w:p>
      <w:pPr>
        <w:spacing w:after="80"/>
        <w:ind w:left="720"/>
      </w:pPr>
      <w:r>
        <w:rPr>
          <w:b w:val="0"/>
          <w:i w:val="0"/>
        </w:rPr>
        <w:t>Chỉ số số ngày thu tiền bình quân (DSO), 52</w:t>
      </w:r>
    </w:p>
    <w:p>
      <w:pPr>
        <w:spacing w:after="80"/>
        <w:ind w:left="720"/>
      </w:pPr>
      <w:r>
        <w:rPr>
          <w:b w:val="0"/>
          <w:i w:val="0"/>
        </w:rPr>
        <w:t>Tài khoản số dư Nợ, 118</w:t>
      </w:r>
    </w:p>
    <w:p>
      <w:pPr>
        <w:spacing w:after="80"/>
        <w:ind w:left="720"/>
      </w:pPr>
      <w:r>
        <w:rPr>
          <w:b w:val="0"/>
          <w:i w:val="0"/>
        </w:rPr>
        <w:t>Giấy báo Nợ, 118</w:t>
      </w:r>
    </w:p>
    <w:p>
      <w:pPr>
        <w:spacing w:after="80"/>
        <w:ind w:left="1080"/>
      </w:pPr>
      <w:r>
        <w:rPr>
          <w:b w:val="0"/>
          <w:i w:val="0"/>
        </w:rPr>
        <w:t>dấu vết kiểm toán, 118</w:t>
      </w:r>
    </w:p>
    <w:p>
      <w:pPr>
        <w:spacing w:after="80"/>
        <w:ind w:left="720"/>
      </w:pPr>
      <w:r>
        <w:rPr>
          <w:b w:val="0"/>
          <w:i w:val="0"/>
        </w:rPr>
        <w:t>Doanh thu chưa thực hiện, 69</w:t>
      </w:r>
    </w:p>
    <w:p>
      <w:pPr>
        <w:spacing w:after="80"/>
        <w:ind w:left="720"/>
      </w:pPr>
      <w:r>
        <w:rPr>
          <w:b w:val="0"/>
          <w:i w:val="0"/>
        </w:rPr>
        <w:t>Phát hiện thiếu sót, phát triển, 37</w:t>
      </w:r>
    </w:p>
    <w:p>
      <w:pPr>
        <w:spacing w:after="80"/>
        <w:ind w:left="720"/>
      </w:pPr>
      <w:r>
        <w:rPr>
          <w:b w:val="0"/>
          <w:i w:val="0"/>
        </w:rPr>
        <w:t>Ủy quyền (DoA), 6 , 15 , 17 , 100 , 128</w:t>
      </w:r>
    </w:p>
    <w:p>
      <w:pPr>
        <w:spacing w:after="80"/>
        <w:ind w:left="1080"/>
      </w:pPr>
      <w:r>
        <w:rPr>
          <w:b w:val="0"/>
          <w:i w:val="0"/>
        </w:rPr>
        <w:t>phê duyệt, 167</w:t>
      </w:r>
    </w:p>
    <w:p>
      <w:pPr>
        <w:spacing w:after="80"/>
        <w:ind w:left="720"/>
      </w:pPr>
      <w:r>
        <w:rPr>
          <w:b w:val="0"/>
          <w:i w:val="0"/>
        </w:rPr>
        <w:t>Cách tính DSO quá hạn (chỉ số), 52</w:t>
      </w:r>
    </w:p>
    <w:p>
      <w:pPr>
        <w:spacing w:after="80"/>
        <w:ind w:left="720"/>
      </w:pPr>
      <w:r>
        <w:rPr>
          <w:b w:val="0"/>
          <w:i w:val="0"/>
        </w:rPr>
        <w:t>Chỉ số giao hàng, 222</w:t>
      </w:r>
    </w:p>
    <w:p>
      <w:pPr>
        <w:spacing w:after="80"/>
        <w:ind w:left="720"/>
      </w:pPr>
      <w:r>
        <w:rPr>
          <w:b w:val="0"/>
          <w:i w:val="0"/>
        </w:rPr>
        <w:t>Tài khoản tiền gửi, 78</w:t>
      </w:r>
    </w:p>
    <w:p>
      <w:pPr>
        <w:spacing w:after="80"/>
        <w:ind w:left="720"/>
      </w:pPr>
      <w:r>
        <w:rPr>
          <w:b w:val="0"/>
          <w:i w:val="0"/>
        </w:rPr>
        <w:t>Tiền gửi, biên nhận/áp dụng tiền mặt, 77</w:t>
      </w:r>
    </w:p>
    <w:p>
      <w:pPr>
        <w:spacing w:after="80"/>
        <w:ind w:left="720"/>
      </w:pPr>
      <w:r>
        <w:rPr>
          <w:b w:val="0"/>
          <w:i w:val="0"/>
        </w:rPr>
        <w:t>Tuyên bố Kiểm soát Điểm đến, 60</w:t>
      </w:r>
    </w:p>
    <w:p>
      <w:pPr>
        <w:spacing w:after="80"/>
        <w:ind w:left="720"/>
      </w:pPr>
      <w:r>
        <w:rPr>
          <w:b w:val="0"/>
          <w:i w:val="0"/>
        </w:rPr>
        <w:t>Kiểm soát nội bộ phát hiện, 33</w:t>
      </w:r>
    </w:p>
    <w:p>
      <w:pPr>
        <w:spacing w:after="80"/>
        <w:ind w:left="720"/>
      </w:pPr>
      <w:r>
        <w:rPr>
          <w:b w:val="0"/>
          <w:i w:val="0"/>
        </w:rPr>
        <w:t>Giám đốc, tuân thủ Hợp đồng và Đấu thầu Bắc Mỹ (DCBNA), 193</w:t>
      </w:r>
    </w:p>
    <w:p>
      <w:pPr>
        <w:spacing w:after="80"/>
        <w:ind w:left="720"/>
      </w:pPr>
      <w:r>
        <w:rPr>
          <w:b w:val="0"/>
          <w:i w:val="0"/>
        </w:rPr>
        <w:t>Khôi phục sau thảm họa, 252 –259</w:t>
      </w:r>
    </w:p>
    <w:p>
      <w:pPr>
        <w:spacing w:after="80"/>
        <w:ind w:left="1080"/>
      </w:pPr>
      <w:r>
        <w:rPr>
          <w:b w:val="0"/>
          <w:i w:val="0"/>
        </w:rPr>
        <w:t>các cân nhắc về quy trình nghiệp vụ, 253 –254</w:t>
      </w:r>
    </w:p>
    <w:p>
      <w:pPr>
        <w:spacing w:after="80"/>
        <w:ind w:left="1080"/>
      </w:pPr>
      <w:r>
        <w:rPr>
          <w:b w:val="0"/>
          <w:i w:val="0"/>
        </w:rPr>
        <w:t>tiêu chuẩn kiểm soát nội bộ, 257 –258</w:t>
      </w:r>
    </w:p>
    <w:p>
      <w:pPr>
        <w:spacing w:after="80"/>
        <w:ind w:left="1080"/>
      </w:pPr>
      <w:r>
        <w:rPr>
          <w:b w:val="0"/>
          <w:i w:val="0"/>
        </w:rPr>
        <w:t>kế hoạch duy trì hoạt động liên tục của IT, phát triển, 255</w:t>
      </w:r>
    </w:p>
    <w:p>
      <w:pPr>
        <w:spacing w:after="80"/>
        <w:ind w:left="1080"/>
      </w:pPr>
      <w:r>
        <w:rPr>
          <w:b w:val="0"/>
          <w:i w:val="0"/>
        </w:rPr>
        <w:t>rủi ro, 258 –259</w:t>
      </w:r>
    </w:p>
    <w:p>
      <w:pPr>
        <w:spacing w:after="80"/>
        <w:ind w:left="720"/>
      </w:pPr>
      <w:r>
        <w:rPr>
          <w:b w:val="0"/>
          <w:i w:val="0"/>
        </w:rPr>
        <w:t>Tranh chấp/nhượng bộ, 64</w:t>
      </w:r>
    </w:p>
    <w:p>
      <w:pPr>
        <w:spacing w:after="80"/>
        <w:ind w:left="720"/>
      </w:pPr>
      <w:r>
        <w:rPr>
          <w:b w:val="0"/>
          <w:i w:val="0"/>
        </w:rPr>
        <w:t>Tài liệu</w:t>
      </w:r>
    </w:p>
    <w:p>
      <w:pPr>
        <w:spacing w:after="80"/>
        <w:ind w:left="1080"/>
      </w:pPr>
      <w:r>
        <w:rPr>
          <w:b w:val="0"/>
          <w:i w:val="0"/>
        </w:rPr>
        <w:t>quản lý, 99</w:t>
      </w:r>
    </w:p>
    <w:p>
      <w:pPr>
        <w:spacing w:after="80"/>
        <w:ind w:left="1080"/>
      </w:pPr>
      <w:r>
        <w:rPr>
          <w:b w:val="0"/>
          <w:i w:val="0"/>
        </w:rPr>
        <w:t>tài liệu hỗ trợ, 120 , 124 , 127</w:t>
      </w:r>
    </w:p>
    <w:p>
      <w:pPr>
        <w:spacing w:after="80"/>
        <w:ind w:left="720"/>
      </w:pPr>
      <w:r>
        <w:rPr>
          <w:b w:val="0"/>
          <w:i w:val="0"/>
        </w:rPr>
        <w:t>Lô hàng có chứng từ, 65</w:t>
      </w:r>
    </w:p>
    <w:p>
      <w:pPr>
        <w:spacing w:after="80"/>
        <w:ind w:left="720"/>
      </w:pPr>
      <w:r>
        <w:rPr>
          <w:b w:val="0"/>
          <w:i w:val="0"/>
        </w:rPr>
        <w:t>Lựa chọn nhà cung cấp có chứng từ, 106 –107</w:t>
      </w:r>
    </w:p>
    <w:p>
      <w:pPr>
        <w:spacing w:after="80"/>
        <w:ind w:left="720"/>
      </w:pPr>
      <w:r>
        <w:rPr>
          <w:b w:val="0"/>
          <w:i w:val="0"/>
        </w:rPr>
        <w:t>Giao hàng trực tiếp, 66 , 168</w:t>
      </w:r>
    </w:p>
    <w:p>
      <w:pPr>
        <w:spacing w:after="80"/>
        <w:ind w:left="720"/>
      </w:pPr>
      <w:r>
        <w:rPr>
          <w:b w:val="0"/>
          <w:i w:val="0"/>
        </w:rPr>
        <w:t>Khách hàng trùng lặp, số lượng (chỉ số), 51</w:t>
      </w:r>
    </w:p>
    <w:p>
      <w:pPr>
        <w:spacing w:after="80"/>
        <w:ind w:left="720"/>
      </w:pPr>
      <w:r>
        <w:rPr>
          <w:b w:val="0"/>
          <w:i w:val="0"/>
        </w:rPr>
        <w:t xml:space="preserve">Nhiệm vụ, phân tách. </w:t>
      </w:r>
      <w:r>
        <w:rPr>
          <w:b w:val="0"/>
          <w:i/>
        </w:rPr>
        <w:t>Xem</w:t>
      </w:r>
      <w:r>
        <w:rPr>
          <w:b w:val="0"/>
          <w:i w:val="0"/>
        </w:rPr>
        <w:t xml:space="preserve"> Phân tách nhiệm vụ</w:t>
      </w:r>
    </w:p>
    <w:p>
      <w:pPr>
        <w:spacing w:after="80"/>
        <w:ind w:left="360"/>
      </w:pPr>
      <w:r>
        <w:rPr>
          <w:b w:val="0"/>
          <w:i w:val="0"/>
        </w:rPr>
        <w:t>E</w:t>
      </w:r>
    </w:p>
    <w:p>
      <w:pPr>
        <w:spacing w:after="80"/>
        <w:ind w:left="720"/>
      </w:pPr>
      <w:r>
        <w:rPr>
          <w:b w:val="0"/>
          <w:i w:val="0"/>
        </w:rPr>
        <w:t>Các tổ chức giáo dục, hợp đồng, 202 –203</w:t>
      </w:r>
    </w:p>
    <w:p>
      <w:pPr>
        <w:spacing w:after="80"/>
        <w:ind w:left="1080"/>
      </w:pPr>
      <w:r>
        <w:rPr>
          <w:b w:val="0"/>
          <w:i w:val="0"/>
        </w:rPr>
        <w:t>tiêu chuẩn kiểm soát nội bộ, 202</w:t>
      </w:r>
    </w:p>
    <w:p>
      <w:pPr>
        <w:spacing w:after="80"/>
        <w:ind w:left="1080"/>
      </w:pPr>
      <w:r>
        <w:rPr>
          <w:b w:val="0"/>
          <w:i w:val="0"/>
        </w:rPr>
        <w:t>rủi ro, 202 –203</w:t>
      </w:r>
    </w:p>
    <w:p>
      <w:pPr>
        <w:spacing w:after="80"/>
        <w:ind w:left="720"/>
      </w:pPr>
      <w:r>
        <w:rPr>
          <w:b w:val="0"/>
          <w:i w:val="0"/>
        </w:rPr>
        <w:t>Giáo dục/đào tạo/phát triển, 149</w:t>
      </w:r>
    </w:p>
    <w:p>
      <w:pPr>
        <w:spacing w:after="80"/>
        <w:ind w:left="720"/>
      </w:pPr>
      <w:r>
        <w:rPr>
          <w:b w:val="0"/>
          <w:i w:val="0"/>
        </w:rPr>
        <w:t>Hóa đơn điện tử, 98 –99</w:t>
      </w:r>
    </w:p>
    <w:p>
      <w:pPr>
        <w:spacing w:after="80"/>
        <w:ind w:left="720"/>
      </w:pPr>
      <w:r>
        <w:rPr>
          <w:b w:val="0"/>
          <w:i w:val="0"/>
        </w:rPr>
        <w:t>Thương mại điện tử, 261 –264</w:t>
      </w:r>
    </w:p>
    <w:p>
      <w:pPr>
        <w:spacing w:after="80"/>
        <w:ind w:left="1080"/>
      </w:pPr>
      <w:r>
        <w:rPr>
          <w:b w:val="0"/>
          <w:i w:val="0"/>
        </w:rPr>
        <w:t>định nghĩa, 262</w:t>
      </w:r>
    </w:p>
    <w:p>
      <w:pPr>
        <w:spacing w:after="80"/>
        <w:ind w:left="1080"/>
      </w:pPr>
      <w:r>
        <w:rPr>
          <w:b w:val="0"/>
          <w:i w:val="0"/>
        </w:rPr>
        <w:t>chuẩn mực kiểm soát nội bộ, 262 –264</w:t>
      </w:r>
    </w:p>
    <w:p>
      <w:pPr>
        <w:spacing w:after="80"/>
        <w:ind w:left="1080"/>
      </w:pPr>
      <w:r>
        <w:rPr>
          <w:b w:val="0"/>
          <w:i w:val="0"/>
        </w:rPr>
        <w:t>rủi ro, 264</w:t>
      </w:r>
    </w:p>
    <w:p>
      <w:pPr>
        <w:spacing w:after="80"/>
        <w:ind w:left="720"/>
      </w:pPr>
      <w:r>
        <w:rPr>
          <w:b w:val="0"/>
          <w:i w:val="0"/>
        </w:rPr>
        <w:t>Trao đổi dữ liệu điện tử (Electronic data interchange – EDI), 261 –264</w:t>
      </w:r>
    </w:p>
    <w:p>
      <w:pPr>
        <w:spacing w:after="80"/>
        <w:ind w:left="1080"/>
      </w:pPr>
      <w:r>
        <w:rPr>
          <w:b w:val="0"/>
          <w:i w:val="0"/>
        </w:rPr>
        <w:t>định nghĩa, 262</w:t>
      </w:r>
    </w:p>
    <w:p>
      <w:pPr>
        <w:spacing w:after="80"/>
        <w:ind w:left="1080"/>
      </w:pPr>
      <w:r>
        <w:rPr>
          <w:b w:val="0"/>
          <w:i w:val="0"/>
        </w:rPr>
        <w:t>chuẩn mực kiểm soát nội bộ, 262 –264</w:t>
      </w:r>
    </w:p>
    <w:p>
      <w:pPr>
        <w:spacing w:after="80"/>
        <w:ind w:left="1080"/>
      </w:pPr>
      <w:r>
        <w:rPr>
          <w:b w:val="0"/>
          <w:i w:val="0"/>
        </w:rPr>
        <w:t>rủi ro, 264</w:t>
      </w:r>
    </w:p>
    <w:p>
      <w:pPr>
        <w:spacing w:after="80"/>
        <w:ind w:left="720"/>
      </w:pPr>
      <w:r>
        <w:rPr>
          <w:b w:val="0"/>
          <w:i w:val="0"/>
        </w:rPr>
        <w:t>Thông tin sức khỏe được bảo vệ điện tử (Electronic protection health information – e-PHI), 211</w:t>
      </w:r>
    </w:p>
    <w:p>
      <w:pPr>
        <w:spacing w:after="80"/>
        <w:ind w:left="720"/>
      </w:pPr>
      <w:r>
        <w:rPr>
          <w:b w:val="0"/>
          <w:i w:val="0"/>
        </w:rPr>
        <w:t>Nhân viên</w:t>
      </w:r>
    </w:p>
    <w:p>
      <w:pPr>
        <w:spacing w:after="80"/>
        <w:ind w:left="1080"/>
      </w:pPr>
      <w:r>
        <w:rPr>
          <w:b w:val="0"/>
          <w:i w:val="0"/>
        </w:rPr>
        <w:t>tài khoản, 74</w:t>
      </w:r>
    </w:p>
    <w:p>
      <w:pPr>
        <w:spacing w:after="80"/>
        <w:ind w:left="1080"/>
      </w:pPr>
      <w:r>
        <w:rPr>
          <w:b w:val="0"/>
          <w:i w:val="0"/>
        </w:rPr>
        <w:t>phúc lợi, 145</w:t>
      </w:r>
    </w:p>
    <w:p>
      <w:pPr>
        <w:spacing w:after="80"/>
        <w:ind w:left="1440"/>
      </w:pPr>
      <w:r>
        <w:rPr>
          <w:b w:val="0"/>
          <w:i w:val="0"/>
        </w:rPr>
        <w:t>các kế hoạch, quản trị, 146</w:t>
      </w:r>
    </w:p>
    <w:p>
      <w:pPr>
        <w:spacing w:after="80"/>
        <w:ind w:left="1080"/>
      </w:pPr>
      <w:r>
        <w:rPr>
          <w:b w:val="0"/>
          <w:i w:val="0"/>
        </w:rPr>
        <w:t>thủ tục tuyển dụng, 147</w:t>
      </w:r>
    </w:p>
    <w:p>
      <w:pPr>
        <w:spacing w:after="80"/>
        <w:ind w:left="1080"/>
      </w:pPr>
      <w:r>
        <w:rPr>
          <w:b w:val="0"/>
          <w:i w:val="0"/>
        </w:rPr>
        <w:t>quản lý (bước trong quy trình H2R), 133</w:t>
      </w:r>
    </w:p>
    <w:p>
      <w:pPr>
        <w:spacing w:after="80"/>
        <w:ind w:left="1080"/>
      </w:pPr>
      <w:r>
        <w:rPr>
          <w:b w:val="0"/>
          <w:i w:val="0"/>
        </w:rPr>
        <w:t>thủ tục chấm dứt hợp đồng/nghỉ việc, 147 –148</w:t>
      </w:r>
    </w:p>
    <w:p>
      <w:pPr>
        <w:spacing w:after="80"/>
        <w:ind w:left="1080"/>
      </w:pPr>
      <w:r>
        <w:rPr>
          <w:b w:val="0"/>
          <w:i w:val="0"/>
        </w:rPr>
        <w:t>chấm dứt/điều chuyển, 138</w:t>
      </w:r>
    </w:p>
    <w:p>
      <w:pPr>
        <w:spacing w:after="80"/>
        <w:ind w:left="720"/>
      </w:pPr>
      <w:r>
        <w:rPr>
          <w:b w:val="0"/>
          <w:i w:val="0"/>
        </w:rPr>
        <w:t>Chiết khấu cuối kỳ, việc sử dụng (giới hạn), 80</w:t>
      </w:r>
    </w:p>
    <w:p>
      <w:pPr>
        <w:spacing w:after="80"/>
        <w:ind w:left="720"/>
      </w:pPr>
      <w:r>
        <w:rPr>
          <w:b w:val="0"/>
          <w:i w:val="0"/>
        </w:rPr>
        <w:t>Chứng thực, biên nhận tiền mặt/áp dụng, 77</w:t>
      </w:r>
    </w:p>
    <w:p>
      <w:pPr>
        <w:spacing w:after="80"/>
        <w:ind w:left="720"/>
      </w:pPr>
      <w:r>
        <w:rPr>
          <w:b w:val="0"/>
          <w:i w:val="0"/>
        </w:rPr>
        <w:t>Hợp đồng có thể thi hành, 61</w:t>
      </w:r>
    </w:p>
    <w:p>
      <w:pPr>
        <w:spacing w:after="80"/>
        <w:ind w:left="720"/>
      </w:pPr>
      <w:r>
        <w:rPr>
          <w:b w:val="0"/>
          <w:i w:val="0"/>
        </w:rPr>
        <w:t>Enron, phá sản, 24</w:t>
      </w:r>
    </w:p>
    <w:p>
      <w:pPr>
        <w:spacing w:after="80"/>
        <w:ind w:left="720"/>
      </w:pPr>
      <w:r>
        <w:rPr>
          <w:b w:val="0"/>
          <w:i w:val="0"/>
        </w:rPr>
        <w:t>Hệ thống quản lý nội dung doanh nghiệp (ECM), 99</w:t>
      </w:r>
    </w:p>
    <w:p>
      <w:pPr>
        <w:spacing w:after="80"/>
        <w:ind w:left="720"/>
      </w:pPr>
      <w:r>
        <w:rPr>
          <w:b w:val="0"/>
          <w:i w:val="0"/>
        </w:rPr>
        <w:t>Mục tiêu cấp doanh nghiệp, thiết lập/truyền đạt, 30 –31</w:t>
      </w:r>
    </w:p>
    <w:p>
      <w:pPr>
        <w:spacing w:after="80"/>
        <w:ind w:left="720"/>
      </w:pPr>
      <w:r>
        <w:rPr>
          <w:b w:val="0"/>
          <w:i w:val="0"/>
        </w:rPr>
        <w:t>Hệ thống hoạch định nguồn lực doanh nghiệp (ERP), 135</w:t>
      </w:r>
    </w:p>
    <w:p>
      <w:pPr>
        <w:spacing w:after="80"/>
        <w:ind w:left="1080"/>
      </w:pPr>
      <w:r>
        <w:rPr>
          <w:b w:val="0"/>
          <w:i w:val="0"/>
        </w:rPr>
        <w:t>triển khai/nâng cấp/hợp nhất, 6</w:t>
      </w:r>
    </w:p>
    <w:p>
      <w:pPr>
        <w:spacing w:after="80"/>
        <w:ind w:left="720"/>
      </w:pPr>
      <w:r>
        <w:rPr>
          <w:b w:val="0"/>
          <w:i w:val="0"/>
        </w:rPr>
        <w:t>Quản trị rủi ro doanh nghiệp (ERM), 27</w:t>
      </w:r>
    </w:p>
    <w:p>
      <w:pPr>
        <w:spacing w:after="80"/>
        <w:ind w:left="1080"/>
      </w:pPr>
      <w:r>
        <w:rPr>
          <w:b w:val="0"/>
          <w:i w:val="0"/>
        </w:rPr>
        <w:t>danh sách kiểm tra, 30 –31</w:t>
      </w:r>
    </w:p>
    <w:p>
      <w:pPr>
        <w:spacing w:after="80"/>
        <w:ind w:left="1080"/>
      </w:pPr>
      <w:r>
        <w:rPr>
          <w:b w:val="0"/>
          <w:i w:val="0"/>
        </w:rPr>
        <w:t>các thành phần, 29 –30</w:t>
      </w:r>
    </w:p>
    <w:p>
      <w:pPr>
        <w:spacing w:after="80"/>
        <w:ind w:left="1080"/>
      </w:pPr>
      <w:r>
        <w:rPr>
          <w:b w:val="0"/>
          <w:i w:val="0"/>
        </w:rPr>
        <w:t>Khung tích hợp (2004/2013), 27 –35</w:t>
      </w:r>
    </w:p>
    <w:p>
      <w:pPr>
        <w:spacing w:after="80"/>
        <w:ind w:left="1080"/>
      </w:pPr>
      <w:r>
        <w:rPr>
          <w:b w:val="0"/>
          <w:i w:val="0"/>
        </w:rPr>
        <w:t>Chu trình Mua hàng đến Thanh toán (Procure to Pay - P2P), ứng dụng (mối quan hệ), 28 –30</w:t>
      </w:r>
    </w:p>
    <w:p>
      <w:pPr>
        <w:spacing w:after="80"/>
        <w:ind w:left="1080"/>
      </w:pPr>
      <w:r>
        <w:rPr>
          <w:b w:val="0"/>
          <w:i w:val="0"/>
        </w:rPr>
        <w:t>hệ thống, 102</w:t>
      </w:r>
    </w:p>
    <w:p>
      <w:pPr>
        <w:spacing w:after="80"/>
        <w:ind w:left="720"/>
      </w:pPr>
      <w:r>
        <w:rPr>
          <w:b w:val="0"/>
          <w:i w:val="0"/>
        </w:rPr>
        <w:t xml:space="preserve">Giải trí, quy trình thanh toán. </w:t>
      </w:r>
      <w:r>
        <w:rPr>
          <w:b w:val="0"/>
          <w:i/>
        </w:rPr>
        <w:t>Xem</w:t>
      </w:r>
      <w:r>
        <w:rPr>
          <w:b w:val="0"/>
          <w:i w:val="0"/>
        </w:rPr>
        <w:t xml:space="preserve"> Quy trình thanh toán</w:t>
      </w:r>
    </w:p>
    <w:p>
      <w:pPr>
        <w:spacing w:after="80"/>
        <w:ind w:left="720"/>
      </w:pPr>
      <w:r>
        <w:rPr>
          <w:b w:val="0"/>
          <w:i w:val="0"/>
        </w:rPr>
        <w:t>Kiểm soát cấp đơn vị, 41 –44, 325 –339</w:t>
      </w:r>
    </w:p>
    <w:p>
      <w:pPr>
        <w:spacing w:after="80"/>
        <w:ind w:left="1080"/>
      </w:pPr>
      <w:r>
        <w:rPr>
          <w:b w:val="0"/>
          <w:i w:val="0"/>
        </w:rPr>
        <w:t>lợi ích, 42</w:t>
      </w:r>
    </w:p>
    <w:p>
      <w:pPr>
        <w:spacing w:after="80"/>
        <w:ind w:left="1080"/>
      </w:pPr>
      <w:r>
        <w:rPr>
          <w:b w:val="0"/>
          <w:i w:val="0"/>
        </w:rPr>
        <w:t>khung COSO, 326</w:t>
      </w:r>
    </w:p>
    <w:p>
      <w:pPr>
        <w:spacing w:after="80"/>
        <w:ind w:left="1080"/>
      </w:pPr>
      <w:r>
        <w:rPr>
          <w:b w:val="0"/>
          <w:i w:val="0"/>
        </w:rPr>
        <w:t>đánh giá, 43 –44</w:t>
      </w:r>
    </w:p>
    <w:p>
      <w:pPr>
        <w:spacing w:after="80"/>
        <w:ind w:left="1080"/>
      </w:pPr>
      <w:r>
        <w:rPr>
          <w:b w:val="0"/>
          <w:i w:val="0"/>
        </w:rPr>
        <w:t>kiểm soát nội bộ, ứng dụng, 327 –328</w:t>
      </w:r>
    </w:p>
    <w:p>
      <w:pPr>
        <w:spacing w:after="80"/>
        <w:ind w:left="1080"/>
      </w:pPr>
      <w:r>
        <w:rPr>
          <w:b w:val="0"/>
          <w:i w:val="0"/>
        </w:rPr>
        <w:t>chỉ số, 327</w:t>
      </w:r>
    </w:p>
    <w:p>
      <w:pPr>
        <w:spacing w:after="80"/>
        <w:ind w:left="1080"/>
      </w:pPr>
      <w:r>
        <w:rPr>
          <w:b w:val="0"/>
          <w:i w:val="0"/>
        </w:rPr>
        <w:t>quy trình, 325</w:t>
      </w:r>
    </w:p>
    <w:p>
      <w:pPr>
        <w:spacing w:after="80"/>
        <w:ind w:left="1080"/>
      </w:pPr>
      <w:r>
        <w:rPr>
          <w:b w:val="0"/>
          <w:i w:val="0"/>
        </w:rPr>
        <w:t>quy trình con, 328</w:t>
      </w:r>
    </w:p>
    <w:p>
      <w:pPr>
        <w:spacing w:after="80"/>
        <w:ind w:left="720"/>
      </w:pPr>
      <w:r>
        <w:rPr>
          <w:b w:val="0"/>
          <w:i w:val="0"/>
        </w:rPr>
        <w:t>Kiểm soát quản lý đơn vị, 334 –335</w:t>
      </w:r>
    </w:p>
    <w:p>
      <w:pPr>
        <w:spacing w:after="80"/>
        <w:ind w:left="1080"/>
      </w:pPr>
      <w:r>
        <w:rPr>
          <w:b w:val="0"/>
          <w:i w:val="0"/>
        </w:rPr>
        <w:t>tiêu chuẩn kiểm soát nội bộ, 334 –335</w:t>
      </w:r>
    </w:p>
    <w:p>
      <w:pPr>
        <w:spacing w:after="80"/>
        <w:ind w:left="1080"/>
      </w:pPr>
      <w:r>
        <w:rPr>
          <w:b w:val="0"/>
          <w:i w:val="0"/>
        </w:rPr>
        <w:t>rủi ro, 335</w:t>
      </w:r>
    </w:p>
    <w:p>
      <w:pPr>
        <w:spacing w:after="80"/>
        <w:ind w:left="720"/>
      </w:pPr>
      <w:r>
        <w:rPr>
          <w:b w:val="0"/>
          <w:i w:val="0"/>
        </w:rPr>
        <w:t>Mục tiêu đơn vị, đạt được, 29</w:t>
      </w:r>
    </w:p>
    <w:p>
      <w:pPr>
        <w:spacing w:after="80"/>
        <w:ind w:left="720"/>
      </w:pPr>
      <w:r>
        <w:rPr>
          <w:b w:val="0"/>
          <w:i w:val="0"/>
        </w:rPr>
        <w:t>Kiểm soát môi trường, 229 –232</w:t>
      </w:r>
    </w:p>
    <w:p>
      <w:pPr>
        <w:spacing w:after="80"/>
        <w:ind w:left="1080"/>
      </w:pPr>
      <w:r>
        <w:rPr>
          <w:b w:val="0"/>
          <w:i w:val="0"/>
        </w:rPr>
        <w:t>tiêu chuẩn kiểm soát nội bộ, 230 –232</w:t>
      </w:r>
    </w:p>
    <w:p>
      <w:pPr>
        <w:spacing w:after="80"/>
        <w:ind w:left="1080"/>
      </w:pPr>
      <w:r>
        <w:rPr>
          <w:b w:val="0"/>
          <w:i w:val="0"/>
        </w:rPr>
        <w:t>rủi ro, 233</w:t>
      </w:r>
    </w:p>
    <w:p>
      <w:pPr>
        <w:spacing w:after="80"/>
        <w:ind w:left="720"/>
      </w:pPr>
      <w:r>
        <w:rPr>
          <w:b w:val="0"/>
          <w:i w:val="0"/>
        </w:rPr>
        <w:t>Môi trường, sức khỏe và an toàn (EH&amp;S), 163</w:t>
      </w:r>
    </w:p>
    <w:p>
      <w:pPr>
        <w:spacing w:after="80"/>
        <w:ind w:left="1080"/>
      </w:pPr>
      <w:r>
        <w:rPr>
          <w:b w:val="0"/>
          <w:i w:val="0"/>
        </w:rPr>
        <w:t>tuân thủ, 292</w:t>
      </w:r>
    </w:p>
    <w:p>
      <w:pPr>
        <w:spacing w:after="80"/>
        <w:ind w:left="1080"/>
      </w:pPr>
      <w:r>
        <w:rPr>
          <w:b w:val="0"/>
          <w:i w:val="0"/>
        </w:rPr>
        <w:t>kiểm soát nội bộ, ứng dụng, 293</w:t>
      </w:r>
    </w:p>
    <w:p>
      <w:pPr>
        <w:spacing w:after="80"/>
        <w:ind w:left="1080"/>
      </w:pPr>
      <w:r>
        <w:rPr>
          <w:b w:val="0"/>
          <w:i w:val="0"/>
        </w:rPr>
        <w:t>tiêu chuẩn kiểm soát nội bộ, 294</w:t>
      </w:r>
    </w:p>
    <w:p>
      <w:pPr>
        <w:spacing w:after="80"/>
        <w:ind w:left="1080"/>
      </w:pPr>
      <w:r>
        <w:rPr>
          <w:b w:val="0"/>
          <w:i w:val="0"/>
        </w:rPr>
        <w:t>các chỉ số, 293</w:t>
      </w:r>
    </w:p>
    <w:p>
      <w:pPr>
        <w:spacing w:after="80"/>
        <w:ind w:left="1080"/>
      </w:pPr>
      <w:r>
        <w:rPr>
          <w:b w:val="0"/>
          <w:i w:val="0"/>
        </w:rPr>
        <w:t>quy trình, 291</w:t>
      </w:r>
    </w:p>
    <w:p>
      <w:pPr>
        <w:spacing w:after="80"/>
        <w:ind w:left="1080"/>
      </w:pPr>
      <w:r>
        <w:rPr>
          <w:b w:val="0"/>
          <w:i w:val="0"/>
        </w:rPr>
        <w:t>rủi ro, 295</w:t>
      </w:r>
    </w:p>
    <w:p>
      <w:pPr>
        <w:spacing w:after="80"/>
        <w:ind w:left="1080"/>
      </w:pPr>
      <w:r>
        <w:rPr>
          <w:b w:val="0"/>
          <w:i w:val="0"/>
        </w:rPr>
        <w:t>các quy trình con, 293</w:t>
      </w:r>
    </w:p>
    <w:p>
      <w:pPr>
        <w:spacing w:after="80"/>
        <w:ind w:left="720"/>
      </w:pPr>
      <w:r>
        <w:rPr>
          <w:b w:val="0"/>
          <w:i w:val="0"/>
        </w:rPr>
        <w:t>Môi trường, sức khỏe, an toàn và bảo mật (EHS&amp;S), 163 , 192 , 289</w:t>
      </w:r>
    </w:p>
    <w:p>
      <w:pPr>
        <w:spacing w:after="80"/>
        <w:ind w:left="720"/>
      </w:pPr>
      <w:r>
        <w:rPr>
          <w:b w:val="0"/>
          <w:i w:val="0"/>
        </w:rPr>
        <w:t>Thanh toán điện tử, 100 –101</w:t>
      </w:r>
    </w:p>
    <w:p>
      <w:pPr>
        <w:spacing w:after="80"/>
        <w:ind w:left="720"/>
      </w:pPr>
      <w:r>
        <w:rPr>
          <w:b w:val="0"/>
          <w:i w:val="0"/>
        </w:rPr>
        <w:t>Mua sắm điện tử, 98</w:t>
      </w:r>
    </w:p>
    <w:p>
      <w:pPr>
        <w:spacing w:after="80"/>
        <w:ind w:left="720"/>
      </w:pPr>
      <w:r>
        <w:rPr>
          <w:b w:val="0"/>
          <w:i w:val="0"/>
        </w:rPr>
        <w:t>Tuân thủ Cơ hội Việc làm Bình đẳng, 192</w:t>
      </w:r>
    </w:p>
    <w:p>
      <w:pPr>
        <w:spacing w:after="80"/>
        <w:ind w:left="720"/>
      </w:pPr>
      <w:r>
        <w:rPr>
          <w:b w:val="0"/>
          <w:i w:val="0"/>
        </w:rPr>
        <w:t>Đầu tư vốn cổ phần, định nghĩa, 85</w:t>
      </w:r>
    </w:p>
    <w:p>
      <w:pPr>
        <w:spacing w:after="80"/>
        <w:ind w:left="720"/>
      </w:pPr>
      <w:r>
        <w:rPr>
          <w:b w:val="0"/>
          <w:i w:val="0"/>
        </w:rPr>
        <w:t>Xử lý lỗi (thành phần mục tiêu kiểm soát), 33</w:t>
      </w:r>
    </w:p>
    <w:p>
      <w:pPr>
        <w:spacing w:after="80"/>
        <w:ind w:left="720"/>
      </w:pPr>
      <w:r>
        <w:rPr>
          <w:b w:val="0"/>
          <w:i w:val="0"/>
        </w:rPr>
        <w:t>Các mục tiêu cấp doanh nghiệp đã được thiết lập, 30 –31</w:t>
      </w:r>
    </w:p>
    <w:p>
      <w:pPr>
        <w:spacing w:after="80"/>
        <w:ind w:left="720"/>
      </w:pPr>
      <w:r>
        <w:rPr>
          <w:b w:val="0"/>
          <w:i w:val="0"/>
        </w:rPr>
        <w:t>Đạo đức, 38 –40</w:t>
      </w:r>
    </w:p>
    <w:p>
      <w:pPr>
        <w:spacing w:after="80"/>
        <w:ind w:left="1080"/>
      </w:pPr>
      <w:r>
        <w:rPr>
          <w:b w:val="0"/>
          <w:i w:val="0"/>
        </w:rPr>
        <w:t>chính sách, các thành phần, 39</w:t>
      </w:r>
    </w:p>
    <w:p>
      <w:pPr>
        <w:spacing w:after="80"/>
        <w:ind w:left="720"/>
      </w:pPr>
      <w:r>
        <w:rPr>
          <w:b w:val="0"/>
          <w:i w:val="0"/>
        </w:rPr>
        <w:t>Nhận diện sự kiện (thành phần ERM), 30</w:t>
      </w:r>
    </w:p>
    <w:p>
      <w:pPr>
        <w:spacing w:after="80"/>
        <w:ind w:left="720"/>
      </w:pPr>
      <w:r>
        <w:rPr>
          <w:b w:val="0"/>
          <w:i w:val="0"/>
        </w:rPr>
        <w:t>Báo cáo chi phí, hoàn thành, 124</w:t>
      </w:r>
    </w:p>
    <w:p>
      <w:pPr>
        <w:spacing w:after="80"/>
        <w:ind w:left="720"/>
      </w:pPr>
      <w:r>
        <w:rPr>
          <w:b w:val="0"/>
          <w:i w:val="0"/>
        </w:rPr>
        <w:t>Quy định Quản lý Xuất khẩu (EAR), 60</w:t>
      </w:r>
    </w:p>
    <w:p>
      <w:pPr>
        <w:spacing w:after="80"/>
        <w:ind w:left="720"/>
      </w:pPr>
      <w:r>
        <w:rPr>
          <w:b w:val="0"/>
          <w:i w:val="0"/>
        </w:rPr>
        <w:t>Kiểm soát xuất khẩu, 56 –60</w:t>
      </w:r>
    </w:p>
    <w:p>
      <w:pPr>
        <w:spacing w:after="80"/>
        <w:ind w:left="1080"/>
      </w:pPr>
      <w:r>
        <w:rPr>
          <w:b w:val="0"/>
          <w:i w:val="0"/>
        </w:rPr>
        <w:t>đánh giá, 58</w:t>
      </w:r>
    </w:p>
    <w:p>
      <w:pPr>
        <w:spacing w:after="80"/>
        <w:ind w:left="1080"/>
      </w:pPr>
      <w:r>
        <w:rPr>
          <w:b w:val="0"/>
          <w:i w:val="0"/>
        </w:rPr>
        <w:t>kiểm soát nội bộ, 57 –60</w:t>
      </w:r>
    </w:p>
    <w:p>
      <w:pPr>
        <w:spacing w:after="80"/>
        <w:ind w:left="1080"/>
      </w:pPr>
      <w:r>
        <w:rPr>
          <w:b w:val="0"/>
          <w:i w:val="0"/>
        </w:rPr>
        <w:t>tiêu chuẩn kiểm soát nội bộ, 58 –60</w:t>
      </w:r>
    </w:p>
    <w:p>
      <w:pPr>
        <w:spacing w:after="80"/>
        <w:ind w:left="1080"/>
      </w:pPr>
      <w:r>
        <w:rPr>
          <w:b w:val="0"/>
          <w:i w:val="0"/>
        </w:rPr>
        <w:t>chương trình, các yếu tố, 58 –59</w:t>
      </w:r>
    </w:p>
    <w:p>
      <w:pPr>
        <w:spacing w:after="80"/>
        <w:ind w:left="1080"/>
      </w:pPr>
      <w:r>
        <w:rPr>
          <w:b w:val="0"/>
          <w:i w:val="0"/>
        </w:rPr>
        <w:t>hệ thống, chính phủ (tác động), 56</w:t>
      </w:r>
    </w:p>
    <w:p>
      <w:pPr>
        <w:spacing w:after="80"/>
        <w:ind w:left="720"/>
      </w:pPr>
      <w:r>
        <w:rPr>
          <w:b w:val="0"/>
          <w:i w:val="0"/>
        </w:rPr>
        <w:t>Truy cập bên ngoài, 242</w:t>
      </w:r>
    </w:p>
    <w:p>
      <w:pPr>
        <w:spacing w:after="80"/>
        <w:ind w:left="720"/>
      </w:pPr>
      <w:r>
        <w:rPr>
          <w:b w:val="0"/>
          <w:i w:val="0"/>
        </w:rPr>
        <w:t>Gian lận bên ngoài, 41</w:t>
      </w:r>
    </w:p>
    <w:p>
      <w:pPr>
        <w:spacing w:after="80"/>
        <w:ind w:left="360"/>
      </w:pPr>
      <w:r>
        <w:rPr>
          <w:b w:val="0"/>
          <w:i w:val="0"/>
        </w:rPr>
        <w:t>F</w:t>
      </w:r>
    </w:p>
    <w:p>
      <w:pPr>
        <w:spacing w:after="80"/>
        <w:ind w:left="720"/>
      </w:pPr>
      <w:r>
        <w:rPr>
          <w:b w:val="0"/>
          <w:i w:val="0"/>
        </w:rPr>
        <w:t>Cuộc họp nhóm có điều phối, cách sử dụng, 36</w:t>
      </w:r>
    </w:p>
    <w:p>
      <w:pPr>
        <w:spacing w:after="80"/>
        <w:ind w:left="720"/>
      </w:pPr>
      <w:r>
        <w:rPr>
          <w:b w:val="0"/>
          <w:i w:val="0"/>
        </w:rPr>
        <w:t>Fastow, Andrew, 25</w:t>
      </w:r>
    </w:p>
    <w:p>
      <w:pPr>
        <w:spacing w:after="80"/>
        <w:ind w:left="720"/>
      </w:pPr>
      <w:r>
        <w:rPr>
          <w:b w:val="0"/>
          <w:i w:val="0"/>
        </w:rPr>
        <w:t>Hợp đồng khả thi, 61</w:t>
      </w:r>
    </w:p>
    <w:p>
      <w:pPr>
        <w:spacing w:after="80"/>
        <w:ind w:left="720"/>
      </w:pPr>
      <w:r>
        <w:rPr>
          <w:b w:val="0"/>
          <w:i w:val="0"/>
        </w:rPr>
        <w:t>Quy định Mua sắm Liên bang (FAR), 192 , 197</w:t>
      </w:r>
    </w:p>
    <w:p>
      <w:pPr>
        <w:spacing w:after="80"/>
        <w:ind w:left="720"/>
      </w:pPr>
      <w:r>
        <w:rPr>
          <w:b w:val="0"/>
          <w:i w:val="0"/>
        </w:rPr>
        <w:t>Hướng dẫn Tuyên án Liên bang dành cho Tổ chức (1991), 19 –20</w:t>
      </w:r>
    </w:p>
    <w:p>
      <w:pPr>
        <w:spacing w:after="80"/>
        <w:ind w:left="720"/>
      </w:pPr>
      <w:r>
        <w:rPr>
          <w:b w:val="0"/>
          <w:i w:val="0"/>
        </w:rPr>
        <w:t>Tỷ lệ đáp ứng, 155</w:t>
      </w:r>
    </w:p>
    <w:p>
      <w:pPr>
        <w:spacing w:after="80"/>
        <w:ind w:left="720"/>
      </w:pPr>
      <w:r>
        <w:rPr>
          <w:b w:val="0"/>
          <w:i w:val="0"/>
        </w:rPr>
        <w:t>Tích lũy thông tin tài chính, 180 –182</w:t>
      </w:r>
    </w:p>
    <w:p>
      <w:pPr>
        <w:spacing w:after="80"/>
        <w:ind w:left="1080"/>
      </w:pPr>
      <w:r>
        <w:rPr>
          <w:b w:val="0"/>
          <w:i w:val="0"/>
        </w:rPr>
        <w:t>tiêu chuẩn kiểm soát nội bộ, 180 –181</w:t>
      </w:r>
    </w:p>
    <w:p>
      <w:pPr>
        <w:spacing w:after="80"/>
        <w:ind w:left="1080"/>
      </w:pPr>
      <w:r>
        <w:rPr>
          <w:b w:val="0"/>
          <w:i w:val="0"/>
        </w:rPr>
        <w:t>rủi ro, 181 –182</w:t>
      </w:r>
    </w:p>
    <w:p>
      <w:pPr>
        <w:spacing w:after="80"/>
        <w:ind w:left="720"/>
      </w:pPr>
      <w:r>
        <w:rPr>
          <w:b w:val="0"/>
          <w:i w:val="0"/>
        </w:rPr>
        <w:t>Xử lý/báo cáo thông tin tài chính, 182 –185</w:t>
      </w:r>
    </w:p>
    <w:p>
      <w:pPr>
        <w:spacing w:after="80"/>
        <w:ind w:left="1080"/>
      </w:pPr>
      <w:r>
        <w:rPr>
          <w:b w:val="0"/>
          <w:i w:val="0"/>
        </w:rPr>
        <w:t>tiêu chuẩn kiểm soát nội bộ, 182 –185</w:t>
      </w:r>
    </w:p>
    <w:p>
      <w:pPr>
        <w:spacing w:after="80"/>
        <w:ind w:left="1080"/>
      </w:pPr>
      <w:r>
        <w:rPr>
          <w:b w:val="0"/>
          <w:i w:val="0"/>
        </w:rPr>
        <w:t>rủi ro, 185</w:t>
      </w:r>
    </w:p>
    <w:p>
      <w:pPr>
        <w:spacing w:after="80"/>
        <w:ind w:left="720"/>
      </w:pPr>
      <w:r>
        <w:rPr>
          <w:b w:val="0"/>
          <w:i w:val="0"/>
        </w:rPr>
        <w:t>Đầu tư tài chính, định nghĩa, 85</w:t>
      </w:r>
    </w:p>
    <w:p>
      <w:pPr>
        <w:spacing w:after="80"/>
        <w:ind w:left="720"/>
      </w:pPr>
      <w:r>
        <w:rPr>
          <w:b w:val="0"/>
          <w:i w:val="0"/>
        </w:rPr>
        <w:t>Quy trình tài chính, tác động, 329</w:t>
      </w:r>
    </w:p>
    <w:p>
      <w:pPr>
        <w:spacing w:after="80"/>
        <w:ind w:left="720"/>
      </w:pPr>
      <w:r>
        <w:rPr>
          <w:b w:val="0"/>
          <w:i w:val="0"/>
        </w:rPr>
        <w:t>Báo cáo tài chính, kiểm soát nội bộ, 31 –32</w:t>
      </w:r>
    </w:p>
    <w:p>
      <w:pPr>
        <w:spacing w:after="80"/>
        <w:ind w:left="720"/>
      </w:pPr>
      <w:r>
        <w:rPr>
          <w:b w:val="0"/>
          <w:i w:val="0"/>
        </w:rPr>
        <w:t>Quản lý rủi ro tài chính, 90</w:t>
      </w:r>
    </w:p>
    <w:p>
      <w:pPr>
        <w:spacing w:after="80"/>
        <w:ind w:left="720"/>
      </w:pPr>
      <w:r>
        <w:rPr>
          <w:b w:val="0"/>
          <w:i w:val="0"/>
        </w:rPr>
        <w:t>Giao dịch tài chính, 174</w:t>
      </w:r>
    </w:p>
    <w:p>
      <w:pPr>
        <w:spacing w:after="80"/>
        <w:ind w:left="720"/>
      </w:pPr>
      <w:r>
        <w:rPr>
          <w:b w:val="0"/>
          <w:i w:val="0"/>
        </w:rPr>
        <w:t>Hoạt động tài trợ, 91 –92</w:t>
      </w:r>
    </w:p>
    <w:p>
      <w:pPr>
        <w:spacing w:after="80"/>
        <w:ind w:left="1080"/>
      </w:pPr>
      <w:r>
        <w:rPr>
          <w:b w:val="0"/>
          <w:i w:val="0"/>
        </w:rPr>
        <w:t>chuẩn mực kiểm soát nội bộ, 91 –92</w:t>
      </w:r>
    </w:p>
    <w:p>
      <w:pPr>
        <w:spacing w:after="80"/>
        <w:ind w:left="1080"/>
      </w:pPr>
      <w:r>
        <w:rPr>
          <w:b w:val="0"/>
          <w:i w:val="0"/>
        </w:rPr>
        <w:t>rủi ro, 92</w:t>
      </w:r>
    </w:p>
    <w:p>
      <w:pPr>
        <w:spacing w:after="80"/>
        <w:ind w:left="720"/>
      </w:pPr>
      <w:r>
        <w:rPr>
          <w:b w:val="0"/>
          <w:i w:val="0"/>
        </w:rPr>
        <w:t>Tường lửa, 265</w:t>
      </w:r>
    </w:p>
    <w:p>
      <w:pPr>
        <w:spacing w:after="80"/>
        <w:ind w:left="720"/>
      </w:pPr>
      <w:r>
        <w:rPr>
          <w:b w:val="0"/>
          <w:i w:val="0"/>
        </w:rPr>
        <w:t>Nhập trước, Xuất trước (FIFO), lựa chọn, 176</w:t>
      </w:r>
    </w:p>
    <w:p>
      <w:pPr>
        <w:spacing w:after="80"/>
        <w:ind w:left="720"/>
      </w:pPr>
      <w:r>
        <w:rPr>
          <w:b w:val="0"/>
          <w:i w:val="0"/>
        </w:rPr>
        <w:t>Tài sản cố định, 186 –188</w:t>
      </w:r>
    </w:p>
    <w:p>
      <w:pPr>
        <w:spacing w:after="80"/>
        <w:ind w:left="1080"/>
      </w:pPr>
      <w:r>
        <w:rPr>
          <w:b w:val="0"/>
          <w:i w:val="0"/>
        </w:rPr>
        <w:t>chuẩn mực kiểm soát nội bộ, 186 –188</w:t>
      </w:r>
    </w:p>
    <w:p>
      <w:pPr>
        <w:spacing w:after="80"/>
        <w:ind w:left="1080"/>
      </w:pPr>
      <w:r>
        <w:rPr>
          <w:b w:val="0"/>
          <w:i w:val="0"/>
        </w:rPr>
        <w:t>rủi ro, 188</w:t>
      </w:r>
    </w:p>
    <w:p>
      <w:pPr>
        <w:spacing w:after="80"/>
        <w:ind w:left="720"/>
      </w:pPr>
      <w:r>
        <w:rPr>
          <w:b w:val="0"/>
          <w:i w:val="0"/>
        </w:rPr>
        <w:t>Dự báo, tỷ lệ phần trăm số dư tiền mặt hằng ngày (đối chiếu), 87</w:t>
      </w:r>
    </w:p>
    <w:p>
      <w:pPr>
        <w:spacing w:after="80"/>
        <w:ind w:left="720"/>
      </w:pPr>
      <w:r>
        <w:rPr>
          <w:b w:val="0"/>
          <w:i w:val="0"/>
        </w:rPr>
        <w:t>Chi phí lãi dự báo, độ chính xác, 87</w:t>
      </w:r>
    </w:p>
    <w:p>
      <w:pPr>
        <w:spacing w:after="80"/>
        <w:ind w:left="720"/>
      </w:pPr>
      <w:r>
        <w:rPr>
          <w:b w:val="0"/>
          <w:i w:val="0"/>
        </w:rPr>
        <w:t>Thu nhập đầu tư dự báo, độ chính xác, 87</w:t>
      </w:r>
    </w:p>
    <w:p>
      <w:pPr>
        <w:spacing w:after="80"/>
        <w:ind w:left="720"/>
      </w:pPr>
      <w:r>
        <w:rPr>
          <w:b w:val="0"/>
          <w:i w:val="0"/>
        </w:rPr>
        <w:t>Đạo luật Chống Tham nhũng Nước ngoài (FCPA) năm 1977, 19 , 106 , 204</w:t>
      </w:r>
    </w:p>
    <w:p>
      <w:pPr>
        <w:spacing w:after="80"/>
        <w:ind w:left="720"/>
      </w:pPr>
      <w:r>
        <w:rPr>
          <w:b w:val="0"/>
          <w:i w:val="0"/>
        </w:rPr>
        <w:t>Giao dịch giao ngay ngoại tệ, 94</w:t>
      </w:r>
    </w:p>
    <w:p>
      <w:pPr>
        <w:spacing w:after="80"/>
        <w:ind w:left="720"/>
      </w:pPr>
      <w:r>
        <w:rPr>
          <w:b w:val="0"/>
          <w:i w:val="0"/>
        </w:rPr>
        <w:t>Ngoại hối, 94 –95</w:t>
      </w:r>
    </w:p>
    <w:p>
      <w:pPr>
        <w:spacing w:after="80"/>
        <w:ind w:left="1080"/>
      </w:pPr>
      <w:r>
        <w:rPr>
          <w:b w:val="0"/>
          <w:i w:val="0"/>
        </w:rPr>
        <w:t>phòng ngừa rủi ro, 94 –95</w:t>
      </w:r>
    </w:p>
    <w:p>
      <w:pPr>
        <w:spacing w:after="80"/>
        <w:ind w:left="1080"/>
      </w:pPr>
      <w:r>
        <w:rPr>
          <w:b w:val="0"/>
          <w:i w:val="0"/>
        </w:rPr>
        <w:t>chuẩn mực kiểm soát nội bộ, 94 –95</w:t>
      </w:r>
    </w:p>
    <w:p>
      <w:pPr>
        <w:spacing w:after="80"/>
        <w:ind w:left="1080"/>
      </w:pPr>
      <w:r>
        <w:rPr>
          <w:b w:val="0"/>
          <w:i w:val="0"/>
        </w:rPr>
        <w:t>rủi ro, 95</w:t>
      </w:r>
    </w:p>
    <w:p>
      <w:pPr>
        <w:spacing w:after="80"/>
        <w:ind w:left="1080"/>
      </w:pPr>
      <w:r>
        <w:rPr>
          <w:b w:val="0"/>
          <w:i w:val="0"/>
        </w:rPr>
        <w:t>giao dịch, 89</w:t>
      </w:r>
    </w:p>
    <w:p>
      <w:pPr>
        <w:spacing w:after="80"/>
        <w:ind w:left="720"/>
      </w:pPr>
      <w:r>
        <w:rPr>
          <w:b w:val="0"/>
          <w:i w:val="0"/>
        </w:rPr>
        <w:t>Gian lận</w:t>
      </w:r>
    </w:p>
    <w:p>
      <w:pPr>
        <w:spacing w:after="80"/>
        <w:ind w:left="1080"/>
      </w:pPr>
      <w:r>
        <w:rPr>
          <w:b w:val="0"/>
          <w:i w:val="0"/>
        </w:rPr>
        <w:t>các vụ gian lận doanh nghiệp (2001-2002), 24 –25</w:t>
      </w:r>
    </w:p>
    <w:p>
      <w:pPr>
        <w:spacing w:after="80"/>
        <w:ind w:left="1080"/>
      </w:pPr>
      <w:r>
        <w:rPr>
          <w:b w:val="0"/>
          <w:i w:val="0"/>
        </w:rPr>
        <w:t>các loại, 41</w:t>
      </w:r>
    </w:p>
    <w:p>
      <w:pPr>
        <w:spacing w:after="80"/>
        <w:ind w:left="720"/>
      </w:pPr>
      <w:r>
        <w:rPr>
          <w:b w:val="0"/>
          <w:i w:val="0"/>
        </w:rPr>
        <w:t>khái niệm Tam giác Gian lận (Fraud Triangle), ví dụ/dấu hiệu, 40</w:t>
      </w:r>
    </w:p>
    <w:p>
      <w:pPr>
        <w:spacing w:after="80"/>
        <w:ind w:left="720"/>
      </w:pPr>
      <w:r>
        <w:rPr>
          <w:b w:val="0"/>
          <w:i w:val="0"/>
        </w:rPr>
        <w:t>Phần mềm miễn phí (Freeware), 266</w:t>
      </w:r>
    </w:p>
    <w:p>
      <w:pPr>
        <w:spacing w:after="80"/>
        <w:ind w:left="720"/>
      </w:pPr>
      <w:r>
        <w:rPr>
          <w:b w:val="0"/>
          <w:i w:val="0"/>
        </w:rPr>
        <w:t>Độ chính xác của hóa đơn vận chuyển, 155</w:t>
      </w:r>
    </w:p>
    <w:p>
      <w:pPr>
        <w:spacing w:after="80"/>
        <w:ind w:left="720"/>
      </w:pPr>
      <w:r>
        <w:rPr>
          <w:b w:val="0"/>
          <w:i w:val="0"/>
        </w:rPr>
        <w:t>Khiếu nại vận chuyển, 170</w:t>
      </w:r>
    </w:p>
    <w:p>
      <w:pPr>
        <w:spacing w:after="80"/>
        <w:ind w:left="720"/>
      </w:pPr>
      <w:r>
        <w:rPr>
          <w:b w:val="0"/>
          <w:i w:val="0"/>
        </w:rPr>
        <w:t>Chi phí vận chuyển trên mỗi đơn vị, 155</w:t>
      </w:r>
    </w:p>
    <w:p>
      <w:pPr>
        <w:spacing w:after="80"/>
        <w:ind w:left="360"/>
      </w:pPr>
      <w:r>
        <w:rPr>
          <w:b w:val="0"/>
          <w:i w:val="0"/>
        </w:rPr>
        <w:t>G</w:t>
      </w:r>
    </w:p>
    <w:p>
      <w:pPr>
        <w:spacing w:after="80"/>
        <w:ind w:left="720"/>
      </w:pPr>
      <w:r>
        <w:rPr>
          <w:b w:val="0"/>
          <w:i w:val="0"/>
        </w:rPr>
        <w:t>Quy định Bảo vệ Dữ liệu Chung (GDPR), 207 , 210 –212</w:t>
      </w:r>
    </w:p>
    <w:p>
      <w:pPr>
        <w:spacing w:after="80"/>
        <w:ind w:left="720"/>
      </w:pPr>
      <w:r>
        <w:rPr>
          <w:b w:val="0"/>
          <w:i w:val="0"/>
        </w:rPr>
        <w:t>Đối chiếu sổ cái tổng hợp, 73 , 162 –163, 179 , 183 , 186</w:t>
      </w:r>
    </w:p>
    <w:p>
      <w:pPr>
        <w:spacing w:after="80"/>
        <w:ind w:left="720"/>
      </w:pPr>
      <w:r>
        <w:rPr>
          <w:b w:val="0"/>
          <w:i w:val="0"/>
        </w:rPr>
        <w:t>Các Nguyên tắc Kế toán Được Chấp nhận Chung (GAAP)</w:t>
      </w:r>
    </w:p>
    <w:p>
      <w:pPr>
        <w:spacing w:after="80"/>
        <w:ind w:left="1080"/>
      </w:pPr>
      <w:r>
        <w:rPr>
          <w:b w:val="0"/>
          <w:i w:val="0"/>
        </w:rPr>
        <w:t>IFRS, sự đối lập, 176 , 308</w:t>
      </w:r>
    </w:p>
    <w:p>
      <w:pPr>
        <w:spacing w:after="80"/>
        <w:ind w:left="1080"/>
      </w:pPr>
      <w:r>
        <w:rPr>
          <w:b w:val="0"/>
          <w:i w:val="0"/>
        </w:rPr>
        <w:t>cách sử dụng, 322</w:t>
      </w:r>
    </w:p>
    <w:p>
      <w:pPr>
        <w:spacing w:after="80"/>
        <w:ind w:left="720"/>
      </w:pPr>
      <w:r>
        <w:rPr>
          <w:b w:val="0"/>
          <w:i w:val="0"/>
        </w:rPr>
        <w:t>Các hợp đồng của Cơ quan Quản lý Dịch vụ Tổng hợp (GSA), nhận diện bán hàng, 200</w:t>
      </w:r>
    </w:p>
    <w:p>
      <w:pPr>
        <w:spacing w:after="80"/>
        <w:ind w:left="720"/>
      </w:pPr>
      <w:r>
        <w:rPr>
          <w:b w:val="0"/>
          <w:i w:val="0"/>
        </w:rPr>
        <w:t>Hợp đồng toàn cầu, 107</w:t>
      </w:r>
    </w:p>
    <w:p>
      <w:pPr>
        <w:spacing w:after="80"/>
        <w:ind w:left="720"/>
      </w:pPr>
      <w:r>
        <w:rPr>
          <w:b w:val="0"/>
          <w:i w:val="0"/>
        </w:rPr>
        <w:t>Quản lý hồ sơ toàn cầu, 211 –212</w:t>
      </w:r>
    </w:p>
    <w:p>
      <w:pPr>
        <w:spacing w:after="80"/>
        <w:ind w:left="720"/>
      </w:pPr>
      <w:r>
        <w:rPr>
          <w:b w:val="0"/>
          <w:i w:val="0"/>
        </w:rPr>
        <w:t>Điều phối viên Quản lý Hồ sơ Toàn cầu (GEO-RMC), 212</w:t>
      </w:r>
    </w:p>
    <w:p>
      <w:pPr>
        <w:spacing w:after="80"/>
        <w:ind w:left="720"/>
      </w:pPr>
      <w:r>
        <w:rPr>
          <w:b w:val="0"/>
          <w:i w:val="0"/>
        </w:rPr>
        <w:t>Ủy ban Xem xét Lưu trữ Hồ sơ Toàn cầu (GRRRC), 212</w:t>
      </w:r>
    </w:p>
    <w:p>
      <w:pPr>
        <w:spacing w:after="80"/>
        <w:ind w:left="720"/>
      </w:pPr>
      <w:r>
        <w:rPr>
          <w:b w:val="0"/>
          <w:i w:val="0"/>
        </w:rPr>
        <w:t xml:space="preserve">Đối chiếu tài khoản thanh toán nhận hàng </w:t>
      </w:r>
      <w:r>
        <w:rPr>
          <w:b/>
          <w:i w:val="0"/>
        </w:rPr>
        <w:t>—</w:t>
      </w:r>
      <w:r>
        <w:rPr>
          <w:b w:val="0"/>
          <w:i w:val="0"/>
        </w:rPr>
        <w:t xml:space="preserve"> nhận hóa đơn (GR/IR), 117</w:t>
      </w:r>
    </w:p>
    <w:p>
      <w:pPr>
        <w:spacing w:after="80"/>
        <w:ind w:left="720"/>
      </w:pPr>
      <w:r>
        <w:rPr>
          <w:b w:val="0"/>
          <w:i w:val="0"/>
        </w:rPr>
        <w:t>Hàng đã nhận, nghiệm thu, 114</w:t>
      </w:r>
    </w:p>
    <w:p>
      <w:pPr>
        <w:spacing w:after="80"/>
        <w:ind w:left="720"/>
      </w:pPr>
      <w:r>
        <w:rPr>
          <w:b w:val="0"/>
          <w:i w:val="0"/>
        </w:rPr>
        <w:t>Kế hoạch Tuân thủ Hợp đồng Chính phủ (GCCP), cách sử dụng, 193</w:t>
      </w:r>
    </w:p>
    <w:p>
      <w:pPr>
        <w:spacing w:after="80"/>
        <w:ind w:left="720"/>
      </w:pPr>
      <w:r>
        <w:rPr>
          <w:b w:val="0"/>
          <w:i w:val="0"/>
        </w:rPr>
        <w:t>Hợp đồng chính phủ</w:t>
      </w:r>
    </w:p>
    <w:p>
      <w:pPr>
        <w:spacing w:after="80"/>
        <w:ind w:left="1080"/>
      </w:pPr>
      <w:r>
        <w:rPr>
          <w:b w:val="0"/>
          <w:i w:val="0"/>
        </w:rPr>
        <w:t>các kiểm soát, 190</w:t>
      </w:r>
    </w:p>
    <w:p>
      <w:pPr>
        <w:spacing w:after="80"/>
        <w:ind w:left="1080"/>
      </w:pPr>
      <w:r>
        <w:rPr>
          <w:b w:val="0"/>
          <w:i w:val="0"/>
        </w:rPr>
        <w:t>kiểm soát nội bộ, ứng dụng, 189</w:t>
      </w:r>
    </w:p>
    <w:p>
      <w:pPr>
        <w:spacing w:after="80"/>
        <w:ind w:left="1080"/>
      </w:pPr>
      <w:r>
        <w:rPr>
          <w:b w:val="0"/>
          <w:i w:val="0"/>
        </w:rPr>
        <w:t>các chỉ số, 191</w:t>
      </w:r>
    </w:p>
    <w:p>
      <w:pPr>
        <w:spacing w:after="80"/>
        <w:ind w:left="1080"/>
      </w:pPr>
      <w:r>
        <w:rPr>
          <w:b w:val="0"/>
          <w:i w:val="0"/>
        </w:rPr>
        <w:t>quy trình, 189</w:t>
      </w:r>
    </w:p>
    <w:p>
      <w:pPr>
        <w:spacing w:after="80"/>
        <w:ind w:left="1080"/>
      </w:pPr>
      <w:r>
        <w:rPr>
          <w:b w:val="0"/>
          <w:i w:val="0"/>
        </w:rPr>
        <w:t>các quy trình con, 191</w:t>
      </w:r>
    </w:p>
    <w:p>
      <w:pPr>
        <w:spacing w:after="80"/>
        <w:ind w:left="720"/>
      </w:pPr>
      <w:r>
        <w:rPr>
          <w:b w:val="0"/>
          <w:i w:val="0"/>
        </w:rPr>
        <w:t>Thị trường xám, 302 –303</w:t>
      </w:r>
    </w:p>
    <w:p>
      <w:pPr>
        <w:spacing w:after="80"/>
        <w:ind w:left="720"/>
      </w:pPr>
      <w:r>
        <w:rPr>
          <w:b w:val="0"/>
          <w:i w:val="0"/>
        </w:rPr>
        <w:t>Tỷ suất lợi nhuận gộp trên vốn đầu tư (GMROI), 156</w:t>
      </w:r>
    </w:p>
    <w:p>
      <w:pPr>
        <w:spacing w:after="80"/>
        <w:ind w:left="360"/>
      </w:pPr>
      <w:r>
        <w:rPr>
          <w:b w:val="0"/>
          <w:i w:val="0"/>
        </w:rPr>
        <w:t>H</w:t>
      </w:r>
    </w:p>
    <w:p>
      <w:pPr>
        <w:spacing w:after="80"/>
        <w:ind w:left="720"/>
      </w:pPr>
      <w:r>
        <w:rPr>
          <w:b w:val="0"/>
          <w:i w:val="0"/>
        </w:rPr>
        <w:t>Quản lý vật liệu nguy hiểm, 170</w:t>
      </w:r>
    </w:p>
    <w:p>
      <w:pPr>
        <w:spacing w:after="80"/>
        <w:ind w:left="720"/>
      </w:pPr>
      <w:r>
        <w:rPr>
          <w:b w:val="0"/>
          <w:i w:val="0"/>
        </w:rPr>
        <w:t>Đạo luật Cung cấp và Trách nhiệm Giải trình Bảo hiểm Y tế (HIPAA), 211</w:t>
      </w:r>
    </w:p>
    <w:p>
      <w:pPr>
        <w:spacing w:after="80"/>
        <w:ind w:left="1080"/>
      </w:pPr>
      <w:r>
        <w:rPr>
          <w:b w:val="0"/>
          <w:i w:val="0"/>
        </w:rPr>
        <w:t>Quy tắc Bảo mật, 211</w:t>
      </w:r>
    </w:p>
    <w:p>
      <w:pPr>
        <w:spacing w:after="80"/>
        <w:ind w:left="720"/>
      </w:pPr>
      <w:r>
        <w:rPr>
          <w:b w:val="0"/>
          <w:i w:val="0"/>
        </w:rPr>
        <w:t>Quy tắc Bảo mật của Đạo luật Cung cấp và Trách nhiệm Giải trình Bảo hiểm Y tế (HSR), 137 –138, 145 , 207</w:t>
      </w:r>
    </w:p>
    <w:p>
      <w:pPr>
        <w:spacing w:after="80"/>
        <w:ind w:left="720"/>
      </w:pPr>
      <w:r>
        <w:rPr>
          <w:b w:val="0"/>
          <w:i w:val="0"/>
        </w:rPr>
        <w:t>Phòng ngừa rủi ro (Hedging), 94 –95</w:t>
      </w:r>
    </w:p>
    <w:p>
      <w:pPr>
        <w:spacing w:after="80"/>
        <w:ind w:left="720"/>
      </w:pPr>
      <w:r>
        <w:rPr>
          <w:b w:val="0"/>
          <w:i w:val="0"/>
        </w:rPr>
        <w:t>Thông số kỹ thuật cho các rủi ro được bảo vệ nghiêm ngặt (HPR), 287</w:t>
      </w:r>
    </w:p>
    <w:p>
      <w:pPr>
        <w:spacing w:after="80"/>
        <w:ind w:left="720"/>
      </w:pPr>
      <w:r>
        <w:rPr>
          <w:b w:val="0"/>
          <w:i w:val="0"/>
        </w:rPr>
        <w:t>Quy trình từ Tuyển dụng đến Nghỉ hưu (H2R), 133</w:t>
      </w:r>
    </w:p>
    <w:p>
      <w:pPr>
        <w:spacing w:after="80"/>
        <w:ind w:left="1080"/>
      </w:pPr>
      <w:r>
        <w:rPr>
          <w:b w:val="0"/>
          <w:i w:val="0"/>
        </w:rPr>
        <w:t>các bước quy trình cấp cao, 133</w:t>
      </w:r>
    </w:p>
    <w:p>
      <w:pPr>
        <w:spacing w:after="80"/>
        <w:ind w:left="1080"/>
      </w:pPr>
      <w:r>
        <w:rPr>
          <w:b w:val="0"/>
          <w:i w:val="0"/>
        </w:rPr>
        <w:t>kiểm soát nội bộ, ứng dụng, 136 –137</w:t>
      </w:r>
    </w:p>
    <w:p>
      <w:pPr>
        <w:spacing w:after="80"/>
        <w:ind w:left="1080"/>
      </w:pPr>
      <w:r>
        <w:rPr>
          <w:b w:val="0"/>
          <w:i w:val="0"/>
        </w:rPr>
        <w:t>các chỉ số, 135 –136</w:t>
      </w:r>
    </w:p>
    <w:p>
      <w:pPr>
        <w:spacing w:after="80"/>
        <w:ind w:left="1080"/>
      </w:pPr>
      <w:r>
        <w:rPr>
          <w:b w:val="0"/>
          <w:i w:val="0"/>
        </w:rPr>
        <w:t>các quy trình con, 137</w:t>
      </w:r>
    </w:p>
    <w:p>
      <w:pPr>
        <w:spacing w:after="80"/>
        <w:ind w:left="720"/>
      </w:pPr>
      <w:r>
        <w:rPr>
          <w:b w:val="0"/>
          <w:i w:val="0"/>
        </w:rPr>
        <w:t>Tuyển dụng/chấm dứt hợp đồng, 147 –148</w:t>
      </w:r>
    </w:p>
    <w:p>
      <w:pPr>
        <w:spacing w:after="80"/>
        <w:ind w:left="1080"/>
      </w:pPr>
      <w:r>
        <w:rPr>
          <w:b w:val="0"/>
          <w:i w:val="0"/>
        </w:rPr>
        <w:t>tiêu chuẩn kiểm soát nội bộ, 147 –148</w:t>
      </w:r>
    </w:p>
    <w:p>
      <w:pPr>
        <w:spacing w:after="80"/>
        <w:ind w:left="1080"/>
      </w:pPr>
      <w:r>
        <w:rPr>
          <w:b w:val="0"/>
          <w:i w:val="0"/>
        </w:rPr>
        <w:t>rủi ro, 148</w:t>
      </w:r>
    </w:p>
    <w:p>
      <w:pPr>
        <w:spacing w:after="80"/>
        <w:ind w:left="720"/>
      </w:pPr>
      <w:r>
        <w:rPr>
          <w:b w:val="0"/>
          <w:i w:val="0"/>
        </w:rPr>
        <w:t>Tài sản con người, 271</w:t>
      </w:r>
    </w:p>
    <w:p>
      <w:pPr>
        <w:spacing w:after="80"/>
        <w:ind w:left="720"/>
      </w:pPr>
      <w:r>
        <w:rPr>
          <w:b w:val="0"/>
          <w:i w:val="0"/>
        </w:rPr>
        <w:t>Nguồn nhân lực (Human Resources - HR), 136</w:t>
      </w:r>
    </w:p>
    <w:p>
      <w:pPr>
        <w:spacing w:after="80"/>
        <w:ind w:left="1080"/>
      </w:pPr>
      <w:r>
        <w:rPr>
          <w:b w:val="0"/>
          <w:i w:val="0"/>
        </w:rPr>
        <w:t>quản lý, 145</w:t>
      </w:r>
    </w:p>
    <w:p>
      <w:pPr>
        <w:spacing w:after="80"/>
        <w:ind w:left="1080"/>
      </w:pPr>
      <w:r>
        <w:rPr>
          <w:b w:val="0"/>
          <w:i w:val="0"/>
        </w:rPr>
        <w:t>các giải pháp tự động hóa bảng lương, 134</w:t>
      </w:r>
    </w:p>
    <w:p>
      <w:pPr>
        <w:spacing w:after="80"/>
        <w:ind w:left="1080"/>
      </w:pPr>
      <w:r>
        <w:rPr>
          <w:b w:val="0"/>
          <w:i w:val="0"/>
        </w:rPr>
        <w:t>lập kế hoạch, 133</w:t>
      </w:r>
    </w:p>
    <w:p>
      <w:pPr>
        <w:spacing w:after="80"/>
        <w:ind w:left="1080"/>
      </w:pPr>
      <w:r>
        <w:rPr>
          <w:b w:val="0"/>
          <w:i w:val="0"/>
        </w:rPr>
        <w:t>các chính sách, 145</w:t>
      </w:r>
    </w:p>
    <w:p>
      <w:pPr>
        <w:spacing w:after="80"/>
        <w:ind w:left="1080"/>
      </w:pPr>
      <w:r>
        <w:rPr>
          <w:b w:val="0"/>
          <w:i w:val="0"/>
        </w:rPr>
        <w:t>trách nhiệm, 146</w:t>
      </w:r>
    </w:p>
    <w:p>
      <w:pPr>
        <w:spacing w:after="80"/>
        <w:ind w:left="720"/>
      </w:pPr>
      <w:r>
        <w:rPr>
          <w:b w:val="0"/>
          <w:i/>
        </w:rPr>
        <w:t>Thuật ngữ Nguồn nhân lực</w:t>
      </w:r>
      <w:r>
        <w:rPr>
          <w:b w:val="0"/>
          <w:i w:val="0"/>
        </w:rPr>
        <w:t xml:space="preserve"> , </w:t>
      </w:r>
      <w:r>
        <w:rPr>
          <w:b w:val="0"/>
          <w:i/>
        </w:rPr>
        <w:t>The</w:t>
      </w:r>
      <w:r>
        <w:rPr>
          <w:b w:val="0"/>
          <w:i w:val="0"/>
        </w:rPr>
        <w:t xml:space="preserve"> (Tracey), 136</w:t>
      </w:r>
    </w:p>
    <w:p>
      <w:pPr>
        <w:spacing w:after="80"/>
        <w:ind w:left="360"/>
      </w:pPr>
      <w:r>
        <w:rPr>
          <w:b w:val="0"/>
          <w:i w:val="0"/>
        </w:rPr>
        <w:t>I</w:t>
      </w:r>
    </w:p>
    <w:p>
      <w:pPr>
        <w:spacing w:after="80"/>
        <w:ind w:left="720"/>
      </w:pPr>
      <w:r>
        <w:rPr>
          <w:b w:val="0"/>
          <w:i w:val="0"/>
        </w:rPr>
        <w:t>Kiểm soát nhập khẩu, 111 –113</w:t>
      </w:r>
    </w:p>
    <w:p>
      <w:pPr>
        <w:spacing w:after="80"/>
        <w:ind w:left="1080"/>
      </w:pPr>
      <w:r>
        <w:rPr>
          <w:b w:val="0"/>
          <w:i w:val="0"/>
        </w:rPr>
        <w:t>tiêu chuẩn kiểm soát nội bộ, 112 –113</w:t>
      </w:r>
    </w:p>
    <w:p>
      <w:pPr>
        <w:spacing w:after="80"/>
        <w:ind w:left="1080"/>
      </w:pPr>
      <w:r>
        <w:rPr>
          <w:b w:val="0"/>
          <w:i w:val="0"/>
        </w:rPr>
        <w:t>rủi ro, 113</w:t>
      </w:r>
    </w:p>
    <w:p>
      <w:pPr>
        <w:spacing w:after="80"/>
        <w:ind w:left="720"/>
      </w:pPr>
      <w:r>
        <w:rPr>
          <w:b w:val="0"/>
          <w:i w:val="0"/>
        </w:rPr>
        <w:t>Thông tin</w:t>
      </w:r>
    </w:p>
    <w:p>
      <w:pPr>
        <w:spacing w:after="80"/>
        <w:ind w:left="1080"/>
      </w:pPr>
      <w:r>
        <w:rPr>
          <w:b w:val="0"/>
          <w:i w:val="0"/>
        </w:rPr>
        <w:t>quyền truy cập, 83</w:t>
      </w:r>
    </w:p>
    <w:p>
      <w:pPr>
        <w:spacing w:after="80"/>
        <w:ind w:left="1080"/>
      </w:pPr>
      <w:r>
        <w:rPr>
          <w:b w:val="0"/>
          <w:i w:val="0"/>
        </w:rPr>
        <w:t>thành phần ERM, 30</w:t>
      </w:r>
    </w:p>
    <w:p>
      <w:pPr>
        <w:spacing w:after="80"/>
        <w:ind w:left="1080"/>
      </w:pPr>
      <w:r>
        <w:rPr>
          <w:b w:val="0"/>
          <w:i w:val="0"/>
        </w:rPr>
        <w:t>thành phần của hệ thống kiểm soát nội bộ, 21</w:t>
      </w:r>
    </w:p>
    <w:p>
      <w:pPr>
        <w:spacing w:after="80"/>
        <w:ind w:left="720"/>
      </w:pPr>
      <w:r>
        <w:rPr>
          <w:b w:val="0"/>
          <w:i w:val="0"/>
        </w:rPr>
        <w:t>Quản lý thông tin, 207</w:t>
      </w:r>
    </w:p>
    <w:p>
      <w:pPr>
        <w:spacing w:after="80"/>
        <w:ind w:left="1080"/>
      </w:pPr>
      <w:r>
        <w:rPr>
          <w:b w:val="0"/>
          <w:i w:val="0"/>
        </w:rPr>
        <w:t>kiểm soát nội bộ, ứng dụng, 209 –210</w:t>
      </w:r>
    </w:p>
    <w:p>
      <w:pPr>
        <w:spacing w:after="80"/>
        <w:ind w:left="1080"/>
      </w:pPr>
      <w:r>
        <w:rPr>
          <w:b w:val="0"/>
          <w:i w:val="0"/>
        </w:rPr>
        <w:t>các chỉ số, 209</w:t>
      </w:r>
    </w:p>
    <w:p>
      <w:pPr>
        <w:spacing w:after="80"/>
        <w:ind w:left="1080"/>
      </w:pPr>
      <w:r>
        <w:rPr>
          <w:b w:val="0"/>
          <w:i w:val="0"/>
        </w:rPr>
        <w:t>quy trình, 207</w:t>
      </w:r>
    </w:p>
    <w:p>
      <w:pPr>
        <w:spacing w:after="80"/>
        <w:ind w:left="1080"/>
      </w:pPr>
      <w:r>
        <w:rPr>
          <w:b w:val="0"/>
          <w:i w:val="0"/>
        </w:rPr>
        <w:t>quy trình con, 211</w:t>
      </w:r>
    </w:p>
    <w:p>
      <w:pPr>
        <w:spacing w:after="80"/>
        <w:ind w:left="1080"/>
      </w:pPr>
      <w:r>
        <w:rPr>
          <w:b w:val="0"/>
          <w:i w:val="0"/>
        </w:rPr>
        <w:t>hệ thống/công cụ, 126</w:t>
      </w:r>
    </w:p>
    <w:p>
      <w:pPr>
        <w:spacing w:after="80"/>
        <w:ind w:left="720"/>
      </w:pPr>
      <w:r>
        <w:rPr>
          <w:b w:val="0"/>
          <w:i w:val="0"/>
        </w:rPr>
        <w:t>Hiệp hội Kiểm toán và Kiểm soát Hệ thống Thông tin (ISACA), 23</w:t>
      </w:r>
    </w:p>
    <w:p>
      <w:pPr>
        <w:spacing w:after="80"/>
        <w:ind w:left="720"/>
      </w:pPr>
      <w:r>
        <w:rPr>
          <w:b w:val="0"/>
          <w:i w:val="0"/>
        </w:rPr>
        <w:t>Công nghệ thông tin (IT)</w:t>
      </w:r>
    </w:p>
    <w:p>
      <w:pPr>
        <w:spacing w:after="80"/>
        <w:ind w:left="1080"/>
      </w:pPr>
      <w:r>
        <w:rPr>
          <w:b w:val="0"/>
          <w:i w:val="0"/>
        </w:rPr>
        <w:t>kế hoạch duy trì hoạt động kinh doanh liên tục, phát triển, 255</w:t>
      </w:r>
    </w:p>
    <w:p>
      <w:pPr>
        <w:spacing w:after="80"/>
        <w:ind w:left="1080"/>
      </w:pPr>
      <w:r>
        <w:rPr>
          <w:b w:val="0"/>
          <w:i w:val="0"/>
        </w:rPr>
        <w:t>các chính sách/hoạt động, 219 , 221</w:t>
      </w:r>
    </w:p>
    <w:p>
      <w:pPr>
        <w:spacing w:after="80"/>
        <w:ind w:left="1080"/>
      </w:pPr>
      <w:r>
        <w:rPr>
          <w:b w:val="0"/>
          <w:i w:val="0"/>
        </w:rPr>
        <w:t>hệ thống, các thay đổi, 248</w:t>
      </w:r>
    </w:p>
    <w:p>
      <w:pPr>
        <w:spacing w:after="80"/>
        <w:ind w:left="720"/>
      </w:pPr>
      <w:r>
        <w:rPr>
          <w:b w:val="0"/>
          <w:i w:val="0"/>
        </w:rPr>
        <w:t>Kiểm soát đầu vào, 259 –260</w:t>
      </w:r>
    </w:p>
    <w:p>
      <w:pPr>
        <w:spacing w:after="80"/>
        <w:ind w:left="1080"/>
      </w:pPr>
      <w:r>
        <w:rPr>
          <w:b w:val="0"/>
          <w:i w:val="0"/>
        </w:rPr>
        <w:t>tiêu chuẩn kiểm soát nội bộ, 259</w:t>
      </w:r>
    </w:p>
    <w:p>
      <w:pPr>
        <w:spacing w:after="80"/>
        <w:ind w:left="1080"/>
      </w:pPr>
      <w:r>
        <w:rPr>
          <w:b w:val="0"/>
          <w:i w:val="0"/>
        </w:rPr>
        <w:t>rủi ro, 260</w:t>
      </w:r>
    </w:p>
    <w:p>
      <w:pPr>
        <w:spacing w:after="80"/>
        <w:ind w:left="720"/>
      </w:pPr>
      <w:r>
        <w:rPr>
          <w:b w:val="0"/>
          <w:i w:val="0"/>
        </w:rPr>
        <w:t>Viện Đạo đức Kinh doanh, quy tắc ứng xử, 39 –40</w:t>
      </w:r>
    </w:p>
    <w:p>
      <w:pPr>
        <w:spacing w:after="80"/>
        <w:ind w:left="720"/>
      </w:pPr>
      <w:r>
        <w:rPr>
          <w:b w:val="0"/>
          <w:i w:val="0"/>
        </w:rPr>
        <w:t>khảo sát của Viện Tài chính &amp; Quản lý (IOFM), 173</w:t>
      </w:r>
    </w:p>
    <w:p>
      <w:pPr>
        <w:spacing w:after="80"/>
        <w:ind w:left="720"/>
      </w:pPr>
      <w:r>
        <w:rPr>
          <w:b w:val="0"/>
          <w:i w:val="0"/>
        </w:rPr>
        <w:t>Viện Kiểm toán Nội bộ (IIA), định nghĩa CSA, 36</w:t>
      </w:r>
    </w:p>
    <w:p>
      <w:pPr>
        <w:spacing w:after="80"/>
        <w:ind w:left="720"/>
      </w:pPr>
      <w:r>
        <w:rPr>
          <w:b w:val="0"/>
          <w:i w:val="0"/>
        </w:rPr>
        <w:t>Institute of Management Accountants (IMA), 20</w:t>
      </w:r>
    </w:p>
    <w:p>
      <w:pPr>
        <w:spacing w:after="80"/>
        <w:ind w:left="720"/>
      </w:pPr>
      <w:r>
        <w:rPr>
          <w:b w:val="0"/>
          <w:i w:val="0"/>
        </w:rPr>
        <w:t>Bảo hiểm, 288 –290</w:t>
      </w:r>
    </w:p>
    <w:p>
      <w:pPr>
        <w:spacing w:after="80"/>
        <w:ind w:left="1080"/>
      </w:pPr>
      <w:r>
        <w:rPr>
          <w:b w:val="0"/>
          <w:i w:val="0"/>
        </w:rPr>
        <w:t>tiêu chuẩn kiểm soát nội bộ, 289</w:t>
      </w:r>
    </w:p>
    <w:p>
      <w:pPr>
        <w:spacing w:after="80"/>
        <w:ind w:left="1080"/>
      </w:pPr>
      <w:r>
        <w:rPr>
          <w:b w:val="0"/>
          <w:i w:val="0"/>
        </w:rPr>
        <w:t>rủi ro, 289 –290</w:t>
      </w:r>
    </w:p>
    <w:p>
      <w:pPr>
        <w:spacing w:after="80"/>
        <w:ind w:left="720"/>
      </w:pPr>
      <w:r>
        <w:rPr>
          <w:b w:val="0"/>
          <w:i w:val="0"/>
        </w:rPr>
        <w:t>Quy trình bảo hiểm, 285</w:t>
      </w:r>
    </w:p>
    <w:p>
      <w:pPr>
        <w:spacing w:after="80"/>
        <w:ind w:left="1080"/>
      </w:pPr>
      <w:r>
        <w:rPr>
          <w:b w:val="0"/>
          <w:i w:val="0"/>
        </w:rPr>
        <w:t>bảo hiểm/duy trì hoạt động liên tục, 286</w:t>
      </w:r>
    </w:p>
    <w:p>
      <w:pPr>
        <w:spacing w:after="80"/>
        <w:ind w:left="1080"/>
      </w:pPr>
      <w:r>
        <w:rPr>
          <w:b w:val="0"/>
          <w:i w:val="0"/>
        </w:rPr>
        <w:t>kiểm soát nội bộ, ứng dụng, 287</w:t>
      </w:r>
    </w:p>
    <w:p>
      <w:pPr>
        <w:spacing w:after="80"/>
        <w:ind w:left="1080"/>
      </w:pPr>
      <w:r>
        <w:rPr>
          <w:b w:val="0"/>
          <w:i w:val="0"/>
        </w:rPr>
        <w:t>các chỉ số, 285 , 287</w:t>
      </w:r>
    </w:p>
    <w:p>
      <w:pPr>
        <w:spacing w:after="80"/>
        <w:ind w:left="1080"/>
      </w:pPr>
      <w:r>
        <w:rPr>
          <w:b w:val="0"/>
          <w:i w:val="0"/>
        </w:rPr>
        <w:t>các quy trình con, 287</w:t>
      </w:r>
    </w:p>
    <w:p>
      <w:pPr>
        <w:spacing w:after="80"/>
        <w:ind w:left="720"/>
      </w:pPr>
      <w:r>
        <w:rPr>
          <w:b w:val="0"/>
          <w:i w:val="0"/>
        </w:rPr>
        <w:t>Tài sản trí tuệ, 271</w:t>
      </w:r>
    </w:p>
    <w:p>
      <w:pPr>
        <w:spacing w:after="80"/>
        <w:ind w:left="720"/>
      </w:pPr>
      <w:r>
        <w:rPr>
          <w:b w:val="0"/>
          <w:i w:val="0"/>
        </w:rPr>
        <w:t>Sở hữu trí tuệ</w:t>
      </w:r>
    </w:p>
    <w:p>
      <w:pPr>
        <w:spacing w:after="80"/>
        <w:ind w:left="1080"/>
      </w:pPr>
      <w:r>
        <w:rPr>
          <w:b w:val="0"/>
          <w:i w:val="0"/>
        </w:rPr>
        <w:t>chỉ số, 273</w:t>
      </w:r>
    </w:p>
    <w:p>
      <w:pPr>
        <w:spacing w:after="80"/>
        <w:ind w:left="1080"/>
      </w:pPr>
      <w:r>
        <w:rPr>
          <w:b w:val="0"/>
          <w:i w:val="0"/>
        </w:rPr>
        <w:t>bảo vệ, 109 , 126</w:t>
      </w:r>
    </w:p>
    <w:p>
      <w:pPr>
        <w:spacing w:after="80"/>
        <w:ind w:left="720"/>
      </w:pPr>
      <w:r>
        <w:rPr>
          <w:b w:val="0"/>
          <w:i w:val="0"/>
        </w:rPr>
        <w:t>Sở hữu trí tuệ, bảo vệ, 281 –283</w:t>
      </w:r>
    </w:p>
    <w:p>
      <w:pPr>
        <w:spacing w:after="80"/>
        <w:ind w:left="1080"/>
      </w:pPr>
      <w:r>
        <w:rPr>
          <w:b w:val="0"/>
          <w:i w:val="0"/>
        </w:rPr>
        <w:t>tiêu chuẩn kiểm soát nội bộ, 281 –282</w:t>
      </w:r>
    </w:p>
    <w:p>
      <w:pPr>
        <w:spacing w:after="80"/>
        <w:ind w:left="1080"/>
      </w:pPr>
      <w:r>
        <w:rPr>
          <w:b w:val="0"/>
          <w:i w:val="0"/>
        </w:rPr>
        <w:t>rủi ro, 282 –283</w:t>
      </w:r>
    </w:p>
    <w:p>
      <w:pPr>
        <w:spacing w:after="80"/>
        <w:ind w:left="720"/>
      </w:pPr>
      <w:r>
        <w:rPr>
          <w:b w:val="0"/>
          <w:i w:val="0"/>
        </w:rPr>
        <w:t>Giao dịch giữa các công ty, 178 –180</w:t>
      </w:r>
    </w:p>
    <w:p>
      <w:pPr>
        <w:spacing w:after="80"/>
        <w:ind w:left="1080"/>
      </w:pPr>
      <w:r>
        <w:rPr>
          <w:b w:val="0"/>
          <w:i w:val="0"/>
        </w:rPr>
        <w:t>tiêu chuẩn kiểm soát nội bộ, 179</w:t>
      </w:r>
    </w:p>
    <w:p>
      <w:pPr>
        <w:spacing w:after="80"/>
        <w:ind w:left="1080"/>
      </w:pPr>
      <w:r>
        <w:rPr>
          <w:b w:val="0"/>
          <w:i w:val="0"/>
        </w:rPr>
        <w:t>rủi ro, 180</w:t>
      </w:r>
    </w:p>
    <w:p>
      <w:pPr>
        <w:spacing w:after="80"/>
        <w:ind w:left="720"/>
      </w:pPr>
      <w:r>
        <w:rPr>
          <w:b w:val="0"/>
          <w:i w:val="0"/>
        </w:rPr>
        <w:t>Lệnh công việc giữa các bộ phận (IWO), cách sử dụng, 194</w:t>
      </w:r>
    </w:p>
    <w:p>
      <w:pPr>
        <w:spacing w:after="80"/>
        <w:ind w:left="720"/>
      </w:pPr>
      <w:r>
        <w:rPr>
          <w:b w:val="0"/>
          <w:i w:val="0"/>
        </w:rPr>
        <w:t>An ninh nội bộ, 279 –281</w:t>
      </w:r>
    </w:p>
    <w:p>
      <w:pPr>
        <w:spacing w:after="80"/>
        <w:ind w:left="1080"/>
      </w:pPr>
      <w:r>
        <w:rPr>
          <w:b w:val="0"/>
          <w:i w:val="0"/>
        </w:rPr>
        <w:t>tiêu chuẩn kiểm soát nội bộ, 279 –280</w:t>
      </w:r>
    </w:p>
    <w:p>
      <w:pPr>
        <w:spacing w:after="80"/>
        <w:ind w:left="1080"/>
      </w:pPr>
      <w:r>
        <w:rPr>
          <w:b w:val="0"/>
          <w:i w:val="0"/>
        </w:rPr>
        <w:t>rủi ro, 281</w:t>
      </w:r>
    </w:p>
    <w:p>
      <w:pPr>
        <w:spacing w:after="80"/>
        <w:ind w:left="720"/>
      </w:pPr>
      <w:r>
        <w:rPr>
          <w:b w:val="0"/>
          <w:i w:val="0"/>
        </w:rPr>
        <w:t xml:space="preserve">Kiểm soát nội bộ </w:t>
      </w:r>
      <w:r>
        <w:rPr>
          <w:b w:val="0"/>
          <w:i/>
        </w:rPr>
        <w:t>—</w:t>
      </w:r>
      <w:r>
        <w:rPr>
          <w:b w:val="0"/>
          <w:i w:val="0"/>
        </w:rPr>
        <w:t xml:space="preserve"> Khuôn khổ tích hợp (1992, 2013), 20 –22</w:t>
      </w:r>
    </w:p>
    <w:p>
      <w:pPr>
        <w:spacing w:after="80"/>
        <w:ind w:left="720"/>
      </w:pPr>
      <w:r>
        <w:rPr>
          <w:b w:val="0"/>
          <w:i/>
        </w:rPr>
        <w:t>Kiểm soát nội bộ — Khuôn khổ tích hợp</w:t>
      </w:r>
      <w:r>
        <w:rPr>
          <w:b w:val="0"/>
          <w:i w:val="0"/>
        </w:rPr>
        <w:t xml:space="preserve"> (ấn phẩm của COSO), 29</w:t>
      </w:r>
    </w:p>
    <w:p>
      <w:pPr>
        <w:spacing w:after="80"/>
        <w:ind w:left="720"/>
      </w:pPr>
      <w:r>
        <w:rPr>
          <w:b w:val="0"/>
          <w:i w:val="0"/>
        </w:rPr>
        <w:t>Kiểm soát nội bộ, 32 –33</w:t>
      </w:r>
    </w:p>
    <w:p>
      <w:pPr>
        <w:spacing w:after="80"/>
        <w:ind w:left="1080"/>
      </w:pPr>
      <w:r>
        <w:rPr>
          <w:b w:val="0"/>
          <w:i w:val="0"/>
        </w:rPr>
        <w:t>bối cảnh, 11 , 17 –27</w:t>
      </w:r>
    </w:p>
    <w:p>
      <w:pPr>
        <w:spacing w:after="80"/>
        <w:ind w:left="1080"/>
      </w:pPr>
      <w:r>
        <w:rPr>
          <w:b w:val="0"/>
          <w:i w:val="0"/>
        </w:rPr>
        <w:t>tuân thủ, 105 , 174 , 190 , 208</w:t>
      </w:r>
    </w:p>
    <w:p>
      <w:pPr>
        <w:spacing w:after="80"/>
        <w:ind w:left="1440"/>
      </w:pPr>
      <w:r>
        <w:rPr>
          <w:b w:val="0"/>
          <w:i w:val="0"/>
        </w:rPr>
        <w:t>mối quan hệ, 102</w:t>
      </w:r>
    </w:p>
    <w:p>
      <w:pPr>
        <w:spacing w:after="80"/>
        <w:ind w:left="1080"/>
      </w:pPr>
      <w:r>
        <w:rPr>
          <w:b w:val="0"/>
          <w:i w:val="0"/>
        </w:rPr>
        <w:t>cơ chế kiểm soát, 33 –35</w:t>
      </w:r>
    </w:p>
    <w:p>
      <w:pPr>
        <w:spacing w:after="80"/>
        <w:ind w:left="1080"/>
      </w:pPr>
      <w:r>
        <w:rPr>
          <w:b w:val="0"/>
          <w:i w:val="0"/>
        </w:rPr>
        <w:t>kiểm soát cấp công ty, 15 –17</w:t>
      </w:r>
    </w:p>
    <w:p>
      <w:pPr>
        <w:spacing w:after="80"/>
        <w:ind w:left="1080"/>
      </w:pPr>
      <w:r>
        <w:rPr>
          <w:b w:val="0"/>
          <w:i w:val="0"/>
        </w:rPr>
        <w:t>điểm yếu, 22</w:t>
      </w:r>
    </w:p>
    <w:p>
      <w:pPr>
        <w:spacing w:after="80"/>
        <w:ind w:left="1080"/>
      </w:pPr>
      <w:r>
        <w:rPr>
          <w:b w:val="0"/>
          <w:i w:val="0"/>
        </w:rPr>
        <w:t>hiệu quả, các yếu tố, 14 –15</w:t>
      </w:r>
    </w:p>
    <w:p>
      <w:pPr>
        <w:spacing w:after="80"/>
        <w:ind w:left="1080"/>
      </w:pPr>
      <w:r>
        <w:rPr>
          <w:b w:val="0"/>
          <w:i w:val="0"/>
        </w:rPr>
        <w:t>đánh giá, 37</w:t>
      </w:r>
    </w:p>
    <w:p>
      <w:pPr>
        <w:spacing w:after="80"/>
        <w:ind w:left="1080"/>
      </w:pPr>
      <w:r>
        <w:rPr>
          <w:b w:val="0"/>
          <w:i w:val="0"/>
        </w:rPr>
        <w:t>vai trò/trách nhiệm của người đánh giá, 23</w:t>
      </w:r>
    </w:p>
    <w:p>
      <w:pPr>
        <w:spacing w:after="80"/>
        <w:ind w:left="1080"/>
      </w:pPr>
      <w:r>
        <w:rPr>
          <w:b w:val="0"/>
          <w:i w:val="0"/>
        </w:rPr>
        <w:t>khung, các thành phần, 21</w:t>
      </w:r>
    </w:p>
    <w:p>
      <w:pPr>
        <w:spacing w:after="80"/>
        <w:ind w:left="1080"/>
      </w:pPr>
      <w:r>
        <w:rPr>
          <w:b w:val="0"/>
          <w:i w:val="0"/>
        </w:rPr>
        <w:t>phòng chống gian lận, 2 –4</w:t>
      </w:r>
    </w:p>
    <w:p>
      <w:pPr>
        <w:spacing w:after="80"/>
        <w:ind w:left="1080"/>
      </w:pPr>
      <w:r>
        <w:rPr>
          <w:b w:val="0"/>
          <w:i w:val="0"/>
        </w:rPr>
        <w:t>các tiêu chuẩn chung, 7 –8</w:t>
      </w:r>
    </w:p>
    <w:p>
      <w:pPr>
        <w:spacing w:after="80"/>
        <w:ind w:left="1080"/>
      </w:pPr>
      <w:r>
        <w:rPr>
          <w:b w:val="0"/>
          <w:i w:val="0"/>
        </w:rPr>
        <w:t>mục tiêu/thách thức, 11</w:t>
      </w:r>
    </w:p>
    <w:p>
      <w:pPr>
        <w:spacing w:after="80"/>
        <w:ind w:left="1080"/>
      </w:pPr>
      <w:r>
        <w:rPr>
          <w:b w:val="0"/>
          <w:i w:val="0"/>
        </w:rPr>
        <w:t>lịch sử, 17 –27</w:t>
      </w:r>
    </w:p>
    <w:p>
      <w:pPr>
        <w:spacing w:after="80"/>
        <w:ind w:left="1080"/>
      </w:pPr>
      <w:r>
        <w:rPr>
          <w:b w:val="0"/>
          <w:i w:val="0"/>
        </w:rPr>
        <w:t>các kiểm soát chính, tiêu chuẩn (cập nhật), 38</w:t>
      </w:r>
    </w:p>
    <w:p>
      <w:pPr>
        <w:spacing w:after="80"/>
        <w:ind w:left="1080"/>
      </w:pPr>
      <w:r>
        <w:rPr>
          <w:b w:val="0"/>
          <w:i w:val="0"/>
        </w:rPr>
        <w:t>các mục tiêu, 32 –33</w:t>
      </w:r>
    </w:p>
    <w:p>
      <w:pPr>
        <w:spacing w:after="80"/>
        <w:ind w:left="1080"/>
      </w:pPr>
      <w:r>
        <w:rPr>
          <w:b w:val="0"/>
          <w:i w:val="0"/>
        </w:rPr>
        <w:t>kiểm soát nội bộ dựa trên rủi ro, 12 –14</w:t>
      </w:r>
    </w:p>
    <w:p>
      <w:pPr>
        <w:spacing w:after="80"/>
        <w:ind w:left="1080"/>
      </w:pPr>
      <w:r>
        <w:rPr>
          <w:b w:val="0"/>
          <w:i w:val="0"/>
        </w:rPr>
        <w:t>hệ thống, 14 , 21</w:t>
      </w:r>
    </w:p>
    <w:p>
      <w:pPr>
        <w:spacing w:after="80"/>
        <w:ind w:left="1080"/>
      </w:pPr>
      <w:r>
        <w:rPr>
          <w:b w:val="0"/>
          <w:i w:val="0"/>
        </w:rPr>
        <w:t>các hệ thống, hướng dẫn giám sát (2009), 32</w:t>
      </w:r>
    </w:p>
    <w:p>
      <w:pPr>
        <w:spacing w:after="80"/>
        <w:ind w:left="1080"/>
      </w:pPr>
      <w:r>
        <w:rPr>
          <w:b w:val="0"/>
          <w:i w:val="0"/>
        </w:rPr>
        <w:t>bộ công cụ, 1 , 5 , 8 –9</w:t>
      </w:r>
    </w:p>
    <w:p>
      <w:pPr>
        <w:spacing w:after="80"/>
        <w:ind w:left="1080"/>
      </w:pPr>
      <w:r>
        <w:rPr>
          <w:b w:val="0"/>
          <w:i w:val="0"/>
        </w:rPr>
        <w:t>các loại, 33 –35</w:t>
      </w:r>
    </w:p>
    <w:p>
      <w:pPr>
        <w:spacing w:after="80"/>
        <w:ind w:left="720"/>
      </w:pPr>
      <w:r>
        <w:rPr>
          <w:b w:val="0"/>
          <w:i w:val="0"/>
        </w:rPr>
        <w:t>Kiểm soát nội bộ, ứng dụng, 51</w:t>
      </w:r>
    </w:p>
    <w:p>
      <w:pPr>
        <w:spacing w:after="80"/>
        <w:ind w:left="1080"/>
      </w:pPr>
      <w:r>
        <w:rPr>
          <w:b w:val="0"/>
          <w:i w:val="0"/>
        </w:rPr>
        <w:t>dịch vụ khách hàng, 299</w:t>
      </w:r>
    </w:p>
    <w:p>
      <w:pPr>
        <w:spacing w:after="80"/>
        <w:ind w:left="1080"/>
      </w:pPr>
      <w:r>
        <w:rPr>
          <w:b w:val="0"/>
          <w:i w:val="0"/>
        </w:rPr>
        <w:t>kiểm soát cấp thực thể (entity-level controls), 327 –328</w:t>
      </w:r>
    </w:p>
    <w:p>
      <w:pPr>
        <w:spacing w:after="80"/>
        <w:ind w:left="1080"/>
      </w:pPr>
      <w:r>
        <w:rPr>
          <w:b w:val="0"/>
          <w:i w:val="0"/>
        </w:rPr>
        <w:t>môi trường, sức khỏe và an toàn (environmental, health, and safety - EH&amp;S), 293</w:t>
      </w:r>
    </w:p>
    <w:p>
      <w:pPr>
        <w:spacing w:after="80"/>
        <w:ind w:left="1080"/>
      </w:pPr>
      <w:r>
        <w:rPr>
          <w:b w:val="0"/>
          <w:i w:val="0"/>
        </w:rPr>
        <w:t>kiểm soát xuất khẩu (export controls), 57 –60</w:t>
      </w:r>
    </w:p>
    <w:p>
      <w:pPr>
        <w:spacing w:after="80"/>
        <w:ind w:left="1080"/>
      </w:pPr>
      <w:r>
        <w:rPr>
          <w:b w:val="0"/>
          <w:i w:val="0"/>
        </w:rPr>
        <w:t>hợp đồng chính phủ (government contracts), 189</w:t>
      </w:r>
    </w:p>
    <w:p>
      <w:pPr>
        <w:spacing w:after="80"/>
        <w:ind w:left="1080"/>
      </w:pPr>
      <w:r>
        <w:rPr>
          <w:b w:val="0"/>
          <w:i w:val="0"/>
        </w:rPr>
        <w:t>quy trình từ Tuyển dụng đến Nghỉ hưu (Hire to Retire - H2R), 136 –137</w:t>
      </w:r>
    </w:p>
    <w:p>
      <w:pPr>
        <w:spacing w:after="80"/>
        <w:ind w:left="1080"/>
      </w:pPr>
      <w:r>
        <w:rPr>
          <w:b w:val="0"/>
          <w:i w:val="0"/>
        </w:rPr>
        <w:t>quy trình từ Mua hàng đến Thanh toán (procure to pay - P2P), 103</w:t>
      </w:r>
    </w:p>
    <w:p>
      <w:pPr>
        <w:spacing w:after="80"/>
        <w:ind w:left="1080"/>
      </w:pPr>
      <w:r>
        <w:rPr>
          <w:b w:val="0"/>
          <w:i w:val="0"/>
        </w:rPr>
        <w:t>dịch vụ chuyên nghiệp (professional services), 311 –312</w:t>
      </w:r>
    </w:p>
    <w:p>
      <w:pPr>
        <w:spacing w:after="80"/>
        <w:ind w:left="1080"/>
      </w:pPr>
      <w:r>
        <w:rPr>
          <w:b w:val="0"/>
          <w:i w:val="0"/>
        </w:rPr>
        <w:t>quản lý hồ sơ/thông tin (records/information management), 209 –210</w:t>
      </w:r>
    </w:p>
    <w:p>
      <w:pPr>
        <w:spacing w:after="80"/>
        <w:ind w:left="1080"/>
      </w:pPr>
      <w:r>
        <w:rPr>
          <w:b w:val="0"/>
          <w:i w:val="0"/>
        </w:rPr>
        <w:t>từ Ghi nhận đến Báo cáo (Record to Report - R2R), 177</w:t>
      </w:r>
    </w:p>
    <w:p>
      <w:pPr>
        <w:spacing w:after="80"/>
        <w:ind w:left="1080"/>
      </w:pPr>
      <w:r>
        <w:rPr>
          <w:b w:val="0"/>
          <w:i w:val="0"/>
        </w:rPr>
        <w:t>kiểm soát nội bộ dựa trên rủi ro (risk-based internal controls), 14 –15</w:t>
      </w:r>
    </w:p>
    <w:p>
      <w:pPr>
        <w:spacing w:after="80"/>
        <w:ind w:left="1080"/>
      </w:pPr>
      <w:r>
        <w:rPr>
          <w:b w:val="0"/>
          <w:i w:val="0"/>
        </w:rPr>
        <w:t>chuỗi cung ứng (supply chain), 156</w:t>
      </w:r>
    </w:p>
    <w:p>
      <w:pPr>
        <w:spacing w:after="80"/>
        <w:ind w:left="1080"/>
      </w:pPr>
      <w:r>
        <w:rPr>
          <w:b w:val="0"/>
          <w:i w:val="0"/>
        </w:rPr>
        <w:t>quy trình Ngân quỹ (Treasury process), 87 –88</w:t>
      </w:r>
    </w:p>
    <w:p>
      <w:pPr>
        <w:spacing w:after="80"/>
        <w:ind w:left="720"/>
      </w:pPr>
      <w:r>
        <w:rPr>
          <w:b w:val="0"/>
          <w:i w:val="0"/>
        </w:rPr>
        <w:t>Vai trò/trách nhiệm về kiểm soát nội bộ (Internal controls roles/responsibilities), 44 –47, 331</w:t>
      </w:r>
    </w:p>
    <w:p>
      <w:pPr>
        <w:spacing w:after="80"/>
        <w:ind w:left="1080"/>
      </w:pPr>
      <w:r>
        <w:rPr>
          <w:b w:val="0"/>
          <w:i w:val="0"/>
        </w:rPr>
        <w:t>tiêu chuẩn kiểm soát nội bộ (internal control standard), 332 –333</w:t>
      </w:r>
    </w:p>
    <w:p>
      <w:pPr>
        <w:spacing w:after="80"/>
        <w:ind w:left="1080"/>
      </w:pPr>
      <w:r>
        <w:rPr>
          <w:b w:val="0"/>
          <w:i w:val="0"/>
        </w:rPr>
        <w:t>rủi ro (risk), 333</w:t>
      </w:r>
    </w:p>
    <w:p>
      <w:pPr>
        <w:spacing w:after="80"/>
        <w:ind w:left="1080"/>
      </w:pPr>
      <w:r>
        <w:rPr>
          <w:b w:val="0"/>
          <w:i w:val="0"/>
        </w:rPr>
        <w:t>các tiêu chuẩn, 211 –213</w:t>
      </w:r>
    </w:p>
    <w:p>
      <w:pPr>
        <w:spacing w:after="80"/>
        <w:ind w:left="720"/>
      </w:pPr>
      <w:r>
        <w:rPr>
          <w:b w:val="0"/>
          <w:i w:val="0"/>
        </w:rPr>
        <w:t>Các tiêu chuẩn kiểm soát nội bộ (ICS), 5 –7, 58 –60, 274 –277</w:t>
      </w:r>
    </w:p>
    <w:p>
      <w:pPr>
        <w:spacing w:after="80"/>
        <w:ind w:left="1080"/>
      </w:pPr>
      <w:r>
        <w:rPr>
          <w:b w:val="0"/>
          <w:i w:val="0"/>
        </w:rPr>
        <w:t>các khoản phải thu (AR), 73 –74</w:t>
      </w:r>
    </w:p>
    <w:p>
      <w:pPr>
        <w:spacing w:after="80"/>
        <w:ind w:left="1080"/>
      </w:pPr>
      <w:r>
        <w:rPr>
          <w:b w:val="0"/>
          <w:i w:val="0"/>
        </w:rPr>
        <w:t>kiểm soát của ủy ban kiểm toán, 336 –338</w:t>
      </w:r>
    </w:p>
    <w:p>
      <w:pPr>
        <w:spacing w:after="80"/>
        <w:ind w:left="1080"/>
      </w:pPr>
      <w:r>
        <w:rPr>
          <w:b w:val="0"/>
          <w:i w:val="0"/>
        </w:rPr>
        <w:t>duy trì hoạt động liên tục (business continuity), 290</w:t>
      </w:r>
    </w:p>
    <w:p>
      <w:pPr>
        <w:spacing w:after="80"/>
        <w:ind w:left="1080"/>
      </w:pPr>
      <w:r>
        <w:rPr>
          <w:b w:val="0"/>
          <w:i w:val="0"/>
        </w:rPr>
        <w:t>quản lý trung tâm cuộc gọi (call center), 302 –303</w:t>
      </w:r>
    </w:p>
    <w:p>
      <w:pPr>
        <w:spacing w:after="80"/>
        <w:ind w:left="1080"/>
      </w:pPr>
      <w:r>
        <w:rPr>
          <w:b w:val="0"/>
          <w:i w:val="0"/>
        </w:rPr>
        <w:t>tuân thủ/sàng lọc tuân thủ (compliance/compliance screening), 329 –330</w:t>
      </w:r>
    </w:p>
    <w:p>
      <w:pPr>
        <w:spacing w:after="80"/>
        <w:ind w:left="1080"/>
      </w:pPr>
      <w:r>
        <w:rPr>
          <w:b w:val="0"/>
          <w:i w:val="0"/>
        </w:rPr>
        <w:t>kiểm soát truy cập máy tính, 234 –240</w:t>
      </w:r>
    </w:p>
    <w:p>
      <w:pPr>
        <w:spacing w:after="80"/>
        <w:ind w:left="1080"/>
      </w:pPr>
      <w:r>
        <w:rPr>
          <w:b w:val="0"/>
          <w:i w:val="0"/>
        </w:rPr>
        <w:t>tín dụng, 62 –64</w:t>
      </w:r>
    </w:p>
    <w:p>
      <w:pPr>
        <w:spacing w:after="80"/>
        <w:ind w:left="1080"/>
      </w:pPr>
      <w:r>
        <w:rPr>
          <w:b w:val="0"/>
          <w:i w:val="0"/>
        </w:rPr>
        <w:t>quản lý đơn hàng của khách hàng, 321 –323</w:t>
      </w:r>
    </w:p>
    <w:p>
      <w:pPr>
        <w:spacing w:after="80"/>
        <w:ind w:left="1080"/>
      </w:pPr>
      <w:r>
        <w:rPr>
          <w:b w:val="0"/>
          <w:i w:val="0"/>
        </w:rPr>
        <w:t>dịch vụ khách hàng, 300 –301</w:t>
      </w:r>
    </w:p>
    <w:p>
      <w:pPr>
        <w:spacing w:after="80"/>
        <w:ind w:left="1080"/>
      </w:pPr>
      <w:r>
        <w:rPr>
          <w:b w:val="0"/>
          <w:i w:val="0"/>
        </w:rPr>
        <w:t>quy trình phát triển, 5</w:t>
      </w:r>
    </w:p>
    <w:p>
      <w:pPr>
        <w:spacing w:after="80"/>
        <w:ind w:left="1080"/>
      </w:pPr>
      <w:r>
        <w:rPr>
          <w:b w:val="0"/>
          <w:i w:val="0"/>
        </w:rPr>
        <w:t>khôi phục sau thảm họa/lập kế hoạch dự phòng kinh doanh, 252 –259</w:t>
      </w:r>
    </w:p>
    <w:p>
      <w:pPr>
        <w:spacing w:after="80"/>
        <w:ind w:left="1080"/>
      </w:pPr>
      <w:r>
        <w:rPr>
          <w:b w:val="0"/>
          <w:i w:val="0"/>
        </w:rPr>
        <w:t>các tổ chức giáo dục, hợp đồng, 202</w:t>
      </w:r>
    </w:p>
    <w:p>
      <w:pPr>
        <w:spacing w:after="80"/>
        <w:ind w:left="1080"/>
      </w:pPr>
      <w:r>
        <w:rPr>
          <w:b w:val="0"/>
          <w:i w:val="0"/>
        </w:rPr>
        <w:t>kiểm soát quản lý thực thể, 334 –335</w:t>
      </w:r>
    </w:p>
    <w:p>
      <w:pPr>
        <w:spacing w:after="80"/>
        <w:ind w:left="1080"/>
      </w:pPr>
      <w:r>
        <w:rPr>
          <w:b w:val="0"/>
          <w:i w:val="0"/>
        </w:rPr>
        <w:t>môi trường, sức khỏe và an toàn (EH&amp;S), 294</w:t>
      </w:r>
    </w:p>
    <w:p>
      <w:pPr>
        <w:spacing w:after="80"/>
        <w:ind w:left="1080"/>
      </w:pPr>
      <w:r>
        <w:rPr>
          <w:b w:val="0"/>
          <w:i w:val="0"/>
        </w:rPr>
        <w:t>tích lũy thông tin tài chính, 180 –181</w:t>
      </w:r>
    </w:p>
    <w:p>
      <w:pPr>
        <w:spacing w:after="80"/>
        <w:ind w:left="1080"/>
      </w:pPr>
      <w:r>
        <w:rPr>
          <w:b w:val="0"/>
          <w:i w:val="0"/>
        </w:rPr>
        <w:t>xử lý/báo cáo thông tin tài chính, 182 –185</w:t>
      </w:r>
    </w:p>
    <w:p>
      <w:pPr>
        <w:spacing w:after="80"/>
        <w:ind w:left="1080"/>
      </w:pPr>
      <w:r>
        <w:rPr>
          <w:b w:val="0"/>
          <w:i w:val="0"/>
        </w:rPr>
        <w:t>hoạt động huy động vốn, 91 –92</w:t>
      </w:r>
    </w:p>
    <w:p>
      <w:pPr>
        <w:spacing w:after="80"/>
        <w:ind w:left="1080"/>
      </w:pPr>
      <w:r>
        <w:rPr>
          <w:b w:val="0"/>
          <w:i w:val="0"/>
        </w:rPr>
        <w:t>tài sản cố định, 186 –188</w:t>
      </w:r>
    </w:p>
    <w:p>
      <w:pPr>
        <w:spacing w:after="80"/>
        <w:ind w:left="1080"/>
      </w:pPr>
      <w:r>
        <w:rPr>
          <w:b w:val="0"/>
          <w:i w:val="0"/>
        </w:rPr>
        <w:t>triển khai/sử dụng, thực hành, 6 –7</w:t>
      </w:r>
    </w:p>
    <w:p>
      <w:pPr>
        <w:spacing w:after="80"/>
        <w:ind w:left="1080"/>
      </w:pPr>
      <w:r>
        <w:rPr>
          <w:b w:val="0"/>
          <w:i w:val="0"/>
        </w:rPr>
        <w:t>kiểm soát nhập khẩu, 112 –113</w:t>
      </w:r>
    </w:p>
    <w:p>
      <w:pPr>
        <w:spacing w:after="80"/>
        <w:ind w:left="1080"/>
      </w:pPr>
      <w:r>
        <w:rPr>
          <w:b w:val="0"/>
          <w:i w:val="0"/>
        </w:rPr>
        <w:t>kiểm soát đầu vào, 259</w:t>
      </w:r>
    </w:p>
    <w:p>
      <w:pPr>
        <w:spacing w:after="80"/>
        <w:ind w:left="1080"/>
      </w:pPr>
      <w:r>
        <w:rPr>
          <w:b w:val="0"/>
          <w:i w:val="0"/>
        </w:rPr>
        <w:t>bảo hiểm, 289</w:t>
      </w:r>
    </w:p>
    <w:p>
      <w:pPr>
        <w:spacing w:after="80"/>
        <w:ind w:left="1080"/>
      </w:pPr>
      <w:r>
        <w:rPr>
          <w:b w:val="0"/>
          <w:i w:val="0"/>
        </w:rPr>
        <w:t>sở hữu trí tuệ, bảo vệ, 281 –282</w:t>
      </w:r>
    </w:p>
    <w:p>
      <w:pPr>
        <w:spacing w:after="80"/>
        <w:ind w:left="1080"/>
      </w:pPr>
      <w:r>
        <w:rPr>
          <w:b w:val="0"/>
          <w:i w:val="0"/>
        </w:rPr>
        <w:t>giao dịch giữa các công ty trong cùng tập đoàn, 179</w:t>
      </w:r>
    </w:p>
    <w:p>
      <w:pPr>
        <w:spacing w:after="80"/>
        <w:ind w:left="1080"/>
      </w:pPr>
      <w:r>
        <w:rPr>
          <w:b w:val="0"/>
          <w:i w:val="0"/>
        </w:rPr>
        <w:t>an ninh nội bộ, 279 –280</w:t>
      </w:r>
    </w:p>
    <w:p>
      <w:pPr>
        <w:spacing w:after="80"/>
        <w:ind w:left="1080"/>
      </w:pPr>
      <w:r>
        <w:rPr>
          <w:b w:val="0"/>
          <w:i w:val="0"/>
        </w:rPr>
        <w:t>vai trò/trách nhiệm trong kiểm soát nội bộ, 332 –333</w:t>
      </w:r>
    </w:p>
    <w:p>
      <w:pPr>
        <w:spacing w:after="80"/>
        <w:ind w:left="1080"/>
      </w:pPr>
      <w:r>
        <w:rPr>
          <w:b w:val="0"/>
          <w:i w:val="0"/>
        </w:rPr>
        <w:t>yêu cầu lưu trữ hồ sơ nội bộ, 214 –215</w:t>
      </w:r>
    </w:p>
    <w:p>
      <w:pPr>
        <w:spacing w:after="80"/>
        <w:ind w:left="1080"/>
      </w:pPr>
      <w:r>
        <w:rPr>
          <w:b w:val="0"/>
          <w:i w:val="0"/>
        </w:rPr>
        <w:t>định giá chuyển nhượng quốc tế, 178</w:t>
      </w:r>
    </w:p>
    <w:p>
      <w:pPr>
        <w:spacing w:after="80"/>
        <w:ind w:left="1080"/>
      </w:pPr>
      <w:r>
        <w:rPr>
          <w:b w:val="0"/>
          <w:i w:val="0"/>
        </w:rPr>
        <w:t>kiểm soát hàng tồn kho, 159 –161</w:t>
      </w:r>
    </w:p>
    <w:p>
      <w:pPr>
        <w:spacing w:after="80"/>
        <w:ind w:left="1080"/>
      </w:pPr>
      <w:r>
        <w:rPr>
          <w:b w:val="0"/>
          <w:i w:val="0"/>
        </w:rPr>
        <w:t>định giá hàng tồn kho, 164</w:t>
      </w:r>
    </w:p>
    <w:p>
      <w:pPr>
        <w:spacing w:after="80"/>
        <w:ind w:left="1080"/>
      </w:pPr>
      <w:r>
        <w:rPr>
          <w:b w:val="0"/>
          <w:i w:val="0"/>
        </w:rPr>
        <w:t>tận dụng, 36 –38</w:t>
      </w:r>
    </w:p>
    <w:p>
      <w:pPr>
        <w:spacing w:after="80"/>
        <w:ind w:left="1080"/>
      </w:pPr>
      <w:r>
        <w:rPr>
          <w:b w:val="0"/>
          <w:i w:val="0"/>
        </w:rPr>
        <w:t>nghiên cứu thị trường/phát triển sản phẩm, 125</w:t>
      </w:r>
    </w:p>
    <w:p>
      <w:pPr>
        <w:spacing w:after="80"/>
        <w:ind w:left="1080"/>
      </w:pPr>
      <w:r>
        <w:rPr>
          <w:b w:val="0"/>
          <w:i w:val="0"/>
        </w:rPr>
        <w:t>vận hành mạng/kiểm soát bảo mật, 242 –244</w:t>
      </w:r>
    </w:p>
    <w:p>
      <w:pPr>
        <w:spacing w:after="80"/>
        <w:ind w:left="1080"/>
      </w:pPr>
      <w:r>
        <w:rPr>
          <w:b w:val="0"/>
          <w:i w:val="0"/>
        </w:rPr>
        <w:t>mạng ngoài công ty/bảng tin, 264 –269</w:t>
      </w:r>
    </w:p>
    <w:p>
      <w:pPr>
        <w:spacing w:after="80"/>
        <w:ind w:left="1080"/>
      </w:pPr>
      <w:r>
        <w:rPr>
          <w:b w:val="0"/>
          <w:i w:val="0"/>
        </w:rPr>
        <w:t>hợp đồng chính phủ ngoài Hoa Kỳ, 203 –205</w:t>
      </w:r>
    </w:p>
    <w:p>
      <w:pPr>
        <w:spacing w:after="80"/>
        <w:ind w:left="1080"/>
      </w:pPr>
      <w:r>
        <w:rPr>
          <w:b w:val="0"/>
          <w:i w:val="0"/>
        </w:rPr>
        <w:t>quy trình đấu thầu cơ hội, 313 –314</w:t>
      </w:r>
    </w:p>
    <w:p>
      <w:pPr>
        <w:spacing w:after="80"/>
        <w:ind w:left="1080"/>
      </w:pPr>
      <w:r>
        <w:rPr>
          <w:b w:val="0"/>
          <w:i w:val="0"/>
        </w:rPr>
        <w:t>nhập/chỉnh sửa đơn hàng, 53 –55</w:t>
      </w:r>
    </w:p>
    <w:p>
      <w:pPr>
        <w:spacing w:after="80"/>
        <w:ind w:left="1080"/>
      </w:pPr>
      <w:r>
        <w:rPr>
          <w:b w:val="0"/>
          <w:i w:val="0"/>
        </w:rPr>
        <w:t>Nhà sản xuất thiết bị gốc (OEMs)/Đối tác liên minh, 167 –168</w:t>
      </w:r>
    </w:p>
    <w:p>
      <w:pPr>
        <w:spacing w:after="80"/>
        <w:ind w:left="1080"/>
      </w:pPr>
      <w:r>
        <w:rPr>
          <w:b w:val="0"/>
          <w:i w:val="0"/>
        </w:rPr>
        <w:t>kiểm soát đầu ra, 260 –261</w:t>
      </w:r>
    </w:p>
    <w:p>
      <w:pPr>
        <w:spacing w:after="80"/>
        <w:ind w:left="1080"/>
      </w:pPr>
      <w:r>
        <w:rPr>
          <w:b w:val="0"/>
          <w:i w:val="0"/>
        </w:rPr>
        <w:t>giao dịch không giấy tờ/thương mại điện tử/EDI, 262 –264</w:t>
      </w:r>
    </w:p>
    <w:p>
      <w:pPr>
        <w:spacing w:after="80"/>
        <w:ind w:left="1080"/>
      </w:pPr>
      <w:r>
        <w:rPr>
          <w:b w:val="0"/>
          <w:i w:val="0"/>
        </w:rPr>
        <w:t>quy trình thanh toán, 120 –122</w:t>
      </w:r>
    </w:p>
    <w:p>
      <w:pPr>
        <w:spacing w:after="80"/>
        <w:ind w:left="1080"/>
      </w:pPr>
      <w:r>
        <w:rPr>
          <w:b w:val="0"/>
          <w:i w:val="0"/>
        </w:rPr>
        <w:t>kiểm soát thanh toán lương, 142 –143</w:t>
      </w:r>
    </w:p>
    <w:p>
      <w:pPr>
        <w:spacing w:after="80"/>
        <w:ind w:left="1080"/>
      </w:pPr>
      <w:r>
        <w:rPr>
          <w:b w:val="0"/>
          <w:i w:val="0"/>
        </w:rPr>
        <w:t>chuẩn bị/bảo mật bảng lương, 138 –140</w:t>
      </w:r>
    </w:p>
    <w:p>
      <w:pPr>
        <w:spacing w:after="80"/>
        <w:ind w:left="1080"/>
      </w:pPr>
      <w:r>
        <w:rPr>
          <w:b w:val="0"/>
          <w:i w:val="0"/>
        </w:rPr>
        <w:t>bảo mật vành đai, 277 –278</w:t>
      </w:r>
    </w:p>
    <w:p>
      <w:pPr>
        <w:spacing w:after="80"/>
        <w:ind w:left="1080"/>
      </w:pPr>
      <w:r>
        <w:rPr>
          <w:b w:val="0"/>
          <w:i w:val="0"/>
        </w:rPr>
        <w:t>thiệt hại vật chất, bảo vệ, 288</w:t>
      </w:r>
    </w:p>
    <w:p>
      <w:pPr>
        <w:spacing w:after="80"/>
        <w:ind w:left="1080"/>
      </w:pPr>
      <w:r>
        <w:rPr>
          <w:b w:val="0"/>
          <w:i w:val="0"/>
        </w:rPr>
        <w:t>bảo mật vật lý/kiểm soát môi trường, 230 –232</w:t>
      </w:r>
    </w:p>
    <w:p>
      <w:pPr>
        <w:spacing w:after="80"/>
        <w:ind w:left="1080"/>
      </w:pPr>
      <w:r>
        <w:rPr>
          <w:b w:val="0"/>
          <w:i w:val="0"/>
        </w:rPr>
        <w:t>lập kế hoạch/kiểm soát, 157 –158</w:t>
      </w:r>
    </w:p>
    <w:p>
      <w:pPr>
        <w:spacing w:after="80"/>
        <w:ind w:left="1080"/>
      </w:pPr>
      <w:r>
        <w:rPr>
          <w:b w:val="0"/>
          <w:i w:val="0"/>
        </w:rPr>
        <w:t>tiền đề, 6</w:t>
      </w:r>
    </w:p>
    <w:p>
      <w:pPr>
        <w:spacing w:after="80"/>
        <w:ind w:left="1080"/>
      </w:pPr>
      <w:r>
        <w:rPr>
          <w:b w:val="0"/>
          <w:i w:val="0"/>
        </w:rPr>
        <w:t>thiết lập giá, 79 –80</w:t>
      </w:r>
    </w:p>
    <w:p>
      <w:pPr>
        <w:spacing w:after="80"/>
        <w:ind w:left="1080"/>
      </w:pPr>
      <w:r>
        <w:rPr>
          <w:b w:val="0"/>
          <w:i w:val="0"/>
        </w:rPr>
        <w:t>thẻ mua hàng, 128 –130</w:t>
      </w:r>
    </w:p>
    <w:p>
      <w:pPr>
        <w:spacing w:after="80"/>
        <w:ind w:left="1080"/>
      </w:pPr>
      <w:r>
        <w:rPr>
          <w:b w:val="0"/>
          <w:i w:val="0"/>
        </w:rPr>
        <w:t>quản lý chi phí sản phẩm, 165 –166</w:t>
      </w:r>
    </w:p>
    <w:p>
      <w:pPr>
        <w:spacing w:after="80"/>
        <w:ind w:left="1080"/>
      </w:pPr>
      <w:r>
        <w:rPr>
          <w:b w:val="0"/>
          <w:i w:val="0"/>
        </w:rPr>
        <w:t>khởi động lại/khôi phục sản xuất, sao lưu máy tính/viễn thông, 251 –252</w:t>
      </w:r>
    </w:p>
    <w:p>
      <w:pPr>
        <w:spacing w:after="80"/>
        <w:ind w:left="1080"/>
      </w:pPr>
      <w:r>
        <w:rPr>
          <w:b w:val="0"/>
          <w:i w:val="0"/>
        </w:rPr>
        <w:t>dịch vụ chuyên nghiệp, 312 –313</w:t>
      </w:r>
    </w:p>
    <w:p>
      <w:pPr>
        <w:spacing w:after="80"/>
        <w:ind w:left="1080"/>
      </w:pPr>
      <w:r>
        <w:rPr>
          <w:b w:val="0"/>
          <w:i w:val="0"/>
        </w:rPr>
        <w:t>quản lý chương trình, 316 –320</w:t>
      </w:r>
    </w:p>
    <w:p>
      <w:pPr>
        <w:spacing w:after="80"/>
        <w:ind w:left="1080"/>
      </w:pPr>
      <w:r>
        <w:rPr>
          <w:b w:val="0"/>
          <w:i w:val="0"/>
        </w:rPr>
        <w:t>rủi ro tài sản/tai nạn, 289 –290</w:t>
      </w:r>
    </w:p>
    <w:p>
      <w:pPr>
        <w:spacing w:after="80"/>
        <w:ind w:left="1080"/>
      </w:pPr>
      <w:r>
        <w:rPr>
          <w:b w:val="0"/>
          <w:i w:val="0"/>
        </w:rPr>
        <w:t>mua hàng/đặt hàng, 108 –110</w:t>
      </w:r>
    </w:p>
    <w:p>
      <w:pPr>
        <w:spacing w:after="80"/>
        <w:ind w:left="1080"/>
      </w:pPr>
      <w:r>
        <w:rPr>
          <w:b w:val="0"/>
          <w:i w:val="0"/>
        </w:rPr>
        <w:t>ghi nhận doanh thu/xuất hóa đơn, 68 –71</w:t>
      </w:r>
    </w:p>
    <w:p>
      <w:pPr>
        <w:spacing w:after="80"/>
        <w:ind w:left="1080"/>
      </w:pPr>
      <w:r>
        <w:rPr>
          <w:b w:val="0"/>
          <w:i w:val="0"/>
        </w:rPr>
        <w:t>khung bảo mật, 274 –276</w:t>
      </w:r>
    </w:p>
    <w:p>
      <w:pPr>
        <w:spacing w:after="80"/>
        <w:ind w:left="1080"/>
      </w:pPr>
      <w:r>
        <w:rPr>
          <w:b w:val="0"/>
          <w:i w:val="0"/>
        </w:rPr>
        <w:t>hợp đồng chính quyền tiểu bang/địa phương, 202</w:t>
      </w:r>
    </w:p>
    <w:p>
      <w:pPr>
        <w:spacing w:after="80"/>
        <w:ind w:left="1080"/>
      </w:pPr>
      <w:r>
        <w:rPr>
          <w:b w:val="0"/>
          <w:i w:val="0"/>
        </w:rPr>
        <w:t>bảo mật chuỗi cung ứng, 169</w:t>
      </w:r>
    </w:p>
    <w:p>
      <w:pPr>
        <w:spacing w:after="80"/>
        <w:ind w:left="1080"/>
      </w:pPr>
      <w:r>
        <w:rPr>
          <w:b w:val="0"/>
          <w:i w:val="0"/>
        </w:rPr>
        <w:t>hỗ trợ bán hàng, 308</w:t>
      </w:r>
    </w:p>
    <w:p>
      <w:pPr>
        <w:spacing w:after="80"/>
        <w:ind w:left="1080"/>
      </w:pPr>
      <w:r>
        <w:rPr>
          <w:b w:val="0"/>
          <w:i w:val="0"/>
        </w:rPr>
        <w:t>phương pháp phát triển hệ thống, 245 –247</w:t>
      </w:r>
    </w:p>
    <w:p>
      <w:pPr>
        <w:spacing w:after="80"/>
        <w:ind w:left="1080"/>
      </w:pPr>
      <w:r>
        <w:rPr>
          <w:b w:val="0"/>
          <w:i w:val="0"/>
        </w:rPr>
        <w:t>vận tải/logistics, 170 –172</w:t>
      </w:r>
    </w:p>
    <w:p>
      <w:pPr>
        <w:spacing w:after="80"/>
        <w:ind w:left="1080"/>
      </w:pPr>
      <w:r>
        <w:rPr>
          <w:b w:val="0"/>
          <w:i w:val="0"/>
        </w:rPr>
        <w:t>kiểm soát ngân quỹ, 88 –90</w:t>
      </w:r>
    </w:p>
    <w:p>
      <w:pPr>
        <w:spacing w:after="80"/>
        <w:ind w:left="1080"/>
      </w:pPr>
      <w:r>
        <w:rPr>
          <w:b w:val="0"/>
          <w:i w:val="0"/>
        </w:rPr>
        <w:t>cập nhật, 6 , 38</w:t>
      </w:r>
    </w:p>
    <w:p>
      <w:pPr>
        <w:spacing w:after="80"/>
        <w:ind w:left="1080"/>
      </w:pPr>
      <w:r>
        <w:rPr>
          <w:b w:val="0"/>
          <w:i w:val="0"/>
        </w:rPr>
        <w:t>cách sử dụng, 5 –6</w:t>
      </w:r>
    </w:p>
    <w:p>
      <w:pPr>
        <w:spacing w:after="80"/>
        <w:ind w:left="1080"/>
      </w:pPr>
      <w:r>
        <w:rPr>
          <w:b w:val="0"/>
          <w:i w:val="0"/>
        </w:rPr>
        <w:t>người dùng/chủ sở hữu/nhà cung cấp dịch vụ, 226 –228</w:t>
      </w:r>
    </w:p>
    <w:p>
      <w:pPr>
        <w:spacing w:after="80"/>
        <w:ind w:left="1080"/>
      </w:pPr>
      <w:r>
        <w:rPr>
          <w:b w:val="0"/>
          <w:i w:val="0"/>
        </w:rPr>
        <w:t>hợp đồng chính phủ Hoa Kỳ, 193 –196</w:t>
      </w:r>
    </w:p>
    <w:p>
      <w:pPr>
        <w:spacing w:after="80"/>
        <w:ind w:left="1440"/>
      </w:pPr>
      <w:r>
        <w:rPr>
          <w:b w:val="0"/>
          <w:i w:val="0"/>
        </w:rPr>
        <w:t>sản phẩm thương mại, 199 –201</w:t>
      </w:r>
    </w:p>
    <w:p>
      <w:pPr>
        <w:spacing w:after="80"/>
        <w:ind w:left="1440"/>
      </w:pPr>
      <w:r>
        <w:rPr>
          <w:b w:val="0"/>
          <w:i w:val="0"/>
        </w:rPr>
        <w:t>sản phẩm phi thương mại, 197 –198</w:t>
      </w:r>
    </w:p>
    <w:p>
      <w:pPr>
        <w:spacing w:after="80"/>
        <w:ind w:left="1080"/>
      </w:pPr>
      <w:r>
        <w:rPr>
          <w:b w:val="0"/>
          <w:i w:val="0"/>
        </w:rPr>
        <w:t>bảo hành, 304 –307</w:t>
      </w:r>
    </w:p>
    <w:p>
      <w:pPr>
        <w:spacing w:after="80"/>
        <w:ind w:left="720"/>
      </w:pPr>
      <w:r>
        <w:rPr>
          <w:b w:val="0"/>
          <w:i w:val="0"/>
        </w:rPr>
        <w:t>Môi trường nội bộ (thành phần ERM), 29</w:t>
      </w:r>
    </w:p>
    <w:p>
      <w:pPr>
        <w:spacing w:after="80"/>
        <w:ind w:left="720"/>
      </w:pPr>
      <w:r>
        <w:rPr>
          <w:b w:val="0"/>
          <w:i w:val="0"/>
        </w:rPr>
        <w:t>Gian lận nội bộ, 41</w:t>
      </w:r>
    </w:p>
    <w:p>
      <w:pPr>
        <w:spacing w:after="80"/>
        <w:ind w:left="720"/>
      </w:pPr>
      <w:r>
        <w:rPr>
          <w:b w:val="0"/>
          <w:i w:val="0"/>
        </w:rPr>
        <w:t>Yêu cầu lưu trữ hồ sơ nội bộ</w:t>
      </w:r>
    </w:p>
    <w:p>
      <w:pPr>
        <w:spacing w:after="80"/>
        <w:ind w:left="1080"/>
      </w:pPr>
      <w:r>
        <w:rPr>
          <w:b w:val="0"/>
          <w:i w:val="0"/>
        </w:rPr>
        <w:t>tiêu chuẩn kiểm soát nội bộ, 214 –215</w:t>
      </w:r>
    </w:p>
    <w:p>
      <w:pPr>
        <w:spacing w:after="80"/>
        <w:ind w:left="1080"/>
      </w:pPr>
      <w:r>
        <w:rPr>
          <w:b w:val="0"/>
          <w:i w:val="0"/>
        </w:rPr>
        <w:t>rủi ro, 215 –216</w:t>
      </w:r>
    </w:p>
    <w:p>
      <w:pPr>
        <w:spacing w:after="80"/>
        <w:ind w:left="1080"/>
      </w:pPr>
      <w:r>
        <w:rPr>
          <w:b w:val="0"/>
          <w:i w:val="0"/>
        </w:rPr>
        <w:t>các tiêu chuẩn, 214 –216</w:t>
      </w:r>
    </w:p>
    <w:p>
      <w:pPr>
        <w:spacing w:after="80"/>
        <w:ind w:left="720"/>
      </w:pPr>
      <w:r>
        <w:rPr>
          <w:b w:val="0"/>
          <w:i w:val="0"/>
        </w:rPr>
        <w:t>tiêu chí Chuẩn mực Báo cáo Tài chính Quốc tế (IFRS), 67</w:t>
      </w:r>
    </w:p>
    <w:p>
      <w:pPr>
        <w:spacing w:after="80"/>
        <w:ind w:left="720"/>
      </w:pPr>
      <w:r>
        <w:rPr>
          <w:b w:val="0"/>
          <w:i w:val="0"/>
        </w:rPr>
        <w:t>Chuẩn mực Báo cáo Tài chính Quốc tế (IFRS)</w:t>
      </w:r>
    </w:p>
    <w:p>
      <w:pPr>
        <w:spacing w:after="80"/>
        <w:ind w:left="1080"/>
      </w:pPr>
      <w:r>
        <w:rPr>
          <w:b w:val="0"/>
          <w:i w:val="0"/>
        </w:rPr>
        <w:t>GAAP, so sánh, 176 , 308</w:t>
      </w:r>
    </w:p>
    <w:p>
      <w:pPr>
        <w:spacing w:after="80"/>
        <w:ind w:left="1080"/>
      </w:pPr>
      <w:r>
        <w:rPr>
          <w:b w:val="0"/>
          <w:i w:val="0"/>
        </w:rPr>
        <w:t>các quy tắc, việc không tuân thủ, 338</w:t>
      </w:r>
    </w:p>
    <w:p>
      <w:pPr>
        <w:spacing w:after="80"/>
        <w:ind w:left="720"/>
      </w:pPr>
      <w:r>
        <w:rPr>
          <w:b w:val="0"/>
          <w:i w:val="0"/>
        </w:rPr>
        <w:t>Quy định về Buôn bán Vũ khí Quốc tế (ITAR), 59 –60</w:t>
      </w:r>
    </w:p>
    <w:p>
      <w:pPr>
        <w:spacing w:after="80"/>
        <w:ind w:left="720"/>
      </w:pPr>
      <w:r>
        <w:rPr>
          <w:b w:val="0"/>
          <w:i w:val="0"/>
        </w:rPr>
        <w:t>Định giá chuyển nhượng quốc tế, 177 –178</w:t>
      </w:r>
    </w:p>
    <w:p>
      <w:pPr>
        <w:spacing w:after="80"/>
        <w:ind w:left="1080"/>
      </w:pPr>
      <w:r>
        <w:rPr>
          <w:b w:val="0"/>
          <w:i w:val="0"/>
        </w:rPr>
        <w:t>chuẩn mực kiểm soát nội bộ, 178</w:t>
      </w:r>
    </w:p>
    <w:p>
      <w:pPr>
        <w:spacing w:after="80"/>
        <w:ind w:left="1080"/>
      </w:pPr>
      <w:r>
        <w:rPr>
          <w:b w:val="0"/>
          <w:i w:val="0"/>
        </w:rPr>
        <w:t>rủi ro, 178</w:t>
      </w:r>
    </w:p>
    <w:p>
      <w:pPr>
        <w:spacing w:after="80"/>
        <w:ind w:left="720"/>
      </w:pPr>
      <w:r>
        <w:rPr>
          <w:b w:val="0"/>
          <w:i w:val="0"/>
        </w:rPr>
        <w:t>Hàng tồn kho đang vận chuyển, 159 –160</w:t>
      </w:r>
    </w:p>
    <w:p>
      <w:pPr>
        <w:spacing w:after="80"/>
        <w:ind w:left="720"/>
      </w:pPr>
      <w:r>
        <w:rPr>
          <w:b w:val="0"/>
          <w:i w:val="0"/>
        </w:rPr>
        <w:t>Các kiểm soát SoD nội bộ, 101</w:t>
      </w:r>
    </w:p>
    <w:p>
      <w:pPr>
        <w:spacing w:after="80"/>
        <w:ind w:left="720"/>
      </w:pPr>
      <w:r>
        <w:rPr>
          <w:b w:val="0"/>
          <w:i w:val="0"/>
        </w:rPr>
        <w:t>Hệ thống Phát hiện Xâm nhập (IDSs), 265 –266</w:t>
      </w:r>
    </w:p>
    <w:p>
      <w:pPr>
        <w:spacing w:after="80"/>
        <w:ind w:left="720"/>
      </w:pPr>
      <w:r>
        <w:rPr>
          <w:b w:val="0"/>
          <w:i w:val="0"/>
        </w:rPr>
        <w:t>Giá khách hàng không hợp lệ (chỉ số), 51</w:t>
      </w:r>
    </w:p>
    <w:p>
      <w:pPr>
        <w:spacing w:after="80"/>
        <w:ind w:left="720"/>
      </w:pPr>
      <w:r>
        <w:rPr>
          <w:b w:val="0"/>
          <w:i w:val="0"/>
        </w:rPr>
        <w:t>Hàng tồn kho</w:t>
      </w:r>
    </w:p>
    <w:p>
      <w:pPr>
        <w:spacing w:after="80"/>
        <w:ind w:left="1080"/>
      </w:pPr>
      <w:r>
        <w:rPr>
          <w:b w:val="0"/>
          <w:i w:val="0"/>
        </w:rPr>
        <w:t>các biện pháp bảo vệ truy cập, 160</w:t>
      </w:r>
    </w:p>
    <w:p>
      <w:pPr>
        <w:spacing w:after="80"/>
        <w:ind w:left="1080"/>
      </w:pPr>
      <w:r>
        <w:rPr>
          <w:b w:val="0"/>
          <w:i w:val="0"/>
        </w:rPr>
        <w:t>sự xuống cấp/hư hỏng, bảo vệ, 160</w:t>
      </w:r>
    </w:p>
    <w:p>
      <w:pPr>
        <w:spacing w:after="80"/>
        <w:ind w:left="1080"/>
      </w:pPr>
      <w:r>
        <w:rPr>
          <w:b w:val="0"/>
          <w:i w:val="0"/>
        </w:rPr>
        <w:t>hàng thừa/lỗi thời/khuyết tật, 161</w:t>
      </w:r>
    </w:p>
    <w:p>
      <w:pPr>
        <w:spacing w:after="80"/>
        <w:ind w:left="1080"/>
      </w:pPr>
      <w:r>
        <w:rPr>
          <w:b w:val="0"/>
          <w:i w:val="0"/>
        </w:rPr>
        <w:t>lợi nhuận nội bộ công ty, loại bỏ (thông tin), 161</w:t>
      </w:r>
    </w:p>
    <w:p>
      <w:pPr>
        <w:spacing w:after="80"/>
        <w:ind w:left="1080"/>
      </w:pPr>
      <w:r>
        <w:rPr>
          <w:b w:val="0"/>
          <w:i w:val="0"/>
        </w:rPr>
        <w:t>hàng tồn kho đang vận chuyển, 159 –160</w:t>
      </w:r>
    </w:p>
    <w:p>
      <w:pPr>
        <w:spacing w:after="80"/>
        <w:ind w:left="1080"/>
      </w:pPr>
      <w:r>
        <w:rPr>
          <w:b w:val="0"/>
          <w:i w:val="0"/>
        </w:rPr>
        <w:t>hàng tồn kho ngoài địa điểm, 160 –161</w:t>
      </w:r>
    </w:p>
    <w:p>
      <w:pPr>
        <w:spacing w:after="80"/>
        <w:ind w:left="1080"/>
      </w:pPr>
      <w:r>
        <w:rPr>
          <w:b w:val="0"/>
          <w:i w:val="0"/>
        </w:rPr>
        <w:t>phiếu nhập/xuất, 159 , 166</w:t>
      </w:r>
    </w:p>
    <w:p>
      <w:pPr>
        <w:spacing w:after="80"/>
        <w:ind w:left="1080"/>
      </w:pPr>
      <w:r>
        <w:rPr>
          <w:b w:val="0"/>
          <w:i w:val="0"/>
        </w:rPr>
        <w:t>ghi nhận, 164</w:t>
      </w:r>
    </w:p>
    <w:p>
      <w:pPr>
        <w:spacing w:after="80"/>
        <w:ind w:left="1080"/>
      </w:pPr>
      <w:r>
        <w:rPr>
          <w:b w:val="0"/>
          <w:i w:val="0"/>
        </w:rPr>
        <w:t>hồ sơ, sự hiện hữu/duy trì, 160</w:t>
      </w:r>
    </w:p>
    <w:p>
      <w:pPr>
        <w:spacing w:after="80"/>
        <w:ind w:left="1080"/>
      </w:pPr>
      <w:r>
        <w:rPr>
          <w:b w:val="0"/>
          <w:i w:val="0"/>
        </w:rPr>
        <w:t>hàng tồn kho ký gửi thuộc sở hữu nhà cung cấp, tại địa điểm công ty, 161</w:t>
      </w:r>
    </w:p>
    <w:p>
      <w:pPr>
        <w:spacing w:after="80"/>
        <w:ind w:left="1080"/>
      </w:pPr>
      <w:r>
        <w:rPr>
          <w:b w:val="0"/>
          <w:i w:val="0"/>
        </w:rPr>
        <w:t>vòng quay, 155</w:t>
      </w:r>
    </w:p>
    <w:p>
      <w:pPr>
        <w:spacing w:after="80"/>
        <w:ind w:left="720"/>
      </w:pPr>
      <w:r>
        <w:rPr>
          <w:b w:val="0"/>
          <w:i w:val="0"/>
        </w:rPr>
        <w:t>Kiểm soát hàng tồn kho, 159 –162</w:t>
      </w:r>
    </w:p>
    <w:p>
      <w:pPr>
        <w:spacing w:after="80"/>
        <w:ind w:left="1080"/>
      </w:pPr>
      <w:r>
        <w:rPr>
          <w:b w:val="0"/>
          <w:i w:val="0"/>
        </w:rPr>
        <w:t>các giải pháp tự động hóa, 155</w:t>
      </w:r>
    </w:p>
    <w:p>
      <w:pPr>
        <w:spacing w:after="80"/>
        <w:ind w:left="1080"/>
      </w:pPr>
      <w:r>
        <w:rPr>
          <w:b w:val="0"/>
          <w:i w:val="0"/>
        </w:rPr>
        <w:t>chuẩn mực kiểm soát nội bộ, 159 –161</w:t>
      </w:r>
    </w:p>
    <w:p>
      <w:pPr>
        <w:spacing w:after="80"/>
        <w:ind w:left="1080"/>
      </w:pPr>
      <w:r>
        <w:rPr>
          <w:b w:val="0"/>
          <w:i w:val="0"/>
        </w:rPr>
        <w:t>hàng bán trả lại, 160</w:t>
      </w:r>
    </w:p>
    <w:p>
      <w:pPr>
        <w:spacing w:after="80"/>
        <w:ind w:left="1080"/>
      </w:pPr>
      <w:r>
        <w:rPr>
          <w:b w:val="0"/>
          <w:i w:val="0"/>
        </w:rPr>
        <w:t>phân tách nhiệm vụ, 159</w:t>
      </w:r>
    </w:p>
    <w:p>
      <w:pPr>
        <w:spacing w:after="80"/>
        <w:ind w:left="720"/>
      </w:pPr>
      <w:r>
        <w:rPr>
          <w:b w:val="0"/>
          <w:i w:val="0"/>
        </w:rPr>
        <w:t>Số ngày cung ứng hàng tồn kho, 155</w:t>
      </w:r>
    </w:p>
    <w:p>
      <w:pPr>
        <w:spacing w:after="80"/>
        <w:ind w:left="720"/>
      </w:pPr>
      <w:r>
        <w:rPr>
          <w:b w:val="0"/>
          <w:i w:val="0"/>
        </w:rPr>
        <w:t>Tỷ số Vòng quay Hàng tồn kho (ITR), 156</w:t>
      </w:r>
    </w:p>
    <w:p>
      <w:pPr>
        <w:spacing w:after="80"/>
        <w:ind w:left="720"/>
      </w:pPr>
      <w:r>
        <w:rPr>
          <w:b w:val="0"/>
          <w:i w:val="0"/>
        </w:rPr>
        <w:t>Định giá hàng tồn kho, 163 –164</w:t>
      </w:r>
    </w:p>
    <w:p>
      <w:pPr>
        <w:spacing w:after="80"/>
        <w:ind w:left="1080"/>
      </w:pPr>
      <w:r>
        <w:rPr>
          <w:b w:val="0"/>
          <w:i w:val="0"/>
        </w:rPr>
        <w:t>chuẩn mực kiểm soát nội bộ, 164</w:t>
      </w:r>
    </w:p>
    <w:p>
      <w:pPr>
        <w:spacing w:after="80"/>
        <w:ind w:left="1080"/>
      </w:pPr>
      <w:r>
        <w:rPr>
          <w:b w:val="0"/>
          <w:i w:val="0"/>
        </w:rPr>
        <w:t>rủi ro, 164</w:t>
      </w:r>
    </w:p>
    <w:p>
      <w:pPr>
        <w:spacing w:after="80"/>
        <w:ind w:left="720"/>
      </w:pPr>
      <w:r>
        <w:rPr>
          <w:b w:val="0"/>
          <w:i w:val="0"/>
        </w:rPr>
        <w:t>Tốc độ luân chuyển hàng tồn kho (Inventory velocity - IV), 156</w:t>
      </w:r>
    </w:p>
    <w:p>
      <w:pPr>
        <w:spacing w:after="80"/>
        <w:ind w:left="720"/>
      </w:pPr>
      <w:r>
        <w:rPr>
          <w:b w:val="0"/>
          <w:i w:val="0"/>
        </w:rPr>
        <w:t>Xác minh hàng tồn kho, 162 –163</w:t>
      </w:r>
    </w:p>
    <w:p>
      <w:pPr>
        <w:spacing w:after="80"/>
        <w:ind w:left="1080"/>
      </w:pPr>
      <w:r>
        <w:rPr>
          <w:b w:val="0"/>
          <w:i w:val="0"/>
        </w:rPr>
        <w:t>tiêu chuẩn kiểm soát nội bộ, 162 –163</w:t>
      </w:r>
    </w:p>
    <w:p>
      <w:pPr>
        <w:spacing w:after="80"/>
        <w:ind w:left="1080"/>
      </w:pPr>
      <w:r>
        <w:rPr>
          <w:b w:val="0"/>
          <w:i w:val="0"/>
        </w:rPr>
        <w:t>rủi ro, 163</w:t>
      </w:r>
    </w:p>
    <w:p>
      <w:pPr>
        <w:spacing w:after="80"/>
        <w:ind w:left="720"/>
      </w:pPr>
      <w:r>
        <w:rPr>
          <w:b w:val="0"/>
          <w:i w:val="0"/>
        </w:rPr>
        <w:t>Đạo luật Cố vấn Đầu tư năm 1940, 19</w:t>
      </w:r>
    </w:p>
    <w:p>
      <w:pPr>
        <w:spacing w:after="80"/>
        <w:ind w:left="720"/>
      </w:pPr>
      <w:r>
        <w:rPr>
          <w:b w:val="0"/>
          <w:i w:val="0"/>
        </w:rPr>
        <w:t>Đạo luật Công ty Đầu tư năm 1940, 18</w:t>
      </w:r>
    </w:p>
    <w:p>
      <w:pPr>
        <w:spacing w:after="80"/>
        <w:ind w:left="720"/>
      </w:pPr>
      <w:r>
        <w:rPr>
          <w:b w:val="0"/>
          <w:i w:val="0"/>
        </w:rPr>
        <w:t>Đầu tư, chính sách/giao dịch/định giá, 93</w:t>
      </w:r>
    </w:p>
    <w:p>
      <w:pPr>
        <w:spacing w:after="80"/>
        <w:ind w:left="720"/>
      </w:pPr>
      <w:r>
        <w:rPr>
          <w:b w:val="0"/>
          <w:i w:val="0"/>
        </w:rPr>
        <w:t>Hóa đơn</w:t>
      </w:r>
    </w:p>
    <w:p>
      <w:pPr>
        <w:spacing w:after="80"/>
        <w:ind w:left="1080"/>
      </w:pPr>
      <w:r>
        <w:rPr>
          <w:b w:val="0"/>
          <w:i w:val="0"/>
        </w:rPr>
        <w:t>tính chính xác/phê duyệt, 70 , 117</w:t>
      </w:r>
    </w:p>
    <w:p>
      <w:pPr>
        <w:spacing w:after="80"/>
        <w:ind w:left="1080"/>
      </w:pPr>
      <w:r>
        <w:rPr>
          <w:b w:val="0"/>
          <w:i w:val="0"/>
        </w:rPr>
        <w:t>giao hàng, 70</w:t>
      </w:r>
    </w:p>
    <w:p>
      <w:pPr>
        <w:spacing w:after="80"/>
        <w:ind w:left="1080"/>
      </w:pPr>
      <w:r>
        <w:rPr>
          <w:b w:val="0"/>
          <w:i w:val="0"/>
        </w:rPr>
        <w:t>hóa đơn điện tử, 98 –99</w:t>
      </w:r>
    </w:p>
    <w:p>
      <w:pPr>
        <w:spacing w:after="80"/>
        <w:ind w:left="1080"/>
      </w:pPr>
      <w:r>
        <w:rPr>
          <w:b w:val="0"/>
          <w:i w:val="0"/>
        </w:rPr>
        <w:t>chuyển tiếp, 109</w:t>
      </w:r>
    </w:p>
    <w:p>
      <w:pPr>
        <w:spacing w:after="80"/>
        <w:ind w:left="1080"/>
      </w:pPr>
      <w:r>
        <w:rPr>
          <w:b w:val="0"/>
          <w:i w:val="0"/>
        </w:rPr>
        <w:t>quét, 99</w:t>
      </w:r>
    </w:p>
    <w:p>
      <w:pPr>
        <w:spacing w:after="80"/>
        <w:ind w:left="720"/>
      </w:pPr>
      <w:r>
        <w:rPr>
          <w:b w:val="0"/>
          <w:i w:val="0"/>
        </w:rPr>
        <w:t>Môi trường biệt lập, 266</w:t>
      </w:r>
    </w:p>
    <w:p>
      <w:pPr>
        <w:spacing w:after="80"/>
        <w:ind w:left="720"/>
      </w:pPr>
      <w:r>
        <w:rPr>
          <w:b w:val="0"/>
          <w:i w:val="0"/>
        </w:rPr>
        <w:t>Chi phí tiêu chuẩn theo từng mặt hàng, thiết lập hàng năm, 165</w:t>
      </w:r>
    </w:p>
    <w:p>
      <w:pPr>
        <w:spacing w:after="80"/>
        <w:ind w:left="360"/>
      </w:pPr>
      <w:r>
        <w:rPr>
          <w:b w:val="0"/>
          <w:i w:val="0"/>
        </w:rPr>
        <w:t>K</w:t>
      </w:r>
    </w:p>
    <w:p>
      <w:pPr>
        <w:spacing w:after="80"/>
        <w:ind w:left="720"/>
      </w:pPr>
      <w:r>
        <w:rPr>
          <w:b w:val="0"/>
          <w:i w:val="0"/>
        </w:rPr>
        <w:t>Kerr, Wayne, 42</w:t>
      </w:r>
    </w:p>
    <w:p>
      <w:pPr>
        <w:spacing w:after="80"/>
        <w:ind w:left="360"/>
      </w:pPr>
      <w:r>
        <w:rPr>
          <w:b w:val="0"/>
          <w:i w:val="0"/>
        </w:rPr>
        <w:t>L</w:t>
      </w:r>
    </w:p>
    <w:p>
      <w:pPr>
        <w:spacing w:after="80"/>
        <w:ind w:left="720"/>
      </w:pPr>
      <w:r>
        <w:rPr>
          <w:b w:val="0"/>
          <w:i w:val="0"/>
        </w:rPr>
        <w:t>Phân bổ lao động, 165</w:t>
      </w:r>
    </w:p>
    <w:p>
      <w:pPr>
        <w:spacing w:after="80"/>
        <w:ind w:left="720"/>
      </w:pPr>
      <w:r>
        <w:rPr>
          <w:b w:val="0"/>
          <w:i w:val="0"/>
        </w:rPr>
        <w:t>Nhập sau Xuất trước (LIFO), lựa chọn, 176</w:t>
      </w:r>
    </w:p>
    <w:p>
      <w:pPr>
        <w:spacing w:after="80"/>
        <w:ind w:left="720"/>
      </w:pPr>
      <w:r>
        <w:rPr>
          <w:b w:val="0"/>
          <w:i w:val="0"/>
        </w:rPr>
        <w:t>Luật và chính sách công (LPP), 327</w:t>
      </w:r>
    </w:p>
    <w:p>
      <w:pPr>
        <w:spacing w:after="80"/>
        <w:ind w:left="720"/>
      </w:pPr>
      <w:r>
        <w:rPr>
          <w:b w:val="0"/>
          <w:i w:val="0"/>
        </w:rPr>
        <w:t>Trích trước n�ợ phải trả, 118</w:t>
      </w:r>
    </w:p>
    <w:p>
      <w:pPr>
        <w:spacing w:after="80"/>
        <w:ind w:left="720"/>
      </w:pPr>
      <w:r>
        <w:rPr>
          <w:b w:val="0"/>
          <w:i w:val="0"/>
        </w:rPr>
        <w:t>Bom logic, 266</w:t>
      </w:r>
    </w:p>
    <w:p>
      <w:pPr>
        <w:spacing w:after="80"/>
        <w:ind w:left="720"/>
      </w:pPr>
      <w:r>
        <w:rPr>
          <w:b w:val="0"/>
          <w:i w:val="0"/>
        </w:rPr>
        <w:t>Yêu cầu đăng nhập, 233</w:t>
      </w:r>
    </w:p>
    <w:p>
      <w:pPr>
        <w:spacing w:after="80"/>
        <w:ind w:left="720"/>
      </w:pPr>
      <w:r>
        <w:rPr>
          <w:b w:val="0"/>
          <w:i w:val="0"/>
        </w:rPr>
        <w:t>Yêu cầu mua sắm giá trị thấp, 110</w:t>
      </w:r>
    </w:p>
    <w:p>
      <w:pPr>
        <w:spacing w:after="80"/>
        <w:ind w:left="360"/>
      </w:pPr>
      <w:r>
        <w:rPr>
          <w:b w:val="0"/>
          <w:i w:val="0"/>
        </w:rPr>
        <w:t>M</w:t>
      </w:r>
    </w:p>
    <w:p>
      <w:pPr>
        <w:spacing w:after="80"/>
        <w:ind w:left="720"/>
      </w:pPr>
      <w:r>
        <w:rPr>
          <w:b w:val="0"/>
          <w:i w:val="0"/>
        </w:rPr>
        <w:t>Quản lý</w:t>
      </w:r>
    </w:p>
    <w:p>
      <w:pPr>
        <w:spacing w:after="80"/>
        <w:ind w:left="1080"/>
      </w:pPr>
      <w:r>
        <w:rPr>
          <w:b w:val="0"/>
          <w:i w:val="0"/>
        </w:rPr>
        <w:t>cam kết, sự hiện diện, 37</w:t>
      </w:r>
    </w:p>
    <w:p>
      <w:pPr>
        <w:spacing w:after="80"/>
        <w:ind w:left="1080"/>
      </w:pPr>
      <w:r>
        <w:rPr>
          <w:b w:val="0"/>
          <w:i w:val="0"/>
        </w:rPr>
        <w:t>chỉ thị, 44</w:t>
      </w:r>
    </w:p>
    <w:p>
      <w:pPr>
        <w:spacing w:after="80"/>
        <w:ind w:left="1080"/>
      </w:pPr>
      <w:r>
        <w:rPr>
          <w:b w:val="0"/>
          <w:i w:val="0"/>
        </w:rPr>
        <w:t>báo cáo, 38 , 74</w:t>
      </w:r>
    </w:p>
    <w:p>
      <w:pPr>
        <w:spacing w:after="80"/>
        <w:ind w:left="1080"/>
      </w:pPr>
      <w:r>
        <w:rPr>
          <w:b w:val="0"/>
          <w:i w:val="0"/>
        </w:rPr>
        <w:t>xem xét, 38 , 92</w:t>
      </w:r>
    </w:p>
    <w:p>
      <w:pPr>
        <w:spacing w:after="80"/>
        <w:ind w:left="720"/>
      </w:pPr>
      <w:r>
        <w:rPr>
          <w:b w:val="0"/>
          <w:i w:val="0"/>
        </w:rPr>
        <w:t>Đánh giá theo thị trường, 95</w:t>
      </w:r>
    </w:p>
    <w:p>
      <w:pPr>
        <w:spacing w:after="80"/>
        <w:ind w:left="720"/>
      </w:pPr>
      <w:r>
        <w:rPr>
          <w:b w:val="0"/>
          <w:i w:val="0"/>
        </w:rPr>
        <w:t>Nghiên cứu thị trường, 125 –127</w:t>
      </w:r>
    </w:p>
    <w:p>
      <w:pPr>
        <w:spacing w:after="80"/>
        <w:ind w:left="1080"/>
      </w:pPr>
      <w:r>
        <w:rPr>
          <w:b w:val="0"/>
          <w:i w:val="0"/>
        </w:rPr>
        <w:t>tiêu chuẩn kiểm soát nội bộ, 125 –127</w:t>
      </w:r>
    </w:p>
    <w:p>
      <w:pPr>
        <w:spacing w:after="80"/>
        <w:ind w:left="1080"/>
      </w:pPr>
      <w:r>
        <w:rPr>
          <w:b w:val="0"/>
          <w:i w:val="0"/>
        </w:rPr>
        <w:t>rủi ro, 127</w:t>
      </w:r>
    </w:p>
    <w:p>
      <w:pPr>
        <w:spacing w:after="80"/>
        <w:ind w:left="720"/>
      </w:pPr>
      <w:r>
        <w:rPr>
          <w:b w:val="0"/>
          <w:i w:val="0"/>
        </w:rPr>
        <w:t>Dữ liệu chủ (tiêu chuẩn kiểm soát nội bộ), 53</w:t>
      </w:r>
    </w:p>
    <w:p>
      <w:pPr>
        <w:spacing w:after="80"/>
        <w:ind w:left="720"/>
      </w:pPr>
      <w:r>
        <w:rPr>
          <w:b w:val="0"/>
          <w:i w:val="0"/>
        </w:rPr>
        <w:t>Tính trọng yếu, 180</w:t>
      </w:r>
    </w:p>
    <w:p>
      <w:pPr>
        <w:spacing w:after="80"/>
        <w:ind w:left="720"/>
      </w:pPr>
      <w:r>
        <w:rPr>
          <w:b w:val="0"/>
          <w:i w:val="0"/>
        </w:rPr>
        <w:t>Giao dịch nguyên vật liệu/nhân công, 165</w:t>
      </w:r>
    </w:p>
    <w:p>
      <w:pPr>
        <w:spacing w:after="80"/>
        <w:ind w:left="720"/>
      </w:pPr>
      <w:r>
        <w:rPr>
          <w:b w:val="0"/>
          <w:i w:val="0"/>
        </w:rPr>
        <w:t>Dữ liệu chủ về nguyên vật liệu, 158</w:t>
      </w:r>
    </w:p>
    <w:p>
      <w:pPr>
        <w:spacing w:after="80"/>
        <w:ind w:left="720"/>
      </w:pPr>
      <w:r>
        <w:rPr>
          <w:b w:val="0"/>
          <w:i w:val="0"/>
        </w:rPr>
        <w:t>Điểm yếu trọng yếu, 27</w:t>
      </w:r>
    </w:p>
    <w:p>
      <w:pPr>
        <w:spacing w:after="80"/>
        <w:ind w:left="720"/>
      </w:pPr>
      <w:r>
        <w:rPr>
          <w:b w:val="0"/>
          <w:i w:val="0"/>
        </w:rPr>
        <w:t>Tổn thất tối đa có thể dự đoán trước (MFL), 288</w:t>
      </w:r>
    </w:p>
    <w:p>
      <w:pPr>
        <w:spacing w:after="80"/>
        <w:ind w:left="720"/>
      </w:pPr>
      <w:r>
        <w:rPr>
          <w:b w:val="0"/>
          <w:i w:val="0"/>
        </w:rPr>
        <w:t>Biên bản ghi nhớ (MOUs), việc thành lập, 194</w:t>
      </w:r>
    </w:p>
    <w:p>
      <w:pPr>
        <w:spacing w:after="80"/>
        <w:ind w:left="720"/>
      </w:pPr>
      <w:r>
        <w:rPr>
          <w:b w:val="0"/>
          <w:i w:val="0"/>
        </w:rPr>
        <w:t>Các chỉ số</w:t>
      </w:r>
    </w:p>
    <w:p>
      <w:pPr>
        <w:spacing w:after="80"/>
        <w:ind w:left="1080"/>
      </w:pPr>
      <w:r>
        <w:rPr>
          <w:b w:val="0"/>
          <w:i w:val="0"/>
        </w:rPr>
        <w:t>quy trình từ đơn hàng đến tiền mặt, 51 –52</w:t>
      </w:r>
    </w:p>
    <w:p>
      <w:pPr>
        <w:spacing w:after="80"/>
        <w:ind w:left="1080"/>
      </w:pPr>
      <w:r>
        <w:rPr>
          <w:b w:val="0"/>
          <w:i w:val="0"/>
        </w:rPr>
        <w:t>Quy trình ngân quỹ, 87</w:t>
      </w:r>
    </w:p>
    <w:p>
      <w:pPr>
        <w:spacing w:after="80"/>
        <w:ind w:left="720"/>
      </w:pPr>
      <w:r>
        <w:rPr>
          <w:b w:val="0"/>
          <w:i w:val="0"/>
        </w:rPr>
        <w:t>Danh sách Chế độ Kiểm soát Công nghệ Tên lửa, các mặt hàng lưỡng dụng, 57</w:t>
      </w:r>
    </w:p>
    <w:p>
      <w:pPr>
        <w:spacing w:after="80"/>
        <w:ind w:left="720"/>
      </w:pPr>
      <w:r>
        <w:rPr>
          <w:b w:val="0"/>
          <w:i w:val="0"/>
        </w:rPr>
        <w:t>Giám sát, 21 –23</w:t>
      </w:r>
    </w:p>
    <w:p>
      <w:pPr>
        <w:spacing w:after="80"/>
        <w:ind w:left="1080"/>
      </w:pPr>
      <w:r>
        <w:rPr>
          <w:b w:val="0"/>
          <w:i w:val="0"/>
        </w:rPr>
        <w:t>Hướng dẫn giám sát của COSO, 22 –23</w:t>
      </w:r>
    </w:p>
    <w:p>
      <w:pPr>
        <w:spacing w:after="80"/>
        <w:ind w:left="1080"/>
      </w:pPr>
      <w:r>
        <w:rPr>
          <w:b w:val="0"/>
          <w:i w:val="0"/>
        </w:rPr>
        <w:t>các yếu tố, 22</w:t>
      </w:r>
    </w:p>
    <w:p>
      <w:pPr>
        <w:spacing w:after="80"/>
        <w:ind w:left="1080"/>
      </w:pPr>
      <w:r>
        <w:rPr>
          <w:b w:val="0"/>
          <w:i w:val="0"/>
        </w:rPr>
        <w:t>nền tảng, thiết lập, 22</w:t>
      </w:r>
    </w:p>
    <w:p>
      <w:pPr>
        <w:spacing w:after="80"/>
        <w:ind w:left="1080"/>
      </w:pPr>
      <w:r>
        <w:rPr>
          <w:b w:val="0"/>
          <w:i w:val="0"/>
        </w:rPr>
        <w:t>thành phần của hệ thống kiểm soát nội bộ, 21</w:t>
      </w:r>
    </w:p>
    <w:p>
      <w:pPr>
        <w:spacing w:after="80"/>
        <w:ind w:left="720"/>
      </w:pPr>
      <w:r>
        <w:rPr>
          <w:b w:val="0"/>
          <w:i w:val="0"/>
        </w:rPr>
        <w:t>Quy trình chốt sổ hàng tháng, 166</w:t>
      </w:r>
    </w:p>
    <w:p>
      <w:pPr>
        <w:spacing w:after="80"/>
        <w:ind w:left="720"/>
      </w:pPr>
      <w:r>
        <w:rPr>
          <w:b w:val="0"/>
          <w:i w:val="0"/>
        </w:rPr>
        <w:t>“Định giá dành cho khách hàng được ưu đãi nhất,” 80</w:t>
      </w:r>
    </w:p>
    <w:p>
      <w:pPr>
        <w:spacing w:after="80"/>
        <w:ind w:left="360"/>
      </w:pPr>
      <w:r>
        <w:rPr>
          <w:b w:val="0"/>
          <w:i w:val="0"/>
        </w:rPr>
        <w:t>N</w:t>
      </w:r>
    </w:p>
    <w:p>
      <w:pPr>
        <w:spacing w:after="80"/>
        <w:ind w:left="720"/>
      </w:pPr>
      <w:r>
        <w:rPr>
          <w:b w:val="0"/>
          <w:i w:val="0"/>
        </w:rPr>
        <w:t>Hiệp hội Quốc gia các Chuyên gia Thẻ Mua hàng (NAPCP), 127</w:t>
      </w:r>
    </w:p>
    <w:p>
      <w:pPr>
        <w:spacing w:after="80"/>
        <w:ind w:left="720"/>
      </w:pPr>
      <w:r>
        <w:rPr>
          <w:b w:val="0"/>
          <w:i w:val="0"/>
        </w:rPr>
        <w:t>Viện Tiêu chuẩn và Công nghệ Quốc gia (NIST), 137</w:t>
      </w:r>
    </w:p>
    <w:p>
      <w:pPr>
        <w:spacing w:after="80"/>
        <w:ind w:left="720"/>
      </w:pPr>
      <w:r>
        <w:rPr>
          <w:b w:val="0"/>
          <w:i w:val="0"/>
        </w:rPr>
        <w:t>Doanh thu thuần, 83</w:t>
      </w:r>
    </w:p>
    <w:p>
      <w:pPr>
        <w:spacing w:after="80"/>
        <w:ind w:left="720"/>
      </w:pPr>
      <w:r>
        <w:rPr>
          <w:b w:val="0"/>
          <w:i w:val="0"/>
        </w:rPr>
        <w:t>Hoạt động mạng lưới, 242 –245</w:t>
      </w:r>
    </w:p>
    <w:p>
      <w:pPr>
        <w:spacing w:after="80"/>
        <w:ind w:left="1080"/>
      </w:pPr>
      <w:r>
        <w:rPr>
          <w:b w:val="0"/>
          <w:i w:val="0"/>
        </w:rPr>
        <w:t>tiêu chuẩn kiểm soát nội bộ, 242 –244</w:t>
      </w:r>
    </w:p>
    <w:p>
      <w:pPr>
        <w:spacing w:after="80"/>
        <w:ind w:left="1080"/>
      </w:pPr>
      <w:r>
        <w:rPr>
          <w:b w:val="0"/>
          <w:i w:val="0"/>
        </w:rPr>
        <w:t>rủi ro, 244 –245</w:t>
      </w:r>
    </w:p>
    <w:p>
      <w:pPr>
        <w:spacing w:after="80"/>
        <w:ind w:left="720"/>
      </w:pPr>
      <w:r>
        <w:rPr>
          <w:b w:val="0"/>
          <w:i w:val="0"/>
        </w:rPr>
        <w:t>Nickolaisen, Niel, 256</w:t>
      </w:r>
    </w:p>
    <w:p>
      <w:pPr>
        <w:spacing w:after="80"/>
        <w:ind w:left="720"/>
      </w:pPr>
      <w:r>
        <w:rPr>
          <w:b w:val="0"/>
          <w:i w:val="0"/>
        </w:rPr>
        <w:t>Ghi nhận các giao dịch “không thu phí”, 72</w:t>
      </w:r>
    </w:p>
    <w:p>
      <w:pPr>
        <w:spacing w:after="80"/>
        <w:ind w:left="720"/>
      </w:pPr>
      <w:r>
        <w:rPr>
          <w:b w:val="0"/>
          <w:i w:val="0"/>
        </w:rPr>
        <w:t>Phát triển các sản phẩm/dịch vụ phi thương mại, 197</w:t>
      </w:r>
    </w:p>
    <w:p>
      <w:pPr>
        <w:spacing w:after="80"/>
        <w:ind w:left="720"/>
      </w:pPr>
      <w:r>
        <w:rPr>
          <w:b w:val="0"/>
          <w:i w:val="0"/>
        </w:rPr>
        <w:t>Mạng lưới ngoài công ty, 264 –269</w:t>
      </w:r>
    </w:p>
    <w:p>
      <w:pPr>
        <w:spacing w:after="80"/>
        <w:ind w:left="1080"/>
      </w:pPr>
      <w:r>
        <w:rPr>
          <w:b w:val="0"/>
          <w:i w:val="0"/>
        </w:rPr>
        <w:t>tiêu chuẩn kiểm soát nội bộ, 266 –268</w:t>
      </w:r>
    </w:p>
    <w:p>
      <w:pPr>
        <w:spacing w:after="80"/>
        <w:ind w:left="1080"/>
      </w:pPr>
      <w:r>
        <w:rPr>
          <w:b w:val="0"/>
          <w:i w:val="0"/>
        </w:rPr>
        <w:t>rủi ro, 268 –269</w:t>
      </w:r>
    </w:p>
    <w:p>
      <w:pPr>
        <w:spacing w:after="80"/>
        <w:ind w:left="1080"/>
      </w:pPr>
      <w:r>
        <w:rPr>
          <w:b w:val="0"/>
          <w:i w:val="0"/>
        </w:rPr>
        <w:t>quản lý lỗ hổng/nguy cơ, 265</w:t>
      </w:r>
    </w:p>
    <w:p>
      <w:pPr>
        <w:spacing w:after="80"/>
        <w:ind w:left="720"/>
      </w:pPr>
      <w:r>
        <w:rPr>
          <w:b w:val="0"/>
          <w:i w:val="0"/>
        </w:rPr>
        <w:t>Khách hàng không tuân thủ (chỉ số), 51</w:t>
      </w:r>
    </w:p>
    <w:p>
      <w:pPr>
        <w:spacing w:after="80"/>
        <w:ind w:left="720"/>
      </w:pPr>
      <w:r>
        <w:rPr>
          <w:b w:val="0"/>
          <w:i w:val="0"/>
        </w:rPr>
        <w:t>Thanh toán từ người không phải khách hàng, 83</w:t>
      </w:r>
    </w:p>
    <w:p>
      <w:pPr>
        <w:spacing w:after="80"/>
        <w:ind w:left="720"/>
      </w:pPr>
      <w:r>
        <w:rPr>
          <w:b w:val="0"/>
          <w:i w:val="0"/>
        </w:rPr>
        <w:t>Không phải hồ sơ, 209</w:t>
      </w:r>
    </w:p>
    <w:p>
      <w:pPr>
        <w:spacing w:after="80"/>
        <w:ind w:left="720"/>
      </w:pPr>
      <w:r>
        <w:rPr>
          <w:b w:val="0"/>
          <w:i w:val="0"/>
        </w:rPr>
        <w:t>Giao dịch bán hàng không theo chuẩn, 68</w:t>
      </w:r>
    </w:p>
    <w:p>
      <w:pPr>
        <w:spacing w:after="80"/>
        <w:ind w:left="720"/>
      </w:pPr>
      <w:r>
        <w:rPr>
          <w:b w:val="0"/>
          <w:i w:val="0"/>
        </w:rPr>
        <w:t>Hợp đồng với chính phủ ngoài Hoa Kỳ, 203 –205</w:t>
      </w:r>
    </w:p>
    <w:p>
      <w:pPr>
        <w:spacing w:after="80"/>
        <w:ind w:left="1080"/>
      </w:pPr>
      <w:r>
        <w:rPr>
          <w:b w:val="0"/>
          <w:i w:val="0"/>
        </w:rPr>
        <w:t>tiêu chuẩn kiểm soát nội bộ, 203 –205</w:t>
      </w:r>
    </w:p>
    <w:p>
      <w:pPr>
        <w:spacing w:after="80"/>
        <w:ind w:left="1080"/>
      </w:pPr>
      <w:r>
        <w:rPr>
          <w:b w:val="0"/>
          <w:i w:val="0"/>
        </w:rPr>
        <w:t>rủi ro, 205</w:t>
      </w:r>
    </w:p>
    <w:p>
      <w:pPr>
        <w:spacing w:after="80"/>
        <w:ind w:left="720"/>
      </w:pPr>
      <w:r>
        <w:rPr>
          <w:b w:val="0"/>
          <w:i w:val="0"/>
        </w:rPr>
        <w:t>Thanh toán ngoài lương, 144</w:t>
      </w:r>
    </w:p>
    <w:p>
      <w:pPr>
        <w:spacing w:after="80"/>
        <w:ind w:left="720"/>
      </w:pPr>
      <w:r>
        <w:rPr>
          <w:b w:val="0"/>
          <w:i w:val="0"/>
        </w:rPr>
        <w:t>Kiểm soát của Ủy ban Điều tiết Hạt nhân (NRCC), 56</w:t>
      </w:r>
    </w:p>
    <w:p>
      <w:pPr>
        <w:spacing w:after="80"/>
        <w:ind w:left="720"/>
      </w:pPr>
      <w:r>
        <w:rPr>
          <w:b w:val="0"/>
          <w:i w:val="0"/>
        </w:rPr>
        <w:t>Giấy báo có kiểm soát bằng số, 71</w:t>
      </w:r>
    </w:p>
    <w:p>
      <w:pPr>
        <w:spacing w:after="80"/>
        <w:ind w:left="360"/>
      </w:pPr>
      <w:r>
        <w:rPr>
          <w:b w:val="0"/>
          <w:i w:val="0"/>
        </w:rPr>
        <w:t>O</w:t>
      </w:r>
    </w:p>
    <w:p>
      <w:pPr>
        <w:spacing w:after="80"/>
        <w:ind w:left="720"/>
      </w:pPr>
      <w:r>
        <w:rPr>
          <w:b w:val="0"/>
          <w:i w:val="0"/>
        </w:rPr>
        <w:t>Thiết lập mục tiêu (thành phần ERM), 29 –30</w:t>
      </w:r>
    </w:p>
    <w:p>
      <w:pPr>
        <w:spacing w:after="80"/>
        <w:ind w:left="720"/>
      </w:pPr>
      <w:r>
        <w:rPr>
          <w:b w:val="0"/>
          <w:i w:val="0"/>
        </w:rPr>
        <w:t>Văn phòng Dân quyền (OCR), trách nhiệm thực thi, 211</w:t>
      </w:r>
    </w:p>
    <w:p>
      <w:pPr>
        <w:spacing w:after="80"/>
        <w:ind w:left="720"/>
      </w:pPr>
      <w:r>
        <w:rPr>
          <w:b w:val="0"/>
          <w:i w:val="0"/>
        </w:rPr>
        <w:t>Văn phòng Kiểm soát Tài sản Nước ngoài (OFAC), 98 , 106</w:t>
      </w:r>
    </w:p>
    <w:p>
      <w:pPr>
        <w:spacing w:after="80"/>
        <w:ind w:left="720"/>
      </w:pPr>
      <w:r>
        <w:rPr>
          <w:b w:val="0"/>
          <w:i w:val="0"/>
        </w:rPr>
        <w:t>Văn phòng Tổng Thanh tra (OIG), 98 , 106</w:t>
      </w:r>
    </w:p>
    <w:p>
      <w:pPr>
        <w:spacing w:after="80"/>
        <w:ind w:left="720"/>
      </w:pPr>
      <w:r>
        <w:rPr>
          <w:b w:val="0"/>
          <w:i w:val="0"/>
        </w:rPr>
        <w:t>Văn phòng Hồ sơ, 209</w:t>
      </w:r>
    </w:p>
    <w:p>
      <w:pPr>
        <w:spacing w:after="80"/>
        <w:ind w:left="720"/>
      </w:pPr>
      <w:r>
        <w:rPr>
          <w:b w:val="0"/>
          <w:i w:val="0"/>
        </w:rPr>
        <w:t>Hồ sơ chính thức, 210</w:t>
      </w:r>
    </w:p>
    <w:p>
      <w:pPr>
        <w:spacing w:after="80"/>
        <w:ind w:left="720"/>
      </w:pPr>
      <w:r>
        <w:rPr>
          <w:b w:val="0"/>
          <w:i w:val="0"/>
        </w:rPr>
        <w:t>Kiểm kê ngoài cơ sở, 160 –161</w:t>
      </w:r>
    </w:p>
    <w:p>
      <w:pPr>
        <w:spacing w:after="80"/>
        <w:ind w:left="720"/>
      </w:pPr>
      <w:r>
        <w:rPr>
          <w:b w:val="0"/>
          <w:i w:val="0"/>
        </w:rPr>
        <w:t>Nỗ lực “Một Gương mặt cho Khách hàng”, 268</w:t>
      </w:r>
    </w:p>
    <w:p>
      <w:pPr>
        <w:spacing w:after="80"/>
        <w:ind w:left="720"/>
      </w:pPr>
      <w:r>
        <w:rPr>
          <w:b w:val="0"/>
          <w:i w:val="0"/>
        </w:rPr>
        <w:t>Đào tạo thường xuyên, tiến hành, 38</w:t>
      </w:r>
    </w:p>
    <w:p>
      <w:pPr>
        <w:spacing w:after="80"/>
        <w:ind w:left="720"/>
      </w:pPr>
      <w:r>
        <w:rPr>
          <w:b w:val="0"/>
          <w:i w:val="0"/>
        </w:rPr>
        <w:t>Tỷ lệ giao hàng đúng hạn, 155</w:t>
      </w:r>
    </w:p>
    <w:p>
      <w:pPr>
        <w:spacing w:after="80"/>
        <w:ind w:left="720"/>
      </w:pPr>
      <w:r>
        <w:rPr>
          <w:b w:val="0"/>
          <w:i w:val="0"/>
        </w:rPr>
        <w:t>Xem xét đơn hàng mở, 54</w:t>
      </w:r>
    </w:p>
    <w:p>
      <w:pPr>
        <w:spacing w:after="80"/>
        <w:ind w:left="720"/>
      </w:pPr>
      <w:r>
        <w:rPr>
          <w:b w:val="0"/>
          <w:i w:val="0"/>
        </w:rPr>
        <w:t>Đơn vị vận hành, 37</w:t>
      </w:r>
    </w:p>
    <w:p>
      <w:pPr>
        <w:spacing w:after="80"/>
        <w:ind w:left="720"/>
      </w:pPr>
      <w:r>
        <w:rPr>
          <w:b w:val="0"/>
          <w:i w:val="0"/>
        </w:rPr>
        <w:t>Hiệu suất Thỏa thuận Cấp độ Vận hành (OLA), 223</w:t>
      </w:r>
    </w:p>
    <w:p>
      <w:pPr>
        <w:spacing w:after="80"/>
        <w:ind w:left="720"/>
      </w:pPr>
      <w:r>
        <w:rPr>
          <w:b w:val="0"/>
          <w:i w:val="0"/>
        </w:rPr>
        <w:t>Hoạt động</w:t>
      </w:r>
    </w:p>
    <w:p>
      <w:pPr>
        <w:spacing w:after="80"/>
        <w:ind w:left="1080"/>
      </w:pPr>
      <w:r>
        <w:rPr>
          <w:b w:val="0"/>
          <w:i w:val="0"/>
        </w:rPr>
        <w:t>lập kế hoạch, 157</w:t>
      </w:r>
    </w:p>
    <w:p>
      <w:pPr>
        <w:spacing w:after="80"/>
        <w:ind w:left="720"/>
      </w:pPr>
      <w:r>
        <w:rPr>
          <w:b w:val="0"/>
          <w:i w:val="0"/>
        </w:rPr>
        <w:t>Quy trình đấu thầu cơ hội, 313 –315</w:t>
      </w:r>
    </w:p>
    <w:p>
      <w:pPr>
        <w:spacing w:after="80"/>
        <w:ind w:left="1080"/>
      </w:pPr>
      <w:r>
        <w:rPr>
          <w:b w:val="0"/>
          <w:i w:val="0"/>
        </w:rPr>
        <w:t>tiêu chuẩn kiểm soát nội bộ, 313 –314</w:t>
      </w:r>
    </w:p>
    <w:p>
      <w:pPr>
        <w:spacing w:after="80"/>
        <w:ind w:left="1080"/>
      </w:pPr>
      <w:r>
        <w:rPr>
          <w:b w:val="0"/>
          <w:i w:val="0"/>
        </w:rPr>
        <w:t>rủi ro, 315</w:t>
      </w:r>
    </w:p>
    <w:p>
      <w:pPr>
        <w:spacing w:after="80"/>
        <w:ind w:left="720"/>
      </w:pPr>
      <w:r>
        <w:rPr>
          <w:b w:val="0"/>
          <w:i w:val="0"/>
        </w:rPr>
        <w:t>Thỏa thuận miệng/thỏa thuận phụ, 61</w:t>
      </w:r>
    </w:p>
    <w:p>
      <w:pPr>
        <w:spacing w:after="80"/>
        <w:ind w:left="720"/>
      </w:pPr>
      <w:r>
        <w:rPr>
          <w:b w:val="0"/>
          <w:i w:val="0"/>
        </w:rPr>
        <w:t>Đơn hàng, 53 –55</w:t>
      </w:r>
    </w:p>
    <w:p>
      <w:pPr>
        <w:spacing w:after="80"/>
        <w:ind w:left="1080"/>
      </w:pPr>
      <w:r>
        <w:rPr>
          <w:b w:val="0"/>
          <w:i w:val="0"/>
        </w:rPr>
        <w:t>quyền truy cập (tiêu chuẩn kiểm soát nội bộ), 53</w:t>
      </w:r>
    </w:p>
    <w:p>
      <w:pPr>
        <w:spacing w:after="80"/>
        <w:ind w:left="1080"/>
      </w:pPr>
      <w:r>
        <w:rPr>
          <w:b w:val="0"/>
          <w:i w:val="0"/>
        </w:rPr>
        <w:t>dấu vết kiểm toán, 109</w:t>
      </w:r>
    </w:p>
    <w:p>
      <w:pPr>
        <w:spacing w:after="80"/>
        <w:ind w:left="1080"/>
      </w:pPr>
      <w:r>
        <w:rPr>
          <w:b w:val="0"/>
          <w:i w:val="0"/>
        </w:rPr>
        <w:t>đơn mua hàng bao cấp (blanket purchase orders), 109</w:t>
      </w:r>
    </w:p>
    <w:p>
      <w:pPr>
        <w:spacing w:after="80"/>
        <w:ind w:left="1080"/>
      </w:pPr>
      <w:r>
        <w:rPr>
          <w:b w:val="0"/>
          <w:i w:val="0"/>
        </w:rPr>
        <w:t>tài liệu (tiêu chuẩn kiểm soát nội bộ), 54</w:t>
      </w:r>
    </w:p>
    <w:p>
      <w:pPr>
        <w:spacing w:after="80"/>
        <w:ind w:left="1080"/>
      </w:pPr>
      <w:r>
        <w:rPr>
          <w:b w:val="0"/>
          <w:i w:val="0"/>
        </w:rPr>
        <w:t>nhập/chỉnh sửa, 53 –55</w:t>
      </w:r>
    </w:p>
    <w:p>
      <w:pPr>
        <w:spacing w:after="80"/>
        <w:ind w:left="1080"/>
      </w:pPr>
      <w:r>
        <w:rPr>
          <w:b w:val="0"/>
          <w:i w:val="0"/>
        </w:rPr>
        <w:t>bằng chứng/thực hiện (tiêu chuẩn kiểm soát nội bộ), 53 , 54</w:t>
      </w:r>
    </w:p>
    <w:p>
      <w:pPr>
        <w:spacing w:after="80"/>
        <w:ind w:left="1080"/>
      </w:pPr>
      <w:r>
        <w:rPr>
          <w:b w:val="0"/>
          <w:i w:val="0"/>
        </w:rPr>
        <w:t>đơn hàng nhận tại quầy (will-call orders), 71</w:t>
      </w:r>
    </w:p>
    <w:p>
      <w:pPr>
        <w:spacing w:after="80"/>
        <w:ind w:left="720"/>
      </w:pPr>
      <w:r>
        <w:rPr>
          <w:b w:val="0"/>
          <w:i w:val="0"/>
        </w:rPr>
        <w:t>Order to Cash (O2C)</w:t>
      </w:r>
    </w:p>
    <w:p>
      <w:pPr>
        <w:spacing w:after="80"/>
        <w:ind w:left="1080"/>
      </w:pPr>
      <w:r>
        <w:rPr>
          <w:b w:val="0"/>
          <w:i w:val="0"/>
        </w:rPr>
        <w:t>các giải pháp tự động hóa, 50</w:t>
      </w:r>
    </w:p>
    <w:p>
      <w:pPr>
        <w:spacing w:after="80"/>
        <w:ind w:left="1080"/>
      </w:pPr>
      <w:r>
        <w:rPr>
          <w:b w:val="0"/>
          <w:i w:val="0"/>
        </w:rPr>
        <w:t>kiểm soát nội bộ, ứng dụng, 51</w:t>
      </w:r>
    </w:p>
    <w:p>
      <w:pPr>
        <w:spacing w:after="80"/>
        <w:ind w:left="1080"/>
      </w:pPr>
      <w:r>
        <w:rPr>
          <w:b w:val="0"/>
          <w:i w:val="0"/>
        </w:rPr>
        <w:t>các chỉ số, 51 –52</w:t>
      </w:r>
    </w:p>
    <w:p>
      <w:pPr>
        <w:spacing w:after="80"/>
        <w:ind w:left="1080"/>
      </w:pPr>
      <w:r>
        <w:rPr>
          <w:b w:val="0"/>
          <w:i w:val="0"/>
        </w:rPr>
        <w:t>quy trình, 49</w:t>
      </w:r>
    </w:p>
    <w:p>
      <w:pPr>
        <w:spacing w:after="80"/>
        <w:ind w:left="1080"/>
      </w:pPr>
      <w:r>
        <w:rPr>
          <w:b w:val="0"/>
          <w:i w:val="0"/>
        </w:rPr>
        <w:t>các quy trình con, 53</w:t>
      </w:r>
    </w:p>
    <w:p>
      <w:pPr>
        <w:spacing w:after="80"/>
        <w:ind w:left="720"/>
      </w:pPr>
      <w:r>
        <w:rPr>
          <w:b w:val="0"/>
          <w:i w:val="0"/>
        </w:rPr>
        <w:t>Tổ chức</w:t>
      </w:r>
    </w:p>
    <w:p>
      <w:pPr>
        <w:spacing w:after="80"/>
        <w:ind w:left="1080"/>
      </w:pPr>
      <w:r>
        <w:rPr>
          <w:b w:val="0"/>
          <w:i w:val="0"/>
        </w:rPr>
        <w:t>kiểm soát, 34 –35</w:t>
      </w:r>
    </w:p>
    <w:p>
      <w:pPr>
        <w:spacing w:after="80"/>
        <w:ind w:left="1080"/>
      </w:pPr>
      <w:r>
        <w:rPr>
          <w:b w:val="0"/>
          <w:i w:val="0"/>
        </w:rPr>
        <w:t>giọng điệu, 38 –40</w:t>
      </w:r>
    </w:p>
    <w:p>
      <w:pPr>
        <w:spacing w:after="80"/>
        <w:ind w:left="720"/>
      </w:pPr>
      <w:r>
        <w:rPr>
          <w:b w:val="0"/>
          <w:i w:val="0"/>
        </w:rPr>
        <w:t>Các chỉ số đo lường của tổ chức, 222</w:t>
      </w:r>
    </w:p>
    <w:p>
      <w:pPr>
        <w:spacing w:after="80"/>
        <w:ind w:left="720"/>
      </w:pPr>
      <w:r>
        <w:rPr>
          <w:b w:val="0"/>
          <w:i w:val="0"/>
        </w:rPr>
        <w:t>Hướng dẫn chuyển giá của Tổ chức Hợp tác và Phát triển Kinh tế (OECD) dành cho các doanh nghiệp đa quốc gia và cơ quan thuế, 177 –178</w:t>
      </w:r>
    </w:p>
    <w:p>
      <w:pPr>
        <w:spacing w:after="80"/>
        <w:ind w:left="720"/>
      </w:pPr>
      <w:r>
        <w:rPr>
          <w:b w:val="0"/>
          <w:i w:val="0"/>
        </w:rPr>
        <w:t>Giao tiếp ở cấp tổ chức, 31</w:t>
      </w:r>
    </w:p>
    <w:p>
      <w:pPr>
        <w:spacing w:after="80"/>
        <w:ind w:left="720"/>
      </w:pPr>
      <w:r>
        <w:rPr>
          <w:b w:val="0"/>
          <w:i w:val="0"/>
        </w:rPr>
        <w:t>Các nhà sản xuất thiết bị gốc (OEMs)/Đối tác liên minh, 167 –168</w:t>
      </w:r>
    </w:p>
    <w:p>
      <w:pPr>
        <w:spacing w:after="80"/>
        <w:ind w:left="1080"/>
      </w:pPr>
      <w:r>
        <w:rPr>
          <w:b w:val="0"/>
          <w:i w:val="0"/>
        </w:rPr>
        <w:t>Phê duyệt DoA, 167</w:t>
      </w:r>
    </w:p>
    <w:p>
      <w:pPr>
        <w:spacing w:after="80"/>
        <w:ind w:left="720"/>
      </w:pPr>
      <w:r>
        <w:rPr>
          <w:b w:val="0"/>
          <w:i w:val="0"/>
        </w:rPr>
        <w:t>Kiểm soát đầu ra, 260 –261</w:t>
      </w:r>
    </w:p>
    <w:p>
      <w:pPr>
        <w:spacing w:after="80"/>
        <w:ind w:left="1080"/>
      </w:pPr>
      <w:r>
        <w:rPr>
          <w:b w:val="0"/>
          <w:i w:val="0"/>
        </w:rPr>
        <w:t>tiêu chuẩn kiểm soát nội bộ, 260 –261</w:t>
      </w:r>
    </w:p>
    <w:p>
      <w:pPr>
        <w:spacing w:after="80"/>
        <w:ind w:left="1080"/>
      </w:pPr>
      <w:r>
        <w:rPr>
          <w:b w:val="0"/>
          <w:i w:val="0"/>
        </w:rPr>
        <w:t>rủi ro, 261</w:t>
      </w:r>
    </w:p>
    <w:p>
      <w:pPr>
        <w:spacing w:after="80"/>
        <w:ind w:left="720"/>
      </w:pPr>
      <w:r>
        <w:rPr>
          <w:b w:val="0"/>
          <w:i w:val="0"/>
        </w:rPr>
        <w:t>Phân bổ chi phí chung, 165</w:t>
      </w:r>
    </w:p>
    <w:p>
      <w:pPr>
        <w:spacing w:after="80"/>
        <w:ind w:left="720"/>
      </w:pPr>
      <w:r>
        <w:rPr>
          <w:b w:val="0"/>
          <w:i w:val="0"/>
        </w:rPr>
        <w:t>Chủ sở hữu, 224 –229</w:t>
      </w:r>
    </w:p>
    <w:p>
      <w:pPr>
        <w:spacing w:after="80"/>
        <w:ind w:left="1080"/>
      </w:pPr>
      <w:r>
        <w:rPr>
          <w:b w:val="0"/>
          <w:i w:val="0"/>
        </w:rPr>
        <w:t>tiêu chuẩn kiểm soát nội bộ, 225 –228</w:t>
      </w:r>
    </w:p>
    <w:p>
      <w:pPr>
        <w:spacing w:after="80"/>
        <w:ind w:left="1080"/>
      </w:pPr>
      <w:r>
        <w:rPr>
          <w:b w:val="0"/>
          <w:i w:val="0"/>
        </w:rPr>
        <w:t>rủi ro, 225 –228</w:t>
      </w:r>
    </w:p>
    <w:p>
      <w:pPr>
        <w:spacing w:after="80"/>
        <w:ind w:left="720"/>
      </w:pPr>
      <w:r>
        <w:rPr>
          <w:b w:val="0"/>
          <w:i w:val="0"/>
        </w:rPr>
        <w:t>Oxley, Michael, 25</w:t>
      </w:r>
    </w:p>
    <w:p>
      <w:pPr>
        <w:spacing w:after="80"/>
        <w:ind w:left="360"/>
      </w:pPr>
      <w:r>
        <w:rPr>
          <w:b w:val="0"/>
          <w:i w:val="0"/>
        </w:rPr>
        <w:t>P</w:t>
      </w:r>
    </w:p>
    <w:p>
      <w:pPr>
        <w:spacing w:after="80"/>
        <w:ind w:left="720"/>
      </w:pPr>
      <w:r>
        <w:rPr>
          <w:b w:val="0"/>
          <w:i w:val="0"/>
        </w:rPr>
        <w:t>Giao dịch không giấy tờ, 261 –264</w:t>
      </w:r>
    </w:p>
    <w:p>
      <w:pPr>
        <w:spacing w:after="80"/>
        <w:ind w:left="1080"/>
      </w:pPr>
      <w:r>
        <w:rPr>
          <w:b w:val="0"/>
          <w:i w:val="0"/>
        </w:rPr>
        <w:t>định nghĩa, 262</w:t>
      </w:r>
    </w:p>
    <w:p>
      <w:pPr>
        <w:spacing w:after="80"/>
        <w:ind w:left="1080"/>
      </w:pPr>
      <w:r>
        <w:rPr>
          <w:b w:val="0"/>
          <w:i w:val="0"/>
        </w:rPr>
        <w:t>tiêu chuẩn kiểm soát nội bộ, 262 –264</w:t>
      </w:r>
    </w:p>
    <w:p>
      <w:pPr>
        <w:spacing w:after="80"/>
        <w:ind w:left="1080"/>
      </w:pPr>
      <w:r>
        <w:rPr>
          <w:b w:val="0"/>
          <w:i w:val="0"/>
        </w:rPr>
        <w:t>rủi ro, 264</w:t>
      </w:r>
    </w:p>
    <w:p>
      <w:pPr>
        <w:spacing w:after="80"/>
        <w:ind w:left="720"/>
      </w:pPr>
      <w:r>
        <w:rPr>
          <w:b w:val="0"/>
          <w:i w:val="0"/>
        </w:rPr>
        <w:t>Khách hàng quá hạn, 63</w:t>
      </w:r>
    </w:p>
    <w:p>
      <w:pPr>
        <w:spacing w:after="80"/>
        <w:ind w:left="720"/>
      </w:pPr>
      <w:r>
        <w:rPr>
          <w:b w:val="0"/>
          <w:i w:val="0"/>
        </w:rPr>
        <w:t>Tiêu chuẩn Bảo mật Dữ liệu Ngành Thẻ thanh toán (PCI), 317</w:t>
      </w:r>
    </w:p>
    <w:p>
      <w:pPr>
        <w:spacing w:after="80"/>
        <w:ind w:left="720"/>
      </w:pPr>
      <w:r>
        <w:rPr>
          <w:b w:val="0"/>
          <w:i w:val="0"/>
        </w:rPr>
        <w:t>Quy trình thanh toán, 119 –123</w:t>
      </w:r>
    </w:p>
    <w:p>
      <w:pPr>
        <w:spacing w:after="80"/>
        <w:ind w:left="1080"/>
      </w:pPr>
      <w:r>
        <w:rPr>
          <w:b w:val="0"/>
          <w:i w:val="0"/>
        </w:rPr>
        <w:t>nhiệm vụ, phân tách trách nhiệm, 120</w:t>
      </w:r>
    </w:p>
    <w:p>
      <w:pPr>
        <w:spacing w:after="80"/>
        <w:ind w:left="1080"/>
      </w:pPr>
      <w:r>
        <w:rPr>
          <w:b w:val="0"/>
          <w:i w:val="0"/>
        </w:rPr>
        <w:t>tiêu chuẩn kiểm soát nội bộ, 120 –122</w:t>
      </w:r>
    </w:p>
    <w:p>
      <w:pPr>
        <w:spacing w:after="80"/>
        <w:ind w:left="1080"/>
      </w:pPr>
      <w:r>
        <w:rPr>
          <w:b w:val="0"/>
          <w:i w:val="0"/>
        </w:rPr>
        <w:t>rủi ro, 122 –123</w:t>
      </w:r>
    </w:p>
    <w:p>
      <w:pPr>
        <w:spacing w:after="80"/>
        <w:ind w:left="1080"/>
      </w:pPr>
      <w:r>
        <w:rPr>
          <w:b w:val="0"/>
          <w:i w:val="0"/>
        </w:rPr>
        <w:t>công tác phí &amp; tiếp khách (T&amp;E), 123 –125</w:t>
      </w:r>
    </w:p>
    <w:p>
      <w:pPr>
        <w:spacing w:after="80"/>
        <w:ind w:left="720"/>
      </w:pPr>
      <w:r>
        <w:rPr>
          <w:b w:val="0"/>
          <w:i w:val="0"/>
        </w:rPr>
        <w:t>Thanh toán</w:t>
      </w:r>
    </w:p>
    <w:p>
      <w:pPr>
        <w:spacing w:after="80"/>
        <w:ind w:left="1080"/>
      </w:pPr>
      <w:r>
        <w:rPr>
          <w:b w:val="0"/>
          <w:i w:val="0"/>
        </w:rPr>
        <w:t>thời điểm giải ngân, tỷ lệ phần trăm, 87</w:t>
      </w:r>
    </w:p>
    <w:p>
      <w:pPr>
        <w:spacing w:after="80"/>
        <w:ind w:left="720"/>
      </w:pPr>
      <w:r>
        <w:rPr>
          <w:b w:val="0"/>
          <w:i w:val="0"/>
        </w:rPr>
        <w:t>Bảng lương</w:t>
      </w:r>
    </w:p>
    <w:p>
      <w:pPr>
        <w:spacing w:after="80"/>
        <w:ind w:left="1080"/>
      </w:pPr>
      <w:r>
        <w:rPr>
          <w:b w:val="0"/>
          <w:i w:val="0"/>
        </w:rPr>
        <w:t>tài khoản ngân hàng, 142</w:t>
      </w:r>
    </w:p>
    <w:p>
      <w:pPr>
        <w:spacing w:after="80"/>
        <w:ind w:left="1080"/>
      </w:pPr>
      <w:r>
        <w:rPr>
          <w:b w:val="0"/>
          <w:i w:val="0"/>
        </w:rPr>
        <w:t>kiểm tra, an ninh/phát hành/phân phối, 142 –144</w:t>
      </w:r>
    </w:p>
    <w:p>
      <w:pPr>
        <w:spacing w:after="80"/>
        <w:ind w:left="1080"/>
      </w:pPr>
      <w:r>
        <w:rPr>
          <w:b w:val="0"/>
          <w:i w:val="0"/>
        </w:rPr>
        <w:t>phân phối, 144</w:t>
      </w:r>
    </w:p>
    <w:p>
      <w:pPr>
        <w:spacing w:after="80"/>
        <w:ind w:left="1080"/>
      </w:pPr>
      <w:r>
        <w:rPr>
          <w:b w:val="0"/>
          <w:i w:val="0"/>
        </w:rPr>
        <w:t>hồ sơ thu nhập, đối chiếu, 139</w:t>
      </w:r>
    </w:p>
    <w:p>
      <w:pPr>
        <w:spacing w:after="80"/>
        <w:ind w:left="1080"/>
      </w:pPr>
      <w:r>
        <w:rPr>
          <w:b w:val="0"/>
          <w:i w:val="0"/>
        </w:rPr>
        <w:t>phân phối chi phí, 140</w:t>
      </w:r>
    </w:p>
    <w:p>
      <w:pPr>
        <w:spacing w:after="80"/>
        <w:ind w:left="1080"/>
      </w:pPr>
      <w:r>
        <w:rPr>
          <w:b w:val="0"/>
          <w:i w:val="0"/>
        </w:rPr>
        <w:t>bước quy trình H2R, 133</w:t>
      </w:r>
    </w:p>
    <w:p>
      <w:pPr>
        <w:spacing w:after="80"/>
        <w:ind w:left="1080"/>
      </w:pPr>
      <w:r>
        <w:rPr>
          <w:b w:val="0"/>
          <w:i w:val="0"/>
        </w:rPr>
        <w:t>tệp chính, 138</w:t>
      </w:r>
    </w:p>
    <w:p>
      <w:pPr>
        <w:spacing w:after="80"/>
        <w:ind w:left="1080"/>
      </w:pPr>
      <w:r>
        <w:rPr>
          <w:b w:val="0"/>
          <w:i w:val="0"/>
        </w:rPr>
        <w:t>thủ tục, tài liệu hóa, 139</w:t>
      </w:r>
    </w:p>
    <w:p>
      <w:pPr>
        <w:spacing w:after="80"/>
        <w:ind w:left="1080"/>
      </w:pPr>
      <w:r>
        <w:rPr>
          <w:b w:val="0"/>
          <w:i w:val="0"/>
        </w:rPr>
        <w:t>hồ sơ, 138 , 143</w:t>
      </w:r>
    </w:p>
    <w:p>
      <w:pPr>
        <w:spacing w:after="80"/>
        <w:ind w:left="1080"/>
      </w:pPr>
      <w:r>
        <w:rPr>
          <w:b w:val="0"/>
          <w:i w:val="0"/>
        </w:rPr>
        <w:t>dữ liệu nguồn, kiểm soát, 139</w:t>
      </w:r>
    </w:p>
    <w:p>
      <w:pPr>
        <w:spacing w:after="80"/>
        <w:ind w:left="1080"/>
      </w:pPr>
      <w:r>
        <w:rPr>
          <w:b w:val="0"/>
          <w:i w:val="0"/>
        </w:rPr>
        <w:t>các khoản khấu trừ, 139</w:t>
      </w:r>
    </w:p>
    <w:p>
      <w:pPr>
        <w:spacing w:after="80"/>
        <w:ind w:left="720"/>
      </w:pPr>
      <w:r>
        <w:rPr>
          <w:b w:val="0"/>
          <w:i w:val="0"/>
        </w:rPr>
        <w:t>Kiểm soát thanh toán lương, 141 –143</w:t>
      </w:r>
    </w:p>
    <w:p>
      <w:pPr>
        <w:spacing w:after="80"/>
        <w:ind w:left="1080"/>
      </w:pPr>
      <w:r>
        <w:rPr>
          <w:b w:val="0"/>
          <w:i w:val="0"/>
        </w:rPr>
        <w:t>tiêu chuẩn kiểm soát nội bộ, 142 –143</w:t>
      </w:r>
    </w:p>
    <w:p>
      <w:pPr>
        <w:spacing w:after="80"/>
        <w:ind w:left="1080"/>
      </w:pPr>
      <w:r>
        <w:rPr>
          <w:b w:val="0"/>
          <w:i w:val="0"/>
        </w:rPr>
        <w:t>phân tách nhiệm vụ, 143</w:t>
      </w:r>
    </w:p>
    <w:p>
      <w:pPr>
        <w:spacing w:after="80"/>
        <w:ind w:left="720"/>
      </w:pPr>
      <w:r>
        <w:rPr>
          <w:b w:val="0"/>
          <w:i w:val="0"/>
        </w:rPr>
        <w:t>Chuẩn bị/an ninh lương, 138 –141</w:t>
      </w:r>
    </w:p>
    <w:p>
      <w:pPr>
        <w:spacing w:after="80"/>
        <w:ind w:left="1080"/>
      </w:pPr>
      <w:r>
        <w:rPr>
          <w:b w:val="0"/>
          <w:i w:val="0"/>
        </w:rPr>
        <w:t>tiêu chuẩn kiểm soát nội bộ, 138 –140</w:t>
      </w:r>
    </w:p>
    <w:p>
      <w:pPr>
        <w:spacing w:after="80"/>
        <w:ind w:left="1080"/>
      </w:pPr>
      <w:r>
        <w:rPr>
          <w:b w:val="0"/>
          <w:i w:val="0"/>
        </w:rPr>
        <w:t>rủi ro, 140 –141</w:t>
      </w:r>
    </w:p>
    <w:p>
      <w:pPr>
        <w:spacing w:after="80"/>
        <w:ind w:left="1080"/>
      </w:pPr>
      <w:r>
        <w:rPr>
          <w:b w:val="0"/>
          <w:i w:val="0"/>
        </w:rPr>
        <w:t>phân tách nhiệm vụ, 140</w:t>
      </w:r>
    </w:p>
    <w:p>
      <w:pPr>
        <w:spacing w:after="80"/>
        <w:ind w:left="720"/>
      </w:pPr>
      <w:r>
        <w:rPr>
          <w:b w:val="0"/>
          <w:i w:val="0"/>
        </w:rPr>
        <w:t xml:space="preserve">Thẻ P (P-cards). </w:t>
      </w:r>
      <w:r>
        <w:rPr>
          <w:b w:val="0"/>
          <w:i/>
        </w:rPr>
        <w:t>Xem</w:t>
      </w:r>
      <w:r>
        <w:rPr>
          <w:b w:val="0"/>
          <w:i w:val="0"/>
        </w:rPr>
        <w:t xml:space="preserve"> Thẻ mua hàng (Procurement cards)</w:t>
      </w:r>
    </w:p>
    <w:p>
      <w:pPr>
        <w:spacing w:after="80"/>
        <w:ind w:left="720"/>
      </w:pPr>
      <w:r>
        <w:rPr>
          <w:b w:val="0"/>
          <w:i w:val="0"/>
        </w:rPr>
        <w:t>Đo lường đơn hàng hoàn hảo (Perfect order measurement), 155</w:t>
      </w:r>
    </w:p>
    <w:p>
      <w:pPr>
        <w:spacing w:after="80"/>
        <w:ind w:left="720"/>
      </w:pPr>
      <w:r>
        <w:rPr>
          <w:b w:val="0"/>
          <w:i w:val="0"/>
        </w:rPr>
        <w:t>Bảo mật vành đai (Perimeter security), 276 –279</w:t>
      </w:r>
    </w:p>
    <w:p>
      <w:pPr>
        <w:spacing w:after="80"/>
        <w:ind w:left="1080"/>
      </w:pPr>
      <w:r>
        <w:rPr>
          <w:b w:val="0"/>
          <w:i w:val="0"/>
        </w:rPr>
        <w:t>tiêu chuẩn kiểm soát nội bộ, 277 –278</w:t>
      </w:r>
    </w:p>
    <w:p>
      <w:pPr>
        <w:spacing w:after="80"/>
        <w:ind w:left="1080"/>
      </w:pPr>
      <w:r>
        <w:rPr>
          <w:b w:val="0"/>
          <w:i w:val="0"/>
        </w:rPr>
        <w:t>rủi ro, 278 –279</w:t>
      </w:r>
    </w:p>
    <w:p>
      <w:pPr>
        <w:spacing w:after="80"/>
        <w:ind w:left="720"/>
      </w:pPr>
      <w:r>
        <w:rPr>
          <w:b w:val="0"/>
          <w:i w:val="0"/>
        </w:rPr>
        <w:t>Nhận dạng cá nhân (Personal identification), 242</w:t>
      </w:r>
    </w:p>
    <w:p>
      <w:pPr>
        <w:spacing w:after="80"/>
        <w:ind w:left="720"/>
      </w:pPr>
      <w:r>
        <w:rPr>
          <w:b w:val="0"/>
          <w:i w:val="0"/>
        </w:rPr>
        <w:t>Tiền mặt lặt vặt (Petty cash), 122</w:t>
      </w:r>
    </w:p>
    <w:p>
      <w:pPr>
        <w:spacing w:after="80"/>
        <w:ind w:left="720"/>
      </w:pPr>
      <w:r>
        <w:rPr>
          <w:b w:val="0"/>
          <w:i w:val="0"/>
        </w:rPr>
        <w:t>Tài sản hữu hình (Physical assets), 271</w:t>
      </w:r>
    </w:p>
    <w:p>
      <w:pPr>
        <w:spacing w:after="80"/>
        <w:ind w:left="720"/>
      </w:pPr>
      <w:r>
        <w:rPr>
          <w:b w:val="0"/>
          <w:i w:val="0"/>
        </w:rPr>
        <w:t>Thiệt hại vật chất, bảo vệ, 287 –288</w:t>
      </w:r>
    </w:p>
    <w:p>
      <w:pPr>
        <w:spacing w:after="80"/>
        <w:ind w:left="1080"/>
      </w:pPr>
      <w:r>
        <w:rPr>
          <w:b w:val="0"/>
          <w:i w:val="0"/>
        </w:rPr>
        <w:t>tiêu chuẩn kiểm soát nội bộ, 288</w:t>
      </w:r>
    </w:p>
    <w:p>
      <w:pPr>
        <w:spacing w:after="80"/>
        <w:ind w:left="1080"/>
      </w:pPr>
      <w:r>
        <w:rPr>
          <w:b w:val="0"/>
          <w:i w:val="0"/>
        </w:rPr>
        <w:t>rủi ro, 288</w:t>
      </w:r>
    </w:p>
    <w:p>
      <w:pPr>
        <w:spacing w:after="80"/>
        <w:ind w:left="720"/>
      </w:pPr>
      <w:r>
        <w:rPr>
          <w:b w:val="0"/>
          <w:i w:val="0"/>
        </w:rPr>
        <w:t>Hồ sơ vật lý/điện tử, yêu cầu bảo vệ, 217t –218t</w:t>
      </w:r>
    </w:p>
    <w:p>
      <w:pPr>
        <w:spacing w:after="80"/>
        <w:ind w:left="720"/>
      </w:pPr>
      <w:r>
        <w:rPr>
          <w:b w:val="0"/>
          <w:i w:val="0"/>
        </w:rPr>
        <w:t>Quy trình kiểm kê thực tế (Physical inventory procedures), 162</w:t>
      </w:r>
    </w:p>
    <w:p>
      <w:pPr>
        <w:spacing w:after="80"/>
        <w:ind w:left="720"/>
      </w:pPr>
      <w:r>
        <w:rPr>
          <w:b w:val="0"/>
          <w:i w:val="0"/>
        </w:rPr>
        <w:t>Biện pháp bảo vệ vật lý (Physical safeguards), 33</w:t>
      </w:r>
    </w:p>
    <w:p>
      <w:pPr>
        <w:spacing w:after="80"/>
        <w:ind w:left="720"/>
      </w:pPr>
      <w:r>
        <w:rPr>
          <w:b w:val="0"/>
          <w:i w:val="0"/>
        </w:rPr>
        <w:t>Bảo mật vật lý (Physical security), 229 –232, 274</w:t>
      </w:r>
    </w:p>
    <w:p>
      <w:pPr>
        <w:spacing w:after="80"/>
        <w:ind w:left="1080"/>
      </w:pPr>
      <w:r>
        <w:rPr>
          <w:b w:val="0"/>
          <w:i w:val="0"/>
        </w:rPr>
        <w:t>thành phần mục tiêu kiểm soát, 33</w:t>
      </w:r>
    </w:p>
    <w:p>
      <w:pPr>
        <w:spacing w:after="80"/>
        <w:ind w:left="1080"/>
      </w:pPr>
      <w:r>
        <w:rPr>
          <w:b w:val="0"/>
          <w:i w:val="0"/>
        </w:rPr>
        <w:t>tiêu chuẩn kiểm soát nội bộ, 230 –231</w:t>
      </w:r>
    </w:p>
    <w:p>
      <w:pPr>
        <w:spacing w:after="80"/>
        <w:ind w:left="1080"/>
      </w:pPr>
      <w:r>
        <w:rPr>
          <w:b w:val="0"/>
          <w:i w:val="0"/>
        </w:rPr>
        <w:t>rủi ro, 232</w:t>
      </w:r>
    </w:p>
    <w:p>
      <w:pPr>
        <w:spacing w:after="80"/>
        <w:ind w:left="720"/>
      </w:pPr>
      <w:r>
        <w:rPr>
          <w:b w:val="0"/>
          <w:i w:val="0"/>
        </w:rPr>
        <w:t>Lập kế hoạch/kiểm soát, 157 –159</w:t>
      </w:r>
    </w:p>
    <w:p>
      <w:pPr>
        <w:spacing w:after="80"/>
        <w:ind w:left="1080"/>
      </w:pPr>
      <w:r>
        <w:rPr>
          <w:b w:val="0"/>
          <w:i w:val="0"/>
        </w:rPr>
        <w:t>tiêu chuẩn kiểm soát nội bộ, 157 –158</w:t>
      </w:r>
    </w:p>
    <w:p>
      <w:pPr>
        <w:spacing w:after="80"/>
        <w:ind w:left="1080"/>
      </w:pPr>
      <w:r>
        <w:rPr>
          <w:b w:val="0"/>
          <w:i w:val="0"/>
        </w:rPr>
        <w:t>rủi ro, 158 –159</w:t>
      </w:r>
    </w:p>
    <w:p>
      <w:pPr>
        <w:spacing w:after="80"/>
        <w:ind w:left="720"/>
      </w:pPr>
      <w:r>
        <w:rPr>
          <w:b w:val="0"/>
          <w:i w:val="0"/>
        </w:rPr>
        <w:t>báo cáo hệ thống điểm bán hàng (Point-of-Sale - POS), 303</w:t>
      </w:r>
    </w:p>
    <w:p>
      <w:pPr>
        <w:spacing w:after="80"/>
        <w:ind w:left="720"/>
      </w:pPr>
      <w:r>
        <w:rPr>
          <w:b w:val="0"/>
          <w:i w:val="0"/>
        </w:rPr>
        <w:t>kiểm soát chính sách, 35</w:t>
      </w:r>
    </w:p>
    <w:p>
      <w:pPr>
        <w:spacing w:after="80"/>
        <w:ind w:left="720"/>
      </w:pPr>
      <w:r>
        <w:rPr>
          <w:b w:val="0"/>
          <w:i w:val="0"/>
        </w:rPr>
        <w:t>người có ảnh hưởng chính trị (Politically Exposed Persons - PEPs), 106</w:t>
      </w:r>
    </w:p>
    <w:p>
      <w:pPr>
        <w:spacing w:after="80"/>
        <w:ind w:left="720"/>
      </w:pPr>
      <w:r>
        <w:rPr>
          <w:b w:val="0"/>
          <w:i w:val="0"/>
        </w:rPr>
        <w:t>xếp hạng tín dụng danh mục đầu tư, 87</w:t>
      </w:r>
    </w:p>
    <w:p>
      <w:pPr>
        <w:spacing w:after="80"/>
        <w:ind w:left="720"/>
      </w:pPr>
      <w:r>
        <w:rPr>
          <w:b w:val="0"/>
          <w:i w:val="0"/>
        </w:rPr>
        <w:t>kiểm soát thanh toán xác nhận (positive pay), 121</w:t>
      </w:r>
    </w:p>
    <w:p>
      <w:pPr>
        <w:spacing w:after="80"/>
        <w:ind w:left="720"/>
      </w:pPr>
      <w:r>
        <w:rPr>
          <w:b w:val="0"/>
          <w:i w:val="0"/>
        </w:rPr>
        <w:t>chuyển đổi đơn đặt hàng (PO) thành hóa đơn, 99</w:t>
      </w:r>
    </w:p>
    <w:p>
      <w:pPr>
        <w:spacing w:after="80"/>
        <w:ind w:left="720"/>
      </w:pPr>
      <w:r>
        <w:rPr>
          <w:b w:val="0"/>
          <w:i w:val="0"/>
        </w:rPr>
        <w:t>kiểm soát nội bộ phòng ngừa, 33</w:t>
      </w:r>
    </w:p>
    <w:p>
      <w:pPr>
        <w:spacing w:after="80"/>
        <w:ind w:left="720"/>
      </w:pPr>
      <w:r>
        <w:rPr>
          <w:b w:val="0"/>
          <w:i w:val="0"/>
        </w:rPr>
        <w:t>thiết lập giá, 79 –81</w:t>
      </w:r>
    </w:p>
    <w:p>
      <w:pPr>
        <w:spacing w:after="80"/>
        <w:ind w:left="1080"/>
      </w:pPr>
      <w:r>
        <w:rPr>
          <w:b w:val="0"/>
          <w:i w:val="0"/>
        </w:rPr>
        <w:t>tiêu chuẩn kiểm soát nội bộ, 79 –80</w:t>
      </w:r>
    </w:p>
    <w:p>
      <w:pPr>
        <w:spacing w:after="80"/>
        <w:ind w:left="1080"/>
      </w:pPr>
      <w:r>
        <w:rPr>
          <w:b w:val="0"/>
          <w:i w:val="0"/>
        </w:rPr>
        <w:t>rủi ro, 81</w:t>
      </w:r>
    </w:p>
    <w:p>
      <w:pPr>
        <w:spacing w:after="80"/>
        <w:ind w:left="720"/>
      </w:pPr>
      <w:r>
        <w:rPr>
          <w:b w:val="0"/>
          <w:i w:val="0"/>
        </w:rPr>
        <w:t>Bảo vệ giá, 69</w:t>
      </w:r>
    </w:p>
    <w:p>
      <w:pPr>
        <w:spacing w:after="80"/>
        <w:ind w:left="720"/>
      </w:pPr>
      <w:r>
        <w:rPr>
          <w:b w:val="0"/>
          <w:i w:val="0"/>
        </w:rPr>
        <w:t>Tổn thất tối đa có thể xảy ra (Probable Maximum Loss - PML), 288</w:t>
      </w:r>
    </w:p>
    <w:p>
      <w:pPr>
        <w:spacing w:after="80"/>
        <w:ind w:left="720"/>
      </w:pPr>
      <w:r>
        <w:rPr>
          <w:b w:val="0"/>
          <w:i w:val="0"/>
        </w:rPr>
        <w:t>Kiểm soát quy trình, 35</w:t>
      </w:r>
    </w:p>
    <w:p>
      <w:pPr>
        <w:spacing w:after="80"/>
        <w:ind w:left="720"/>
      </w:pPr>
      <w:r>
        <w:rPr>
          <w:b w:val="0"/>
          <w:i w:val="0"/>
        </w:rPr>
        <w:t>Quy trình</w:t>
      </w:r>
    </w:p>
    <w:p>
      <w:pPr>
        <w:spacing w:after="80"/>
        <w:ind w:left="1080"/>
      </w:pPr>
      <w:r>
        <w:rPr>
          <w:b w:val="0"/>
          <w:i w:val="0"/>
        </w:rPr>
        <w:t>thủ tục kiểm đếm, 162</w:t>
      </w:r>
    </w:p>
    <w:p>
      <w:pPr>
        <w:spacing w:after="80"/>
        <w:ind w:left="1080"/>
      </w:pPr>
      <w:r>
        <w:rPr>
          <w:b w:val="0"/>
          <w:i w:val="0"/>
        </w:rPr>
        <w:t>các chỉ số, 222</w:t>
      </w:r>
    </w:p>
    <w:p>
      <w:pPr>
        <w:spacing w:after="80"/>
        <w:ind w:left="720"/>
      </w:pPr>
      <w:r>
        <w:rPr>
          <w:b w:val="0"/>
          <w:i w:val="0"/>
        </w:rPr>
        <w:t>Thẻ mua sắm (Procurement cards - P-cards), 127 –131</w:t>
      </w:r>
    </w:p>
    <w:p>
      <w:pPr>
        <w:spacing w:after="80"/>
        <w:ind w:left="1080"/>
      </w:pPr>
      <w:r>
        <w:rPr>
          <w:b w:val="0"/>
          <w:i w:val="0"/>
        </w:rPr>
        <w:t>nhật ký kiểm toán, theo dõi bảng kê, 129</w:t>
      </w:r>
    </w:p>
    <w:p>
      <w:pPr>
        <w:spacing w:after="80"/>
        <w:ind w:left="1080"/>
      </w:pPr>
      <w:r>
        <w:rPr>
          <w:b w:val="0"/>
          <w:i w:val="0"/>
        </w:rPr>
        <w:t>tiêu chuẩn kiểm soát nội bộ, 128 –130</w:t>
      </w:r>
    </w:p>
    <w:p>
      <w:pPr>
        <w:spacing w:after="80"/>
        <w:ind w:left="1080"/>
      </w:pPr>
      <w:r>
        <w:rPr>
          <w:b w:val="0"/>
          <w:i w:val="0"/>
        </w:rPr>
        <w:t>việc sử dụng, 101</w:t>
      </w:r>
    </w:p>
    <w:p>
      <w:pPr>
        <w:spacing w:after="80"/>
        <w:ind w:left="720"/>
      </w:pPr>
      <w:r>
        <w:rPr>
          <w:b w:val="0"/>
          <w:i w:val="0"/>
        </w:rPr>
        <w:t>Chi phí mua sắm, 103</w:t>
      </w:r>
    </w:p>
    <w:p>
      <w:pPr>
        <w:spacing w:after="80"/>
        <w:ind w:left="720"/>
      </w:pPr>
      <w:r>
        <w:rPr>
          <w:b w:val="0"/>
          <w:i w:val="0"/>
        </w:rPr>
        <w:t>Đạo luật Liêm chính trong Mua sắm (Procurement Integrity Act), 192</w:t>
      </w:r>
    </w:p>
    <w:p>
      <w:pPr>
        <w:spacing w:after="80"/>
        <w:ind w:left="720"/>
      </w:pPr>
      <w:r>
        <w:rPr>
          <w:b w:val="0"/>
          <w:i w:val="0"/>
        </w:rPr>
        <w:t>Mua sắm đến Thanh toán (Procure to Pay - P2P)</w:t>
      </w:r>
    </w:p>
    <w:p>
      <w:pPr>
        <w:spacing w:after="80"/>
        <w:ind w:left="1080"/>
      </w:pPr>
      <w:r>
        <w:rPr>
          <w:b w:val="0"/>
          <w:i w:val="0"/>
        </w:rPr>
        <w:t>chu trình (ứng dụng), quản trị rủi ro doanh nghiệp (mối quan hệ), 28 –30</w:t>
      </w:r>
    </w:p>
    <w:p>
      <w:pPr>
        <w:spacing w:after="80"/>
        <w:ind w:left="1080"/>
      </w:pPr>
      <w:r>
        <w:rPr>
          <w:b w:val="0"/>
          <w:i w:val="0"/>
        </w:rPr>
        <w:t>quy trình, 113</w:t>
      </w:r>
    </w:p>
    <w:p>
      <w:pPr>
        <w:spacing w:after="80"/>
        <w:ind w:left="720"/>
      </w:pPr>
      <w:r>
        <w:rPr>
          <w:b w:val="0"/>
          <w:i w:val="0"/>
        </w:rPr>
        <w:t>Quy trình Mua sắm đến Thanh toán (Procure to Pay - P2P), 97</w:t>
      </w:r>
    </w:p>
    <w:p>
      <w:pPr>
        <w:spacing w:after="80"/>
        <w:ind w:left="1080"/>
      </w:pPr>
      <w:r>
        <w:rPr>
          <w:b w:val="0"/>
          <w:i w:val="0"/>
        </w:rPr>
        <w:t>các khoản phải trả, 101, 104 –105</w:t>
      </w:r>
    </w:p>
    <w:p>
      <w:pPr>
        <w:spacing w:after="80"/>
        <w:ind w:left="1080"/>
      </w:pPr>
      <w:r>
        <w:rPr>
          <w:b w:val="0"/>
          <w:i w:val="0"/>
        </w:rPr>
        <w:t>đối chiếu tự động, 99 –100</w:t>
      </w:r>
    </w:p>
    <w:p>
      <w:pPr>
        <w:spacing w:after="80"/>
        <w:ind w:left="1080"/>
      </w:pPr>
      <w:r>
        <w:rPr>
          <w:b w:val="0"/>
          <w:i w:val="0"/>
        </w:rPr>
        <w:t>phê duyệt quy trình làm việc tự động, 100</w:t>
      </w:r>
    </w:p>
    <w:p>
      <w:pPr>
        <w:spacing w:after="80"/>
        <w:ind w:left="1080"/>
      </w:pPr>
      <w:r>
        <w:rPr>
          <w:b w:val="0"/>
          <w:i w:val="0"/>
        </w:rPr>
        <w:t>thu thập dữ liệu, 99</w:t>
      </w:r>
    </w:p>
    <w:p>
      <w:pPr>
        <w:spacing w:after="80"/>
        <w:ind w:left="1080"/>
      </w:pPr>
      <w:r>
        <w:rPr>
          <w:b w:val="0"/>
          <w:i w:val="0"/>
        </w:rPr>
        <w:t>quản lý tài liệu, 99</w:t>
      </w:r>
    </w:p>
    <w:p>
      <w:pPr>
        <w:spacing w:after="80"/>
        <w:ind w:left="1080"/>
      </w:pPr>
      <w:r>
        <w:rPr>
          <w:b w:val="0"/>
          <w:i w:val="0"/>
        </w:rPr>
        <w:t>hóa đơn điện tử, 98 –99</w:t>
      </w:r>
    </w:p>
    <w:p>
      <w:pPr>
        <w:spacing w:after="80"/>
        <w:ind w:left="1080"/>
      </w:pPr>
      <w:r>
        <w:rPr>
          <w:b w:val="0"/>
          <w:i w:val="0"/>
        </w:rPr>
        <w:t>thanh toán điện tử, 100 –101</w:t>
      </w:r>
    </w:p>
    <w:p>
      <w:pPr>
        <w:spacing w:after="80"/>
        <w:ind w:left="1080"/>
      </w:pPr>
      <w:r>
        <w:rPr>
          <w:b w:val="0"/>
          <w:i w:val="0"/>
        </w:rPr>
        <w:t>mua sắm điện tử, 98</w:t>
      </w:r>
    </w:p>
    <w:p>
      <w:pPr>
        <w:spacing w:after="80"/>
        <w:ind w:left="1080"/>
      </w:pPr>
      <w:r>
        <w:rPr>
          <w:b w:val="0"/>
          <w:i w:val="0"/>
        </w:rPr>
        <w:t>các chỉ số chức năng, 103</w:t>
      </w:r>
    </w:p>
    <w:p>
      <w:pPr>
        <w:spacing w:after="80"/>
        <w:ind w:left="1080"/>
      </w:pPr>
      <w:r>
        <w:rPr>
          <w:b w:val="0"/>
          <w:i w:val="0"/>
        </w:rPr>
        <w:t>kiểm soát nội bộ, 103, 105</w:t>
      </w:r>
    </w:p>
    <w:p>
      <w:pPr>
        <w:spacing w:after="80"/>
        <w:ind w:left="1080"/>
      </w:pPr>
      <w:r>
        <w:rPr>
          <w:b w:val="0"/>
          <w:i w:val="0"/>
        </w:rPr>
        <w:t>quét hóa đơn, 99</w:t>
      </w:r>
    </w:p>
    <w:p>
      <w:pPr>
        <w:spacing w:after="80"/>
        <w:ind w:left="1080"/>
      </w:pPr>
      <w:r>
        <w:rPr>
          <w:b w:val="0"/>
          <w:i w:val="0"/>
        </w:rPr>
        <w:t>các chỉ số, 103 –105</w:t>
      </w:r>
    </w:p>
    <w:p>
      <w:pPr>
        <w:spacing w:after="80"/>
        <w:ind w:left="1080"/>
      </w:pPr>
      <w:r>
        <w:rPr>
          <w:b w:val="0"/>
          <w:i w:val="0"/>
        </w:rPr>
        <w:t>chuyển đổi từ đơn đặt hàng sang hóa đơn, 99</w:t>
      </w:r>
    </w:p>
    <w:p>
      <w:pPr>
        <w:spacing w:after="80"/>
        <w:ind w:left="1080"/>
      </w:pPr>
      <w:r>
        <w:rPr>
          <w:b w:val="0"/>
          <w:i w:val="0"/>
        </w:rPr>
        <w:t>chi phí mua sắm, 103 –104</w:t>
      </w:r>
    </w:p>
    <w:p>
      <w:pPr>
        <w:spacing w:after="80"/>
        <w:ind w:left="1080"/>
      </w:pPr>
      <w:r>
        <w:rPr>
          <w:b w:val="0"/>
          <w:i w:val="0"/>
        </w:rPr>
        <w:t>giảm thiểu rủi ro, sử dụng tự động hóa, 97 –102</w:t>
      </w:r>
    </w:p>
    <w:p>
      <w:pPr>
        <w:spacing w:after="80"/>
        <w:ind w:left="1080"/>
      </w:pPr>
      <w:r>
        <w:rPr>
          <w:b w:val="0"/>
          <w:i w:val="0"/>
        </w:rPr>
        <w:t>các quy trình con, 106</w:t>
      </w:r>
    </w:p>
    <w:p>
      <w:pPr>
        <w:spacing w:after="80"/>
        <w:ind w:left="1080"/>
      </w:pPr>
      <w:r>
        <w:rPr>
          <w:b w:val="0"/>
          <w:i w:val="0"/>
        </w:rPr>
        <w:t>cổng thông tin nhà cung cấp, 98</w:t>
      </w:r>
    </w:p>
    <w:p>
      <w:pPr>
        <w:spacing w:after="80"/>
        <w:ind w:left="720"/>
      </w:pPr>
      <w:r>
        <w:rPr>
          <w:b w:val="0"/>
          <w:i w:val="0"/>
        </w:rPr>
        <w:t>Sản phẩm</w:t>
      </w:r>
    </w:p>
    <w:p>
      <w:pPr>
        <w:spacing w:after="80"/>
        <w:ind w:left="1080"/>
      </w:pPr>
      <w:r>
        <w:rPr>
          <w:b w:val="0"/>
          <w:i w:val="0"/>
        </w:rPr>
        <w:t>quản lý chi phí, 164 –166</w:t>
      </w:r>
    </w:p>
    <w:p>
      <w:pPr>
        <w:spacing w:after="80"/>
        <w:ind w:left="1080"/>
      </w:pPr>
      <w:r>
        <w:rPr>
          <w:b w:val="0"/>
          <w:i w:val="0"/>
        </w:rPr>
        <w:t>phát triển, 125 –127</w:t>
      </w:r>
    </w:p>
    <w:p>
      <w:pPr>
        <w:spacing w:after="80"/>
        <w:ind w:left="1080"/>
      </w:pPr>
      <w:r>
        <w:rPr>
          <w:b w:val="0"/>
          <w:i w:val="0"/>
        </w:rPr>
        <w:t>hàng trả lại, 68 , 109 , 160</w:t>
      </w:r>
    </w:p>
    <w:p>
      <w:pPr>
        <w:spacing w:after="80"/>
        <w:ind w:left="1080"/>
      </w:pPr>
      <w:r>
        <w:rPr>
          <w:b w:val="0"/>
          <w:i w:val="0"/>
        </w:rPr>
        <w:t>chuyển khoản, 65</w:t>
      </w:r>
    </w:p>
    <w:p>
      <w:pPr>
        <w:spacing w:after="80"/>
        <w:ind w:left="1080"/>
      </w:pPr>
      <w:r>
        <w:rPr>
          <w:b w:val="0"/>
          <w:i w:val="0"/>
        </w:rPr>
        <w:t>xác minh, 65</w:t>
      </w:r>
    </w:p>
    <w:p>
      <w:pPr>
        <w:spacing w:after="80"/>
        <w:ind w:left="720"/>
      </w:pPr>
      <w:r>
        <w:rPr>
          <w:b w:val="0"/>
          <w:i w:val="0"/>
        </w:rPr>
        <w:t>Nguyên vật liệu sản xuất, thời gian thanh toán trung bình, 155</w:t>
      </w:r>
    </w:p>
    <w:p>
      <w:pPr>
        <w:spacing w:after="80"/>
        <w:ind w:left="720"/>
      </w:pPr>
      <w:r>
        <w:rPr>
          <w:b w:val="0"/>
          <w:i w:val="0"/>
        </w:rPr>
        <w:t>Khởi động lại/khôi phục sản xuất, sao lưu máy tính/viễn thông, 251 –252</w:t>
      </w:r>
    </w:p>
    <w:p>
      <w:pPr>
        <w:spacing w:after="80"/>
        <w:ind w:left="1080"/>
      </w:pPr>
      <w:r>
        <w:rPr>
          <w:b w:val="0"/>
          <w:i w:val="0"/>
        </w:rPr>
        <w:t>tiêu chuẩn kiểm soát nội bộ, 251 –252</w:t>
      </w:r>
    </w:p>
    <w:p>
      <w:pPr>
        <w:spacing w:after="80"/>
        <w:ind w:left="1080"/>
      </w:pPr>
      <w:r>
        <w:rPr>
          <w:b w:val="0"/>
          <w:i w:val="0"/>
        </w:rPr>
        <w:t>rủi ro, 252</w:t>
      </w:r>
    </w:p>
    <w:p>
      <w:pPr>
        <w:spacing w:after="80"/>
        <w:ind w:left="720"/>
      </w:pPr>
      <w:r>
        <w:rPr>
          <w:b w:val="0"/>
          <w:i w:val="0"/>
        </w:rPr>
        <w:t>Dịch vụ chuyên nghiệp (PS), 309</w:t>
      </w:r>
    </w:p>
    <w:p>
      <w:pPr>
        <w:spacing w:after="80"/>
        <w:ind w:left="1080"/>
      </w:pPr>
      <w:r>
        <w:rPr>
          <w:b w:val="0"/>
          <w:i w:val="0"/>
        </w:rPr>
        <w:t>kiểm soát, 310 , 312 –313</w:t>
      </w:r>
    </w:p>
    <w:p>
      <w:pPr>
        <w:spacing w:after="80"/>
        <w:ind w:left="1080"/>
      </w:pPr>
      <w:r>
        <w:rPr>
          <w:b w:val="0"/>
          <w:i w:val="0"/>
        </w:rPr>
        <w:t>kiểm soát nội bộ, ứng dụng, 311 –312</w:t>
      </w:r>
    </w:p>
    <w:p>
      <w:pPr>
        <w:spacing w:after="80"/>
        <w:ind w:left="1080"/>
      </w:pPr>
      <w:r>
        <w:rPr>
          <w:b w:val="0"/>
          <w:i w:val="0"/>
        </w:rPr>
        <w:t>tiêu chuẩn kiểm soát nội bộ, 312 –313</w:t>
      </w:r>
    </w:p>
    <w:p>
      <w:pPr>
        <w:spacing w:after="80"/>
        <w:ind w:left="1080"/>
      </w:pPr>
      <w:r>
        <w:rPr>
          <w:b w:val="0"/>
          <w:i w:val="0"/>
        </w:rPr>
        <w:t>chỉ số đo lường, 311</w:t>
      </w:r>
    </w:p>
    <w:p>
      <w:pPr>
        <w:spacing w:after="80"/>
        <w:ind w:left="1080"/>
      </w:pPr>
      <w:r>
        <w:rPr>
          <w:b w:val="0"/>
          <w:i w:val="0"/>
        </w:rPr>
        <w:t>quy trình, 309</w:t>
      </w:r>
    </w:p>
    <w:p>
      <w:pPr>
        <w:spacing w:after="80"/>
        <w:ind w:left="1080"/>
      </w:pPr>
      <w:r>
        <w:rPr>
          <w:b w:val="0"/>
          <w:i w:val="0"/>
        </w:rPr>
        <w:t>rủi ro, 313</w:t>
      </w:r>
    </w:p>
    <w:p>
      <w:pPr>
        <w:spacing w:after="80"/>
        <w:ind w:left="1080"/>
      </w:pPr>
      <w:r>
        <w:rPr>
          <w:b w:val="0"/>
          <w:i w:val="0"/>
        </w:rPr>
        <w:t>các quy trình con, 312</w:t>
      </w:r>
    </w:p>
    <w:p>
      <w:pPr>
        <w:spacing w:after="80"/>
        <w:ind w:left="720"/>
      </w:pPr>
      <w:r>
        <w:rPr>
          <w:b w:val="0"/>
          <w:i w:val="0"/>
        </w:rPr>
        <w:t>Quản lý chương trình, 316 –320</w:t>
      </w:r>
    </w:p>
    <w:p>
      <w:pPr>
        <w:spacing w:after="80"/>
        <w:ind w:left="1080"/>
      </w:pPr>
      <w:r>
        <w:rPr>
          <w:b w:val="0"/>
          <w:i w:val="0"/>
        </w:rPr>
        <w:t>tiêu chuẩn kiểm soát nội bộ, 316 –320</w:t>
      </w:r>
    </w:p>
    <w:p>
      <w:pPr>
        <w:spacing w:after="80"/>
        <w:ind w:left="1080"/>
      </w:pPr>
      <w:r>
        <w:rPr>
          <w:b w:val="0"/>
          <w:i w:val="0"/>
        </w:rPr>
        <w:t>rủi ro, 320</w:t>
      </w:r>
    </w:p>
    <w:p>
      <w:pPr>
        <w:spacing w:after="80"/>
        <w:ind w:left="720"/>
      </w:pPr>
      <w:r>
        <w:rPr>
          <w:b w:val="0"/>
          <w:i w:val="0"/>
        </w:rPr>
        <w:t>Viện Quản lý Dự án (PMI), 333</w:t>
      </w:r>
    </w:p>
    <w:p>
      <w:pPr>
        <w:spacing w:after="80"/>
        <w:ind w:left="720"/>
      </w:pPr>
      <w:r>
        <w:rPr>
          <w:b w:val="0"/>
          <w:i w:val="0"/>
        </w:rPr>
        <w:t>Các hoạt động khuyến mại, 81 –84</w:t>
      </w:r>
    </w:p>
    <w:p>
      <w:pPr>
        <w:spacing w:after="80"/>
        <w:ind w:left="1080"/>
      </w:pPr>
      <w:r>
        <w:rPr>
          <w:b w:val="0"/>
          <w:i w:val="0"/>
        </w:rPr>
        <w:t>nhiệm vụ, phân tách, 83</w:t>
      </w:r>
    </w:p>
    <w:p>
      <w:pPr>
        <w:spacing w:after="80"/>
        <w:ind w:left="1080"/>
      </w:pPr>
      <w:r>
        <w:rPr>
          <w:b w:val="0"/>
          <w:i w:val="0"/>
        </w:rPr>
        <w:t>tiêu chuẩn kiểm soát nội bộ, 82 –83</w:t>
      </w:r>
    </w:p>
    <w:p>
      <w:pPr>
        <w:spacing w:after="80"/>
        <w:ind w:left="1080"/>
      </w:pPr>
      <w:r>
        <w:rPr>
          <w:b w:val="0"/>
          <w:i w:val="0"/>
        </w:rPr>
        <w:t>rủi ro, 84</w:t>
      </w:r>
    </w:p>
    <w:p>
      <w:pPr>
        <w:spacing w:after="80"/>
        <w:ind w:left="720"/>
      </w:pPr>
      <w:r>
        <w:rPr>
          <w:b w:val="0"/>
          <w:i w:val="0"/>
        </w:rPr>
        <w:t>Quản lý thăng chức/di chuyển, 248</w:t>
      </w:r>
    </w:p>
    <w:p>
      <w:pPr>
        <w:spacing w:after="80"/>
        <w:ind w:left="720"/>
      </w:pPr>
      <w:r>
        <w:rPr>
          <w:b w:val="0"/>
          <w:i w:val="0"/>
        </w:rPr>
        <w:t>Rủi ro tài sản/thương vong, 288 –290</w:t>
      </w:r>
    </w:p>
    <w:p>
      <w:pPr>
        <w:spacing w:after="80"/>
        <w:ind w:left="1080"/>
      </w:pPr>
      <w:r>
        <w:rPr>
          <w:b w:val="0"/>
          <w:i w:val="0"/>
        </w:rPr>
        <w:t>tiêu chuẩn kiểm soát nội bộ, 289</w:t>
      </w:r>
    </w:p>
    <w:p>
      <w:pPr>
        <w:spacing w:after="80"/>
        <w:ind w:left="1080"/>
      </w:pPr>
      <w:r>
        <w:rPr>
          <w:b w:val="0"/>
          <w:i w:val="0"/>
        </w:rPr>
        <w:t>rủi ro, 289 –290</w:t>
      </w:r>
    </w:p>
    <w:p>
      <w:pPr>
        <w:spacing w:after="80"/>
        <w:ind w:left="720"/>
      </w:pPr>
      <w:r>
        <w:rPr>
          <w:b w:val="0"/>
          <w:i w:val="0"/>
        </w:rPr>
        <w:t>Các công ty đại chúng, hướng dẫn, 31 –32</w:t>
      </w:r>
    </w:p>
    <w:p>
      <w:pPr>
        <w:spacing w:after="80"/>
        <w:ind w:left="720"/>
      </w:pPr>
      <w:r>
        <w:rPr>
          <w:b w:val="0"/>
          <w:i w:val="0"/>
        </w:rPr>
        <w:t>Mua hàng/đặt hàng</w:t>
      </w:r>
    </w:p>
    <w:p>
      <w:pPr>
        <w:spacing w:after="80"/>
        <w:ind w:left="1080"/>
      </w:pPr>
      <w:r>
        <w:rPr>
          <w:b w:val="0"/>
          <w:i w:val="0"/>
        </w:rPr>
        <w:t>nhiệm vụ, phân tách trách nhiệm, 108</w:t>
      </w:r>
    </w:p>
    <w:p>
      <w:pPr>
        <w:spacing w:after="80"/>
        <w:ind w:left="1080"/>
      </w:pPr>
      <w:r>
        <w:rPr>
          <w:b w:val="0"/>
          <w:i w:val="0"/>
        </w:rPr>
        <w:t>sở hữu trí tuệ, bảo vệ, 109</w:t>
      </w:r>
    </w:p>
    <w:p>
      <w:pPr>
        <w:spacing w:after="80"/>
        <w:ind w:left="1080"/>
      </w:pPr>
      <w:r>
        <w:rPr>
          <w:b w:val="0"/>
          <w:i w:val="0"/>
        </w:rPr>
        <w:t>tiêu chuẩn kiểm soát nội bộ, 108 –110</w:t>
      </w:r>
    </w:p>
    <w:p>
      <w:pPr>
        <w:spacing w:after="80"/>
        <w:ind w:left="1080"/>
      </w:pPr>
      <w:r>
        <w:rPr>
          <w:b w:val="0"/>
          <w:i w:val="0"/>
        </w:rPr>
        <w:t>rủi ro, 110 –111</w:t>
      </w:r>
    </w:p>
    <w:p>
      <w:pPr>
        <w:spacing w:after="80"/>
        <w:ind w:left="720"/>
      </w:pPr>
      <w:r>
        <w:rPr>
          <w:b w:val="0"/>
          <w:i w:val="0"/>
        </w:rPr>
        <w:t>Chiến lược mua hàng, 106</w:t>
      </w:r>
    </w:p>
    <w:p>
      <w:pPr>
        <w:spacing w:after="80"/>
        <w:ind w:left="360"/>
      </w:pPr>
      <w:r>
        <w:rPr>
          <w:b w:val="0"/>
          <w:i w:val="0"/>
        </w:rPr>
        <w:t>Q</w:t>
      </w:r>
    </w:p>
    <w:p>
      <w:pPr>
        <w:spacing w:after="80"/>
        <w:ind w:left="720"/>
      </w:pPr>
      <w:r>
        <w:rPr>
          <w:b w:val="0"/>
          <w:i w:val="0"/>
        </w:rPr>
        <w:t>Số lượng, xác minh, 65</w:t>
      </w:r>
    </w:p>
    <w:p>
      <w:pPr>
        <w:spacing w:after="80"/>
        <w:ind w:left="360"/>
      </w:pPr>
      <w:r>
        <w:rPr>
          <w:b w:val="0"/>
          <w:i w:val="0"/>
        </w:rPr>
        <w:t>R</w:t>
      </w:r>
    </w:p>
    <w:p>
      <w:pPr>
        <w:spacing w:after="80"/>
        <w:ind w:left="720"/>
      </w:pPr>
      <w:r>
        <w:rPr>
          <w:b w:val="0"/>
          <w:i w:val="0"/>
        </w:rPr>
        <w:t>Hàng hóa đã nhận, bảo vệ, 115</w:t>
      </w:r>
    </w:p>
    <w:p>
      <w:pPr>
        <w:spacing w:after="80"/>
        <w:ind w:left="720"/>
      </w:pPr>
      <w:r>
        <w:rPr>
          <w:b w:val="0"/>
          <w:i w:val="0"/>
        </w:rPr>
        <w:t>Nhận hàng, 113 –116</w:t>
      </w:r>
    </w:p>
    <w:p>
      <w:pPr>
        <w:spacing w:after="80"/>
        <w:ind w:left="1080"/>
      </w:pPr>
      <w:r>
        <w:rPr>
          <w:b w:val="0"/>
          <w:i w:val="0"/>
        </w:rPr>
        <w:t>nhiệm vụ, phân tách trách nhiệm, 114</w:t>
      </w:r>
    </w:p>
    <w:p>
      <w:pPr>
        <w:spacing w:after="80"/>
        <w:ind w:left="1080"/>
      </w:pPr>
      <w:r>
        <w:rPr>
          <w:b w:val="0"/>
          <w:i w:val="0"/>
        </w:rPr>
        <w:t>tiêu chuẩn kiểm soát nội bộ, 114 –115</w:t>
      </w:r>
    </w:p>
    <w:p>
      <w:pPr>
        <w:spacing w:after="80"/>
        <w:ind w:left="1080"/>
      </w:pPr>
      <w:r>
        <w:rPr>
          <w:b w:val="0"/>
          <w:i w:val="0"/>
        </w:rPr>
        <w:t>chính sách, 114</w:t>
      </w:r>
    </w:p>
    <w:p>
      <w:pPr>
        <w:spacing w:after="80"/>
        <w:ind w:left="1080"/>
      </w:pPr>
      <w:r>
        <w:rPr>
          <w:b w:val="0"/>
          <w:i w:val="0"/>
        </w:rPr>
        <w:t>hồ sơ, thay đổi, 115</w:t>
      </w:r>
    </w:p>
    <w:p>
      <w:pPr>
        <w:spacing w:after="80"/>
        <w:ind w:left="1080"/>
      </w:pPr>
      <w:r>
        <w:rPr>
          <w:b w:val="0"/>
          <w:i w:val="0"/>
        </w:rPr>
        <w:t>rủi ro, 115 –116</w:t>
      </w:r>
    </w:p>
    <w:p>
      <w:pPr>
        <w:spacing w:after="80"/>
        <w:ind w:left="720"/>
      </w:pPr>
      <w:r>
        <w:rPr>
          <w:b w:val="0"/>
          <w:i w:val="0"/>
        </w:rPr>
        <w:t>Các giao dịch bán hàng được ghi nhận, 68</w:t>
      </w:r>
    </w:p>
    <w:p>
      <w:pPr>
        <w:spacing w:after="80"/>
        <w:ind w:left="720"/>
      </w:pPr>
      <w:r>
        <w:rPr>
          <w:b w:val="0"/>
          <w:i w:val="0"/>
        </w:rPr>
        <w:t>Quản lý hồ sơ, 113 , 121 , 207</w:t>
      </w:r>
    </w:p>
    <w:p>
      <w:pPr>
        <w:spacing w:after="80"/>
        <w:ind w:left="1080"/>
      </w:pPr>
      <w:r>
        <w:rPr>
          <w:b w:val="0"/>
          <w:i w:val="0"/>
        </w:rPr>
        <w:t>tiêu chuẩn phân loại, 208</w:t>
      </w:r>
    </w:p>
    <w:p>
      <w:pPr>
        <w:spacing w:after="80"/>
        <w:ind w:left="1080"/>
      </w:pPr>
      <w:r>
        <w:rPr>
          <w:b w:val="0"/>
          <w:i w:val="0"/>
        </w:rPr>
        <w:t>kiểm soát nội bộ, ứng dụng, 209 –210</w:t>
      </w:r>
    </w:p>
    <w:p>
      <w:pPr>
        <w:spacing w:after="80"/>
        <w:ind w:left="1080"/>
      </w:pPr>
      <w:r>
        <w:rPr>
          <w:b w:val="0"/>
          <w:i w:val="0"/>
        </w:rPr>
        <w:t>các chỉ số, 209</w:t>
      </w:r>
    </w:p>
    <w:p>
      <w:pPr>
        <w:spacing w:after="80"/>
        <w:ind w:left="1080"/>
      </w:pPr>
      <w:r>
        <w:rPr>
          <w:b w:val="0"/>
          <w:i w:val="0"/>
        </w:rPr>
        <w:t>quy trình, 207</w:t>
      </w:r>
    </w:p>
    <w:p>
      <w:pPr>
        <w:spacing w:after="80"/>
        <w:ind w:left="1080"/>
      </w:pPr>
      <w:r>
        <w:rPr>
          <w:b w:val="0"/>
          <w:i w:val="0"/>
        </w:rPr>
        <w:t>quy trình phụ, 211</w:t>
      </w:r>
    </w:p>
    <w:p>
      <w:pPr>
        <w:spacing w:after="80"/>
        <w:ind w:left="720"/>
      </w:pPr>
      <w:r>
        <w:rPr>
          <w:b w:val="0"/>
          <w:i w:val="0"/>
        </w:rPr>
        <w:t>Ghi nhận để Báo cáo (Record to Report - R2R), 173</w:t>
      </w:r>
    </w:p>
    <w:p>
      <w:pPr>
        <w:spacing w:after="80"/>
        <w:ind w:left="1080"/>
      </w:pPr>
      <w:r>
        <w:rPr>
          <w:b w:val="0"/>
          <w:i w:val="0"/>
        </w:rPr>
        <w:t>kiểm soát nội bộ, ứng dụng, 177</w:t>
      </w:r>
    </w:p>
    <w:p>
      <w:pPr>
        <w:spacing w:after="80"/>
        <w:ind w:left="1080"/>
      </w:pPr>
      <w:r>
        <w:rPr>
          <w:b w:val="0"/>
          <w:i w:val="0"/>
        </w:rPr>
        <w:t>các chỉ số, 175 –176</w:t>
      </w:r>
    </w:p>
    <w:p>
      <w:pPr>
        <w:spacing w:after="80"/>
        <w:ind w:left="1080"/>
      </w:pPr>
      <w:r>
        <w:rPr>
          <w:b w:val="0"/>
          <w:i w:val="0"/>
        </w:rPr>
        <w:t>quy trình, 175 , 182</w:t>
      </w:r>
    </w:p>
    <w:p>
      <w:pPr>
        <w:spacing w:after="80"/>
        <w:ind w:left="1440"/>
      </w:pPr>
      <w:r>
        <w:rPr>
          <w:b w:val="0"/>
          <w:i w:val="0"/>
        </w:rPr>
        <w:t>tác động, khác biệt IFRS/GAAP, 176</w:t>
      </w:r>
    </w:p>
    <w:p>
      <w:pPr>
        <w:spacing w:after="80"/>
        <w:ind w:left="1080"/>
      </w:pPr>
      <w:r>
        <w:rPr>
          <w:b w:val="0"/>
          <w:i w:val="0"/>
        </w:rPr>
        <w:t>các quy trình phụ, 177</w:t>
      </w:r>
    </w:p>
    <w:p>
      <w:pPr>
        <w:spacing w:after="80"/>
        <w:ind w:left="720"/>
      </w:pPr>
      <w:r>
        <w:rPr>
          <w:b w:val="0"/>
          <w:i w:val="0"/>
        </w:rPr>
        <w:t>Tuyển dụng (bước trong quy trình H2R), 133</w:t>
      </w:r>
    </w:p>
    <w:p>
      <w:pPr>
        <w:spacing w:after="80"/>
        <w:ind w:left="720"/>
      </w:pPr>
      <w:r>
        <w:rPr>
          <w:b w:val="0"/>
          <w:i w:val="0"/>
        </w:rPr>
        <w:t>Điều chuyển lại (bước trong quy trình H2R), 133</w:t>
      </w:r>
    </w:p>
    <w:p>
      <w:pPr>
        <w:spacing w:after="80"/>
        <w:ind w:left="720"/>
      </w:pPr>
      <w:r>
        <w:rPr>
          <w:b w:val="0"/>
          <w:i w:val="0"/>
        </w:rPr>
        <w:t>Hợp đồng khu vực, 107</w:t>
      </w:r>
    </w:p>
    <w:p>
      <w:pPr>
        <w:spacing w:after="80"/>
        <w:ind w:left="720"/>
      </w:pPr>
      <w:r>
        <w:rPr>
          <w:b w:val="0"/>
          <w:i w:val="0"/>
        </w:rPr>
        <w:t>Quản lý phát hành, 248</w:t>
      </w:r>
    </w:p>
    <w:p>
      <w:pPr>
        <w:spacing w:after="80"/>
        <w:ind w:left="720"/>
      </w:pPr>
      <w:r>
        <w:rPr>
          <w:b w:val="0"/>
          <w:i w:val="0"/>
        </w:rPr>
        <w:t>Hoạt động khắc phục, phát triển, 37</w:t>
      </w:r>
    </w:p>
    <w:p>
      <w:pPr>
        <w:spacing w:after="80"/>
        <w:ind w:left="720"/>
      </w:pPr>
      <w:r>
        <w:rPr>
          <w:b w:val="0"/>
          <w:i w:val="0"/>
        </w:rPr>
        <w:t>Đầu vào chuyển tiền, 73</w:t>
      </w:r>
    </w:p>
    <w:p>
      <w:pPr>
        <w:spacing w:after="80"/>
        <w:ind w:left="720"/>
      </w:pPr>
      <w:r>
        <w:rPr>
          <w:b w:val="0"/>
          <w:i w:val="0"/>
        </w:rPr>
        <w:t>Truy cập từ xa, 233 –234</w:t>
      </w:r>
    </w:p>
    <w:p>
      <w:pPr>
        <w:spacing w:after="80"/>
        <w:ind w:left="720"/>
      </w:pPr>
      <w:r>
        <w:rPr>
          <w:b w:val="0"/>
          <w:i w:val="0"/>
        </w:rPr>
        <w:t>Báo cáo cho các Quốc gia (ACFE), 1</w:t>
      </w:r>
    </w:p>
    <w:p>
      <w:pPr>
        <w:spacing w:after="80"/>
        <w:ind w:left="720"/>
      </w:pPr>
      <w:r>
        <w:rPr>
          <w:b w:val="0"/>
          <w:i w:val="0"/>
        </w:rPr>
        <w:t>Thủ tục yêu cầu cấp phát, 110</w:t>
      </w:r>
    </w:p>
    <w:p>
      <w:pPr>
        <w:spacing w:after="80"/>
        <w:ind w:left="720"/>
      </w:pPr>
      <w:r>
        <w:rPr>
          <w:b w:val="0"/>
          <w:i w:val="0"/>
        </w:rPr>
        <w:t xml:space="preserve">Nghiên cứu. </w:t>
      </w:r>
      <w:r>
        <w:rPr>
          <w:b w:val="0"/>
          <w:i/>
        </w:rPr>
        <w:t>Xem</w:t>
      </w:r>
      <w:r>
        <w:rPr>
          <w:b w:val="0"/>
          <w:i w:val="0"/>
        </w:rPr>
        <w:t xml:space="preserve"> Nghiên cứu thị trường</w:t>
      </w:r>
    </w:p>
    <w:p>
      <w:pPr>
        <w:spacing w:after="80"/>
        <w:ind w:left="720"/>
      </w:pPr>
      <w:r>
        <w:rPr>
          <w:b w:val="0"/>
          <w:i w:val="0"/>
        </w:rPr>
        <w:t>Dự trữ, 68</w:t>
      </w:r>
    </w:p>
    <w:p>
      <w:pPr>
        <w:spacing w:after="80"/>
        <w:ind w:left="720"/>
      </w:pPr>
      <w:r>
        <w:rPr>
          <w:b w:val="0"/>
          <w:i w:val="0"/>
        </w:rPr>
        <w:t>Trách nhiệm (tăng cường), mục tiêu định tính/định lượng (tác động), 34</w:t>
      </w:r>
    </w:p>
    <w:p>
      <w:pPr>
        <w:spacing w:after="80"/>
        <w:ind w:left="720"/>
      </w:pPr>
      <w:r>
        <w:rPr>
          <w:b w:val="0"/>
          <w:i w:val="0"/>
        </w:rPr>
        <w:t>Nghỉ hưu (bước trong quy trình H2R), 133</w:t>
      </w:r>
    </w:p>
    <w:p>
      <w:pPr>
        <w:spacing w:after="80"/>
        <w:ind w:left="720"/>
      </w:pPr>
      <w:r>
        <w:rPr>
          <w:b w:val="0"/>
          <w:i w:val="0"/>
        </w:rPr>
        <w:t>Doanh thu</w:t>
      </w:r>
    </w:p>
    <w:p>
      <w:pPr>
        <w:spacing w:after="80"/>
        <w:ind w:left="1080"/>
      </w:pPr>
      <w:r>
        <w:rPr>
          <w:b w:val="0"/>
          <w:i w:val="0"/>
        </w:rPr>
        <w:t>đảo ngược, 68</w:t>
      </w:r>
    </w:p>
    <w:p>
      <w:pPr>
        <w:spacing w:after="80"/>
        <w:ind w:left="1080"/>
      </w:pPr>
      <w:r>
        <w:rPr>
          <w:b w:val="0"/>
          <w:i w:val="0"/>
        </w:rPr>
        <w:t>các loại, 69</w:t>
      </w:r>
    </w:p>
    <w:p>
      <w:pPr>
        <w:spacing w:after="80"/>
        <w:ind w:left="720"/>
      </w:pPr>
      <w:r>
        <w:rPr>
          <w:b w:val="0"/>
          <w:i w:val="0"/>
        </w:rPr>
        <w:t>Ghi nhận doanh thu/xuất hóa đơn, 67 –72</w:t>
      </w:r>
    </w:p>
    <w:p>
      <w:pPr>
        <w:spacing w:after="80"/>
        <w:ind w:left="1080"/>
      </w:pPr>
      <w:r>
        <w:rPr>
          <w:b w:val="0"/>
          <w:i w:val="0"/>
        </w:rPr>
        <w:t>nhiệm vụ, tách biệt, 69</w:t>
      </w:r>
    </w:p>
    <w:p>
      <w:pPr>
        <w:spacing w:after="80"/>
        <w:ind w:left="1080"/>
      </w:pPr>
      <w:r>
        <w:rPr>
          <w:b w:val="0"/>
          <w:i w:val="0"/>
        </w:rPr>
        <w:t>tiêu chuẩn kiểm soát nội bộ, 68 –72</w:t>
      </w:r>
    </w:p>
    <w:p>
      <w:pPr>
        <w:spacing w:after="80"/>
        <w:ind w:left="1080"/>
      </w:pPr>
      <w:r>
        <w:rPr>
          <w:b w:val="0"/>
          <w:i w:val="0"/>
        </w:rPr>
        <w:t>rủi ro, 71 –72</w:t>
      </w:r>
    </w:p>
    <w:p>
      <w:pPr>
        <w:spacing w:after="80"/>
        <w:ind w:left="720"/>
      </w:pPr>
      <w:r>
        <w:rPr>
          <w:b w:val="0"/>
          <w:i w:val="0"/>
        </w:rPr>
        <w:t>Kiểm soát soát xét, 35</w:t>
      </w:r>
    </w:p>
    <w:p>
      <w:pPr>
        <w:spacing w:after="80"/>
        <w:ind w:left="720"/>
      </w:pPr>
      <w:r>
        <w:rPr>
          <w:b w:val="0"/>
          <w:i w:val="0"/>
        </w:rPr>
        <w:t>Lỗi soát xét (chỉ số), 175</w:t>
      </w:r>
    </w:p>
    <w:p>
      <w:pPr>
        <w:spacing w:after="80"/>
        <w:ind w:left="720"/>
      </w:pPr>
      <w:r>
        <w:rPr>
          <w:b w:val="0"/>
          <w:i w:val="0"/>
        </w:rPr>
        <w:t>Rủi ro, 55 , 61 –62</w:t>
      </w:r>
    </w:p>
    <w:p>
      <w:pPr>
        <w:spacing w:after="80"/>
        <w:ind w:left="1080"/>
      </w:pPr>
      <w:r>
        <w:rPr>
          <w:b w:val="0"/>
          <w:i w:val="0"/>
        </w:rPr>
        <w:t>khẩu vị rủi ro, 29</w:t>
      </w:r>
    </w:p>
    <w:p>
      <w:pPr>
        <w:spacing w:after="80"/>
        <w:ind w:left="1080"/>
      </w:pPr>
      <w:r>
        <w:rPr>
          <w:b w:val="0"/>
          <w:i w:val="0"/>
        </w:rPr>
        <w:t>quản lý rủi ro tài chính, 90</w:t>
      </w:r>
    </w:p>
    <w:p>
      <w:pPr>
        <w:spacing w:after="80"/>
        <w:ind w:left="1080"/>
      </w:pPr>
      <w:r>
        <w:rPr>
          <w:b w:val="0"/>
          <w:i w:val="0"/>
        </w:rPr>
        <w:t>giảm thiểu rủi ro, cách sử dụng, 97 –102</w:t>
      </w:r>
    </w:p>
    <w:p>
      <w:pPr>
        <w:spacing w:after="80"/>
        <w:ind w:left="1080"/>
      </w:pPr>
      <w:r>
        <w:rPr>
          <w:b w:val="0"/>
          <w:i w:val="0"/>
        </w:rPr>
        <w:t>rủi ro tài sản/thương vong, 288 –290</w:t>
      </w:r>
    </w:p>
    <w:p>
      <w:pPr>
        <w:spacing w:after="80"/>
        <w:ind w:left="1080"/>
      </w:pPr>
      <w:r>
        <w:rPr>
          <w:b w:val="0"/>
          <w:i w:val="0"/>
        </w:rPr>
        <w:t>ứng phó (thành phần ERM), 30</w:t>
      </w:r>
    </w:p>
    <w:p>
      <w:pPr>
        <w:spacing w:after="80"/>
        <w:ind w:left="1080"/>
      </w:pPr>
      <w:r>
        <w:rPr>
          <w:b w:val="0"/>
          <w:i w:val="0"/>
        </w:rPr>
        <w:t>kiểm soát nội bộ dựa trên rủi ro, 12 –14</w:t>
      </w:r>
    </w:p>
    <w:p>
      <w:pPr>
        <w:spacing w:after="80"/>
        <w:ind w:left="720"/>
      </w:pPr>
      <w:r>
        <w:rPr>
          <w:b w:val="0"/>
          <w:i w:val="0"/>
        </w:rPr>
        <w:t>Đánh giá rủi ro</w:t>
      </w:r>
    </w:p>
    <w:p>
      <w:pPr>
        <w:spacing w:after="80"/>
        <w:ind w:left="1080"/>
      </w:pPr>
      <w:r>
        <w:rPr>
          <w:b w:val="0"/>
          <w:i w:val="0"/>
        </w:rPr>
        <w:t>thành phần ERM, 30</w:t>
      </w:r>
    </w:p>
    <w:p>
      <w:pPr>
        <w:spacing w:after="80"/>
        <w:ind w:left="1080"/>
      </w:pPr>
      <w:r>
        <w:rPr>
          <w:b w:val="0"/>
          <w:i w:val="0"/>
        </w:rPr>
        <w:t>thành phần hệ thống kiểm soát nội bộ, 21</w:t>
      </w:r>
    </w:p>
    <w:p>
      <w:pPr>
        <w:spacing w:after="80"/>
        <w:ind w:left="720"/>
      </w:pPr>
      <w:r>
        <w:rPr>
          <w:b w:val="0"/>
          <w:i w:val="0"/>
        </w:rPr>
        <w:t>Đạo luật Robinson-Patman, 80</w:t>
      </w:r>
    </w:p>
    <w:p>
      <w:pPr>
        <w:spacing w:after="80"/>
        <w:ind w:left="360"/>
      </w:pPr>
      <w:r>
        <w:rPr>
          <w:b w:val="0"/>
          <w:i w:val="0"/>
        </w:rPr>
        <w:t>S</w:t>
      </w:r>
    </w:p>
    <w:p>
      <w:pPr>
        <w:spacing w:after="80"/>
        <w:ind w:left="720"/>
      </w:pPr>
      <w:r>
        <w:rPr>
          <w:b w:val="0"/>
          <w:i w:val="0"/>
        </w:rPr>
        <w:t>SAE 18 , 222 –223</w:t>
      </w:r>
    </w:p>
    <w:p>
      <w:pPr>
        <w:spacing w:after="80"/>
        <w:ind w:left="720"/>
      </w:pPr>
      <w:r>
        <w:rPr>
          <w:b w:val="0"/>
          <w:i w:val="0"/>
        </w:rPr>
        <w:t>Doanh thu</w:t>
      </w:r>
    </w:p>
    <w:p>
      <w:pPr>
        <w:spacing w:after="80"/>
        <w:ind w:left="1080"/>
      </w:pPr>
      <w:r>
        <w:rPr>
          <w:b w:val="0"/>
          <w:i w:val="0"/>
        </w:rPr>
        <w:t>hợp đồng, 60 –62</w:t>
      </w:r>
    </w:p>
    <w:p>
      <w:pPr>
        <w:spacing w:after="80"/>
        <w:ind w:left="1080"/>
      </w:pPr>
      <w:r>
        <w:rPr>
          <w:b w:val="0"/>
          <w:i w:val="0"/>
        </w:rPr>
        <w:t>thời điểm chốt, 66</w:t>
      </w:r>
    </w:p>
    <w:p>
      <w:pPr>
        <w:spacing w:after="80"/>
        <w:ind w:left="1080"/>
      </w:pPr>
      <w:r>
        <w:rPr>
          <w:b w:val="0"/>
          <w:i w:val="0"/>
        </w:rPr>
        <w:t>tài trợ, tác động, 54</w:t>
      </w:r>
    </w:p>
    <w:p>
      <w:pPr>
        <w:spacing w:after="80"/>
        <w:ind w:left="1080"/>
      </w:pPr>
      <w:r>
        <w:rPr>
          <w:b w:val="0"/>
          <w:i w:val="0"/>
        </w:rPr>
        <w:t>cấu trúc mục tiêu, 80</w:t>
      </w:r>
    </w:p>
    <w:p>
      <w:pPr>
        <w:spacing w:after="80"/>
        <w:ind w:left="1080"/>
      </w:pPr>
      <w:r>
        <w:rPr>
          <w:b w:val="0"/>
          <w:i w:val="0"/>
        </w:rPr>
        <w:t>các giao dịch bán hàng không chuẩn, 68</w:t>
      </w:r>
    </w:p>
    <w:p>
      <w:pPr>
        <w:spacing w:after="80"/>
        <w:ind w:left="1080"/>
      </w:pPr>
      <w:r>
        <w:rPr>
          <w:b w:val="0"/>
          <w:i w:val="0"/>
        </w:rPr>
        <w:t>lập kế hoạch, 157</w:t>
      </w:r>
    </w:p>
    <w:p>
      <w:pPr>
        <w:spacing w:after="80"/>
        <w:ind w:left="1080"/>
      </w:pPr>
      <w:r>
        <w:rPr>
          <w:b w:val="0"/>
          <w:i w:val="0"/>
        </w:rPr>
        <w:t>hoàn trả quy trình (chỉ số), 51</w:t>
      </w:r>
    </w:p>
    <w:p>
      <w:pPr>
        <w:spacing w:after="80"/>
        <w:ind w:left="1080"/>
      </w:pPr>
      <w:r>
        <w:rPr>
          <w:b w:val="0"/>
          <w:i w:val="0"/>
        </w:rPr>
        <w:t>các giao dịch bán hàng đã ghi nhận, 68</w:t>
      </w:r>
    </w:p>
    <w:p>
      <w:pPr>
        <w:spacing w:after="80"/>
        <w:ind w:left="1080"/>
      </w:pPr>
      <w:r>
        <w:rPr>
          <w:b w:val="0"/>
          <w:i w:val="0"/>
        </w:rPr>
        <w:t>tính DSO theo trọng số doanh thu, 52</w:t>
      </w:r>
    </w:p>
    <w:p>
      <w:pPr>
        <w:spacing w:after="80"/>
        <w:ind w:left="1080"/>
      </w:pPr>
      <w:r>
        <w:rPr>
          <w:b w:val="0"/>
          <w:i w:val="0"/>
        </w:rPr>
        <w:t>điều khoản, 63</w:t>
      </w:r>
    </w:p>
    <w:p>
      <w:pPr>
        <w:spacing w:after="80"/>
        <w:ind w:left="720"/>
      </w:pPr>
      <w:r>
        <w:rPr>
          <w:b w:val="0"/>
          <w:i w:val="0"/>
        </w:rPr>
        <w:t>Sarbanes-Oxley 2002 (SOX), 5</w:t>
      </w:r>
    </w:p>
    <w:p>
      <w:pPr>
        <w:spacing w:after="80"/>
        <w:ind w:left="1080"/>
      </w:pPr>
      <w:r>
        <w:rPr>
          <w:b w:val="0"/>
          <w:i w:val="0"/>
        </w:rPr>
        <w:t>các yêu cầu, 35</w:t>
      </w:r>
    </w:p>
    <w:p>
      <w:pPr>
        <w:spacing w:after="80"/>
        <w:ind w:left="1080"/>
      </w:pPr>
      <w:r>
        <w:rPr>
          <w:b w:val="0"/>
          <w:i w:val="0"/>
        </w:rPr>
        <w:t>Mục 301 , 339</w:t>
      </w:r>
    </w:p>
    <w:p>
      <w:pPr>
        <w:spacing w:after="80"/>
        <w:ind w:left="1080"/>
      </w:pPr>
      <w:r>
        <w:rPr>
          <w:b w:val="0"/>
          <w:i w:val="0"/>
        </w:rPr>
        <w:t>Mục 404 , 6 , 12 , 28 , 31 , 44</w:t>
      </w:r>
    </w:p>
    <w:p>
      <w:pPr>
        <w:spacing w:after="80"/>
        <w:ind w:left="720"/>
      </w:pPr>
      <w:r>
        <w:rPr>
          <w:b w:val="0"/>
          <w:i w:val="0"/>
        </w:rPr>
        <w:t>Sarbanes, Paul, 25</w:t>
      </w:r>
    </w:p>
    <w:p>
      <w:pPr>
        <w:spacing w:after="80"/>
        <w:ind w:left="720"/>
      </w:pPr>
      <w:r>
        <w:rPr>
          <w:b w:val="0"/>
          <w:i w:val="0"/>
        </w:rPr>
        <w:t>Lừa đảo, nhận diện, 98</w:t>
      </w:r>
    </w:p>
    <w:p>
      <w:pPr>
        <w:spacing w:after="80"/>
        <w:ind w:left="720"/>
      </w:pPr>
      <w:r>
        <w:rPr>
          <w:b w:val="0"/>
          <w:i w:val="0"/>
        </w:rPr>
        <w:t>Scotto, Daniel, 24</w:t>
      </w:r>
    </w:p>
    <w:p>
      <w:pPr>
        <w:spacing w:after="80"/>
        <w:ind w:left="720"/>
      </w:pPr>
      <w:r>
        <w:rPr>
          <w:b w:val="0"/>
          <w:i w:val="0"/>
        </w:rPr>
        <w:t>Đạo luật Chứng khoán năm 1933, 18</w:t>
      </w:r>
    </w:p>
    <w:p>
      <w:pPr>
        <w:spacing w:after="80"/>
        <w:ind w:left="720"/>
      </w:pPr>
      <w:r>
        <w:rPr>
          <w:b w:val="0"/>
          <w:i w:val="0"/>
        </w:rPr>
        <w:t>Đạo luật Giao dịch Chứng khoán năm 1934, 18</w:t>
      </w:r>
    </w:p>
    <w:p>
      <w:pPr>
        <w:spacing w:after="80"/>
        <w:ind w:left="720"/>
      </w:pPr>
      <w:r>
        <w:rPr>
          <w:b w:val="0"/>
          <w:i w:val="0"/>
        </w:rPr>
        <w:t>Chứng khoán, bảo vệ an toàn, 93</w:t>
      </w:r>
    </w:p>
    <w:p>
      <w:pPr>
        <w:spacing w:after="80"/>
        <w:ind w:left="720"/>
      </w:pPr>
      <w:r>
        <w:rPr>
          <w:b w:val="0"/>
          <w:i w:val="0"/>
        </w:rPr>
        <w:t>Các đạo luật về Ủy ban Chứng khoán và Giao dịch (SEC) (1933/1934), 17 –18</w:t>
      </w:r>
    </w:p>
    <w:p>
      <w:pPr>
        <w:spacing w:after="80"/>
        <w:ind w:left="720"/>
      </w:pPr>
      <w:r>
        <w:rPr>
          <w:b w:val="0"/>
          <w:i w:val="0"/>
        </w:rPr>
        <w:t>Kiểm soát an ninh, 242 –245</w:t>
      </w:r>
    </w:p>
    <w:p>
      <w:pPr>
        <w:spacing w:after="80"/>
        <w:ind w:left="1080"/>
      </w:pPr>
      <w:r>
        <w:rPr>
          <w:b w:val="0"/>
          <w:i w:val="0"/>
        </w:rPr>
        <w:t>tiêu chuẩn kiểm soát nội bộ, 242 –244</w:t>
      </w:r>
    </w:p>
    <w:p>
      <w:pPr>
        <w:spacing w:after="80"/>
        <w:ind w:left="1080"/>
      </w:pPr>
      <w:r>
        <w:rPr>
          <w:b w:val="0"/>
          <w:i w:val="0"/>
        </w:rPr>
        <w:t>rủi ro, 245</w:t>
      </w:r>
    </w:p>
    <w:p>
      <w:pPr>
        <w:spacing w:after="80"/>
        <w:ind w:left="720"/>
      </w:pPr>
      <w:r>
        <w:rPr>
          <w:b w:val="0"/>
          <w:i w:val="0"/>
        </w:rPr>
        <w:t>Khung an ninh, 274 –276</w:t>
      </w:r>
    </w:p>
    <w:p>
      <w:pPr>
        <w:spacing w:after="80"/>
        <w:ind w:left="1080"/>
      </w:pPr>
      <w:r>
        <w:rPr>
          <w:b w:val="0"/>
          <w:i w:val="0"/>
        </w:rPr>
        <w:t>tiêu chuẩn kiểm soát nội bộ, 274 –276</w:t>
      </w:r>
    </w:p>
    <w:p>
      <w:pPr>
        <w:spacing w:after="80"/>
        <w:ind w:left="1080"/>
      </w:pPr>
      <w:r>
        <w:rPr>
          <w:b w:val="0"/>
          <w:i w:val="0"/>
        </w:rPr>
        <w:t>rủi ro, 276</w:t>
      </w:r>
    </w:p>
    <w:p>
      <w:pPr>
        <w:spacing w:after="80"/>
        <w:ind w:left="720"/>
      </w:pPr>
      <w:r>
        <w:rPr>
          <w:b w:val="0"/>
          <w:i w:val="0"/>
        </w:rPr>
        <w:t>Các chỉ số đo lường an ninh, 273</w:t>
      </w:r>
    </w:p>
    <w:p>
      <w:pPr>
        <w:spacing w:after="80"/>
        <w:ind w:left="720"/>
      </w:pPr>
      <w:r>
        <w:rPr>
          <w:b w:val="0"/>
          <w:i w:val="0"/>
        </w:rPr>
        <w:t>Phân tách nhiệm vụ (Segregation of Duties - SoD), 6 , 15 –16, 128</w:t>
      </w:r>
    </w:p>
    <w:p>
      <w:pPr>
        <w:spacing w:after="80"/>
        <w:ind w:left="1080"/>
      </w:pPr>
      <w:r>
        <w:rPr>
          <w:b w:val="0"/>
          <w:i w:val="0"/>
        </w:rPr>
        <w:t>các khoản phải trả, 116</w:t>
      </w:r>
    </w:p>
    <w:p>
      <w:pPr>
        <w:spacing w:after="80"/>
        <w:ind w:left="1080"/>
      </w:pPr>
      <w:r>
        <w:rPr>
          <w:b w:val="0"/>
          <w:i w:val="0"/>
        </w:rPr>
        <w:t>các khoản phải thu (accounts receivable - AR), 73</w:t>
      </w:r>
    </w:p>
    <w:p>
      <w:pPr>
        <w:spacing w:after="80"/>
        <w:ind w:left="1080"/>
      </w:pPr>
      <w:r>
        <w:rPr>
          <w:b w:val="0"/>
          <w:i w:val="0"/>
        </w:rPr>
        <w:t>thu tiền/áp dụng, 77</w:t>
      </w:r>
    </w:p>
    <w:p>
      <w:pPr>
        <w:spacing w:after="80"/>
        <w:ind w:left="1080"/>
      </w:pPr>
      <w:r>
        <w:rPr>
          <w:b w:val="0"/>
          <w:i w:val="0"/>
        </w:rPr>
        <w:t>đền bù/phúc lợi, 146</w:t>
      </w:r>
    </w:p>
    <w:p>
      <w:pPr>
        <w:spacing w:after="80"/>
        <w:ind w:left="1080"/>
      </w:pPr>
      <w:r>
        <w:rPr>
          <w:b w:val="0"/>
          <w:i w:val="0"/>
        </w:rPr>
        <w:t>kiểm soát, 33 , 99 , 101</w:t>
      </w:r>
    </w:p>
    <w:p>
      <w:pPr>
        <w:spacing w:after="80"/>
        <w:ind w:left="1080"/>
      </w:pPr>
      <w:r>
        <w:rPr>
          <w:b w:val="0"/>
          <w:i w:val="0"/>
        </w:rPr>
        <w:t>tín dụng, 63</w:t>
      </w:r>
    </w:p>
    <w:p>
      <w:pPr>
        <w:spacing w:after="80"/>
        <w:ind w:left="1080"/>
      </w:pPr>
      <w:r>
        <w:rPr>
          <w:b w:val="0"/>
          <w:i w:val="0"/>
        </w:rPr>
        <w:t>kiểm soát hàng tồn kho, 159</w:t>
      </w:r>
    </w:p>
    <w:p>
      <w:pPr>
        <w:spacing w:after="80"/>
        <w:ind w:left="1080"/>
      </w:pPr>
      <w:r>
        <w:rPr>
          <w:b w:val="0"/>
          <w:i w:val="0"/>
        </w:rPr>
        <w:t>quy trình thanh toán, 120</w:t>
      </w:r>
    </w:p>
    <w:p>
      <w:pPr>
        <w:spacing w:after="80"/>
        <w:ind w:left="1080"/>
      </w:pPr>
      <w:r>
        <w:rPr>
          <w:b w:val="0"/>
          <w:i w:val="0"/>
        </w:rPr>
        <w:t>phân bổ lương, 144</w:t>
      </w:r>
    </w:p>
    <w:p>
      <w:pPr>
        <w:spacing w:after="80"/>
        <w:ind w:left="1080"/>
      </w:pPr>
      <w:r>
        <w:rPr>
          <w:b w:val="0"/>
          <w:i w:val="0"/>
        </w:rPr>
        <w:t>kiểm soát thanh toán lương, 142</w:t>
      </w:r>
    </w:p>
    <w:p>
      <w:pPr>
        <w:spacing w:after="80"/>
        <w:ind w:left="1080"/>
      </w:pPr>
      <w:r>
        <w:rPr>
          <w:b w:val="0"/>
          <w:i w:val="0"/>
        </w:rPr>
        <w:t>chuẩn bị/bảo mật lương, 140</w:t>
      </w:r>
    </w:p>
    <w:p>
      <w:pPr>
        <w:spacing w:after="80"/>
        <w:ind w:left="1080"/>
      </w:pPr>
      <w:r>
        <w:rPr>
          <w:b w:val="0"/>
          <w:i w:val="0"/>
        </w:rPr>
        <w:t>hoạt động khuyến mãi, 83</w:t>
      </w:r>
    </w:p>
    <w:p>
      <w:pPr>
        <w:spacing w:after="80"/>
        <w:ind w:left="1080"/>
      </w:pPr>
      <w:r>
        <w:rPr>
          <w:b w:val="0"/>
          <w:i w:val="0"/>
        </w:rPr>
        <w:t>mua hàng/đặt hàng, 108</w:t>
      </w:r>
    </w:p>
    <w:p>
      <w:pPr>
        <w:spacing w:after="80"/>
        <w:ind w:left="1080"/>
      </w:pPr>
      <w:r>
        <w:rPr>
          <w:b w:val="0"/>
          <w:i w:val="0"/>
        </w:rPr>
        <w:t>nhận hàng, 114</w:t>
      </w:r>
    </w:p>
    <w:p>
      <w:pPr>
        <w:spacing w:after="80"/>
        <w:ind w:left="1080"/>
      </w:pPr>
      <w:r>
        <w:rPr>
          <w:b w:val="0"/>
          <w:i w:val="0"/>
        </w:rPr>
        <w:t>ghi nhận doanh thu/xuất hóa đơn, 69</w:t>
      </w:r>
    </w:p>
    <w:p>
      <w:pPr>
        <w:spacing w:after="80"/>
        <w:ind w:left="1080"/>
      </w:pPr>
      <w:r>
        <w:rPr>
          <w:b w:val="0"/>
          <w:i w:val="0"/>
        </w:rPr>
        <w:t>vận chuyển, 66</w:t>
      </w:r>
    </w:p>
    <w:p>
      <w:pPr>
        <w:spacing w:after="80"/>
        <w:ind w:left="1080"/>
      </w:pPr>
      <w:r>
        <w:rPr>
          <w:b w:val="0"/>
          <w:i w:val="0"/>
        </w:rPr>
        <w:t>Kiểm soát ngân quỹ, 88 –89</w:t>
      </w:r>
    </w:p>
    <w:p>
      <w:pPr>
        <w:spacing w:after="80"/>
        <w:ind w:left="720"/>
      </w:pPr>
      <w:r>
        <w:rPr>
          <w:b w:val="0"/>
          <w:i w:val="0"/>
        </w:rPr>
        <w:t>Tự đánh giá, phương pháp tiếp cận (các bước), 36 –38</w:t>
      </w:r>
    </w:p>
    <w:p>
      <w:pPr>
        <w:spacing w:after="80"/>
        <w:ind w:left="720"/>
      </w:pPr>
      <w:r>
        <w:rPr>
          <w:b w:val="0"/>
          <w:i w:val="0"/>
        </w:rPr>
        <w:t>Tự đánh giá, 60 , 205</w:t>
      </w:r>
    </w:p>
    <w:p>
      <w:pPr>
        <w:spacing w:after="80"/>
        <w:ind w:left="720"/>
      </w:pPr>
      <w:r>
        <w:rPr>
          <w:b w:val="0"/>
          <w:i w:val="0"/>
        </w:rPr>
        <w:t>Ban lãnh đạo cấp cao, cam kết/truyền thông, 14</w:t>
      </w:r>
    </w:p>
    <w:p>
      <w:pPr>
        <w:spacing w:after="80"/>
        <w:ind w:left="720"/>
      </w:pPr>
      <w:r>
        <w:rPr>
          <w:b w:val="0"/>
          <w:i w:val="0"/>
        </w:rPr>
        <w:t>Trung tâm Thực hiện Dịch vụ (SFCs), ký kết hợp đồng, 302</w:t>
      </w:r>
    </w:p>
    <w:p>
      <w:pPr>
        <w:spacing w:after="80"/>
        <w:ind w:left="720"/>
      </w:pPr>
      <w:r>
        <w:rPr>
          <w:b w:val="0"/>
          <w:i w:val="0"/>
        </w:rPr>
        <w:t>Thỏa thuận Mức Dịch vụ (SLA), 248 , 317</w:t>
      </w:r>
    </w:p>
    <w:p>
      <w:pPr>
        <w:spacing w:after="80"/>
        <w:ind w:left="1080"/>
      </w:pPr>
      <w:r>
        <w:rPr>
          <w:b w:val="0"/>
          <w:i w:val="0"/>
        </w:rPr>
        <w:t>tiêu chí, 150</w:t>
      </w:r>
    </w:p>
    <w:p>
      <w:pPr>
        <w:spacing w:after="80"/>
        <w:ind w:left="1080"/>
      </w:pPr>
      <w:r>
        <w:rPr>
          <w:b w:val="0"/>
          <w:i w:val="0"/>
        </w:rPr>
        <w:t>hiệu suất, 222</w:t>
      </w:r>
    </w:p>
    <w:p>
      <w:pPr>
        <w:spacing w:after="80"/>
        <w:ind w:left="720"/>
      </w:pPr>
      <w:r>
        <w:rPr>
          <w:b w:val="0"/>
          <w:i w:val="0"/>
        </w:rPr>
        <w:t>Nhà cung cấp dịch vụ, 224 –229</w:t>
      </w:r>
    </w:p>
    <w:p>
      <w:pPr>
        <w:spacing w:after="80"/>
        <w:ind w:left="1080"/>
      </w:pPr>
      <w:r>
        <w:rPr>
          <w:b w:val="0"/>
          <w:i w:val="0"/>
        </w:rPr>
        <w:t>định nghĩa, 225</w:t>
      </w:r>
    </w:p>
    <w:p>
      <w:pPr>
        <w:spacing w:after="80"/>
        <w:ind w:left="1080"/>
      </w:pPr>
      <w:r>
        <w:rPr>
          <w:b w:val="0"/>
          <w:i w:val="0"/>
        </w:rPr>
        <w:t>tiêu chuẩn kiểm soát nội bộ, 225 –228</w:t>
      </w:r>
    </w:p>
    <w:p>
      <w:pPr>
        <w:spacing w:after="80"/>
        <w:ind w:left="1080"/>
      </w:pPr>
      <w:r>
        <w:rPr>
          <w:b w:val="0"/>
          <w:i w:val="0"/>
        </w:rPr>
        <w:t>rủi ro, 228 –229</w:t>
      </w:r>
    </w:p>
    <w:p>
      <w:pPr>
        <w:spacing w:after="80"/>
        <w:ind w:left="720"/>
      </w:pPr>
      <w:r>
        <w:rPr>
          <w:b w:val="0"/>
          <w:i w:val="0"/>
        </w:rPr>
        <w:t>Phần mềm dùng thử, 266</w:t>
      </w:r>
    </w:p>
    <w:p>
      <w:pPr>
        <w:spacing w:after="80"/>
        <w:ind w:left="720"/>
      </w:pPr>
      <w:r>
        <w:rPr>
          <w:b w:val="0"/>
          <w:i w:val="0"/>
        </w:rPr>
        <w:t>Vận chuyển, 64 –67</w:t>
      </w:r>
    </w:p>
    <w:p>
      <w:pPr>
        <w:spacing w:after="80"/>
        <w:ind w:left="1080"/>
      </w:pPr>
      <w:r>
        <w:rPr>
          <w:b w:val="0"/>
          <w:i w:val="0"/>
        </w:rPr>
        <w:t>thuế, tách biệt, 66</w:t>
      </w:r>
    </w:p>
    <w:p>
      <w:pPr>
        <w:spacing w:after="80"/>
        <w:ind w:left="1080"/>
      </w:pPr>
      <w:r>
        <w:rPr>
          <w:b w:val="0"/>
          <w:i w:val="0"/>
        </w:rPr>
        <w:t>tiêu chuẩn kiểm soát nội bộ, 65 –66</w:t>
      </w:r>
    </w:p>
    <w:p>
      <w:pPr>
        <w:spacing w:after="80"/>
        <w:ind w:left="1080"/>
      </w:pPr>
      <w:r>
        <w:rPr>
          <w:b w:val="0"/>
          <w:i w:val="0"/>
        </w:rPr>
        <w:t>giao hàng từng phần, 70</w:t>
      </w:r>
    </w:p>
    <w:p>
      <w:pPr>
        <w:spacing w:after="80"/>
        <w:ind w:left="1080"/>
      </w:pPr>
      <w:r>
        <w:rPr>
          <w:b w:val="0"/>
          <w:i w:val="0"/>
        </w:rPr>
        <w:t>rủi ro, 66 –67</w:t>
      </w:r>
    </w:p>
    <w:p>
      <w:pPr>
        <w:spacing w:after="80"/>
        <w:ind w:left="720"/>
      </w:pPr>
      <w:r>
        <w:rPr>
          <w:b w:val="0"/>
          <w:i w:val="0"/>
        </w:rPr>
        <w:t>Xác thực một yếu tố, 234</w:t>
      </w:r>
    </w:p>
    <w:p>
      <w:pPr>
        <w:spacing w:after="80"/>
        <w:ind w:left="720"/>
      </w:pPr>
      <w:r>
        <w:rPr>
          <w:b w:val="0"/>
          <w:i w:val="0"/>
        </w:rPr>
        <w:t>Các công ty đại chúng nhỏ hơn, hướng dẫn, 31 –32</w:t>
      </w:r>
    </w:p>
    <w:p>
      <w:pPr>
        <w:spacing w:after="80"/>
        <w:ind w:left="720"/>
      </w:pPr>
      <w:r>
        <w:rPr>
          <w:b w:val="0"/>
          <w:i w:val="0"/>
        </w:rPr>
        <w:t>Báo cáo SOC 1 Type II, điều khoản, 223</w:t>
      </w:r>
    </w:p>
    <w:p>
      <w:pPr>
        <w:spacing w:after="80"/>
        <w:ind w:left="720"/>
      </w:pPr>
      <w:r>
        <w:rPr>
          <w:b w:val="0"/>
          <w:i w:val="0"/>
        </w:rPr>
        <w:t xml:space="preserve">SoD. </w:t>
      </w:r>
      <w:r>
        <w:rPr>
          <w:b w:val="0"/>
          <w:i/>
        </w:rPr>
        <w:t>Xem</w:t>
      </w:r>
      <w:r>
        <w:rPr>
          <w:b w:val="0"/>
          <w:i w:val="0"/>
        </w:rPr>
        <w:t xml:space="preserve"> Phân tách nhiệm vụ</w:t>
      </w:r>
    </w:p>
    <w:p>
      <w:pPr>
        <w:spacing w:after="80"/>
        <w:ind w:left="720"/>
      </w:pPr>
      <w:r>
        <w:rPr>
          <w:b w:val="0"/>
          <w:i w:val="0"/>
        </w:rPr>
        <w:t>Phần mềm, 248</w:t>
      </w:r>
    </w:p>
    <w:p>
      <w:pPr>
        <w:spacing w:after="80"/>
        <w:ind w:left="720"/>
      </w:pPr>
      <w:r>
        <w:rPr>
          <w:b w:val="0"/>
          <w:i w:val="0"/>
        </w:rPr>
        <w:t>Định giá "đấu thầu đặc biệt", 80</w:t>
      </w:r>
    </w:p>
    <w:p>
      <w:pPr>
        <w:spacing w:after="80"/>
        <w:ind w:left="720"/>
      </w:pPr>
      <w:r>
        <w:rPr>
          <w:b w:val="0"/>
          <w:i w:val="0"/>
        </w:rPr>
        <w:t>Giao dịch giao ngay, quy trình, 94</w:t>
      </w:r>
    </w:p>
    <w:p>
      <w:pPr>
        <w:spacing w:after="80"/>
        <w:ind w:left="720"/>
      </w:pPr>
      <w:r>
        <w:rPr>
          <w:b w:val="0"/>
          <w:i w:val="0"/>
        </w:rPr>
        <w:t>SSAE 18</w:t>
      </w:r>
    </w:p>
    <w:p>
      <w:pPr>
        <w:spacing w:after="80"/>
        <w:ind w:left="720"/>
      </w:pPr>
      <w:r>
        <w:rPr>
          <w:b w:val="0"/>
          <w:i w:val="0"/>
        </w:rPr>
        <w:t>Chứng chỉ SSL, cấu hình (vấn đề), 221</w:t>
      </w:r>
    </w:p>
    <w:p>
      <w:pPr>
        <w:spacing w:after="80"/>
        <w:ind w:left="720"/>
      </w:pPr>
      <w:r>
        <w:rPr>
          <w:b w:val="0"/>
          <w:i w:val="0"/>
        </w:rPr>
        <w:t xml:space="preserve">Tiêu chuẩn kiểm soát nội bộ. </w:t>
      </w:r>
      <w:r>
        <w:rPr>
          <w:b w:val="0"/>
          <w:i/>
        </w:rPr>
        <w:t>Xem</w:t>
      </w:r>
      <w:r>
        <w:rPr>
          <w:b w:val="0"/>
          <w:i w:val="0"/>
        </w:rPr>
        <w:t xml:space="preserve"> Tiêu chuẩn kiểm soát nội bộ</w:t>
      </w:r>
    </w:p>
    <w:p>
      <w:pPr>
        <w:spacing w:after="80"/>
        <w:ind w:left="720"/>
      </w:pPr>
      <w:r>
        <w:rPr>
          <w:b w:val="0"/>
          <w:i w:val="0"/>
        </w:rPr>
        <w:t>Hợp đồng chính quyền tiểu bang/địa phương, 202 –203</w:t>
      </w:r>
    </w:p>
    <w:p>
      <w:pPr>
        <w:spacing w:after="80"/>
        <w:ind w:left="1080"/>
      </w:pPr>
      <w:r>
        <w:rPr>
          <w:b w:val="0"/>
          <w:i w:val="0"/>
        </w:rPr>
        <w:t>tiêu chuẩn kiểm soát nội bộ, 202</w:t>
      </w:r>
    </w:p>
    <w:p>
      <w:pPr>
        <w:spacing w:after="80"/>
        <w:ind w:left="1080"/>
      </w:pPr>
      <w:r>
        <w:rPr>
          <w:b w:val="0"/>
          <w:i w:val="0"/>
        </w:rPr>
        <w:t>rủi ro, 202 –203</w:t>
      </w:r>
    </w:p>
    <w:p>
      <w:pPr>
        <w:spacing w:after="80"/>
        <w:ind w:left="720"/>
      </w:pPr>
      <w:r>
        <w:rPr>
          <w:b w:val="0"/>
          <w:i w:val="0"/>
        </w:rPr>
        <w:t>Tuyên bố phạm vi công việc (SOW), 317</w:t>
      </w:r>
    </w:p>
    <w:p>
      <w:pPr>
        <w:spacing w:after="80"/>
        <w:ind w:left="720"/>
      </w:pPr>
      <w:r>
        <w:rPr>
          <w:b w:val="0"/>
          <w:i w:val="0"/>
        </w:rPr>
        <w:t>Lấy mẫu thống kê, quy trình, 162</w:t>
      </w:r>
    </w:p>
    <w:p>
      <w:pPr>
        <w:spacing w:after="80"/>
        <w:ind w:left="720"/>
      </w:pPr>
      <w:r>
        <w:rPr>
          <w:b w:val="0"/>
          <w:i w:val="0"/>
        </w:rPr>
        <w:t>Báo cáo trạng thái, 248</w:t>
      </w:r>
    </w:p>
    <w:p>
      <w:pPr>
        <w:spacing w:after="80"/>
        <w:ind w:left="720"/>
      </w:pPr>
      <w:r>
        <w:rPr>
          <w:b w:val="0"/>
          <w:i w:val="0"/>
        </w:rPr>
        <w:t>Thông tin cổ đông, 92</w:t>
      </w:r>
    </w:p>
    <w:p>
      <w:pPr>
        <w:spacing w:after="80"/>
        <w:ind w:left="720"/>
      </w:pPr>
      <w:r>
        <w:rPr>
          <w:b w:val="0"/>
          <w:i w:val="0"/>
        </w:rPr>
        <w:t>Các quy trình con</w:t>
      </w:r>
    </w:p>
    <w:p>
      <w:pPr>
        <w:spacing w:after="80"/>
        <w:ind w:left="1080"/>
      </w:pPr>
      <w:r>
        <w:rPr>
          <w:b w:val="0"/>
          <w:i w:val="0"/>
        </w:rPr>
        <w:t>bảo vệ tài sản, 274</w:t>
      </w:r>
    </w:p>
    <w:p>
      <w:pPr>
        <w:spacing w:after="80"/>
        <w:ind w:left="1080"/>
      </w:pPr>
      <w:r>
        <w:rPr>
          <w:b w:val="0"/>
          <w:i w:val="0"/>
        </w:rPr>
        <w:t>kiểm soát máy tính, 224</w:t>
      </w:r>
    </w:p>
    <w:p>
      <w:pPr>
        <w:spacing w:after="80"/>
        <w:ind w:left="1080"/>
      </w:pPr>
      <w:r>
        <w:rPr>
          <w:b w:val="0"/>
          <w:i w:val="0"/>
        </w:rPr>
        <w:t>dịch vụ khách hàng, 299</w:t>
      </w:r>
    </w:p>
    <w:p>
      <w:pPr>
        <w:spacing w:after="80"/>
        <w:ind w:left="1080"/>
      </w:pPr>
      <w:r>
        <w:rPr>
          <w:b w:val="0"/>
          <w:i w:val="0"/>
        </w:rPr>
        <w:t>kiểm soát cấp đơn vị, 328</w:t>
      </w:r>
    </w:p>
    <w:p>
      <w:pPr>
        <w:spacing w:after="80"/>
        <w:ind w:left="1080"/>
      </w:pPr>
      <w:r>
        <w:rPr>
          <w:b w:val="0"/>
          <w:i w:val="0"/>
        </w:rPr>
        <w:t>môi trường, sức khỏe và an toàn (EH&amp;S), 293</w:t>
      </w:r>
    </w:p>
    <w:p>
      <w:pPr>
        <w:spacing w:after="80"/>
        <w:ind w:left="1080"/>
      </w:pPr>
      <w:r>
        <w:rPr>
          <w:b w:val="0"/>
          <w:i w:val="0"/>
        </w:rPr>
        <w:t>hợp đồng chính phủ, 191</w:t>
      </w:r>
    </w:p>
    <w:p>
      <w:pPr>
        <w:spacing w:after="80"/>
        <w:ind w:left="1080"/>
      </w:pPr>
      <w:r>
        <w:rPr>
          <w:b w:val="0"/>
          <w:i w:val="0"/>
        </w:rPr>
        <w:t>quy trình Tuyển dụng đến Nghỉ hưu (Hire to Retire - H2R), 137</w:t>
      </w:r>
    </w:p>
    <w:p>
      <w:pPr>
        <w:spacing w:after="80"/>
        <w:ind w:left="1080"/>
      </w:pPr>
      <w:r>
        <w:rPr>
          <w:b w:val="0"/>
          <w:i w:val="0"/>
        </w:rPr>
        <w:t>quy trình bảo hiểm, 287</w:t>
      </w:r>
    </w:p>
    <w:p>
      <w:pPr>
        <w:spacing w:after="80"/>
        <w:ind w:left="1080"/>
      </w:pPr>
      <w:r>
        <w:rPr>
          <w:b w:val="0"/>
          <w:i w:val="0"/>
        </w:rPr>
        <w:t>Đơn hàng đến Thu tiền (Order to Cash), 53</w:t>
      </w:r>
    </w:p>
    <w:p>
      <w:pPr>
        <w:spacing w:after="80"/>
        <w:ind w:left="1080"/>
      </w:pPr>
      <w:r>
        <w:rPr>
          <w:b w:val="0"/>
          <w:i w:val="0"/>
        </w:rPr>
        <w:t>quy trình mua hàng đến thanh toán (procure to pay - P2P), 106</w:t>
      </w:r>
    </w:p>
    <w:p>
      <w:pPr>
        <w:spacing w:after="80"/>
        <w:ind w:left="1080"/>
      </w:pPr>
      <w:r>
        <w:rPr>
          <w:b w:val="0"/>
          <w:i w:val="0"/>
        </w:rPr>
        <w:t>dịch vụ chuyên nghiệp, 312</w:t>
      </w:r>
    </w:p>
    <w:p>
      <w:pPr>
        <w:spacing w:after="80"/>
        <w:ind w:left="1080"/>
      </w:pPr>
      <w:r>
        <w:rPr>
          <w:b w:val="0"/>
          <w:i w:val="0"/>
        </w:rPr>
        <w:t>quản lý hồ sơ/thông tin, 211</w:t>
      </w:r>
    </w:p>
    <w:p>
      <w:pPr>
        <w:spacing w:after="80"/>
        <w:ind w:left="1080"/>
      </w:pPr>
      <w:r>
        <w:rPr>
          <w:b w:val="0"/>
          <w:i w:val="0"/>
        </w:rPr>
        <w:t>Ghi nhận đến Báo cáo (Record to Report - R2R), 177</w:t>
      </w:r>
    </w:p>
    <w:p>
      <w:pPr>
        <w:spacing w:after="80"/>
        <w:ind w:left="1080"/>
      </w:pPr>
      <w:r>
        <w:rPr>
          <w:b w:val="0"/>
          <w:i w:val="0"/>
        </w:rPr>
        <w:t>kiểm soát hệ thống, 224</w:t>
      </w:r>
    </w:p>
    <w:p>
      <w:pPr>
        <w:spacing w:after="80"/>
        <w:ind w:left="1080"/>
      </w:pPr>
      <w:r>
        <w:rPr>
          <w:b w:val="0"/>
          <w:i w:val="0"/>
        </w:rPr>
        <w:t>viễn thông, 224</w:t>
      </w:r>
    </w:p>
    <w:p>
      <w:pPr>
        <w:spacing w:after="80"/>
        <w:ind w:left="1080"/>
      </w:pPr>
      <w:r>
        <w:rPr>
          <w:b w:val="0"/>
          <w:i w:val="0"/>
        </w:rPr>
        <w:t>quy trình ngân quỹ, 88</w:t>
      </w:r>
    </w:p>
    <w:p>
      <w:pPr>
        <w:spacing w:after="80"/>
        <w:ind w:left="720"/>
      </w:pPr>
      <w:r>
        <w:rPr>
          <w:b w:val="0"/>
          <w:i w:val="0"/>
        </w:rPr>
        <w:t>kiểm soát giám sát, 35</w:t>
      </w:r>
    </w:p>
    <w:p>
      <w:pPr>
        <w:spacing w:after="80"/>
        <w:ind w:left="720"/>
      </w:pPr>
      <w:r>
        <w:rPr>
          <w:b w:val="0"/>
          <w:i w:val="0"/>
        </w:rPr>
        <w:t>Nhà cung cấp</w:t>
      </w:r>
    </w:p>
    <w:p>
      <w:pPr>
        <w:spacing w:after="80"/>
        <w:ind w:left="1080"/>
      </w:pPr>
      <w:r>
        <w:rPr>
          <w:b w:val="0"/>
          <w:i w:val="0"/>
        </w:rPr>
        <w:t>chiết khấu, 120</w:t>
      </w:r>
    </w:p>
    <w:p>
      <w:pPr>
        <w:spacing w:after="80"/>
        <w:ind w:left="1080"/>
      </w:pPr>
      <w:r>
        <w:rPr>
          <w:b w:val="0"/>
          <w:i w:val="0"/>
        </w:rPr>
        <w:t>hoạt động, 169</w:t>
      </w:r>
    </w:p>
    <w:p>
      <w:pPr>
        <w:spacing w:after="80"/>
        <w:ind w:left="1080"/>
      </w:pPr>
      <w:r>
        <w:rPr>
          <w:b w:val="0"/>
          <w:i w:val="0"/>
        </w:rPr>
        <w:t>cổng thông tin, 98</w:t>
      </w:r>
    </w:p>
    <w:p>
      <w:pPr>
        <w:spacing w:after="80"/>
        <w:ind w:left="1080"/>
      </w:pPr>
      <w:r>
        <w:rPr>
          <w:b w:val="0"/>
          <w:i w:val="0"/>
        </w:rPr>
        <w:t>mối quan hệ, 126</w:t>
      </w:r>
    </w:p>
    <w:p>
      <w:pPr>
        <w:spacing w:after="80"/>
        <w:ind w:left="1080"/>
      </w:pPr>
      <w:r>
        <w:rPr>
          <w:b w:val="0"/>
          <w:i w:val="0"/>
        </w:rPr>
        <w:t>lựa chọn, tài liệu, 106 –107</w:t>
      </w:r>
    </w:p>
    <w:p>
      <w:pPr>
        <w:spacing w:after="80"/>
        <w:ind w:left="1080"/>
      </w:pPr>
      <w:r>
        <w:rPr>
          <w:b w:val="0"/>
          <w:i w:val="0"/>
        </w:rPr>
        <w:t>báo cáo, 118</w:t>
      </w:r>
    </w:p>
    <w:p>
      <w:pPr>
        <w:spacing w:after="80"/>
        <w:ind w:left="720"/>
      </w:pPr>
      <w:r>
        <w:rPr>
          <w:b w:val="0"/>
          <w:i w:val="0"/>
        </w:rPr>
        <w:t>Hàng ký gửi thuộc sở hữu của nhà cung cấp, địa điểm công ty, 161</w:t>
      </w:r>
    </w:p>
    <w:p>
      <w:pPr>
        <w:spacing w:after="80"/>
        <w:ind w:left="720"/>
      </w:pPr>
      <w:r>
        <w:rPr>
          <w:b w:val="0"/>
          <w:i w:val="0"/>
        </w:rPr>
        <w:t>Lựa chọn/quản lý nhà cung cấp, 106 –108</w:t>
      </w:r>
    </w:p>
    <w:p>
      <w:pPr>
        <w:spacing w:after="80"/>
        <w:ind w:left="1080"/>
      </w:pPr>
      <w:r>
        <w:rPr>
          <w:b w:val="0"/>
          <w:i w:val="0"/>
        </w:rPr>
        <w:t>tiêu chuẩn kiểm soát nội bộ, 106 –107</w:t>
      </w:r>
    </w:p>
    <w:p>
      <w:pPr>
        <w:spacing w:after="80"/>
        <w:ind w:left="1080"/>
      </w:pPr>
      <w:r>
        <w:rPr>
          <w:b w:val="0"/>
          <w:i w:val="0"/>
        </w:rPr>
        <w:t>rủi ro, 107 –108</w:t>
      </w:r>
    </w:p>
    <w:p>
      <w:pPr>
        <w:spacing w:after="80"/>
        <w:ind w:left="720"/>
      </w:pPr>
      <w:r>
        <w:rPr>
          <w:b w:val="0"/>
          <w:i w:val="0"/>
        </w:rPr>
        <w:t>Chuỗi cung ứng, 192</w:t>
      </w:r>
    </w:p>
    <w:p>
      <w:pPr>
        <w:spacing w:after="80"/>
        <w:ind w:left="1080"/>
      </w:pPr>
      <w:r>
        <w:rPr>
          <w:b w:val="0"/>
          <w:i w:val="0"/>
        </w:rPr>
        <w:t>thời gian chu kỳ, 155</w:t>
      </w:r>
    </w:p>
    <w:p>
      <w:pPr>
        <w:spacing w:after="80"/>
        <w:ind w:left="1080"/>
      </w:pPr>
      <w:r>
        <w:rPr>
          <w:b w:val="0"/>
          <w:i w:val="0"/>
        </w:rPr>
        <w:t>kiểm tra, 115</w:t>
      </w:r>
    </w:p>
    <w:p>
      <w:pPr>
        <w:spacing w:after="80"/>
        <w:ind w:left="1080"/>
      </w:pPr>
      <w:r>
        <w:rPr>
          <w:b w:val="0"/>
          <w:i w:val="0"/>
        </w:rPr>
        <w:t>kiểm soát nội bộ, ứng dụng, 156</w:t>
      </w:r>
    </w:p>
    <w:p>
      <w:pPr>
        <w:spacing w:after="80"/>
        <w:ind w:left="1080"/>
      </w:pPr>
      <w:r>
        <w:rPr>
          <w:b w:val="0"/>
          <w:i w:val="0"/>
        </w:rPr>
        <w:t>tự động hóa kiểm soát tồn kho, mối quan hệ, 154</w:t>
      </w:r>
    </w:p>
    <w:p>
      <w:pPr>
        <w:spacing w:after="80"/>
        <w:ind w:left="1080"/>
      </w:pPr>
      <w:r>
        <w:rPr>
          <w:b w:val="0"/>
          <w:i w:val="0"/>
        </w:rPr>
        <w:t>các chỉ số, 155 –156</w:t>
      </w:r>
    </w:p>
    <w:p>
      <w:pPr>
        <w:spacing w:after="80"/>
        <w:ind w:left="1080"/>
      </w:pPr>
      <w:r>
        <w:rPr>
          <w:b w:val="0"/>
          <w:i w:val="0"/>
        </w:rPr>
        <w:t>lập kế hoạch/kiểm soát, 157 –159</w:t>
      </w:r>
    </w:p>
    <w:p>
      <w:pPr>
        <w:spacing w:after="80"/>
        <w:ind w:left="1080"/>
      </w:pPr>
      <w:r>
        <w:rPr>
          <w:b w:val="0"/>
          <w:i w:val="0"/>
        </w:rPr>
        <w:t>quy trình, 153</w:t>
      </w:r>
    </w:p>
    <w:p>
      <w:pPr>
        <w:spacing w:after="80"/>
        <w:ind w:left="1080"/>
      </w:pPr>
      <w:r>
        <w:rPr>
          <w:b w:val="0"/>
          <w:i w:val="0"/>
        </w:rPr>
        <w:t>các quy trình con, 156 –157</w:t>
      </w:r>
    </w:p>
    <w:p>
      <w:pPr>
        <w:spacing w:after="80"/>
        <w:ind w:left="720"/>
      </w:pPr>
      <w:r>
        <w:rPr>
          <w:b w:val="0"/>
          <w:i w:val="0"/>
        </w:rPr>
        <w:t>An ninh chuỗi cung ứng, 169 –170</w:t>
      </w:r>
    </w:p>
    <w:p>
      <w:pPr>
        <w:spacing w:after="80"/>
        <w:ind w:left="1080"/>
      </w:pPr>
      <w:r>
        <w:rPr>
          <w:b w:val="0"/>
          <w:i w:val="0"/>
        </w:rPr>
        <w:t>hợp đồng/đánh giá, 169</w:t>
      </w:r>
    </w:p>
    <w:p>
      <w:pPr>
        <w:spacing w:after="80"/>
        <w:ind w:left="1080"/>
      </w:pPr>
      <w:r>
        <w:rPr>
          <w:b w:val="0"/>
          <w:i w:val="0"/>
        </w:rPr>
        <w:t>tiêu chuẩn kiểm soát nội bộ, 169</w:t>
      </w:r>
    </w:p>
    <w:p>
      <w:pPr>
        <w:spacing w:after="80"/>
        <w:ind w:left="1080"/>
      </w:pPr>
      <w:r>
        <w:rPr>
          <w:b w:val="0"/>
          <w:i w:val="0"/>
        </w:rPr>
        <w:t>đóng gói/đóng pallet, 169</w:t>
      </w:r>
    </w:p>
    <w:p>
      <w:pPr>
        <w:spacing w:after="80"/>
        <w:ind w:left="1080"/>
      </w:pPr>
      <w:r>
        <w:rPr>
          <w:b w:val="0"/>
          <w:i w:val="0"/>
        </w:rPr>
        <w:t>rủi ro, 169 –170</w:t>
      </w:r>
    </w:p>
    <w:p>
      <w:pPr>
        <w:spacing w:after="80"/>
        <w:ind w:left="720"/>
      </w:pPr>
      <w:r>
        <w:rPr>
          <w:b w:val="0"/>
          <w:i w:val="0"/>
        </w:rPr>
        <w:t>Tài liệu hỗ trợ, 120 , 124 , 127</w:t>
      </w:r>
    </w:p>
    <w:p>
      <w:pPr>
        <w:spacing w:after="80"/>
        <w:ind w:left="720"/>
      </w:pPr>
      <w:r>
        <w:rPr>
          <w:b w:val="0"/>
          <w:i w:val="0"/>
        </w:rPr>
        <w:t>Hỗ trợ bán hàng, 307 –308</w:t>
      </w:r>
    </w:p>
    <w:p>
      <w:pPr>
        <w:spacing w:after="80"/>
        <w:ind w:left="1080"/>
      </w:pPr>
      <w:r>
        <w:rPr>
          <w:b w:val="0"/>
          <w:i w:val="0"/>
        </w:rPr>
        <w:t>tiêu chuẩn kiểm soát nội bộ, 308</w:t>
      </w:r>
    </w:p>
    <w:p>
      <w:pPr>
        <w:spacing w:after="80"/>
        <w:ind w:left="1080"/>
      </w:pPr>
      <w:r>
        <w:rPr>
          <w:b w:val="0"/>
          <w:i w:val="0"/>
        </w:rPr>
        <w:t>rủi ro, 308</w:t>
      </w:r>
    </w:p>
    <w:p>
      <w:pPr>
        <w:spacing w:after="80"/>
        <w:ind w:left="720"/>
      </w:pPr>
      <w:r>
        <w:rPr>
          <w:b w:val="0"/>
          <w:i w:val="0"/>
        </w:rPr>
        <w:t>Cách tiếp cận khảo sát, cách sử dụng, 36</w:t>
      </w:r>
    </w:p>
    <w:p>
      <w:pPr>
        <w:spacing w:after="80"/>
        <w:ind w:left="720"/>
      </w:pPr>
      <w:r>
        <w:rPr>
          <w:b w:val="0"/>
          <w:i w:val="0"/>
        </w:rPr>
        <w:t>Quyền truy cập hệ thống, 6 , 15 –17, 63</w:t>
      </w:r>
    </w:p>
    <w:p>
      <w:pPr>
        <w:spacing w:after="80"/>
        <w:ind w:left="1080"/>
      </w:pPr>
      <w:r>
        <w:rPr>
          <w:b w:val="0"/>
          <w:i w:val="0"/>
        </w:rPr>
        <w:t>công cụ xác minh, 101</w:t>
      </w:r>
    </w:p>
    <w:p>
      <w:pPr>
        <w:spacing w:after="80"/>
        <w:ind w:left="720"/>
      </w:pPr>
      <w:r>
        <w:rPr>
          <w:b w:val="0"/>
          <w:i w:val="0"/>
        </w:rPr>
        <w:t>Chủ sở hữu hệ thống, 225</w:t>
      </w:r>
    </w:p>
    <w:p>
      <w:pPr>
        <w:spacing w:after="80"/>
        <w:ind w:left="720"/>
      </w:pPr>
      <w:r>
        <w:rPr>
          <w:b w:val="0"/>
          <w:i w:val="0"/>
        </w:rPr>
        <w:t>Kiểm soát hệ thống, 219</w:t>
      </w:r>
    </w:p>
    <w:p>
      <w:pPr>
        <w:spacing w:after="80"/>
        <w:ind w:left="1080"/>
      </w:pPr>
      <w:r>
        <w:rPr>
          <w:b w:val="0"/>
          <w:i w:val="0"/>
        </w:rPr>
        <w:t>quy tắc ứng xử/Gương mẫu từ cấp cao nhất (Tone at the Top), 220</w:t>
      </w:r>
    </w:p>
    <w:p>
      <w:pPr>
        <w:spacing w:after="80"/>
        <w:ind w:left="1080"/>
      </w:pPr>
      <w:r>
        <w:rPr>
          <w:b w:val="0"/>
          <w:i w:val="0"/>
        </w:rPr>
        <w:t>kiểm soát nội bộ, ứng dụng, 223</w:t>
      </w:r>
    </w:p>
    <w:p>
      <w:pPr>
        <w:spacing w:after="80"/>
        <w:ind w:left="1080"/>
      </w:pPr>
      <w:r>
        <w:rPr>
          <w:b w:val="0"/>
          <w:i w:val="0"/>
        </w:rPr>
        <w:t>các chỉ số, 221 –223</w:t>
      </w:r>
    </w:p>
    <w:p>
      <w:pPr>
        <w:spacing w:after="80"/>
        <w:ind w:left="1080"/>
      </w:pPr>
      <w:r>
        <w:rPr>
          <w:b w:val="0"/>
          <w:i w:val="0"/>
        </w:rPr>
        <w:t>các quy trình con, 224</w:t>
      </w:r>
    </w:p>
    <w:p>
      <w:pPr>
        <w:spacing w:after="80"/>
        <w:ind w:left="720"/>
      </w:pPr>
      <w:r>
        <w:rPr>
          <w:b w:val="0"/>
          <w:i w:val="0"/>
        </w:rPr>
        <w:t>Phương pháp phát triển hệ thống, 245 –248</w:t>
      </w:r>
    </w:p>
    <w:p>
      <w:pPr>
        <w:spacing w:after="80"/>
        <w:ind w:left="1080"/>
      </w:pPr>
      <w:r>
        <w:rPr>
          <w:b w:val="0"/>
          <w:i w:val="0"/>
        </w:rPr>
        <w:t>tiêu chuẩn kiểm soát nội bộ, 245 –247</w:t>
      </w:r>
    </w:p>
    <w:p>
      <w:pPr>
        <w:spacing w:after="80"/>
        <w:ind w:left="1080"/>
      </w:pPr>
      <w:r>
        <w:rPr>
          <w:b w:val="0"/>
          <w:i w:val="0"/>
        </w:rPr>
        <w:t>rủi ro, 247 –248</w:t>
      </w:r>
    </w:p>
    <w:p>
      <w:pPr>
        <w:spacing w:after="80"/>
        <w:ind w:left="720"/>
      </w:pPr>
      <w:r>
        <w:rPr>
          <w:b w:val="0"/>
          <w:i w:val="0"/>
        </w:rPr>
        <w:t>Các chỉ số hệ thống, 221 –222</w:t>
      </w:r>
    </w:p>
    <w:p>
      <w:pPr>
        <w:spacing w:after="80"/>
        <w:ind w:left="720"/>
      </w:pPr>
      <w:r>
        <w:rPr>
          <w:b w:val="0"/>
          <w:i w:val="0"/>
        </w:rPr>
        <w:t>SysTrust (1999), 24</w:t>
      </w:r>
    </w:p>
    <w:p>
      <w:pPr>
        <w:spacing w:after="80"/>
        <w:ind w:left="360"/>
      </w:pPr>
      <w:r>
        <w:rPr>
          <w:b w:val="0"/>
          <w:i w:val="0"/>
        </w:rPr>
        <w:t>T</w:t>
      </w:r>
    </w:p>
    <w:p>
      <w:pPr>
        <w:spacing w:after="80"/>
        <w:ind w:left="720"/>
      </w:pPr>
      <w:r>
        <w:rPr>
          <w:b w:val="0"/>
          <w:i w:val="0"/>
        </w:rPr>
        <w:t>Thuế, 70</w:t>
      </w:r>
    </w:p>
    <w:p>
      <w:pPr>
        <w:spacing w:after="80"/>
        <w:ind w:left="720"/>
      </w:pPr>
      <w:r>
        <w:rPr>
          <w:b w:val="0"/>
          <w:i w:val="0"/>
        </w:rPr>
        <w:t>Mã số thuế (TIN), xác thực, 107</w:t>
      </w:r>
    </w:p>
    <w:p>
      <w:pPr>
        <w:spacing w:after="80"/>
        <w:ind w:left="720"/>
      </w:pPr>
      <w:r>
        <w:rPr>
          <w:b w:val="0"/>
          <w:i w:val="0"/>
        </w:rPr>
        <w:t>Lỗ hổng về công nghệ/quy trình, lấp đầy, 173 , 175</w:t>
      </w:r>
    </w:p>
    <w:p>
      <w:pPr>
        <w:spacing w:after="80"/>
        <w:ind w:left="720"/>
      </w:pPr>
      <w:r>
        <w:rPr>
          <w:b w:val="0"/>
          <w:i w:val="0"/>
        </w:rPr>
        <w:t>Viễn thông, 219</w:t>
      </w:r>
    </w:p>
    <w:p>
      <w:pPr>
        <w:spacing w:after="80"/>
        <w:ind w:left="1080"/>
      </w:pPr>
      <w:r>
        <w:rPr>
          <w:b w:val="0"/>
          <w:i w:val="0"/>
        </w:rPr>
        <w:t>sao lưu, 251 –252</w:t>
      </w:r>
    </w:p>
    <w:p>
      <w:pPr>
        <w:spacing w:after="80"/>
        <w:ind w:left="1080"/>
      </w:pPr>
      <w:r>
        <w:rPr>
          <w:b w:val="0"/>
          <w:i w:val="0"/>
        </w:rPr>
        <w:t>quy tắc ứng xử/Tone at the Top, 220</w:t>
      </w:r>
    </w:p>
    <w:p>
      <w:pPr>
        <w:spacing w:after="80"/>
        <w:ind w:left="1080"/>
      </w:pPr>
      <w:r>
        <w:rPr>
          <w:b w:val="0"/>
          <w:i w:val="0"/>
        </w:rPr>
        <w:t>kiểm soát nội bộ, áp dụng, 223</w:t>
      </w:r>
    </w:p>
    <w:p>
      <w:pPr>
        <w:spacing w:after="80"/>
        <w:ind w:left="1080"/>
      </w:pPr>
      <w:r>
        <w:rPr>
          <w:b w:val="0"/>
          <w:i w:val="0"/>
        </w:rPr>
        <w:t>các chỉ số, 221 –223</w:t>
      </w:r>
    </w:p>
    <w:p>
      <w:pPr>
        <w:spacing w:after="80"/>
        <w:ind w:left="1080"/>
      </w:pPr>
      <w:r>
        <w:rPr>
          <w:b w:val="0"/>
          <w:i w:val="0"/>
        </w:rPr>
        <w:t>quy trình, 221</w:t>
      </w:r>
    </w:p>
    <w:p>
      <w:pPr>
        <w:spacing w:after="80"/>
        <w:ind w:left="1080"/>
      </w:pPr>
      <w:r>
        <w:rPr>
          <w:b w:val="0"/>
          <w:i w:val="0"/>
        </w:rPr>
        <w:t>các quy trình con, 224</w:t>
      </w:r>
    </w:p>
    <w:p>
      <w:pPr>
        <w:spacing w:after="80"/>
        <w:ind w:left="720"/>
      </w:pPr>
      <w:r>
        <w:rPr>
          <w:b w:val="0"/>
          <w:i w:val="0"/>
        </w:rPr>
        <w:t>Nhận dạng thiết bị đầu cuối/máy tính, 242</w:t>
      </w:r>
    </w:p>
    <w:p>
      <w:pPr>
        <w:spacing w:after="80"/>
        <w:ind w:left="720"/>
      </w:pPr>
      <w:r>
        <w:rPr>
          <w:b w:val="0"/>
          <w:i w:val="0"/>
        </w:rPr>
        <w:t>Vị trí thiết bị đầu cuối/máy tính, 244</w:t>
      </w:r>
    </w:p>
    <w:p>
      <w:pPr>
        <w:spacing w:after="80"/>
        <w:ind w:left="720"/>
      </w:pPr>
      <w:r>
        <w:rPr>
          <w:b w:val="0"/>
          <w:i w:val="0"/>
        </w:rPr>
        <w:t>Truy cập của bên thứ ba, xem xét (tần suất), 221</w:t>
      </w:r>
    </w:p>
    <w:p>
      <w:pPr>
        <w:spacing w:after="80"/>
        <w:ind w:left="720"/>
      </w:pPr>
      <w:r>
        <w:rPr>
          <w:b w:val="0"/>
          <w:i w:val="0"/>
        </w:rPr>
        <w:t>Mối đe dọa</w:t>
      </w:r>
    </w:p>
    <w:p>
      <w:pPr>
        <w:spacing w:after="80"/>
        <w:ind w:left="1080"/>
      </w:pPr>
      <w:r>
        <w:rPr>
          <w:b w:val="0"/>
          <w:i w:val="0"/>
        </w:rPr>
        <w:t>quản lý, 265</w:t>
      </w:r>
    </w:p>
    <w:p>
      <w:pPr>
        <w:spacing w:after="80"/>
        <w:ind w:left="720"/>
      </w:pPr>
      <w:r>
        <w:rPr>
          <w:b w:val="0"/>
          <w:i w:val="0"/>
        </w:rPr>
        <w:t>Hồ sơ báo cáo thời gian, phê duyệt, 139</w:t>
      </w:r>
    </w:p>
    <w:p>
      <w:pPr>
        <w:spacing w:after="80"/>
        <w:ind w:left="720"/>
      </w:pPr>
      <w:r>
        <w:rPr>
          <w:b w:val="0"/>
          <w:i w:val="0"/>
        </w:rPr>
        <w:t>Tone at the top, 14 , 38 , 42 , 174 , 190 , 208</w:t>
      </w:r>
    </w:p>
    <w:p>
      <w:pPr>
        <w:spacing w:after="80"/>
        <w:ind w:left="1080"/>
      </w:pPr>
      <w:r>
        <w:rPr>
          <w:b w:val="0"/>
          <w:i w:val="0"/>
        </w:rPr>
        <w:t>định nghĩa, 39</w:t>
      </w:r>
    </w:p>
    <w:p>
      <w:pPr>
        <w:spacing w:after="80"/>
        <w:ind w:left="1080"/>
      </w:pPr>
      <w:r>
        <w:rPr>
          <w:b w:val="0"/>
          <w:i w:val="0"/>
        </w:rPr>
        <w:t>vấn đề, ví dụ, 40</w:t>
      </w:r>
    </w:p>
    <w:p>
      <w:pPr>
        <w:spacing w:after="80"/>
        <w:ind w:left="720"/>
      </w:pPr>
      <w:r>
        <w:rPr>
          <w:b w:val="0"/>
          <w:i w:val="0"/>
        </w:rPr>
        <w:t>Tracey, William R., 136</w:t>
      </w:r>
    </w:p>
    <w:p>
      <w:pPr>
        <w:spacing w:after="80"/>
        <w:ind w:left="720"/>
      </w:pPr>
      <w:r>
        <w:rPr>
          <w:b w:val="0"/>
          <w:i w:val="0"/>
        </w:rPr>
        <w:t>Thương mại</w:t>
      </w:r>
    </w:p>
    <w:p>
      <w:pPr>
        <w:spacing w:after="80"/>
        <w:ind w:left="1080"/>
      </w:pPr>
      <w:r>
        <w:rPr>
          <w:b w:val="0"/>
          <w:i w:val="0"/>
        </w:rPr>
        <w:t>các chương trình ưu đãi, 112</w:t>
      </w:r>
    </w:p>
    <w:p>
      <w:pPr>
        <w:spacing w:after="80"/>
        <w:ind w:left="1080"/>
      </w:pPr>
      <w:r>
        <w:rPr>
          <w:b w:val="0"/>
          <w:i w:val="0"/>
        </w:rPr>
        <w:t>các quy định, 192</w:t>
      </w:r>
    </w:p>
    <w:p>
      <w:pPr>
        <w:spacing w:after="80"/>
        <w:ind w:left="720"/>
      </w:pPr>
      <w:r>
        <w:rPr>
          <w:b w:val="0"/>
          <w:i w:val="0"/>
        </w:rPr>
        <w:t>Đạo luật Thỏa thuận Thương mại năm 1979, 196</w:t>
      </w:r>
    </w:p>
    <w:p>
      <w:pPr>
        <w:spacing w:after="80"/>
        <w:ind w:left="720"/>
      </w:pPr>
      <w:r>
        <w:rPr>
          <w:b w:val="0"/>
          <w:i w:val="0"/>
        </w:rPr>
        <w:t>Đối tác thương mại, 262</w:t>
      </w:r>
    </w:p>
    <w:p>
      <w:pPr>
        <w:spacing w:after="80"/>
        <w:ind w:left="720"/>
      </w:pPr>
      <w:r>
        <w:rPr>
          <w:b w:val="0"/>
          <w:i w:val="0"/>
        </w:rPr>
        <w:t>Thỏa thuận đối tác thương mại (TPA), 262</w:t>
      </w:r>
    </w:p>
    <w:p>
      <w:pPr>
        <w:spacing w:after="80"/>
        <w:ind w:left="720"/>
      </w:pPr>
      <w:r>
        <w:rPr>
          <w:b w:val="0"/>
          <w:i w:val="0"/>
        </w:rPr>
        <w:t>Vận tải/hậu cần, 170 –172</w:t>
      </w:r>
    </w:p>
    <w:p>
      <w:pPr>
        <w:spacing w:after="80"/>
        <w:ind w:left="1080"/>
      </w:pPr>
      <w:r>
        <w:rPr>
          <w:b w:val="0"/>
          <w:i w:val="0"/>
        </w:rPr>
        <w:t>tiêu chuẩn kiểm soát nội bộ, 170 –171</w:t>
      </w:r>
    </w:p>
    <w:p>
      <w:pPr>
        <w:spacing w:after="80"/>
        <w:ind w:left="1080"/>
      </w:pPr>
      <w:r>
        <w:rPr>
          <w:b w:val="0"/>
          <w:i w:val="0"/>
        </w:rPr>
        <w:t>rủi ro, 172</w:t>
      </w:r>
    </w:p>
    <w:p>
      <w:pPr>
        <w:spacing w:after="80"/>
        <w:ind w:left="720"/>
      </w:pPr>
      <w:r>
        <w:rPr>
          <w:b w:val="0"/>
          <w:i w:val="0"/>
        </w:rPr>
        <w:t>Chi phí đi lại và tiếp khách (T&amp;E)</w:t>
      </w:r>
    </w:p>
    <w:p>
      <w:pPr>
        <w:spacing w:after="80"/>
        <w:ind w:left="1080"/>
      </w:pPr>
      <w:r>
        <w:rPr>
          <w:b w:val="0"/>
          <w:i w:val="0"/>
        </w:rPr>
        <w:t>các khoản yêu cầu, giải ngân, 128</w:t>
      </w:r>
    </w:p>
    <w:p>
      <w:pPr>
        <w:spacing w:after="80"/>
        <w:ind w:left="720"/>
      </w:pPr>
      <w:r>
        <w:rPr>
          <w:b w:val="0"/>
          <w:i w:val="0"/>
        </w:rPr>
        <w:t xml:space="preserve">Đi lại, quy trình thanh toán. </w:t>
      </w:r>
      <w:r>
        <w:rPr>
          <w:b w:val="0"/>
          <w:i/>
        </w:rPr>
        <w:t>Xem</w:t>
      </w:r>
      <w:r>
        <w:rPr>
          <w:b w:val="0"/>
          <w:i w:val="0"/>
        </w:rPr>
        <w:t xml:space="preserve"> Quy trình thanh toán</w:t>
      </w:r>
    </w:p>
    <w:p>
      <w:pPr>
        <w:spacing w:after="80"/>
        <w:ind w:left="720"/>
      </w:pPr>
      <w:r>
        <w:rPr>
          <w:b w:val="0"/>
          <w:i w:val="0"/>
        </w:rPr>
        <w:t>Các phê duyệt của ngân quỹ, 91</w:t>
      </w:r>
    </w:p>
    <w:p>
      <w:pPr>
        <w:spacing w:after="80"/>
        <w:ind w:left="720"/>
      </w:pPr>
      <w:r>
        <w:rPr>
          <w:b w:val="0"/>
          <w:i w:val="0"/>
        </w:rPr>
        <w:t>Kiểm soát ngân quỹ, 88 –90</w:t>
      </w:r>
    </w:p>
    <w:p>
      <w:pPr>
        <w:spacing w:after="80"/>
        <w:ind w:left="1080"/>
      </w:pPr>
      <w:r>
        <w:rPr>
          <w:b w:val="0"/>
          <w:i w:val="0"/>
        </w:rPr>
        <w:t>nhiệm vụ, phân tách trách nhiệm, 88 –89</w:t>
      </w:r>
    </w:p>
    <w:p>
      <w:pPr>
        <w:spacing w:after="80"/>
        <w:ind w:left="1080"/>
      </w:pPr>
      <w:r>
        <w:rPr>
          <w:b w:val="0"/>
          <w:i w:val="0"/>
        </w:rPr>
        <w:t>chuẩn mực kiểm soát nội bộ, 88 –90</w:t>
      </w:r>
    </w:p>
    <w:p>
      <w:pPr>
        <w:spacing w:after="80"/>
        <w:ind w:left="1080"/>
      </w:pPr>
      <w:r>
        <w:rPr>
          <w:b w:val="0"/>
          <w:i w:val="0"/>
        </w:rPr>
        <w:t>rủi ro, 90</w:t>
      </w:r>
    </w:p>
    <w:p>
      <w:pPr>
        <w:spacing w:after="80"/>
        <w:ind w:left="720"/>
      </w:pPr>
      <w:r>
        <w:rPr>
          <w:b w:val="0"/>
          <w:i w:val="0"/>
        </w:rPr>
        <w:t>Quy trình ngân quỹ, 85</w:t>
      </w:r>
    </w:p>
    <w:p>
      <w:pPr>
        <w:spacing w:after="80"/>
        <w:ind w:left="1080"/>
      </w:pPr>
      <w:r>
        <w:rPr>
          <w:b w:val="0"/>
          <w:i w:val="0"/>
        </w:rPr>
        <w:t>quy tắc ứng xử, 86</w:t>
      </w:r>
    </w:p>
    <w:p>
      <w:pPr>
        <w:spacing w:after="80"/>
        <w:ind w:left="1080"/>
      </w:pPr>
      <w:r>
        <w:rPr>
          <w:b w:val="0"/>
          <w:i w:val="0"/>
        </w:rPr>
        <w:t>kiểm soát nội bộ, áp dụng, 87 –88</w:t>
      </w:r>
    </w:p>
    <w:p>
      <w:pPr>
        <w:spacing w:after="80"/>
        <w:ind w:left="1080"/>
      </w:pPr>
      <w:r>
        <w:rPr>
          <w:b w:val="0"/>
          <w:i w:val="0"/>
        </w:rPr>
        <w:t>các chỉ số đo lường, 87</w:t>
      </w:r>
    </w:p>
    <w:p>
      <w:pPr>
        <w:spacing w:after="80"/>
        <w:ind w:left="1080"/>
      </w:pPr>
      <w:r>
        <w:rPr>
          <w:b w:val="0"/>
          <w:i w:val="0"/>
        </w:rPr>
        <w:t>các quy trình phụ, 88</w:t>
      </w:r>
    </w:p>
    <w:p>
      <w:pPr>
        <w:spacing w:after="80"/>
        <w:ind w:left="720"/>
      </w:pPr>
      <w:r>
        <w:rPr>
          <w:b w:val="0"/>
          <w:i w:val="0"/>
        </w:rPr>
        <w:t>Trojan horse, 266</w:t>
      </w:r>
    </w:p>
    <w:p>
      <w:pPr>
        <w:spacing w:after="80"/>
        <w:ind w:left="720"/>
      </w:pPr>
      <w:r>
        <w:rPr>
          <w:b w:val="0"/>
          <w:i w:val="0"/>
        </w:rPr>
        <w:t>Cách tính True DSO (chỉ số đo lường), 52</w:t>
      </w:r>
    </w:p>
    <w:p>
      <w:pPr>
        <w:spacing w:after="80"/>
        <w:ind w:left="720"/>
      </w:pPr>
      <w:r>
        <w:rPr>
          <w:b w:val="0"/>
          <w:i w:val="0"/>
        </w:rPr>
        <w:t>Bên nhận ủy thác/phát hành, tính chính xác, 87</w:t>
      </w:r>
    </w:p>
    <w:p>
      <w:pPr>
        <w:spacing w:after="80"/>
        <w:ind w:left="720"/>
      </w:pPr>
      <w:r>
        <w:rPr>
          <w:b w:val="0"/>
          <w:i w:val="0"/>
        </w:rPr>
        <w:t>Trust Indenture Act of 1939, 18</w:t>
      </w:r>
    </w:p>
    <w:p>
      <w:pPr>
        <w:spacing w:after="80"/>
        <w:ind w:left="720"/>
      </w:pPr>
      <w:r>
        <w:rPr>
          <w:b w:val="0"/>
          <w:i w:val="0"/>
        </w:rPr>
        <w:t>Chỉ số Turn-Earn (TEI), 156</w:t>
      </w:r>
    </w:p>
    <w:p>
      <w:pPr>
        <w:spacing w:after="80"/>
        <w:ind w:left="720"/>
      </w:pPr>
      <w:r>
        <w:rPr>
          <w:b w:val="0"/>
          <w:i w:val="0"/>
        </w:rPr>
        <w:t>Xác thực hai yếu tố, 234 , 235</w:t>
      </w:r>
    </w:p>
    <w:p>
      <w:pPr>
        <w:spacing w:after="80"/>
        <w:ind w:left="360"/>
      </w:pPr>
      <w:r>
        <w:rPr>
          <w:b w:val="0"/>
          <w:i w:val="0"/>
        </w:rPr>
        <w:t>U</w:t>
      </w:r>
    </w:p>
    <w:p>
      <w:pPr>
        <w:spacing w:after="80"/>
        <w:ind w:left="720"/>
      </w:pPr>
      <w:r>
        <w:rPr>
          <w:b w:val="0"/>
          <w:i w:val="0"/>
        </w:rPr>
        <w:t>Thay đổi giá trái phép (chỉ số), 52</w:t>
      </w:r>
    </w:p>
    <w:p>
      <w:pPr>
        <w:spacing w:after="80"/>
        <w:ind w:left="720"/>
      </w:pPr>
      <w:r>
        <w:rPr>
          <w:b w:val="0"/>
          <w:i w:val="0"/>
        </w:rPr>
        <w:t>Hội đồng Bảo an Liên hợp quốc (UNSC), nghị quyết 1540, 56</w:t>
      </w:r>
    </w:p>
    <w:p>
      <w:pPr>
        <w:spacing w:after="80"/>
        <w:ind w:left="720"/>
      </w:pPr>
      <w:r>
        <w:rPr>
          <w:b w:val="0"/>
          <w:i w:val="0"/>
        </w:rPr>
        <w:t>Danh mục Vũ khí Quân sự Hoa Kỳ (USML), 56</w:t>
      </w:r>
    </w:p>
    <w:p>
      <w:pPr>
        <w:spacing w:after="80"/>
        <w:ind w:left="720"/>
      </w:pPr>
      <w:r>
        <w:rPr>
          <w:b w:val="0"/>
          <w:i w:val="0"/>
        </w:rPr>
        <w:t>Người dùng, 224 –229</w:t>
      </w:r>
    </w:p>
    <w:p>
      <w:pPr>
        <w:spacing w:after="80"/>
        <w:ind w:left="1080"/>
      </w:pPr>
      <w:r>
        <w:rPr>
          <w:b w:val="0"/>
          <w:i w:val="0"/>
        </w:rPr>
        <w:t>định nghĩa, 225</w:t>
      </w:r>
    </w:p>
    <w:p>
      <w:pPr>
        <w:spacing w:after="80"/>
        <w:ind w:left="1080"/>
      </w:pPr>
      <w:r>
        <w:rPr>
          <w:b w:val="0"/>
          <w:i w:val="0"/>
        </w:rPr>
        <w:t>tiêu chuẩn kiểm soát nội bộ, 225 –228</w:t>
      </w:r>
    </w:p>
    <w:p>
      <w:pPr>
        <w:spacing w:after="80"/>
        <w:ind w:left="1080"/>
      </w:pPr>
      <w:r>
        <w:rPr>
          <w:b w:val="0"/>
          <w:i w:val="0"/>
        </w:rPr>
        <w:t>rủi ro, 228 –229</w:t>
      </w:r>
    </w:p>
    <w:p>
      <w:pPr>
        <w:spacing w:after="80"/>
        <w:ind w:left="720"/>
      </w:pPr>
      <w:r>
        <w:rPr>
          <w:b w:val="0"/>
          <w:i w:val="0"/>
        </w:rPr>
        <w:t>hợp đồng chính phủ Hoa Kỳ, 191 –197</w:t>
      </w:r>
    </w:p>
    <w:p>
      <w:pPr>
        <w:spacing w:after="80"/>
        <w:ind w:left="1080"/>
      </w:pPr>
      <w:r>
        <w:rPr>
          <w:b w:val="0"/>
          <w:i w:val="0"/>
        </w:rPr>
        <w:t>sản phẩm thương mại, 199 –201</w:t>
      </w:r>
    </w:p>
    <w:p>
      <w:pPr>
        <w:spacing w:after="80"/>
        <w:ind w:left="1440"/>
      </w:pPr>
      <w:r>
        <w:rPr>
          <w:b w:val="0"/>
          <w:i w:val="0"/>
        </w:rPr>
        <w:t>tiêu chuẩn kiểm soát nội bộ, 199 –201</w:t>
      </w:r>
    </w:p>
    <w:p>
      <w:pPr>
        <w:spacing w:after="80"/>
        <w:ind w:left="1440"/>
      </w:pPr>
      <w:r>
        <w:rPr>
          <w:b w:val="0"/>
          <w:i w:val="0"/>
        </w:rPr>
        <w:t>rủi ro, 201</w:t>
      </w:r>
    </w:p>
    <w:p>
      <w:pPr>
        <w:spacing w:after="80"/>
        <w:ind w:left="1080"/>
      </w:pPr>
      <w:r>
        <w:rPr>
          <w:b w:val="0"/>
          <w:i w:val="0"/>
        </w:rPr>
        <w:t>tiêu chuẩn kiểm soát nội bộ, 193 –196</w:t>
      </w:r>
    </w:p>
    <w:p>
      <w:pPr>
        <w:spacing w:after="80"/>
        <w:ind w:left="1080"/>
      </w:pPr>
      <w:r>
        <w:rPr>
          <w:b w:val="0"/>
          <w:i w:val="0"/>
        </w:rPr>
        <w:t>sản phẩm phi thương mại, 197 –199</w:t>
      </w:r>
    </w:p>
    <w:p>
      <w:pPr>
        <w:spacing w:after="80"/>
        <w:ind w:left="1440"/>
      </w:pPr>
      <w:r>
        <w:rPr>
          <w:b w:val="0"/>
          <w:i w:val="0"/>
        </w:rPr>
        <w:t>tiêu chuẩn kiểm soát nội bộ, 197 –198</w:t>
      </w:r>
    </w:p>
    <w:p>
      <w:pPr>
        <w:spacing w:after="80"/>
        <w:ind w:left="1440"/>
      </w:pPr>
      <w:r>
        <w:rPr>
          <w:b w:val="0"/>
          <w:i w:val="0"/>
        </w:rPr>
        <w:t>rủi ro, 198 –199</w:t>
      </w:r>
    </w:p>
    <w:p>
      <w:pPr>
        <w:spacing w:after="80"/>
        <w:ind w:left="1080"/>
      </w:pPr>
      <w:r>
        <w:rPr>
          <w:b w:val="0"/>
          <w:i w:val="0"/>
        </w:rPr>
        <w:t>rủi ro, 196 –197</w:t>
      </w:r>
    </w:p>
    <w:p>
      <w:pPr>
        <w:spacing w:after="80"/>
        <w:ind w:left="720"/>
      </w:pPr>
      <w:r>
        <w:rPr>
          <w:b w:val="0"/>
          <w:i w:val="0"/>
        </w:rPr>
        <w:t>Luật Sarbanes-Oxley của Hoa Kỳ năm 2002, 25 –27</w:t>
      </w:r>
    </w:p>
    <w:p>
      <w:pPr>
        <w:spacing w:after="80"/>
        <w:ind w:left="1080"/>
      </w:pPr>
      <w:r>
        <w:rPr>
          <w:b w:val="0"/>
          <w:i w:val="0"/>
        </w:rPr>
        <w:t>các thực hành tốt nhất (best practices), 27</w:t>
      </w:r>
    </w:p>
    <w:p>
      <w:pPr>
        <w:spacing w:after="80"/>
        <w:ind w:left="1080"/>
      </w:pPr>
      <w:r>
        <w:rPr>
          <w:b w:val="0"/>
          <w:i w:val="0"/>
        </w:rPr>
        <w:t>các yêu cầu, 25 –26</w:t>
      </w:r>
    </w:p>
    <w:p>
      <w:pPr>
        <w:spacing w:after="80"/>
        <w:ind w:left="360"/>
      </w:pPr>
      <w:r>
        <w:rPr>
          <w:b w:val="0"/>
          <w:i w:val="0"/>
        </w:rPr>
        <w:t>V</w:t>
      </w:r>
    </w:p>
    <w:p>
      <w:pPr>
        <w:spacing w:after="80"/>
        <w:ind w:left="720"/>
      </w:pPr>
      <w:r>
        <w:rPr>
          <w:b w:val="0"/>
          <w:i w:val="0"/>
        </w:rPr>
        <w:t>Tính hợp lệ (thành phần mục tiêu kiểm soát), 32</w:t>
      </w:r>
    </w:p>
    <w:p>
      <w:pPr>
        <w:spacing w:after="80"/>
        <w:ind w:left="720"/>
      </w:pPr>
      <w:r>
        <w:rPr>
          <w:b w:val="0"/>
          <w:i w:val="0"/>
        </w:rPr>
        <w:t>Các sai lệch (Variances)</w:t>
      </w:r>
    </w:p>
    <w:p>
      <w:pPr>
        <w:spacing w:after="80"/>
        <w:ind w:left="1080"/>
      </w:pPr>
      <w:r>
        <w:rPr>
          <w:b w:val="0"/>
          <w:i w:val="0"/>
        </w:rPr>
        <w:t>phân tích/xử lý, 166</w:t>
      </w:r>
    </w:p>
    <w:p>
      <w:pPr>
        <w:spacing w:after="80"/>
        <w:ind w:left="1080"/>
      </w:pPr>
      <w:r>
        <w:rPr>
          <w:b w:val="0"/>
          <w:i w:val="0"/>
        </w:rPr>
        <w:t>điều tra/báo cáo, 163</w:t>
      </w:r>
    </w:p>
    <w:p>
      <w:pPr>
        <w:spacing w:after="80"/>
        <w:ind w:left="720"/>
      </w:pPr>
      <w:r>
        <w:rPr>
          <w:b w:val="0"/>
          <w:i w:val="0"/>
        </w:rPr>
        <w:t>Các nhà cung cấp (Vendors)</w:t>
      </w:r>
    </w:p>
    <w:p>
      <w:pPr>
        <w:spacing w:after="80"/>
        <w:ind w:left="1080"/>
      </w:pPr>
      <w:r>
        <w:rPr>
          <w:b w:val="0"/>
          <w:i w:val="0"/>
        </w:rPr>
        <w:t>quản lý hiệu suất, 150</w:t>
      </w:r>
    </w:p>
    <w:p>
      <w:pPr>
        <w:spacing w:after="80"/>
        <w:ind w:left="1080"/>
      </w:pPr>
      <w:r>
        <w:rPr>
          <w:b w:val="0"/>
          <w:i w:val="0"/>
        </w:rPr>
        <w:t>quy trình lựa chọn, cách thực hiện, 108 –109</w:t>
      </w:r>
    </w:p>
    <w:p>
      <w:pPr>
        <w:spacing w:after="80"/>
        <w:ind w:left="720"/>
      </w:pPr>
      <w:r>
        <w:rPr>
          <w:b w:val="0"/>
          <w:i w:val="0"/>
        </w:rPr>
        <w:t>Kiểm soát phiên bản (Version control), 248</w:t>
      </w:r>
    </w:p>
    <w:p>
      <w:pPr>
        <w:spacing w:after="80"/>
        <w:ind w:left="720"/>
      </w:pPr>
      <w:r>
        <w:rPr>
          <w:b w:val="0"/>
          <w:i w:val="0"/>
        </w:rPr>
        <w:t>Đánh giá hoạt động kinh doanh thiết yếu (Vital business assessment), 256 , 257</w:t>
      </w:r>
    </w:p>
    <w:p>
      <w:pPr>
        <w:spacing w:after="80"/>
        <w:ind w:left="720"/>
      </w:pPr>
      <w:r>
        <w:rPr>
          <w:b w:val="0"/>
          <w:i w:val="0"/>
        </w:rPr>
        <w:t>Hồ sơ thiết yếu (Vital records)</w:t>
      </w:r>
    </w:p>
    <w:p>
      <w:pPr>
        <w:spacing w:after="80"/>
        <w:ind w:left="1080"/>
      </w:pPr>
      <w:r>
        <w:rPr>
          <w:b w:val="0"/>
          <w:i w:val="0"/>
        </w:rPr>
        <w:t>kiểm toán/thiếu vắng, 258</w:t>
      </w:r>
    </w:p>
    <w:p>
      <w:pPr>
        <w:spacing w:after="80"/>
        <w:ind w:left="1080"/>
      </w:pPr>
      <w:r>
        <w:rPr>
          <w:b w:val="0"/>
          <w:i w:val="0"/>
        </w:rPr>
        <w:t>nhận diện, 213</w:t>
      </w:r>
    </w:p>
    <w:p>
      <w:pPr>
        <w:spacing w:after="80"/>
        <w:ind w:left="1080"/>
      </w:pPr>
      <w:r>
        <w:rPr>
          <w:b w:val="0"/>
          <w:i w:val="0"/>
        </w:rPr>
        <w:t>bảo trì, 212</w:t>
      </w:r>
    </w:p>
    <w:p>
      <w:pPr>
        <w:spacing w:after="80"/>
        <w:ind w:left="1080"/>
      </w:pPr>
      <w:r>
        <w:rPr>
          <w:b w:val="0"/>
          <w:i w:val="0"/>
        </w:rPr>
        <w:t>lưu trữ, 257</w:t>
      </w:r>
    </w:p>
    <w:p>
      <w:pPr>
        <w:spacing w:after="80"/>
        <w:ind w:left="720"/>
      </w:pPr>
      <w:r>
        <w:rPr>
          <w:b w:val="0"/>
          <w:i w:val="0"/>
        </w:rPr>
        <w:t>Séc bị hủy/đã hủy, 121</w:t>
      </w:r>
    </w:p>
    <w:p>
      <w:pPr>
        <w:spacing w:after="80"/>
        <w:ind w:left="720"/>
      </w:pPr>
      <w:r>
        <w:rPr>
          <w:b w:val="0"/>
          <w:i w:val="0"/>
        </w:rPr>
        <w:t>Lỗ hổng bảo mật, 265</w:t>
      </w:r>
    </w:p>
    <w:p>
      <w:pPr>
        <w:spacing w:after="80"/>
        <w:ind w:left="360"/>
      </w:pPr>
      <w:r>
        <w:rPr>
          <w:b w:val="0"/>
          <w:i w:val="0"/>
        </w:rPr>
        <w:t>W</w:t>
      </w:r>
    </w:p>
    <w:p>
      <w:pPr>
        <w:spacing w:after="80"/>
        <w:ind w:left="720"/>
      </w:pPr>
      <w:r>
        <w:rPr>
          <w:b w:val="0"/>
          <w:i w:val="0"/>
        </w:rPr>
        <w:t>Kho hàng</w:t>
      </w:r>
    </w:p>
    <w:p>
      <w:pPr>
        <w:spacing w:after="80"/>
        <w:ind w:left="1080"/>
      </w:pPr>
      <w:r>
        <w:rPr>
          <w:b w:val="0"/>
          <w:i w:val="0"/>
        </w:rPr>
        <w:t>truy cập, 65</w:t>
      </w:r>
    </w:p>
    <w:p>
      <w:pPr>
        <w:spacing w:after="80"/>
        <w:ind w:left="1080"/>
      </w:pPr>
      <w:r>
        <w:rPr>
          <w:b w:val="0"/>
          <w:i w:val="0"/>
        </w:rPr>
        <w:t>bố trí, 65</w:t>
      </w:r>
    </w:p>
    <w:p>
      <w:pPr>
        <w:spacing w:after="80"/>
        <w:ind w:left="720"/>
      </w:pPr>
      <w:r>
        <w:rPr>
          <w:b w:val="0"/>
          <w:i w:val="0"/>
        </w:rPr>
        <w:t>Bảo hành, 304 –307</w:t>
      </w:r>
    </w:p>
    <w:p>
      <w:pPr>
        <w:spacing w:after="80"/>
        <w:ind w:left="1080"/>
      </w:pPr>
      <w:r>
        <w:rPr>
          <w:b w:val="0"/>
          <w:i w:val="0"/>
        </w:rPr>
        <w:t>ngưỡng khiếu nại, 305</w:t>
      </w:r>
    </w:p>
    <w:p>
      <w:pPr>
        <w:spacing w:after="80"/>
        <w:ind w:left="1080"/>
      </w:pPr>
      <w:r>
        <w:rPr>
          <w:b w:val="0"/>
          <w:i w:val="0"/>
        </w:rPr>
        <w:t>tiêu chuẩn kiểm soát nội bộ, 304 –307</w:t>
      </w:r>
    </w:p>
    <w:p>
      <w:pPr>
        <w:spacing w:after="80"/>
        <w:ind w:left="1080"/>
      </w:pPr>
      <w:r>
        <w:rPr>
          <w:b w:val="0"/>
          <w:i w:val="0"/>
        </w:rPr>
        <w:t>rủi ro, 307</w:t>
      </w:r>
    </w:p>
    <w:p>
      <w:pPr>
        <w:spacing w:after="80"/>
        <w:ind w:left="720"/>
      </w:pPr>
      <w:r>
        <w:rPr>
          <w:b w:val="0"/>
          <w:i w:val="0"/>
        </w:rPr>
        <w:t>Danh sách sử dụng kép của Thỏa thuận Wassenaar, 57</w:t>
      </w:r>
    </w:p>
    <w:p>
      <w:pPr>
        <w:spacing w:after="80"/>
        <w:ind w:left="720"/>
      </w:pPr>
      <w:r>
        <w:rPr>
          <w:b w:val="0"/>
          <w:i w:val="0"/>
        </w:rPr>
        <w:t>Mạng diện rộng (WAN), 242</w:t>
      </w:r>
    </w:p>
    <w:p>
      <w:pPr>
        <w:spacing w:after="80"/>
        <w:ind w:left="720"/>
      </w:pPr>
      <w:r>
        <w:rPr>
          <w:b w:val="0"/>
          <w:i w:val="0"/>
        </w:rPr>
        <w:t>Đơn hàng khách tự đến lấy (will-call), 71</w:t>
      </w:r>
    </w:p>
    <w:p>
      <w:pPr>
        <w:spacing w:after="80"/>
        <w:ind w:left="720"/>
      </w:pPr>
      <w:r>
        <w:rPr>
          <w:b w:val="0"/>
          <w:i w:val="0"/>
        </w:rPr>
        <w:t>Chuyển tiền điện tử, 122</w:t>
      </w:r>
    </w:p>
    <w:p>
      <w:pPr>
        <w:spacing w:after="80"/>
        <w:ind w:left="720"/>
      </w:pPr>
      <w:r>
        <w:rPr>
          <w:b w:val="0"/>
          <w:i w:val="0"/>
        </w:rPr>
        <w:t>ID cấu trúc phân chia công việc (WBS), 317</w:t>
      </w:r>
    </w:p>
    <w:p>
      <w:pPr>
        <w:spacing w:after="80"/>
        <w:ind w:left="720"/>
      </w:pPr>
      <w:r>
        <w:rPr>
          <w:b w:val="0"/>
          <w:i w:val="0"/>
        </w:rPr>
        <w:t>Nhóm làm việc, sự hình thành, 37</w:t>
      </w:r>
    </w:p>
    <w:p>
      <w:pPr>
        <w:spacing w:after="80"/>
        <w:ind w:left="360"/>
      </w:pPr>
      <w:r>
        <w:rPr>
          <w:b w:val="0"/>
          <w:i w:val="0"/>
        </w:rPr>
        <w:t>Z</w:t>
      </w:r>
    </w:p>
    <w:p>
      <w:pPr>
        <w:spacing w:after="80"/>
        <w:ind w:left="720"/>
      </w:pPr>
      <w:r>
        <w:rPr>
          <w:b w:val="0"/>
          <w:i w:val="0"/>
        </w:rPr>
        <w:t>Hóa đơn không đồng, 70</w:t>
      </w:r>
    </w:p>
    <w:p>
      <w:pPr>
        <w:pStyle w:val="Heading1"/>
      </w:pPr>
      <w:r>
        <w:rPr>
          <w:rFonts w:ascii="Calibri" w:hAnsi="Calibri"/>
          <w:b/>
          <w:i w:val="0"/>
          <w:sz w:val="40"/>
        </w:rPr>
        <w:t>THỎA THUẬN GIẤY PHÉP NGƯỜI DÙNG CUỐI CỦA WILEY</w:t>
      </w:r>
    </w:p>
    <w:p>
      <w:pPr>
        <w:spacing w:after="80"/>
      </w:pPr>
      <w:r>
        <w:rPr>
          <w:b w:val="0"/>
          <w:i w:val="0"/>
        </w:rPr>
        <w:t>Truy cập www.wiley.com/go/eula để xem EULA sách điện tử của Wiley.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