
<file path=[Content_Types].xml><?xml version="1.0" encoding="utf-8"?>
<Types xmlns="http://schemas.openxmlformats.org/package/2006/content-types">
  <Override PartName="/word/footnotes.xml" ContentType="application/vnd.openxmlformats-officedocument.wordprocessingml.footnote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Default Extension="xml" ContentType="application/xml"/>
  <Default Extension="png" ContentType="image/png"/>
  <Default Extension="jpg" ContentType="image/jpeg"/>
  <Default Extension="gif" ContentType="image/gif"/>
  <Default Extension="svg" ContentType="image/svg+xml"/>
  <Default Extension="jpeg" ContentType="image/jpeg"/>
  <Default Extension="rels" ContentType="application/vnd.openxmlformats-package.relationships+xml"/>
  <Default Extension="odttf" ContentType="application/vnd.openxmlformats-officedocument.obfuscatedFont"/>
</Types>
</file>

<file path=_rels/.rels><?xml version='1.0' encoding='utf-8'?>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http://schemas.openxmlformats.org/wordprocessingml/2006/main" xmlns:a="http://schemas.openxmlformats.org/drawingml/2006/main" xmlns:pic="http://schemas.openxmlformats.org/drawingml/2006/picture" xmlns:wp="http://schemas.openxmlformats.org/drawingml/2006/wordprocessingDrawing" xmlns:r="http://schemas.openxmlformats.org/officeDocument/2006/relationships">
  <w:body>
    <w:p>
      <w:r>
        <w:drawing>
          <wp:anchor distL="0" distR="0" distT="0" distB="0" simplePos="0" relativeHeight="1" behindDoc="0" locked="0" layoutInCell="1" allowOverlap="1">
            <wp:simplePos x="0" y="0"/>
            <wp:positionH relativeFrom="page">
              <wp:align>center</wp:align>
            </wp:positionH>
            <wp:positionV relativeFrom="page">
              <wp:align>center</wp:align>
            </wp:positionV>
            <wp:extent cx="7772400" cy="10058400"/>
            <wp:effectExtent l="0" r="0" t="0" b="0"/>
            <wp:wrapTopAndBottom/>
            <wp:docPr id="40" name="cover.jpg" descr="Cover"/>
            <wp:cNvGraphicFramePr>
              <a:graphicFrameLocks noChangeAspect="1"/>
            </wp:cNvGraphicFramePr>
            <a:graphic>
              <a:graphicData uri="http://schemas.openxmlformats.org/drawingml/2006/picture">
                <pic:pic>
                  <pic:nvPicPr>
                    <pic:cNvPr id="0" name="cover.jpg" descr="Cover"/>
                    <pic:cNvPicPr/>
                  </pic:nvPicPr>
                  <pic:blipFill>
                    <a:blip r:embed="rId31"/>
                    <a:stretch>
                      <a:fillRect/>
                    </a:stretch>
                  </pic:blipFill>
                  <pic:spPr>
                    <a:xfrm>
                      <a:off x="0" y="0"/>
                      <a:ext cx="7772400" cy="10058400"/>
                    </a:xfrm>
                    <a:prstGeom prst="rect">
                      <a:avLst/>
                    </a:prstGeom>
                  </pic:spPr>
                </pic:pic>
              </a:graphicData>
            </a:graphic>
          </wp:anchor>
        </w:drawing>
      </w:r>
    </w:p>
    <w:p>
      <w:pPr>
        <w:pStyle w:val="Heading 1"/>
        <w:pageBreakBefore w:val="on"/>
      </w:pPr>
      <w:r>
        <w:t>Mục lục</w:t>
      </w:r>
    </w:p>
    <w:p>
      <w:pPr>
        <w:pStyle w:val="Normal"/>
        <w:ind w:left="0" w:firstLineChars="0" w:firstLine="0" w:leftChars="0"/>
        <w:pageBreakBefore w:val="off"/>
      </w:pPr>
      <w:r>
        <w:fldChar w:fldCharType="begin"/>
      </w:r>
      <w:r>
        <w:instrText xml:space="preserve"> TOC \h </w:instrText>
      </w:r>
      <w:r>
        <w:fldChar w:fldCharType="separate"/>
      </w:r>
      <w:hyperlink w:anchor="con">
        <w:r>
          <w:rPr>
            <w:color w:val="0000FF" w:themeColor="hyperlink"/>
            <w:u w:val="single"/>
          </w:rPr>
          <w:t>Nội dung</w:t>
        </w:r>
      </w:hyperlink>
    </w:p>
    <w:p>
      <w:pPr>
        <w:pStyle w:val="Normal"/>
        <w:ind w:left="0" w:firstLineChars="0" w:firstLine="0" w:leftChars="0"/>
      </w:pPr>
      <w:hyperlink w:anchor="Top_of_00_Cover_xhtml">
        <w:r>
          <w:rPr>
            <w:color w:val="0000FF" w:themeColor="hyperlink"/>
            <w:u w:val="single"/>
          </w:rPr>
          <w:t>HBR’s 10 Must Reads on Managing Yourself</w:t>
        </w:r>
      </w:hyperlink>
    </w:p>
    <w:p>
      <w:pPr>
        <w:pStyle w:val="Normal"/>
        <w:ind w:left="0" w:firstLineChars="0" w:firstLine="0" w:leftChars="200"/>
      </w:pPr>
      <w:hyperlink w:anchor="page_iii">
        <w:r>
          <w:rPr>
            <w:color w:val="0000FF" w:themeColor="hyperlink"/>
            <w:u w:val="single"/>
          </w:rPr>
          <w:t>Trang tiêu đề</w:t>
        </w:r>
      </w:hyperlink>
    </w:p>
    <w:p>
      <w:pPr>
        <w:pStyle w:val="Normal"/>
        <w:ind w:left="0" w:firstLineChars="0" w:firstLine="0" w:leftChars="200"/>
      </w:pPr>
      <w:hyperlink w:anchor="Find">
        <w:r>
          <w:rPr>
            <w:color w:val="0000FF" w:themeColor="hyperlink"/>
            <w:u w:val="single"/>
          </w:rPr>
          <w:t>Bản quyền</w:t>
        </w:r>
      </w:hyperlink>
    </w:p>
    <w:p>
      <w:pPr>
        <w:pStyle w:val="Normal"/>
        <w:ind w:left="0" w:firstLineChars="0" w:firstLine="0" w:leftChars="200"/>
      </w:pPr>
      <w:hyperlink w:anchor="Top_of_03_Contents_xhtml">
        <w:r>
          <w:rPr>
            <w:color w:val="0000FF" w:themeColor="hyperlink"/>
            <w:u w:val="single"/>
          </w:rPr>
          <w:t>Nội dung</w:t>
        </w:r>
      </w:hyperlink>
    </w:p>
    <w:p>
      <w:pPr>
        <w:pStyle w:val="Normal"/>
        <w:ind w:left="0" w:firstLineChars="0" w:firstLine="0" w:leftChars="200"/>
      </w:pPr>
      <w:hyperlink w:anchor="Top_of_05_How_Will_xhtml">
        <w:r>
          <w:rPr>
            <w:color w:val="0000FF" w:themeColor="hyperlink"/>
            <w:u w:val="single"/>
          </w:rPr>
          <w:t>Bạn Sẽ Đo Lường Cuộc Đời Mình Như Thế Nào?</w:t>
        </w:r>
      </w:hyperlink>
    </w:p>
    <w:p>
      <w:pPr>
        <w:pStyle w:val="Normal"/>
        <w:ind w:left="0" w:firstLineChars="0" w:firstLine="0" w:leftChars="200"/>
      </w:pPr>
      <w:hyperlink w:anchor="Top_of_06_Managing_xhtml">
        <w:r>
          <w:rPr>
            <w:color w:val="0000FF" w:themeColor="hyperlink"/>
            <w:u w:val="single"/>
          </w:rPr>
          <w:t>Quản Trị Chính Mình</w:t>
        </w:r>
      </w:hyperlink>
    </w:p>
    <w:p>
      <w:pPr>
        <w:pStyle w:val="Normal"/>
        <w:ind w:left="0" w:firstLineChars="0" w:firstLine="0" w:leftChars="200"/>
      </w:pPr>
      <w:hyperlink w:anchor="Top_of_07_Manageme_xhtml">
        <w:r>
          <w:rPr>
            <w:color w:val="0000FF" w:themeColor="hyperlink"/>
            <w:u w:val="single"/>
          </w:rPr>
          <w:t>Thời Gian Quản Lý: Ai Đang Giữ Con Khỉ?</w:t>
        </w:r>
      </w:hyperlink>
    </w:p>
    <w:p>
      <w:pPr>
        <w:pStyle w:val="Normal"/>
        <w:ind w:left="0" w:firstLineChars="0" w:firstLine="0" w:leftChars="200"/>
      </w:pPr>
      <w:hyperlink w:anchor="Top_of_08_How_Resi_xhtml">
        <w:r>
          <w:rPr>
            <w:color w:val="0000FF" w:themeColor="hyperlink"/>
            <w:u w:val="single"/>
          </w:rPr>
          <w:t>Sức Bật Tinh Thần Hoạt Động Như Thế Nào</w:t>
        </w:r>
      </w:hyperlink>
    </w:p>
    <w:p>
      <w:pPr>
        <w:pStyle w:val="Normal"/>
        <w:ind w:left="0" w:firstLineChars="0" w:firstLine="0" w:leftChars="200"/>
      </w:pPr>
      <w:hyperlink w:anchor="Top_of_09_Manage_Y_xhtml">
        <w:r>
          <w:rPr>
            <w:color w:val="0000FF" w:themeColor="hyperlink"/>
            <w:u w:val="single"/>
          </w:rPr>
          <w:t>Quản Lý Năng Lượng, Đừng Quản Lý Thời Gian</w:t>
        </w:r>
      </w:hyperlink>
    </w:p>
    <w:p>
      <w:pPr>
        <w:pStyle w:val="Normal"/>
        <w:ind w:left="0" w:firstLineChars="0" w:firstLine="0" w:leftChars="200"/>
      </w:pPr>
      <w:hyperlink w:anchor="Top_of_10_Overload_xhtml">
        <w:r>
          <w:rPr>
            <w:color w:val="0000FF" w:themeColor="hyperlink"/>
            <w:u w:val="single"/>
          </w:rPr>
          <w:t>Mạch Quá Tải</w:t>
        </w:r>
      </w:hyperlink>
    </w:p>
    <w:p>
      <w:pPr>
        <w:pStyle w:val="Normal"/>
        <w:ind w:left="0" w:firstLineChars="0" w:firstLine="0" w:leftChars="200"/>
      </w:pPr>
      <w:hyperlink w:anchor="Top_of_11_Be_a_Bet_xhtml">
        <w:r>
          <w:rPr>
            <w:color w:val="0000FF" w:themeColor="hyperlink"/>
            <w:u w:val="single"/>
          </w:rPr>
          <w:t>Làm Lãnh Đạo Giỏi Hơn, Sống Cuộc Đời Đầy Đặn Hơn</w:t>
        </w:r>
      </w:hyperlink>
    </w:p>
    <w:p>
      <w:pPr>
        <w:pStyle w:val="Normal"/>
        <w:ind w:left="0" w:firstLineChars="0" w:firstLine="0" w:leftChars="200"/>
      </w:pPr>
      <w:hyperlink w:anchor="Top_of_12_Reclaim_xhtml">
        <w:r>
          <w:rPr>
            <w:color w:val="0000FF" w:themeColor="hyperlink"/>
            <w:u w:val="single"/>
          </w:rPr>
          <w:t>Lấy Lại Công Việc Của Bạn</w:t>
        </w:r>
      </w:hyperlink>
    </w:p>
    <w:p>
      <w:pPr>
        <w:pStyle w:val="Normal"/>
        <w:ind w:left="0" w:firstLineChars="0" w:firstLine="0" w:leftChars="200"/>
      </w:pPr>
      <w:hyperlink w:anchor="Top_of_13_Moments_xhtml">
        <w:r>
          <w:rPr>
            <w:color w:val="0000FF" w:themeColor="hyperlink"/>
            <w:u w:val="single"/>
          </w:rPr>
          <w:t>Khoảnh Khắc Xuất Sắc: Bước Vào Trạng Thái Lãnh Đạo Cốt Lõi</w:t>
        </w:r>
      </w:hyperlink>
    </w:p>
    <w:p>
      <w:pPr>
        <w:pStyle w:val="Normal"/>
        <w:ind w:left="0" w:firstLineChars="0" w:firstLine="0" w:leftChars="200"/>
      </w:pPr>
      <w:hyperlink w:anchor="Top_of_14_What_to_xhtml">
        <w:r>
          <w:rPr>
            <w:color w:val="0000FF" w:themeColor="hyperlink"/>
            <w:u w:val="single"/>
          </w:rPr>
          <w:t>Nên Hỏi Người Trong Gương Điều Gì</w:t>
        </w:r>
      </w:hyperlink>
    </w:p>
    <w:p>
      <w:pPr>
        <w:pStyle w:val="Normal"/>
        <w:ind w:left="0" w:firstLineChars="0" w:firstLine="0" w:leftChars="200"/>
      </w:pPr>
      <w:hyperlink w:anchor="Top_of_15_Primal_L_xhtml">
        <w:r>
          <w:rPr>
            <w:color w:val="0000FF" w:themeColor="hyperlink"/>
            <w:u w:val="single"/>
          </w:rPr>
          <w:t>Lãnh Đạo Bản Năng: Động Lực Ngầm Đằng Sau Hiệu Suất Vượt Trội</w:t>
        </w:r>
      </w:hyperlink>
    </w:p>
    <w:p>
      <w:pPr>
        <w:pStyle w:val="Normal"/>
        <w:ind w:left="0" w:firstLineChars="0" w:firstLine="0" w:leftChars="200"/>
      </w:pPr>
      <w:hyperlink w:anchor="Top_of_16_About_th_xhtml">
        <w:r>
          <w:rPr>
            <w:color w:val="0000FF" w:themeColor="hyperlink"/>
            <w:u w:val="single"/>
          </w:rPr>
          <w:t>Về Các Tác Giả</w:t>
        </w:r>
      </w:hyperlink>
    </w:p>
    <w:p>
      <w:pPr>
        <w:pStyle w:val="Normal"/>
        <w:ind w:left="0" w:firstLineChars="0" w:firstLine="0" w:leftChars="200"/>
      </w:pPr>
      <w:hyperlink w:anchor="Top_of_17_Index_xhtml">
        <w:r>
          <w:rPr>
            <w:color w:val="0000FF" w:themeColor="hyperlink"/>
            <w:u w:val="single"/>
          </w:rPr>
          <w:t>Chỉ mục</w:t>
        </w:r>
      </w:hyperlink>
    </w:p>
    <w:p>
      <w:pPr>
        <w:pStyle w:val="Normal"/>
        <w:ind w:left="0" w:firstLineChars="0" w:firstLine="0" w:leftChars="200"/>
      </w:pPr>
      <w:hyperlink w:anchor="Top_of_18_Back_Cov_xhtml">
        <w:r>
          <w:rPr>
            <w:color w:val="0000FF" w:themeColor="hyperlink"/>
            <w:u w:val="single"/>
          </w:rPr>
          <w:t>Bìa sau</w:t>
        </w:r>
      </w:hyperlink>
    </w:p>
    <w:p>
      <w:pPr>
        <w:pStyle w:val="Normal"/>
        <w:ind w:left="0" w:firstLineChars="0" w:firstLine="0" w:leftChars="0"/>
      </w:pPr>
      <w:hyperlink w:anchor="Top_of_cover_xhtml">
        <w:r>
          <w:rPr>
            <w:color w:val="0000FF" w:themeColor="hyperlink"/>
            <w:u w:val="single"/>
          </w:rPr>
          <w:t>HBR’s 10 Must Reads on Managing Yourself, Vol. 2</w:t>
        </w:r>
      </w:hyperlink>
    </w:p>
    <w:p>
      <w:pPr>
        <w:pStyle w:val="Normal"/>
        <w:ind w:left="0" w:firstLineChars="0" w:firstLine="0" w:leftChars="200"/>
      </w:pPr>
      <w:hyperlink w:anchor="Top_of_titlepage_xhtml">
        <w:r>
          <w:rPr>
            <w:color w:val="0000FF" w:themeColor="hyperlink"/>
            <w:u w:val="single"/>
          </w:rPr>
          <w:t>Trang tiêu đề</w:t>
        </w:r>
      </w:hyperlink>
    </w:p>
    <w:p>
      <w:pPr>
        <w:pStyle w:val="Normal"/>
        <w:ind w:left="0" w:firstLineChars="0" w:firstLine="0" w:leftChars="200"/>
      </w:pPr>
      <w:hyperlink w:anchor="Top_of_copyright_xhtml">
        <w:r>
          <w:rPr>
            <w:color w:val="0000FF" w:themeColor="hyperlink"/>
            <w:u w:val="single"/>
          </w:rPr>
          <w:t>Bản quyền</w:t>
        </w:r>
      </w:hyperlink>
    </w:p>
    <w:p>
      <w:pPr>
        <w:pStyle w:val="Normal"/>
        <w:ind w:left="0" w:firstLineChars="0" w:firstLine="0" w:leftChars="200"/>
      </w:pPr>
      <w:hyperlink w:anchor="Top_of_toc_xhtml">
        <w:r>
          <w:rPr>
            <w:color w:val="0000FF" w:themeColor="hyperlink"/>
            <w:u w:val="single"/>
          </w:rPr>
          <w:t>Nội dung</w:t>
        </w:r>
      </w:hyperlink>
    </w:p>
    <w:p>
      <w:pPr>
        <w:pStyle w:val="Normal"/>
        <w:ind w:left="0" w:firstLineChars="0" w:firstLine="0" w:leftChars="200"/>
      </w:pPr>
      <w:hyperlink w:anchor="Top_of_ch01_xhtml">
        <w:r>
          <w:rPr>
            <w:color w:val="0000FF" w:themeColor="hyperlink"/>
            <w:u w:val="single"/>
          </w:rPr>
          <w:t>Từ Mục Đích Đến Tác Động</w:t>
        </w:r>
      </w:hyperlink>
    </w:p>
    <w:p>
      <w:pPr>
        <w:pStyle w:val="Normal"/>
        <w:ind w:left="0" w:firstLineChars="0" w:firstLine="0" w:leftChars="200"/>
      </w:pPr>
      <w:hyperlink w:anchor="Top_of_ch02_xhtml">
        <w:r>
          <w:rPr>
            <w:color w:val="0000FF" w:themeColor="hyperlink"/>
            <w:u w:val="single"/>
          </w:rPr>
          <w:t>Học Cách Học</w:t>
        </w:r>
      </w:hyperlink>
    </w:p>
    <w:p>
      <w:pPr>
        <w:pStyle w:val="Normal"/>
        <w:ind w:left="0" w:firstLineChars="0" w:firstLine="0" w:leftChars="200"/>
      </w:pPr>
      <w:hyperlink w:anchor="Top_of_ch03_xhtml">
        <w:r>
          <w:rPr>
            <w:color w:val="0000FF" w:themeColor="hyperlink"/>
            <w:u w:val="single"/>
          </w:rPr>
          <w:t>Khiến Bản Thân Trở Nên Không Thể Thay Thế</w:t>
        </w:r>
      </w:hyperlink>
    </w:p>
    <w:p>
      <w:pPr>
        <w:pStyle w:val="Normal"/>
        <w:ind w:left="0" w:firstLineChars="0" w:firstLine="0" w:leftChars="200"/>
      </w:pPr>
      <w:hyperlink w:anchor="Top_of_ch04_xhtml">
        <w:r>
          <w:rPr>
            <w:color w:val="0000FF" w:themeColor="hyperlink"/>
            <w:u w:val="single"/>
          </w:rPr>
          <w:t>Dành Thời Gian Cho Công Việc Quan Trọng</w:t>
        </w:r>
      </w:hyperlink>
    </w:p>
    <w:p>
      <w:pPr>
        <w:pStyle w:val="Normal"/>
        <w:ind w:left="0" w:firstLineChars="0" w:firstLine="0" w:leftChars="200"/>
      </w:pPr>
      <w:hyperlink w:anchor="Top_of_ch05_xhtml">
        <w:r>
          <w:rPr>
            <w:color w:val="0000FF" w:themeColor="hyperlink"/>
            <w:u w:val="single"/>
          </w:rPr>
          <w:t>Hợp Tác Mà Không Kiệt Sức</w:t>
        </w:r>
      </w:hyperlink>
    </w:p>
    <w:p>
      <w:pPr>
        <w:pStyle w:val="Normal"/>
        <w:ind w:left="0" w:firstLineChars="0" w:firstLine="0" w:leftChars="200"/>
      </w:pPr>
      <w:hyperlink w:anchor="Top_of_ch06_xhtml">
        <w:r>
          <w:rPr>
            <w:color w:val="0000FF" w:themeColor="hyperlink"/>
            <w:u w:val="single"/>
          </w:rPr>
          <w:t>Linh Hoạt Cảm Xúc</w:t>
        </w:r>
      </w:hyperlink>
    </w:p>
    <w:p>
      <w:pPr>
        <w:pStyle w:val="Normal"/>
        <w:ind w:left="0" w:firstLineChars="0" w:firstLine="0" w:leftChars="200"/>
      </w:pPr>
      <w:hyperlink w:anchor="Top_of_ch07_xhtml">
        <w:r>
          <w:rPr>
            <w:color w:val="0000FF" w:themeColor="hyperlink"/>
            <w:u w:val="single"/>
          </w:rPr>
          <w:t>Làm thế nào để giải quyết những quyết định khó khăn nhất của bạn</w:t>
        </w:r>
      </w:hyperlink>
    </w:p>
    <w:p>
      <w:pPr>
        <w:pStyle w:val="Normal"/>
        <w:ind w:left="0" w:firstLineChars="0" w:firstLine="0" w:leftChars="200"/>
      </w:pPr>
      <w:hyperlink w:anchor="Top_of_ch08_xhtml">
        <w:r>
          <w:rPr>
            <w:color w:val="0000FF" w:themeColor="hyperlink"/>
            <w:u w:val="single"/>
          </w:rPr>
          <w:t>Cách các cặp đôi sự nghiệp kép (dual-career couples) khiến mọi thứ suôn sẻ</w:t>
        </w:r>
      </w:hyperlink>
    </w:p>
    <w:p>
      <w:pPr>
        <w:pStyle w:val="Normal"/>
        <w:ind w:left="0" w:firstLineChars="0" w:firstLine="0" w:leftChars="200"/>
      </w:pPr>
      <w:hyperlink w:anchor="Top_of_ch09_xhtml">
        <w:r>
          <w:rPr>
            <w:color w:val="0000FF" w:themeColor="hyperlink"/>
            <w:u w:val="single"/>
          </w:rPr>
          <w:t>Nuôi dưỡng lòng dũng cảm mỗi ngày</w:t>
        </w:r>
      </w:hyperlink>
    </w:p>
    <w:p>
      <w:pPr>
        <w:pStyle w:val="Normal"/>
        <w:ind w:left="0" w:firstLineChars="0" w:firstLine="0" w:leftChars="200"/>
      </w:pPr>
      <w:hyperlink w:anchor="Top_of_ch10_xhtml">
        <w:r>
          <w:rPr>
            <w:color w:val="0000FF" w:themeColor="hyperlink"/>
            <w:u w:val="single"/>
          </w:rPr>
          <w:t>BÀI VIẾT BỔ SUNG Hãy là người bảo vệ chính mình tốt nhất</w:t>
        </w:r>
      </w:hyperlink>
    </w:p>
    <w:p>
      <w:pPr>
        <w:pStyle w:val="Normal"/>
        <w:ind w:left="0" w:firstLineChars="0" w:firstLine="0" w:leftChars="200"/>
      </w:pPr>
      <w:hyperlink w:anchor="Top_of_ch11_xhtml">
        <w:r>
          <w:rPr>
            <w:color w:val="0000FF" w:themeColor="hyperlink"/>
            <w:u w:val="single"/>
          </w:rPr>
          <w:t>Xây dựng sự nghiệp có đạo đức</w:t>
        </w:r>
      </w:hyperlink>
    </w:p>
    <w:p>
      <w:pPr>
        <w:pStyle w:val="Normal"/>
        <w:ind w:left="0" w:firstLineChars="0" w:firstLine="0" w:leftChars="200"/>
      </w:pPr>
      <w:hyperlink w:anchor="Top_of_ch12_xhtml">
        <w:r>
          <w:rPr>
            <w:color w:val="0000FF" w:themeColor="hyperlink"/>
            <w:u w:val="single"/>
          </w:rPr>
          <w:t>BÀI VIẾT SỐ BỔ SUNG Khi nào và cách phản hồi những lời xúc phạm vi tế (microaggressions)</w:t>
        </w:r>
      </w:hyperlink>
    </w:p>
    <w:p>
      <w:pPr>
        <w:pStyle w:val="Normal"/>
        <w:ind w:left="0" w:firstLineChars="0" w:firstLine="0" w:leftChars="200"/>
      </w:pPr>
      <w:hyperlink w:anchor="Top_of_ata_xhtml">
        <w:r>
          <w:rPr>
            <w:color w:val="0000FF" w:themeColor="hyperlink"/>
            <w:u w:val="single"/>
          </w:rPr>
          <w:t>Về các tác giả</w:t>
        </w:r>
      </w:hyperlink>
    </w:p>
    <w:p>
      <w:pPr>
        <w:pStyle w:val="Normal"/>
        <w:ind w:left="0" w:firstLineChars="0" w:firstLine="0" w:leftChars="200"/>
      </w:pPr>
      <w:hyperlink w:anchor="Top_of_index_xhtml">
        <w:r>
          <w:rPr>
            <w:color w:val="0000FF" w:themeColor="hyperlink"/>
            <w:u w:val="single"/>
          </w:rPr>
          <w:t>Mục lục</w:t>
        </w:r>
      </w:hyperlink>
      <w:r>
        <w:fldChar w:fldCharType="end"/>
      </w:r>
    </w:p>
    <w:p>
      <w:bookmarkStart w:id="1" w:name="HBR_s_10_Must_Reads_on_Managing"/>
      <w:bookmarkStart w:id="2" w:name="con"/>
      <w:pPr>
        <w:pStyle w:val="Para 091"/>
        <w:pageBreakBefore w:val="on"/>
      </w:pPr>
      <w:r>
        <w:t/>
      </w:r>
      <w:bookmarkEnd w:id="1"/>
      <w:bookmarkEnd w:id="2"/>
    </w:p>
    <w:p>
      <w:pPr>
        <w:pStyle w:val="Para 092"/>
      </w:pPr>
      <w:r>
        <w:t>Bộ sưu tập 2 tập HBR’s 10 Must Reads về Quản lý Bản thân</w:t>
      </w:r>
    </w:p>
    <w:p>
      <w:pPr>
        <w:pStyle w:val="Para 093"/>
      </w:pPr>
      <w:r>
        <w:t>Mục lục</w:t>
      </w:r>
    </w:p>
    <w:p>
      <w:pPr>
        <w:pStyle w:val="Para 091"/>
      </w:pPr>
      <w:r>
        <w:t/>
      </w:r>
    </w:p>
    <w:p>
      <w:pPr>
        <w:pStyle w:val="Para 075"/>
      </w:pPr>
      <w:r>
        <w:t>HBR’s 10 Must Reads về Quản lý Bản thân</w:t>
      </w:r>
    </w:p>
    <w:p>
      <w:pPr>
        <w:pStyle w:val="Para 075"/>
      </w:pPr>
      <w:r>
        <w:t>HBR’s 10 Must Reads về Quản lý Bản thân, Tập 2</w:t>
      </w:r>
    </w:p>
    <w:p>
      <w:pPr>
        <w:pStyle w:val="Para 091"/>
      </w:pPr>
      <w:r>
        <w:t/>
      </w:r>
    </w:p>
    <w:p>
      <w:pPr>
        <w:pStyle w:val="Para 091"/>
      </w:pPr>
      <w:r>
        <w:t/>
      </w:r>
    </w:p>
    <w:p>
      <w:pPr>
        <w:pStyle w:val="Para 091"/>
      </w:pPr>
      <w:r>
        <w:t>Harvard Business Review Press Boston, Massachusetts</w:t>
        <w:br w:clear="none"/>
        <w:t/>
      </w:r>
    </w:p>
    <w:p>
      <w:bookmarkStart w:id="3" w:name="sbo_rt_content"/>
      <w:bookmarkStart w:id="4" w:name="Top_of_00_Cover_xhtml"/>
      <w:pPr>
        <w:pStyle w:val="Para 076"/>
        <w:pageBreakBefore w:val="on"/>
      </w:pPr>
      <w:r>
        <w:t/>
        <w:bookmarkStart w:id="5" w:name="cover"/>
        <w:t/>
        <w:bookmarkEnd w:id="5"/>
        <w:t xml:space="preserve"> </w:t>
        <w:drawing>
          <wp:inline>
            <wp:extent cx="5486400" cy="8229600"/>
            <wp:effectExtent l="0" r="0" t="0" b="0"/>
            <wp:docPr id="1" name="cover.jpg" descr="cover.jpg"/>
            <wp:cNvGraphicFramePr>
              <a:graphicFrameLocks noChangeAspect="1"/>
            </wp:cNvGraphicFramePr>
            <a:graphic>
              <a:graphicData uri="http://schemas.openxmlformats.org/drawingml/2006/picture">
                <pic:pic>
                  <pic:nvPicPr>
                    <pic:cNvPr id="0" name="cover.jpg" descr="cover.jpg"/>
                    <pic:cNvPicPr/>
                  </pic:nvPicPr>
                  <pic:blipFill>
                    <a:blip r:embed="rId5"/>
                    <a:stretch>
                      <a:fillRect/>
                    </a:stretch>
                  </pic:blipFill>
                  <pic:spPr>
                    <a:xfrm>
                      <a:off x="0" y="0"/>
                      <a:ext cx="5486400" cy="8229600"/>
                    </a:xfrm>
                    <a:prstGeom prst="rect">
                      <a:avLst/>
                    </a:prstGeom>
                  </pic:spPr>
                </pic:pic>
              </a:graphicData>
            </a:graphic>
          </wp:inline>
        </w:drawing>
        <w:t xml:space="preserve"> </w:t>
      </w:r>
      <w:bookmarkEnd w:id="3"/>
      <w:bookmarkEnd w:id="4"/>
    </w:p>
    <w:p>
      <w:bookmarkStart w:id="6" w:name="On_Managing_Yourself_HARVARD_BUS"/>
      <w:bookmarkStart w:id="7" w:name="Top_of_01_Title_Pa_xhtml"/>
      <w:pPr>
        <w:pStyle w:val="Para 094"/>
        <w:pageBreakBefore w:val="on"/>
      </w:pPr>
      <w:r>
        <w:bookmarkStart w:id="8" w:name="page_iii"/>
        <w:t/>
        <w:bookmarkEnd w:id="8"/>
        <w:drawing>
          <wp:inline>
            <wp:extent cx="3657600" cy="2146300"/>
            <wp:effectExtent l="0" r="0" t="0" b="0"/>
            <wp:docPr id="2" name="title.png" descr="title.png"/>
            <wp:cNvGraphicFramePr>
              <a:graphicFrameLocks noChangeAspect="1"/>
            </wp:cNvGraphicFramePr>
            <a:graphic>
              <a:graphicData uri="http://schemas.openxmlformats.org/drawingml/2006/picture">
                <pic:pic>
                  <pic:nvPicPr>
                    <pic:cNvPr id="0" name="title.png" descr="title.png"/>
                    <pic:cNvPicPr/>
                  </pic:nvPicPr>
                  <pic:blipFill>
                    <a:blip r:embed="rId6"/>
                    <a:stretch>
                      <a:fillRect/>
                    </a:stretch>
                  </pic:blipFill>
                  <pic:spPr>
                    <a:xfrm>
                      <a:off x="0" y="0"/>
                      <a:ext cx="3657600" cy="2146300"/>
                    </a:xfrm>
                    <a:prstGeom prst="rect">
                      <a:avLst/>
                    </a:prstGeom>
                  </pic:spPr>
                </pic:pic>
              </a:graphicData>
            </a:graphic>
          </wp:inline>
        </w:drawing>
      </w:r>
      <w:bookmarkEnd w:id="6"/>
      <w:bookmarkEnd w:id="7"/>
    </w:p>
    <w:p>
      <w:pPr>
        <w:pStyle w:val="Para 095"/>
      </w:pPr>
      <w:r>
        <w:rPr>
          <w:rStyle w:val="Text2"/>
        </w:rPr>
        <w:t>Về việc Quản lý Bản thân</w:t>
        <w:br w:clear="none"/>
        <w:t xml:space="preserve"/>
      </w:r>
      <w:r>
        <w:t/>
        <w:br w:clear="none"/>
        <w:t xml:space="preserve"/>
      </w:r>
    </w:p>
    <w:p>
      <w:pPr>
        <w:pStyle w:val="Para 096"/>
      </w:pPr>
      <w:r>
        <w:t>HARVARD BUSINESS REVIEW PRESS</w:t>
      </w:r>
    </w:p>
    <w:p>
      <w:pPr>
        <w:pStyle w:val="Para 097"/>
      </w:pPr>
      <w:r>
        <w:t>Boston, Massachusetts</w:t>
      </w:r>
    </w:p>
    <w:p>
      <w:bookmarkStart w:id="9" w:name="Find_more_digital_content_or_joi"/>
      <w:bookmarkStart w:id="10" w:name="Top_of_02_Copyrigh_xhtml"/>
      <w:pPr>
        <w:pStyle w:val="Para 060"/>
        <w:pageBreakBefore w:val="on"/>
      </w:pPr>
      <w:r>
        <w:bookmarkStart w:id="11" w:name="Find"/>
        <w:t>Tìm thêm nội dung số hoặc tham gia thảo luận tại www.hbr.org.</w:t>
        <w:bookmarkEnd w:id="11"/>
        <w:t xml:space="preserve"/>
      </w:r>
      <w:hyperlink r:id="rId32">
        <w:r>
          <w:rPr>
            <w:rStyle w:val="Text1"/>
          </w:rPr>
          <w:t/>
        </w:r>
      </w:hyperlink>
      <w:r>
        <w:t/>
      </w:r>
      <w:bookmarkEnd w:id="9"/>
      <w:bookmarkEnd w:id="10"/>
    </w:p>
    <w:p>
      <w:pPr>
        <w:pStyle w:val="Para 060"/>
      </w:pPr>
      <w:r>
        <w:t>Các địa chỉ web được tham chiếu và liên kết trong cuốn sách này đều hoạt động và chính xác tại thời điểm xuất bản nhưng có thể thay đổi.</w:t>
      </w:r>
    </w:p>
    <w:p>
      <w:pPr>
        <w:pStyle w:val="Para 060"/>
      </w:pPr>
      <w:r>
        <w:t>Các địa chỉ web được tham chiếu và liên kết trong cuốn sách này đều hoạt động và chính xác tại thời điểm xuất bản nhưng có thể thay đổi.</w:t>
      </w:r>
    </w:p>
    <w:p>
      <w:pPr>
        <w:pStyle w:val="Normal"/>
      </w:pPr>
      <w:r>
        <w:t>Bản quyền 2010 Harvard Business School Publishing Corporation</w:t>
      </w:r>
    </w:p>
    <w:p>
      <w:pPr>
        <w:pStyle w:val="Para 060"/>
      </w:pPr>
      <w:r>
        <w:t>Bảo lưu mọi quyền</w:t>
      </w:r>
    </w:p>
    <w:p>
      <w:pPr>
        <w:pStyle w:val="Para 060"/>
      </w:pPr>
      <w:r>
        <w:t xml:space="preserve">Không phần nào của ấn phẩm này được phép sao chép, lưu trữ hoặc đưa vào hệ thống truy xuất, hoặc truyền tải dưới bất kỳ hình thức nào, bằng bất kỳ phương tiện nào (điện tử, cơ học, sao chụp, ghi âm, hoặc cách khác), nếu không có sự cho phép trước của nhà xuất bản. Các yêu cầu xin phép xin gửi tới permissions@hbsp.harvard.edu, hoặc gửi thư tới Permissions, Harvard Business School Publishing, 60 Harvard Way, Boston, Massachusetts 02163.</w:t>
      </w:r>
      <w:r>
        <w:rPr>
          <w:rStyle w:val="Text1"/>
        </w:rPr>
        <w:t/>
      </w:r>
      <w:r>
        <w:t/>
      </w:r>
    </w:p>
    <w:p>
      <w:pPr>
        <w:pStyle w:val="Normal"/>
      </w:pPr>
      <w:r>
        <w:t>Thông tin biên mục của Thư viện Quốc hội sắp được công bố</w:t>
      </w:r>
    </w:p>
    <w:p>
      <w:pPr>
        <w:pStyle w:val="Normal"/>
      </w:pPr>
      <w:r>
        <w:t>ISBN 978-1-4221-5799-2</w:t>
      </w:r>
    </w:p>
    <w:p>
      <w:pPr>
        <w:pStyle w:val="Para 098"/>
      </w:pPr>
      <w:r>
        <w:t>eISBN: 978-1-4221-7203-2</w:t>
      </w:r>
    </w:p>
    <w:p>
      <w:bookmarkStart w:id="12" w:name="Contents_BONUS_ARTICLE_How_Will"/>
      <w:bookmarkStart w:id="13" w:name="Top_of_03_Contents_xhtml"/>
      <w:pPr>
        <w:pStyle w:val="Para 025"/>
        <w:pageBreakBefore w:val="on"/>
      </w:pPr>
      <w:r>
        <w:bookmarkStart w:id="14" w:name="Contents"/>
        <w:t>Mục lục</w:t>
        <w:bookmarkEnd w:id="14"/>
      </w:r>
      <w:bookmarkEnd w:id="12"/>
      <w:bookmarkEnd w:id="13"/>
    </w:p>
    <w:p>
      <w:pPr>
        <w:pStyle w:val="Para 041"/>
      </w:pPr>
      <w:hyperlink w:anchor="How">
        <w:r>
          <w:t>BÀI VIẾT BỔ SUNG</w:t>
        </w:r>
      </w:hyperlink>
    </w:p>
    <w:p>
      <w:pPr>
        <w:pStyle w:val="Para 099"/>
      </w:pPr>
      <w:hyperlink w:anchor="How">
        <w:r>
          <w:t>Bạn sẽ đo lường cuộc đời mình như thế nào?</w:t>
        </w:r>
      </w:hyperlink>
    </w:p>
    <w:p>
      <w:pPr>
        <w:pStyle w:val="Para 042"/>
      </w:pPr>
      <w:r>
        <w:t>Clayton M. Christensen, Người đoạt giải McKinsey 2010</w:t>
      </w:r>
    </w:p>
    <w:p>
      <w:pPr>
        <w:pStyle w:val="Para 041"/>
      </w:pPr>
      <w:hyperlink w:anchor="Managing">
        <w:r>
          <w:t>Quản lý bản thân</w:t>
        </w:r>
      </w:hyperlink>
    </w:p>
    <w:p>
      <w:pPr>
        <w:pStyle w:val="Para 042"/>
      </w:pPr>
      <w:r>
        <w:t>Peter F. Drucker</w:t>
      </w:r>
    </w:p>
    <w:p>
      <w:pPr>
        <w:pStyle w:val="Para 041"/>
      </w:pPr>
      <w:hyperlink w:anchor="Management">
        <w:r>
          <w:t>Thời gian quản lý: Ai đang giữ con khỉ?</w:t>
        </w:r>
      </w:hyperlink>
    </w:p>
    <w:p>
      <w:pPr>
        <w:pStyle w:val="Para 042"/>
      </w:pPr>
      <w:r>
        <w:t>William Oncken, Jr., và Donald L. Wass</w:t>
      </w:r>
    </w:p>
    <w:p>
      <w:pPr>
        <w:pStyle w:val="Para 041"/>
      </w:pPr>
      <w:hyperlink w:anchor="How_1">
        <w:r>
          <w:t>Sức bật tinh thần vận hành thế nào</w:t>
        </w:r>
      </w:hyperlink>
    </w:p>
    <w:p>
      <w:pPr>
        <w:pStyle w:val="Para 042"/>
      </w:pPr>
      <w:r>
        <w:t>Diane L. Coutu</w:t>
      </w:r>
    </w:p>
    <w:p>
      <w:pPr>
        <w:pStyle w:val="Para 041"/>
      </w:pPr>
      <w:hyperlink w:anchor="Manage">
        <w:r>
          <w:t>Quản lý năng lượng, đừng quản lý thời gian</w:t>
        </w:r>
      </w:hyperlink>
    </w:p>
    <w:p>
      <w:pPr>
        <w:pStyle w:val="Para 042"/>
      </w:pPr>
      <w:r>
        <w:t>Tony Schwartz và Catherine McCarthy</w:t>
      </w:r>
    </w:p>
    <w:p>
      <w:pPr>
        <w:pStyle w:val="Para 041"/>
      </w:pPr>
      <w:hyperlink w:anchor="Overloaded">
        <w:r>
          <w:t>Mạch não quá tải</w:t>
        </w:r>
      </w:hyperlink>
    </w:p>
    <w:p>
      <w:pPr>
        <w:pStyle w:val="Para 042"/>
      </w:pPr>
      <w:r>
        <w:t>Edward M. Hallowell</w:t>
      </w:r>
    </w:p>
    <w:p>
      <w:pPr>
        <w:pStyle w:val="Para 041"/>
      </w:pPr>
      <w:hyperlink w:anchor="Be">
        <w:r>
          <w:t>Làm lãnh đạo giỏi hơn, sống đời phong phú hơn</w:t>
        </w:r>
      </w:hyperlink>
    </w:p>
    <w:p>
      <w:pPr>
        <w:pStyle w:val="Para 042"/>
      </w:pPr>
      <w:r>
        <w:t>Stewart D. Friedman</w:t>
      </w:r>
    </w:p>
    <w:p>
      <w:pPr>
        <w:pStyle w:val="Para 041"/>
      </w:pPr>
      <w:hyperlink w:anchor="Reclaim">
        <w:r>
          <w:t>Giành lại công việc của bạn</w:t>
        </w:r>
      </w:hyperlink>
    </w:p>
    <w:p>
      <w:pPr>
        <w:pStyle w:val="Para 042"/>
      </w:pPr>
      <w:r>
        <w:t>Sumantra Ghoshal và Heike Bruch</w:t>
      </w:r>
    </w:p>
    <w:p>
      <w:pPr>
        <w:pStyle w:val="Para 041"/>
      </w:pPr>
      <w:hyperlink w:anchor="Moments">
        <w:r>
          <w:t>Khoảnh khắc xuất thần: Bước vào trạng thái lãnh đạo cốt lõi</w:t>
        </w:r>
      </w:hyperlink>
    </w:p>
    <w:p>
      <w:pPr>
        <w:pStyle w:val="Para 042"/>
      </w:pPr>
      <w:r>
        <w:t>Robert E. Quinn</w:t>
      </w:r>
    </w:p>
    <w:p>
      <w:pPr>
        <w:pStyle w:val="Para 041"/>
      </w:pPr>
      <w:hyperlink w:anchor="What">
        <w:r>
          <w:t>Nên hỏi gì người trong gương</w:t>
        </w:r>
      </w:hyperlink>
    </w:p>
    <w:p>
      <w:pPr>
        <w:pStyle w:val="Para 042"/>
      </w:pPr>
      <w:r>
        <w:t>Robert S. Kaplan</w:t>
      </w:r>
    </w:p>
    <w:p>
      <w:pPr>
        <w:pStyle w:val="Para 041"/>
      </w:pPr>
      <w:hyperlink w:anchor="Primal">
        <w:r>
          <w:t>Lãnh đạo bằng cảm xúc: Động lực ngầm tạo nên hiệu suất vượt trội</w:t>
        </w:r>
      </w:hyperlink>
    </w:p>
    <w:p>
      <w:pPr>
        <w:pStyle w:val="Para 042"/>
      </w:pPr>
      <w:r>
        <w:t>Daniel Goleman, Richard Boyatzis, và Annie McKee</w:t>
      </w:r>
    </w:p>
    <w:p>
      <w:pPr>
        <w:pStyle w:val="Para 100"/>
      </w:pPr>
      <w:hyperlink w:anchor="About">
        <w:r>
          <w:t>Về các tác giả</w:t>
        </w:r>
      </w:hyperlink>
    </w:p>
    <w:p>
      <w:pPr>
        <w:pStyle w:val="Para 101"/>
      </w:pPr>
      <w:hyperlink w:anchor="Index">
        <w:r>
          <w:t>Mục lục</w:t>
        </w:r>
      </w:hyperlink>
    </w:p>
    <w:p>
      <w:bookmarkStart w:id="15" w:name="Top_of_05_How_Will_xhtml"/>
      <w:bookmarkStart w:id="16" w:name="How_Will_You_Measure_Your_Life"/>
      <w:pPr>
        <w:pStyle w:val="Para 043"/>
        <w:pageBreakBefore w:val="on"/>
      </w:pPr>
      <w:r>
        <w:bookmarkStart w:id="17" w:name="How"/>
        <w:t>Bạn sẽ đo lường cuộc đời mình như thế nào?</w:t>
        <w:bookmarkEnd w:id="17"/>
        <w:t xml:space="preserve"/>
      </w:r>
      <w:bookmarkEnd w:id="15"/>
      <w:bookmarkEnd w:id="16"/>
    </w:p>
    <w:p>
      <w:pPr>
        <w:pStyle w:val="Para 045"/>
      </w:pPr>
      <w:r>
        <w:t>của Clayton M. Christensen</w:t>
      </w:r>
    </w:p>
    <w:p>
      <w:pPr>
        <w:pStyle w:val="Normal"/>
      </w:pPr>
      <w:r>
        <w:rPr>
          <w:rStyle w:val="Text4"/>
        </w:rPr>
        <w:t>TRƯỚC KHI XUẤT BẢN cuốn The Innovator’s Dilemma, tôi nhận được cuộc gọi từ Andrew Grove, lúc đó là chủ tịch của Intel. Ông đã đọc một bài nghiên cứu đầu tay của tôi về công nghệ đột phá (disruptive technology), và hỏi liệu tôi có thể nói chuyện với đội ngũ báo cáo trực tiếp của ông để giải thích nghiên cứu của mình và ý nghĩa của nó đối với Intel hay không. Háo hức, tôi bay đến Silicon Valley và có mặt đúng giờ hẹn, chỉ để nghe Grove nói: “Nghe này, có chuyện phát sinh rồi. Chúng tôi chỉ có 10 phút cho anh thôi. Hãy nói cho chúng tôi biết mô hình đột phá của anh có ý nghĩa gì với Intel.” Tôi nói rằng tôi không thể—rằng tôi cần đủ 30 phút để giải thích mô hình, bởi vì chỉ khi có nó làm bối cảnh thì mọi nhận xét về Intel mới có ý nghĩa. Mười phút sau khi tôi bắt đầu giải thích, Grove ngắt lời: “Nghe này, tôi nắm được mô hình của anh rồi. Chỉ cần cho chúng tôi biết nó có ý nghĩa gì với Intel thôi.”</w:t>
      </w:r>
      <w:r>
        <w:t xml:space="preserve"/>
      </w:r>
      <w:r>
        <w:rPr>
          <w:rStyle w:val="Text0"/>
        </w:rPr>
        <w:t/>
      </w:r>
      <w:r>
        <w:t/>
      </w:r>
    </w:p>
    <w:p>
      <w:pPr>
        <w:pStyle w:val="Normal"/>
      </w:pPr>
      <w:r>
        <w:t xml:space="preserve">Tôi khăng khăng rằng mình cần thêm 10 phút nữa để mô tả cách quá trình đột phá đã vận hành trong một ngành công nghiệp rất khác, ngành thép, để ông và đội ngũ của mình có thể hiểu cách đột phá diễn ra. Tôi kể câu chuyện về việc Nucor và các nhà máy thép mini khác đã bắt đầu bằng cách tấn công phân khúc thấp nhất của thị trường—thép thanh gia cố, hay còn gọi là thép cây—và sau đó tiến dần lên phân khúc cao cấp, cắt giảm giá so với các nhà máy thép truyền thống.</w:t>
        <w:bookmarkStart w:id="18" w:name="moved"/>
        <w:t/>
        <w:bookmarkEnd w:id="18"/>
        <w:t xml:space="preserve"/>
      </w:r>
    </w:p>
    <w:p>
      <w:pPr>
        <w:pStyle w:val="Normal"/>
      </w:pPr>
      <w:r>
        <w:t>Khi tôi kể xong câu chuyện về nhà máy thép mini, Grove nói: “Được rồi, tôi hiểu rồi. Điều đó có nghĩa với Intel là…” rồi tiếp tục trình bày rõ ràng điều sẽ trở thành chiến lược của công ty nhằm đi xuống phân khúc thấp của thị trường để tung ra bộ vi xử lý Celeron.</w:t>
      </w:r>
    </w:p>
    <w:p>
      <w:pPr>
        <w:pStyle w:val="Normal"/>
      </w:pPr>
      <w:r>
        <w:t>Tôi đã nghĩ về điều đó hàng triệu lần kể từ đó. Nếu tôi bị dụ để nói cho Andy Grove biết ông nên nghĩ gì về mảng kinh doanh vi xử lý, tôi đã bị loại bỏ rồi. Nhưng thay vì nói cho ông biết phải nghĩ gì, tôi đã dạy ông cách tư duy—và rồi ông tự mình đi đến quyết định mà tôi cảm thấy là đúng đắn.</w:t>
      </w:r>
    </w:p>
    <w:p>
      <w:pPr>
        <w:pStyle w:val="Normal"/>
      </w:pPr>
      <w:r>
        <w:t>Trải nghiệm đó đã ảnh hưởng sâu sắc đến tôi. Khi mọi người hỏi tôi nghĩ họ nên làm gì, tôi hiếm khi trả lời trực tiếp câu hỏi của họ. Thay vào đó, tôi chạy câu hỏi đó qua một trong những mô hình của mình. Tôi sẽ mô tả cách quy trình trong mô hình đã vận hành trong một ngành công nghiệp khá khác so với ngành của họ. Và rồi, thường thì họ sẽ nói: “Được rồi, tôi hiểu rồi.” Và họ sẽ tự trả lời câu hỏi của mình một cách sâu sắc hơn tôi có thể.</w:t>
      </w:r>
    </w:p>
    <w:p>
      <w:pPr>
        <w:pStyle w:val="Normal"/>
      </w:pPr>
      <w:r>
        <w:t>Lớp học của tôi tại HBS được thiết kế để giúp sinh viên hiểu lý thuyết quản trị tốt là gì và nó được xây dựng như thế nào. Trên khung xương đó, tôi gắn các mô hình hoặc lý thuyết khác nhau giúp sinh viên suy nghĩ về các khía cạnh khác nhau trong công việc của một nhà quản lý tổng quát nhằm kích thích đổi mới và tăng trưởng. Trong mỗi buổi học, chúng tôi nhìn vào một công ty qua lăng kính của những lý thuyết đó—dùng chúng để giải thích cách công ty rơi vào tình huống hiện tại và xem xét những hành động quản trị nào sẽ mang lại kết quả cần thiết.</w:t>
      </w:r>
    </w:p>
    <w:p>
      <w:pPr>
        <w:pStyle w:val="Normal"/>
      </w:pPr>
      <w:r>
        <w:t>Vào ngày cuối cùng của khóa học, tôi yêu cầu sinh viên xoay những lăng kính lý thuyết đó vào chính bản thân họ, để tìm câu trả lời thuyết phục cho ba câu hỏi: Thứ nhất, làm sao tôi có thể chắc chắn rằng mình sẽ hạnh phúc trong sự nghiệp? Thứ hai, làm sao tôi có thể chắc chắn rằng mối quan hệ của tôi với vợ/chồng và gia đình sẽ trở thành nguồn hạnh phúc bền vững? Thứ ba, làm sao tôi có thể chắc chắn mình sẽ không phải vào tù? Dù câu hỏi cuối nghe có vẻ đùa cợt, nhưng không phải vậy. Hai trong số 32 người trong lớp học bổng Rhodes của tôi đã từng ngồi tù. Jeff Skilling nổi tiếng của Enron là bạn cùng lớp với tôi tại HBS. Họ đều là những người tốt—nhưng có điều gì đó trong cuộc sống đã đẩy họ đi sai hướng.</w:t>
      </w:r>
    </w:p>
    <w:p>
      <w:pPr>
        <w:pStyle w:val="Para 025"/>
      </w:pPr>
      <w:r>
        <w:bookmarkStart w:id="19" w:name="Idea"/>
        <w:t>Ý tưởng ngắn gọn</w:t>
        <w:bookmarkEnd w:id="19"/>
        <w:t xml:space="preserve"/>
      </w:r>
    </w:p>
    <w:p>
      <w:pPr>
        <w:pStyle w:val="Para 005"/>
      </w:pPr>
      <w:r>
        <w:t>Christensen của Harvard Business School dạy các MBA tương lai cách áp dụng các lý thuyết quản trị và đổi mới để xây dựng công ty vững mạnh hơn. Nhưng ông cũng tin rằng những mô hình này có thể giúp con người sống tốt hơn. Trong bài viết này, ông giải thích cách thực hiện, khám phá những câu hỏi mà ai cũng cần tự hỏi. Làm sao để tôi hạnh phúc trong sự nghiệp? Làm sao để tôi chắc chắn rằng mối quan hệ với gia đình là nguồn hạnh phúc bền vững? Và làm sao để tôi sống một cuộc đời chính trực? Câu trả lời cho câu hỏi đầu tiên đến từ khẳng định của Frederick Herzberg rằng động lực mạnh mẽ nhất không phải là tiền; đó là cơ hội được học hỏi, phát triển trách nhiệm, đóng góp và được công nhận. Đó là lý do vì sao quản trị, nếu được thực hành tốt, có thể là nghề cao quý nhất; không nghề nào khác mang lại nhiều cách để giúp con người tìm thấy những cơ hội đó. Nó không phải là chuyện mua, bán và đầu tư vào công ty như nhiều người nghĩ. Các nguyên tắc phân bổ nguồn lực có thể giúp con người đạt được hạnh phúc trong gia đình. Nếu không được quản lý khéo léo, những gì nảy sinh từ quá trình phân bổ nguồn lực của một công ty có thể rất khác so với chiến lược mà ban quản trị định theo đuổi. Điều đó cũng đúng trong cuộc sống: Nếu bạn không được dẫn dắt bởi một mục đích rõ ràng, bạn có thể lãng phí thời gian và năng lượng vào việc đạt được những dấu hiệu thành công hữu hình, ngắn hạn nhất, chứ không phải điều thực sự quan trọng với bạn. Và cũng giống như việc tập trung vào chi phí biên (marginal costs) có thể gây ra những quyết định tồi tệ cho công ty, nó có thể khiến con người lạc lối. Chi phí biên của việc làm điều gì đó sai trái “chỉ một lần này thôi” luôn có vẻ thấp đến mức hấp dẫn. Bạn không nhìn thấy kết cục cuối cùng mà con đường đó dẫn tới. Điều quan trọng là xác định điều bạn đại diện và vạch ranh giới ở một nơi an toàn.</w:t>
      </w:r>
    </w:p>
    <w:p>
      <w:pPr>
        <w:pStyle w:val="Normal"/>
      </w:pPr>
      <w:r>
        <w:t>Khi các sinh viên thảo luận về câu trả lời cho những câu hỏi này, tôi mở lòng chia sẻ cuộc đời mình với họ như một dạng nghiên cứu tình huống, để minh họa cách họ có thể dùng các lý thuyết từ khóa học của chúng tôi để định hướng các quyết định trong cuộc sống.</w:t>
      </w:r>
    </w:p>
    <w:p>
      <w:pPr>
        <w:pStyle w:val="Normal"/>
      </w:pPr>
      <w:r>
        <w:t xml:space="preserve">Một trong những lý thuyết mang lại hiểu biết sâu sắc cho câu hỏi đầu tiên—làm sao để chắc chắn chúng ta tìm thấy hạnh phúc trong sự nghiệp—đến từ Frederick Herzberg, người khẳng định rằng động lực mạnh mẽ trong cuộc sống của chúng ta không phải là tiền; đó là cơ hội được học hỏi, phát triển trách nhiệm, đóng góp cho người khác và được công nhận vì thành tích. Tôi kể cho sinh viên về một hình dung nào đó tôi từng có khi đang điều hành công ty mình sáng lập trước khi trở thành học giả. Trong tâm trí tôi thấy một người quản lý của mình rời nhà đi làm vào một buổi sáng với mức độ tự trọng tương đối cao. Rồi tôi hình dung cô ấy lái xe về nhà với gia đình 10 tiếng sau đó, cảm thấy không được trân trọng, bực bội, không được sử dụng đúng năng lực và bị hạ thấp. Tôi tưởng tượng mức độ tự trọng giảm sút sâu sắc ấy ảnh hưởng thế nào đến cách cô ấy tương tác với con cái. Hình dung trong đầu tôi rồi tua nhanh đến một ngày khác, khi cô ấy lái xe về nhà với lòng tự trọng cao hơn—cảm thấy mình đã học được nhiều, được công nhận vì đạt được những điều giá trị và đóng vai trò quan trọng trong thành công của một số sáng kiến quan trọng. Rồi tôi tưởng tượng điều đó ảnh hưởng tích cực thế nào đến cô ấy trong vai trò người vợ và người mẹ. Kết luận của tôi: Quản trị là nghề cao quý nhất nếu được thực hành tốt. Không nghề nào khác mang lại nhiều cách để giúp người khác học hỏi và phát triển, nhận trách nhiệm và được công nhận vì thành tích, và đóng góp vào thành công của một đội nhóm. Ngày càng nhiều sinh viên MBA đến trường với suy nghĩ rằng sự nghiệp kinh doanh nghĩa là mua, bán và đầu tư vào các công ty. Điều đó thật đáng tiếc. Làm các thương vụ không mang lại phần thưởng sâu sắc như việc vun đắp con người.</w:t>
        <w:bookmarkStart w:id="20" w:name="level"/>
        <w:t/>
        <w:bookmarkEnd w:id="20"/>
        <w:t xml:space="preserve"/>
      </w:r>
    </w:p>
    <w:p>
      <w:pPr>
        <w:pStyle w:val="Normal"/>
      </w:pPr>
      <w:r>
        <w:t>Tôi muốn sinh viên rời lớp học của mình với hiểu biết đó.</w:t>
      </w:r>
    </w:p>
    <w:p>
      <w:pPr>
        <w:pStyle w:val="Heading 1"/>
      </w:pPr>
      <w:r>
        <w:t>Tạo ra chiến lược cho cuộc đời bạn</w:t>
      </w:r>
    </w:p>
    <w:p>
      <w:pPr>
        <w:pStyle w:val="Normal"/>
      </w:pPr>
      <w:r>
        <w:t>Một lý thuyết hữu ích để trả lời câu hỏi thứ hai—Làm sao để tôi đảm bảo rằng mối quan hệ với gia đình sẽ là nguồn hạnh phúc bền vững?—liên quan đến cách chiến lược được định nghĩa và thực thi. Hiểu biết cốt lõi của nó là chiến lược của một công ty được quyết định bởi các loại sáng kiến mà ban quản trị đầu tư vào. Nếu quá trình phân bổ nguồn lực của một công ty không được quản lý khéo léo, những gì nảy sinh từ đó có thể rất khác so với điều ban quản trị dự định. Vì hệ thống ra quyết định của công ty được thiết kế để hướng các khoản đầu tư vào những sáng kiến mang lại lợi nhuận hữu hình và tức thời nhất, các công ty thường đầu tư thiếu cho những sáng kiến quan trọng đối với chiến lược dài hạn của họ.</w:t>
      </w:r>
    </w:p>
    <w:p>
      <w:pPr>
        <w:pStyle w:val="Normal"/>
      </w:pPr>
      <w:r>
        <w:t xml:space="preserve">Qua nhiều năm tôi đã chứng kiến số phận của các bạn học HBS khóa 1979 dần hé lộ; tôi thấy ngày càng nhiều người trong số họ đến các buổi họp lớp trong trạng thái bất hạnh, ly hôn và xa cách con cái. Tôi có thể đảm bảo với bạn rằng không một ai trong số họ tốt nghiệp với chiến lược cố ý là ly hôn và nuôi dạy những đứa con sẽ trở nên ghẻ lạnh với họ. Thế nhưng một con số đáng kinh ngạc trong số họ đã thực thi chiến lược đó. Lý do? Họ đã không giữ mục đích sống của mình ở vị trí trung tâm khi quyết định cách tiêu tốn thời gian, tài năng và năng lượng của mình.</w:t>
        <w:bookmarkStart w:id="21" w:name="estranged"/>
        <w:t/>
        <w:bookmarkEnd w:id="21"/>
        <w:t xml:space="preserve"/>
      </w:r>
    </w:p>
    <w:p>
      <w:pPr>
        <w:pStyle w:val="Normal"/>
      </w:pPr>
      <w:r>
        <w:t>Thật đáng ngạc nhiên khi một phần đáng kể trong số 900 sinh viên mà HBS tuyển mỗi năm từ những người giỏi nhất thế giới lại ít suy nghĩ về mục đích sống của mình. Tôi nói với sinh viên rằng HBS có thể là một trong những cơ hội cuối cùng để họ suy ngẫm sâu sắc về câu hỏi đó. Nếu họ nghĩ rằng sau này họ sẽ có nhiều thời gian và năng lượng hơn để suy ngẫm, thì họ thật điên rồ, vì cuộc sống chỉ ngày càng đòi hỏi nhiều hơn: Bạn gánh một khoản thế chấp nhà; bạn làm việc 70 giờ một tuần; bạn có vợ/chồng và con cái.</w:t>
      </w:r>
    </w:p>
    <w:p>
      <w:pPr>
        <w:pStyle w:val="Normal"/>
      </w:pPr>
      <w:r>
        <w:t>Với tôi, có một mục đích rõ ràng trong cuộc sống là điều thiết yếu. Nhưng đó là điều tôi phải suy nghĩ lâu dài và kỹ lưỡng trước khi hiểu được. Khi còn là học giả Rhodes, tôi theo một chương trình học rất nặng, cố gắng nhồi nhét thêm một năm khối lượng công việc vào thời gian ở Oxford. Tôi quyết định dành một giờ mỗi tối để đọc, suy nghĩ và cầu nguyện về việc vì sao Chúa đặt tôi trên trái đất này. Đó là một cam kết rất khó giữ, vì mỗi giờ tôi dành cho việc đó, tôi không học kinh tế lượng ứng dụng. Tôi đã phân vân liệu mình có thực sự đủ khả năng lấy thời gian đó khỏi việc học hay không, nhưng tôi đã kiên trì—và cuối cùng tìm ra mục đích sống của mình.</w:t>
      </w:r>
    </w:p>
    <w:p>
      <w:pPr>
        <w:pStyle w:val="Normal"/>
      </w:pPr>
      <w:r>
        <w:t>Nếu thay vào đó tôi dành một giờ mỗi ngày để học những kỹ thuật mới nhất nhằm xử lý các vấn đề tự tương quan trong phân tích hồi quy, tôi đã lãng phí cuộc đời mình một cách tồi tệ. Tôi áp dụng các công cụ kinh tế lượng vài lần một năm, nhưng tôi áp dụng hiểu biết về mục đích sống của mình mỗi ngày. Đó là điều hữu ích nhất mà tôi từng học được. Tôi hứa với sinh viên rằng nếu họ dành thời gian để tìm ra mục đích sống của mình, họ sẽ nhìn lại đó như điều quan trọng nhất họ khám phá được ở HBS. Nếu họ không tìm ra, họ sẽ cứ thế trôi đi mà không có bánh lái và bị sóng gió cuộc đời vùi dập. Sự rõ ràng về mục đích sẽ vượt trội hơn kiến thức về kế toán chi phí dựa trên hoạt động (activity-based costing), thẻ điểm cân bằng (balanced scorecards), năng lực cốt lõi (core competence), đổi mới đột phá (disruptive innovation), bốn chữ P và năm lực lượng cạnh tranh.</w:t>
      </w:r>
    </w:p>
    <w:p>
      <w:pPr>
        <w:pStyle w:val="Normal"/>
      </w:pPr>
      <w:r>
        <w:t xml:space="preserve">Mục đích của tôi nảy sinh từ đức tin tôn giáo, nhưng đức tin không phải là thứ duy nhất mang lại cho con người phương hướng. Ví dụ, một cựu sinh viên của tôi quyết định rằng mục đích của anh là mang lại sự trung thực và thịnh vượng kinh tế cho đất nước mình và nuôi dạy những đứa con cam kết mạnh mẽ với sứ mệnh này, và với nhau, như chính anh. Mục đích của anh tập trung vào gia đình và những người khác—giống như của tôi.</w:t>
        <w:bookmarkStart w:id="22" w:name="students"/>
        <w:t/>
        <w:bookmarkEnd w:id="22"/>
        <w:t xml:space="preserve"/>
      </w:r>
    </w:p>
    <w:p>
      <w:pPr>
        <w:pStyle w:val="Normal"/>
      </w:pPr>
      <w:r>
        <w:t>Việc lựa chọn và theo đuổi thành công một nghề nghiệp chỉ là một công cụ để đạt được mục đích của bạn. Nhưng nếu không có mục đích, cuộc sống có thể trở nên trống rỗng.</w:t>
      </w:r>
    </w:p>
    <w:p>
      <w:pPr>
        <w:pStyle w:val="Heading 1"/>
      </w:pPr>
      <w:r>
        <w:t>Phân bổ nguồn lực của bạn</w:t>
      </w:r>
    </w:p>
    <w:p>
      <w:pPr>
        <w:pStyle w:val="Normal"/>
      </w:pPr>
      <w:r>
        <w:t>Những quyết định của bạn về việc phân bổ thời gian, năng lượng và tài năng cá nhân cuối cùng định hình chiến lược cuộc đời bạn.</w:t>
      </w:r>
    </w:p>
    <w:p>
      <w:pPr>
        <w:pStyle w:val="Normal"/>
      </w:pPr>
      <w:r>
        <w:t xml:space="preserve">Tôi có một loạt “doanh nghiệp” cạnh tranh để giành những nguồn lực này: Tôi đang cố gắng có một mối quan hệ tốt đẹp với vợ, nuôi dạy những đứa con tuyệt vời, đóng góp cho cộng đồng, thành công trong sự nghiệp, đóng góp cho nhà thờ của mình, v.v. Và tôi gặp đúng vấn đề mà một tập đoàn gặp phải. Tôi có một lượng thời gian, năng lượng và tài năng hữu hạn. Tôi nên dành bao nhiêu cho mỗi mục tiêu theo đuổi này?</w:t>
        <w:bookmarkStart w:id="23" w:name="to"/>
        <w:t/>
        <w:bookmarkEnd w:id="23"/>
        <w:t xml:space="preserve"/>
      </w:r>
    </w:p>
    <w:p>
      <w:pPr>
        <w:pStyle w:val="Para 049"/>
      </w:pPr>
      <w:r>
        <w:t>Khóa 2010</w:t>
      </w:r>
    </w:p>
    <w:p>
      <w:pPr>
        <w:pStyle w:val="Para 007"/>
      </w:pPr>
      <w:r>
        <w:t>“TÔI ĐẾN TRƯỜNG KINH DOANH với hiểu biết chính xác điều mình muốn làm—và tôi rời đi với lựa chọn hoàn toàn ngược lại. Tôi đã làm việc trong khu vực tư nhân suốt đời, vì mọi người luôn nói với tôi rằng đó là nơi dành cho những người thông minh. Nhưng tôi đã quyết định thử làm trong chính phủ và xem liệu mình có thể tìm thấy nhiều ý nghĩa hơn ở đó không.</w:t>
      </w:r>
      <w:r>
        <w:rPr>
          <w:rStyle w:val="Text2"/>
        </w:rPr>
        <w:t/>
      </w:r>
      <w:r>
        <w:t xml:space="preserve"/>
      </w:r>
    </w:p>
    <w:p>
      <w:pPr>
        <w:pStyle w:val="Para 007"/>
      </w:pPr>
      <w:r>
        <w:t>“Tôi từng nghĩ rằng ngành công nghiệp rất an toàn. Cuộc suy thoái đã cho chúng ta thấy không có gì là an toàn cả.”</w:t>
      </w:r>
    </w:p>
    <w:p>
      <w:pPr>
        <w:pStyle w:val="Para 007"/>
      </w:pPr>
      <w:r>
        <w:rPr>
          <w:rStyle w:val="Text2"/>
        </w:rPr>
        <w:t>Ruhana Hafiz, Harvard Business School, Khóa 2010</w:t>
      </w:r>
      <w:r>
        <w:t xml:space="preserve"/>
      </w:r>
    </w:p>
    <w:p>
      <w:pPr>
        <w:pStyle w:val="Para 064"/>
      </w:pPr>
      <w:r>
        <w:rPr>
          <w:rStyle w:val="Text2"/>
        </w:rPr>
        <w:t>Kế hoạch của cô: Gia nhập FBI với vai trò cố vấn đặc biệt (một vị trí theo lộ trình quản lý)</w:t>
      </w:r>
      <w:r>
        <w:t/>
      </w:r>
    </w:p>
    <w:p>
      <w:pPr>
        <w:pStyle w:val="Para 007"/>
      </w:pPr>
      <w:r>
        <w:t>“Bạn có thể thấy một sự dịch chuyển đang diễn ra ở HBS. Tiền từng là ưu tiên số một trong tìm kiếm việc làm. Khi bạn kiếm được rất nhiều tiền, bạn muốn nhiều hơn nữa. Thật mỉa mai. Bạn bắt đầu quên đi những động lực của hạnh phúc là gì và những điều thực sự quan trọng là gì. Rất nhiều người trong trường giờ nhìn tiền theo cách khác. Họ nghĩ, ‘Mức tối thiểu tôi cần là bao nhiêu, và điều gì khác thúc đẩy cuộc sống của tôi?’ thay vì ‘Đâu là nơi tôi có thể đạt được tối đa cả hai?’”</w:t>
      </w:r>
    </w:p>
    <w:p>
      <w:pPr>
        <w:pStyle w:val="Para 007"/>
      </w:pPr>
      <w:r>
        <w:rPr>
          <w:rStyle w:val="Text2"/>
        </w:rPr>
        <w:t>Patrick Chun, Harvard Business School, Khóa 2010</w:t>
      </w:r>
      <w:r>
        <w:t xml:space="preserve"/>
      </w:r>
    </w:p>
    <w:p>
      <w:pPr>
        <w:pStyle w:val="Para 064"/>
      </w:pPr>
      <w:r>
        <w:rPr>
          <w:rStyle w:val="Text2"/>
        </w:rPr>
        <w:t>Kế hoạch của anh: Gia nhập Bain Capital</w:t>
      </w:r>
      <w:r>
        <w:t/>
      </w:r>
    </w:p>
    <w:p>
      <w:pPr>
        <w:pStyle w:val="Para 007"/>
      </w:pPr>
      <w:r>
        <w:t>“Cuộc khủng hoảng tài chính giúp tôi nhận ra rằng bạn phải làm điều mình thực sự yêu thích trong cuộc sống. Tầm nhìn hiện tại của tôi về thành công dựa trên tác động tôi có thể tạo ra, những trải nghiệm tôi có thể đạt được và hạnh phúc tôi có thể tìm thấy cho riêng mình, hơn nhiều so với việc theo đuổi tiền bạc hay danh vọng. Động lực chính của tôi là (1) được ở bên gia đình và những người tôi quan tâm; (2) làm điều gì đó thú vị, hứng khởi và có tác động; và (3) theo đuổi sự nghiệp dài hạn trong lĩnh vực khởi nghiệp, nơi tôi có thể xây dựng những công ty thay đổi cách thế giới vận hành.”</w:t>
      </w:r>
    </w:p>
    <w:p>
      <w:pPr>
        <w:pStyle w:val="Para 007"/>
      </w:pPr>
      <w:r>
        <w:rPr>
          <w:rStyle w:val="Text2"/>
        </w:rPr>
        <w:t>Matt Salzberg, Harvard Business School, Khóa 2010</w:t>
      </w:r>
      <w:r>
        <w:t xml:space="preserve"/>
      </w:r>
    </w:p>
    <w:p>
      <w:pPr>
        <w:pStyle w:val="Para 064"/>
      </w:pPr>
      <w:r>
        <w:rPr>
          <w:rStyle w:val="Text2"/>
        </w:rPr>
        <w:t>Kế hoạch của anh: Làm việc cho Bessemer Venture Partners</w:t>
      </w:r>
      <w:r>
        <w:t/>
      </w:r>
    </w:p>
    <w:p>
      <w:pPr>
        <w:pStyle w:val="Para 007"/>
      </w:pPr>
      <w:r>
        <w:t>“Vì tôi sẽ quay lại McKinsey, có vẻ như không có nhiều thay đổi đối với tôi. Nhưng khi ở HBS, tôi đã quyết định học chương trình song bằng tại Kennedy School. Với các cuộc bầu cử năm 2008 và nền kinh tế có vẻ bấp bênh, việc hiểu rõ hơn về khu vực công và phi lợi nhuận trở nên hấp dẫn hơn với tôi. Theo một cách nào đó, điều đó đã thúc đẩy tôi quay lại McKinsey, nơi tôi sẽ có khả năng khám phá các khu vực tư nhân, công và phi lợi nhuận.</w:t>
      </w:r>
    </w:p>
    <w:p>
      <w:pPr>
        <w:pStyle w:val="Para 007"/>
      </w:pPr>
      <w:r>
        <w:t>“Cuộc suy thoái đã khiến chúng tôi lùi lại và nhìn nhận mình may mắn thế nào. Khủng hoảng đối với chúng tôi là ‘Liệu chúng ta có việc làm vào tháng Tư không?’ Khủng hoảng đối với nhiều người là ‘Liệu chúng ta có giữ được ngôi nhà của mình không?’”</w:t>
      </w:r>
    </w:p>
    <w:p>
      <w:pPr>
        <w:pStyle w:val="Para 007"/>
      </w:pPr>
      <w:r>
        <w:rPr>
          <w:rStyle w:val="Text2"/>
        </w:rPr>
        <w:t>John Coleman, Harvard Business School, Khóa 2010</w:t>
      </w:r>
      <w:r>
        <w:t xml:space="preserve"/>
      </w:r>
    </w:p>
    <w:p>
      <w:pPr>
        <w:pStyle w:val="Para 064"/>
      </w:pPr>
      <w:r>
        <w:rPr>
          <w:rStyle w:val="Text2"/>
        </w:rPr>
        <w:t>Kế hoạch của ông: Quay lại McKinsey &amp; Company</w:t>
      </w:r>
      <w:r>
        <w:t/>
      </w:r>
    </w:p>
    <w:p>
      <w:pPr>
        <w:pStyle w:val="Normal"/>
      </w:pPr>
      <w:r>
        <w:t>Những lựa chọn về cách phân bổ nguồn lực có thể khiến cuộc đời bạn rẽ sang một hướng rất khác so với dự định. Đôi khi điều đó tốt: những cơ hội mà bạn chưa từng lên kế hoạch bỗng xuất hiện. Nhưng nếu đầu tư sai nguồn lực, kết cục có thể rất tệ. Khi nghĩ về những người bạn học cũ vô tình đầu tư vào một cuộc sống trống rỗng và bất hạnh, tôi không thể không tin rằng rắc rối của họ bắt nguồn từ một tầm nhìn ngắn hạn.</w:t>
      </w:r>
    </w:p>
    <w:p>
      <w:pPr>
        <w:pStyle w:val="Normal"/>
      </w:pPr>
      <w:r>
        <w:t xml:space="preserve">Khi những người có nhu cầu thành tích cao—và điều đó bao gồm tất cả sinh viên tốt nghiệp Harvard Business School—có thêm nửa giờ rảnh rỗi hay thêm một chút năng lượng, họ sẽ vô thức dồn nó vào những hoạt động mang lại thành quả hữu hình nhất. Và sự nghiệp của chúng ta cung cấp bằng chứng cụ thể nhất rằng chúng ta đang tiến về phía trước. Bạn xuất xưởng một sản phẩm, hoàn thành một thiết kế, kết thúc một bài thuyết trình, chốt một hợp đồng, dạy một lớp học, xuất bản một bài báo, nhận lương, được thăng chức. Ngược lại, đầu tư thời gian và năng lượng vào mối quan hệ với vợ/chồng và con cái thường không mang lại cảm giác thành tựu tức thì như vậy. Trẻ con nghịch ngợm mỗi ngày. Phải đến 20 năm sau bạn mới thực sự có thể chống nạnh và nói: “Tôi đã nuôi dạy được một đứa con ngoan.” Bạn có thể lơ là mối quan hệ với vợ/chồng mình, và ngày qua ngày, mọi thứ dường như không xấu đi. Những người có động lực vươn lên xuất sắc có xu hướng vô thức đầu tư quá ít cho gia đình và đầu tư quá nhiều cho sự nghiệp—dù rằng những mối quan hệ gần gũi và yêu thương với gia đình mới là nguồn hạnh phúc mạnh mẽ và bền vững nhất.</w:t>
        <w:bookmarkStart w:id="24" w:name="forward"/>
        <w:t/>
        <w:bookmarkEnd w:id="24"/>
        <w:t xml:space="preserve"/>
      </w:r>
    </w:p>
    <w:p>
      <w:pPr>
        <w:pStyle w:val="Normal"/>
      </w:pPr>
      <w:r>
        <w:t>Nếu bạn nghiên cứu nguyên nhân gốc rễ của những thảm họa kinh doanh, bạn sẽ thấy lặp đi lặp lại khuynh hướng thiên về những nỗ lực mang lại sự thỏa mãn tức thì. Nếu nhìn vào đời sống cá nhân qua lăng kính đó, bạn sẽ thấy cùng một khuôn mẫu đáng kinh ngạc và đáng suy ngẫm: người ta phân bổ ngày càng ít nguồn lực cho những thứ mà trước đây họ từng nói là quan trọng nhất.</w:t>
      </w:r>
    </w:p>
    <w:p>
      <w:pPr>
        <w:pStyle w:val="Heading 1"/>
      </w:pPr>
      <w:r>
        <w:t>Tạo dựng một nền văn hóa</w:t>
      </w:r>
    </w:p>
    <w:p>
      <w:pPr>
        <w:pStyle w:val="Normal"/>
      </w:pPr>
      <w:r>
        <w:t>Có một mô hình quan trọng trong lớp học của chúng tôi gọi là Công cụ Hợp tác (Tools of Cooperation), về cơ bản nói rằng làm một nhà quản lý có tầm nhìn không hề tuyệt vời như người ta vẫn tưởng. Nhìn thấu tương lai mù mịt một cách sắc bén và vạch ra những điều chỉnh hướng đi mà công ty phải thực hiện là một chuyện. Nhưng thuyết phục những nhân viên có thể chưa nhìn thấy những thay đổi phía trước cùng vào hàng ngũ và hợp tác để đưa công ty đi theo hướng mới lại là chuyện hoàn toàn khác. Biết dùng công cụ nào để có được sự hợp tác cần thiết là một kỹ năng quản lý then chốt.</w:t>
      </w:r>
    </w:p>
    <w:p>
      <w:pPr>
        <w:pStyle w:val="Normal"/>
      </w:pPr>
      <w:r>
        <w:t xml:space="preserve">Lý thuyết này sắp xếp các công cụ theo hai chiều—mức độ mà các thành viên trong tổ chức đồng thuận về điều họ muốn nhận được khi tham gia vào doanh nghiệp, và mức độ họ đồng thuận về những hành động nào sẽ tạo ra kết quả mong muốn. Khi có ít sự đồng thuận trên cả hai trục, bạn phải dùng “công cụ quyền lực”—ép buộc, đe dọa, trừng phạt, v.v.—để đảm bảo sự hợp tác. Nhiều công ty khởi đầu ở góc phần tư này, đó là lý do đội ngũ điều hành sáng lập phải đóng vai trò quyết đoán trong việc xác định phải làm gì và làm thế nào. Nếu cách nhân viên phối hợp để giải quyết những nhiệm vụ đó thành công hết lần này đến lần khác, sự đồng thuận bắt đầu hình thành. Edgar Schein của MIT đã mô tả quá trình này như cơ chế mà qua đó một nền văn hóa được xây dựng. Cuối cùng, người ta thậm chí không còn nghĩ xem cách làm của mình có mang lại thành công hay không. Họ đón nhận các ưu tiên và tuân theo quy trình theo bản năng và giả định thay vì theo quyết định rõ ràng—điều đó có nghĩa là họ đã tạo ra một nền văn hóa. Văn hóa, theo những cách mạnh mẽ nhưng không nói thành lời, quy định những phương pháp đã được chứng minh và chấp nhận để các thành viên trong nhóm giải quyết những vấn đề lặp đi lặp lại. Và văn hóa xác định mức độ ưu tiên dành cho các loại vấn đề khác nhau. Nó có thể là một công cụ quản lý mạnh mẽ.</w:t>
        <w:bookmarkStart w:id="25" w:name="Many"/>
        <w:t/>
        <w:bookmarkEnd w:id="25"/>
        <w:t xml:space="preserve"/>
      </w:r>
    </w:p>
    <w:p>
      <w:pPr>
        <w:pStyle w:val="Normal"/>
      </w:pPr>
      <w:r>
        <w:t>Khi dùng mô hình này để trả lời câu hỏi “Làm sao tôi có thể chắc chắn rằng gia đình mình trở thành nguồn hạnh phúc bền vững?”, các sinh viên của tôi nhanh chóng nhận ra rằng công cụ đơn giản nhất mà cha mẹ có thể dùng để có được sự hợp tác từ con cái chính là công cụ quyền lực. Nhưng đến một thời điểm trong những năm thiếu niên, công cụ quyền lực không còn hiệu quả nữa. Lúc đó cha mẹ bắt đầu ước rằng họ đã bắt đầu làm việc với con cái từ khi còn rất nhỏ để xây dựng một nền văn hóa trong nhà, nơi trẻ em theo bản năng cư xử tôn trọng lẫn nhau, vâng lời cha mẹ và chọn làm điều đúng đắn. Gia đình có văn hóa riêng, giống như các công ty vậy. Những nền văn hóa đó có thể được xây dựng một cách có ý thức hoặc vô tình phát triển.</w:t>
      </w:r>
    </w:p>
    <w:p>
      <w:pPr>
        <w:pStyle w:val="Normal"/>
      </w:pPr>
      <w:r>
        <w:t>Nếu bạn muốn con mình có lòng tự trọng mạnh mẽ và sự tự tin rằng chúng có thể giải quyết những vấn đề khó, những phẩm chất đó sẽ không tự nhiên xuất hiện ở trường trung học. Bạn phải thiết kế chúng vào văn hóa gia đình mình—và bạn phải nghĩ về điều này từ rất sớm. Giống như nhân viên, trẻ em xây dựng lòng tự trọng bằng cách làm những việc khó và học hỏi điều gì hiệu quả.</w:t>
      </w:r>
    </w:p>
    <w:p>
      <w:pPr>
        <w:pStyle w:val="Heading 1"/>
      </w:pPr>
      <w:r>
        <w:t>Tránh sai lầm “chi phí biên”</w:t>
      </w:r>
    </w:p>
    <w:p>
      <w:pPr>
        <w:pStyle w:val="Normal"/>
      </w:pPr>
      <w:r>
        <w:t xml:space="preserve">Chúng ta được dạy trong tài chính và kinh tế học rằng khi đánh giá các khoản đầu tư thay thế, chúng ta nên bỏ qua chi phí chìm và chi phí cố định, thay vào đó đưa ra quyết định dựa trên chi phí biên và doanh thu biên mà mỗi phương án đòi hỏi. Chúng ta học trong khóa học rằng học thuyết này khiến các công ty thiên về việc tận dụng những gì họ đã xây dựng để thành công trong quá khứ, thay vì hướng họ tạo ra những năng lực cần thiết cho tương lai. Nếu chúng ta biết chắc tương lai sẽ giống hệt quá khứ, cách tiếp cận đó sẽ ổn. Nhưng nếu tương lai khác đi—và nó gần như luôn khác—thì đó là điều sai lầm.</w:t>
        <w:bookmarkStart w:id="26" w:name="that"/>
        <w:t/>
        <w:bookmarkEnd w:id="26"/>
        <w:t xml:space="preserve"/>
      </w:r>
    </w:p>
    <w:p>
      <w:pPr>
        <w:pStyle w:val="Normal"/>
      </w:pPr>
      <w:r>
        <w:t>Lý thuyết này giải quyết câu hỏi thứ ba mà tôi thảo luận với sinh viên—làm thế nào để sống một cuộc đời chính trực (không vào tù). Một cách vô thức, chúng ta thường áp dụng học thuyết chi phí biên trong đời sống cá nhân khi lựa chọn giữa đúng và sai. Một giọng nói trong đầu chúng ta nói: “Này, tôi biết rằng theo nguyên tắc chung, hầu hết mọi người không nên làm điều này. Nhưng trong hoàn cảnh đặc biệt giảm nhẹ này, chỉ lần này thôi, thì không sao.” Chi phí biên của việc làm điều sai trái “chỉ lần này thôi” luôn có vẻ hấp dẫn đến mức thấp đến khó tin. Nó dụ bạn vào, và bạn không bao giờ nhìn xem con đường đó cuối cùng dẫn đến đâu và toàn bộ chi phí mà lựa chọn đó kéo theo là gì. Sự biện minh cho sự không chung thủy và không trung thực dưới mọi hình thức nằm ở kinh tế học chi phí biên của “chỉ lần này thôi.”</w:t>
      </w:r>
    </w:p>
    <w:p>
      <w:pPr>
        <w:pStyle w:val="Normal"/>
      </w:pPr>
      <w:r>
        <w:t>Tôi muốn chia sẻ một câu chuyện về cách tôi hiểu ra thiệt hại tiềm tàng của “chỉ lần này thôi” trong chính cuộc đời mình. Tôi từng chơi cho đội bóng rổ của Đại học Oxford. Chúng tôi tập luyện vất vả và kết thúc mùa giải bất bại. Các đồng đội trong đội là những người bạn thân nhất mà tôi từng có trong đời. Chúng tôi vào đến giải đấu tương đương với NCAA của Anh—và lọt vào vòng bốn đội cuối cùng. Hóa ra trận chung kết được lên lịch vào một ngày Chủ nhật. Tôi đã cam kết cá nhân với Chúa từ năm 16 tuổi rằng tôi sẽ không bao giờ chơi bóng vào Chủ nhật. Vì vậy tôi đến gặp huấn luyện viên và giải thích vấn đề của mình. Ông ấy không thể tin nổi. Các đồng đội của tôi cũng vậy, vì tôi là trung phong chính thức. Từng người trong đội đến gặp tôi và nói: “Cậu phải chơi. Cậu không thể phá lệ chỉ một lần này thôi sao?”</w:t>
      </w:r>
    </w:p>
    <w:p>
      <w:pPr>
        <w:pStyle w:val="Normal"/>
      </w:pPr>
      <w:r>
        <w:t>Tôi là một người sùng đạo sâu sắc, vì vậy tôi đã đi nơi khác và cầu nguyện về điều mình nên làm. Tôi nhận được một cảm giác rất rõ ràng rằng tôi không nên phá vỡ cam kết của mình—vì vậy tôi đã không chơi trong trận chung kết.</w:t>
      </w:r>
    </w:p>
    <w:p>
      <w:pPr>
        <w:pStyle w:val="Normal"/>
      </w:pPr>
      <w:r>
        <w:t xml:space="preserve">Theo nhiều cách, đó là một quyết định nhỏ—liên quan đến một trong vài nghìn ngày Chủ nhật trong đời tôi. Về lý thuyết, chắc chắn tôi có thể vượt qua ranh giới chỉ một lần đó rồi không tái phạm. Nhưng nhìn lại, việc chống lại cám dỗ với logic “Trong hoàn cảnh đặc biệt giảm nhẹ này, chỉ lần này thôi, thì không sao” đã chứng tỏ là một trong những quyết định quan trọng nhất đời tôi. Tại sao? Cuộc đời tôi là một dòng chảy bất tận của những hoàn cảnh đặc biệt giảm nhẹ. Nếu tôi vượt qua ranh giới một lần đó, tôi sẽ còn làm điều đó hết lần này đến lần khác trong những năm sau đó.</w:t>
        <w:bookmarkStart w:id="27" w:name="over"/>
        <w:t/>
        <w:bookmarkEnd w:id="27"/>
        <w:t xml:space="preserve"/>
      </w:r>
    </w:p>
    <w:p>
      <w:pPr>
        <w:pStyle w:val="Normal"/>
      </w:pPr>
      <w:r>
        <w:t>Bài học tôi rút ra từ chuyện này là giữ vững nguyên tắc 100% thời gian dễ hơn là giữ vững chúng 98% thời gian. Nếu bạn nhượng bộ trước “chỉ lần này thôi”, dựa trên phân tích chi phí biên, như một số bạn học cũ của tôi đã làm, bạn sẽ hối tiếc về nơi mình dừng chân. Bạn phải tự xác định điều mình đại diện và vạch ranh giới ở một nơi an toàn.</w:t>
      </w:r>
    </w:p>
    <w:p>
      <w:pPr>
        <w:pStyle w:val="Heading 1"/>
      </w:pPr>
      <w:r>
        <w:t>Hãy nhớ tầm quan trọng của sự khiêm tốn</w:t>
      </w:r>
    </w:p>
    <w:p>
      <w:pPr>
        <w:pStyle w:val="Normal"/>
      </w:pPr>
      <w:r>
        <w:t>Tôi có được nhận thức này khi được mời dạy một lớp về sự khiêm tốn tại Harvard College. Tôi yêu cầu tất cả sinh viên mô tả người khiêm tốn nhất mà họ biết. Một đặc điểm của những người khiêm tốn này nổi bật lên: Họ có mức độ tự trọng cao. Họ biết mình là ai, và họ cảm thấy hài lòng về con người mình. Chúng tôi cũng kết luận rằng sự khiêm tốn được định nghĩa không phải bởi hành vi hay thái độ tự hạ thấp bản thân, mà bởi sự tôn trọng mà bạn dành cho người khác. Hành vi tốt đẹp chảy tự nhiên từ loại khiêm tốn đó. Ví dụ, bạn sẽ không bao giờ trộm cắp của ai đó, vì bạn tôn trọng người đó quá nhiều. Bạn cũng sẽ không bao giờ nói dối ai đó.</w:t>
      </w:r>
    </w:p>
    <w:p>
      <w:pPr>
        <w:pStyle w:val="Normal"/>
      </w:pPr>
      <w:r>
        <w:t xml:space="preserve">Mang theo cảm giác khiêm tốn vào đời là điều cực kỳ quan trọng. Khi bạn vào được một trường sau đại học hàng đầu, gần như tất cả những gì bạn học được đều đến từ những người thông minh và giàu kinh nghiệm hơn bạn: cha mẹ, thầy cô, sếp. Nhưng một khi bạn đã tốt nghiệp Harvard Business School hay bất kỳ học viện hàng đầu nào khác, đại đa số những người bạn tương tác hằng ngày có thể không thông minh hơn bạn. Và nếu thái độ của bạn là chỉ những người thông minh hơn mới có điều gì đó để dạy bạn, thì cơ hội học hỏi của bạn sẽ rất hạn chế. Nhưng nếu bạn có một sự háo hức khiêm tốn để học hỏi điều gì đó từ mọi người, cơ hội học hỏi của bạn sẽ là vô hạn. Nói chung, bạn chỉ có thể khiêm tốn nếu bạn thực sự cảm thấy hài lòng về bản thân—và bạn muốn giúp những người xung quanh cũng cảm thấy hài lòng về chính họ. Khi chúng ta thấy người ta cư xử thô bạo, kiêu ngạo hay hạ thấp người khác, hành vi của họ gần như luôn là triệu chứng của việc thiếu lòng tự trọng. Họ cần hạ người khác xuống để cảm thấy hài lòng về bản thân.</w:t>
        <w:bookmarkStart w:id="28" w:name="Generally"/>
        <w:t/>
        <w:bookmarkEnd w:id="28"/>
        <w:t xml:space="preserve"/>
      </w:r>
    </w:p>
    <w:p>
      <w:pPr>
        <w:pStyle w:val="Heading 1"/>
      </w:pPr>
      <w:r>
        <w:t>Chọn đúng thước đo</w:t>
      </w:r>
    </w:p>
    <w:p>
      <w:pPr>
        <w:pStyle w:val="Normal"/>
      </w:pPr>
      <w:r>
        <w:t>Năm vừa qua tôi được chẩn đoán mắc bệnh ung thư và đối mặt với khả năng cuộc đời mình sẽ kết thúc sớm hơn dự định. May mắn thay, giờ có vẻ như tôi sẽ được tha. Nhưng trải nghiệm đó đã cho tôi một nhận thức quan trọng về cuộc đời mình.</w:t>
      </w:r>
    </w:p>
    <w:p>
      <w:pPr>
        <w:pStyle w:val="Normal"/>
      </w:pPr>
      <w:r>
        <w:t>Tôi có một ý niệm khá rõ ràng về việc những ý tưởng của tôi đã tạo ra doanh thu khổng lồ cho các công ty sử dụng nghiên cứu của tôi như thế nào; tôi biết mình đã tạo ra ảnh hưởng đáng kể. Nhưng khi đối mặt với căn bệnh này, thật thú vị khi thấy ảnh hưởng đó giờ đây chẳng còn quan trọng với tôi nữa. Tôi đã đi đến kết luận rằng thước đo mà Chúa sẽ đánh giá cuộc đời tôi không phải là tiền bạc mà là từng con người mà cuộc đời tôi đã chạm đến.</w:t>
      </w:r>
    </w:p>
    <w:p>
      <w:pPr>
        <w:pStyle w:val="Normal"/>
      </w:pPr>
      <w:r>
        <w:t>Tôi nghĩ đó là cách mọi chuyện sẽ diễn ra với tất cả chúng ta. Đừng lo lắng về mức độ nổi bật cá nhân mà bạn đạt được; hãy lo lắng về những cá nhân mà bạn đã giúp trở thành người tốt hơn. Đây là khuyến nghị cuối cùng của tôi: Hãy nghĩ về thước đo mà cuộc đời bạn sẽ được đánh giá, và quyết tâm sống mỗi ngày sao cho cuối cùng, cuộc đời bạn sẽ được đánh giá là thành công.</w:t>
      </w:r>
    </w:p>
    <w:p>
      <w:pPr>
        <w:pStyle w:val="Para 102"/>
      </w:pPr>
      <w:r>
        <w:t>Xuất bản lần đầu tháng 7 năm 2010. Tái bản R1007B</w:t>
      </w:r>
      <w:r>
        <w:rPr>
          <w:rStyle w:val="Text2"/>
        </w:rPr>
        <w:t xml:space="preserve"/>
      </w:r>
      <w:r>
        <w:rPr>
          <w:rStyle w:val="Text9"/>
        </w:rPr>
        <w:t/>
      </w:r>
    </w:p>
    <w:p>
      <w:bookmarkStart w:id="29" w:name="Top_of_06_Managing_xhtml"/>
      <w:bookmarkStart w:id="30" w:name="Managing_Oneself_by_Peter_F__Dru"/>
      <w:pPr>
        <w:pStyle w:val="Para 043"/>
        <w:pageBreakBefore w:val="on"/>
      </w:pPr>
      <w:r>
        <w:bookmarkStart w:id="31" w:name="Managing"/>
        <w:t>Quản trị chính mình</w:t>
        <w:bookmarkEnd w:id="31"/>
        <w:t xml:space="preserve"/>
      </w:r>
      <w:bookmarkEnd w:id="29"/>
      <w:bookmarkEnd w:id="30"/>
    </w:p>
    <w:p>
      <w:pPr>
        <w:pStyle w:val="Para 045"/>
      </w:pPr>
      <w:r>
        <w:t>của Peter F. Drucker</w:t>
      </w:r>
    </w:p>
    <w:p>
      <w:pPr>
        <w:pStyle w:val="Normal"/>
      </w:pPr>
      <w:r>
        <w:rPr>
          <w:rStyle w:val="Text4"/>
        </w:rPr>
        <w:t>NHỮNG NGƯỜI ĐẠT THÀNH TỰU VĨ ĐẠI TRONG LỊCH SỬ—một Napoléon, một da Vinci, một Mozart—luôn biết cách tự quản trị chính mình. Ở mức độ lớn, đó chính là điều khiến họ trở thành những người đạt thành tựu vĩ đại. Nhưng họ là những ngoại lệ hiếm hoi, khác thường cả về tài năng lẫn thành tựu đến mức được coi là nằm ngoài ranh giới của sự tồn tại bình thường của con người. Giờ đây, hầu hết chúng ta, kể cả những người có năng khiếu khiêm tốn, sẽ phải học cách tự quản trị chính mình. Chúng ta sẽ phải học cách phát triển bản thân. Chúng ta sẽ phải đặt mình vào nơi mình có thể đóng góp nhiều nhất. Và chúng ta sẽ phải giữ cho tinh thần luôn tỉnh táo và gắn bó trong suốt 50 năm làm việc, điều đó có nghĩa là biết cách và biết khi nào thay đổi công việc mình làm.</w:t>
      </w:r>
      <w:r>
        <w:t/>
      </w:r>
    </w:p>
    <w:p>
      <w:pPr>
        <w:pStyle w:val="Heading 1"/>
      </w:pPr>
      <w:r>
        <w:t>Điểm mạnh của tôi là gì?</w:t>
      </w:r>
    </w:p>
    <w:p>
      <w:pPr>
        <w:pStyle w:val="Normal"/>
      </w:pPr>
      <w:r>
        <w:t>Hầu hết mọi người nghĩ rằng họ biết mình giỏi điều gì. Họ thường sai. Thường thì người ta biết mình không giỏi điều gì—và ngay cả khi đó, số người sai vẫn nhiều hơn số người đúng. Thế nhưng, một người chỉ có thể thể hiện từ điểm mạnh. Người ta không thể xây dựng thành tích trên điểm yếu, chứ đừng nói đến điều mình hoàn toàn không làm được.</w:t>
      </w:r>
    </w:p>
    <w:p>
      <w:pPr>
        <w:pStyle w:val="Normal"/>
      </w:pPr>
      <w:r>
        <w:t xml:space="preserve">Trong suốt lịch sử, con người ít có nhu cầu biết điểm mạnh của mình. Một người sinh ra đã ở sẵn trong một vị trí và một nghề nghiệp: con trai nông dân thì cũng sẽ làm nông dân; con gái thợ thủ công thì làm vợ một thợ thủ công; v.v. Nhưng giờ đây con người có nhiều lựa chọn. Chúng ta cần biết điểm mạnh của mình để biết mình thuộc về nơi nào.</w:t>
        <w:bookmarkStart w:id="32" w:name="so"/>
        <w:t/>
        <w:bookmarkEnd w:id="32"/>
        <w:t xml:space="preserve"/>
      </w:r>
    </w:p>
    <w:p>
      <w:pPr>
        <w:pStyle w:val="Normal"/>
      </w:pPr>
      <w:r>
        <w:t>Cách duy nhất để khám phá điểm mạnh của bạn là thông qua phân tích phản hồi (feedback analysis). Mỗi khi bạn đưa ra một quyết định quan trọng hay thực hiện một hành động then chốt, hãy viết ra điều bạn kỳ vọng sẽ xảy ra. Chín hoặc 12 tháng sau, hãy so sánh kết quả thực tế với kỳ vọng của bạn. Tôi đã áp dụng phương pháp này suốt 15 đến 20 năm nay, và lần nào làm vậy, tôi cũng đều ngạc nhiên. Chẳng hạn, phân tích phản hồi đã cho tôi thấy — và khiến tôi vô cùng bất ngờ — rằng tôi có khả năng thấu hiểu trực giác đối với những người làm kỹ thuật, dù họ là kỹ sư, kế toán hay nhà nghiên cứu thị trường. Nó cũng cho thấy tôi thực sự không hợp với những người làm tổng quát (generalists).</w:t>
      </w:r>
    </w:p>
    <w:p>
      <w:pPr>
        <w:pStyle w:val="Normal"/>
      </w:pPr>
      <w:r>
        <w:t>Phân tích phản hồi hoàn toàn không phải là điều mới mẻ. Nó được phát minh vào khoảng thế kỷ mười bốn bởi một nhà thần học người Đức hoàn toàn vô danh, và khoảng 150 năm sau được John Calvin và Ignatius of Loyola tiếp nhận một cách độc lập, mỗi người đều đưa nó vào thực hành cho các môn đồ của mình. Thực tế, sự tập trung bền bỉ vào hiệu suất và kết quả mà thói quen này tạo ra đã giải thích vì sao các tổ chức do hai người này sáng lập — nhà thờ Calvinist và dòng Tên (Jesuit order) — đã vươn lên thống trị châu Âu chỉ trong vòng 30 năm.</w:t>
      </w:r>
    </w:p>
    <w:p>
      <w:pPr>
        <w:pStyle w:val="Normal"/>
      </w:pPr>
      <w:r>
        <w:t>Nếu thực hành một cách nhất quán, phương pháp đơn giản này sẽ cho bạn thấy trong một khoảng thời gian khá ngắn, có thể là hai hoặc ba năm, điểm mạnh của bạn nằm ở đâu — và đây là điều quan trọng nhất cần biết. Phương pháp sẽ cho bạn thấy bạn đang làm gì hoặc không làm gì khiến bạn không tận dụng được trọn vẹn lợi ích từ điểm mạnh của mình. Nó sẽ cho bạn thấy bạn không thực sự giỏi ở lĩnh vực nào. Và cuối cùng, nó sẽ cho bạn thấy bạn không có điểm mạnh ở đâu và không thể làm tốt điều gì.</w:t>
      </w:r>
    </w:p>
    <w:p>
      <w:pPr>
        <w:pStyle w:val="Normal"/>
      </w:pPr>
      <w:r>
        <w:t>Từ phân tích phản hồi, có một số hàm ý hành động rút ra. Trước hết và quan trọng nhất, hãy tập trung vào điểm mạnh của bạn. Hãy đặt mình vào nơi mà điểm mạnh của bạn có thể tạo ra kết quả.</w:t>
      </w:r>
    </w:p>
    <w:p>
      <w:pPr>
        <w:pStyle w:val="Normal"/>
      </w:pPr>
      <w:r>
        <w:t>Thứ hai, hãy nỗ lực cải thiện điểm mạnh của bạn. Phân tích sẽ nhanh chóng cho thấy bạn cần cải thiện kỹ năng nào hoặc cần học thêm kỹ năng mới nào. Nó cũng sẽ chỉ ra những lỗ hổng kiến thức của bạn — và những lỗ hổng đó thường có thể lấp đầy được. Các nhà toán học là bẩm sinh, nhưng ai cũng có thể học lượng giác.</w:t>
      </w:r>
    </w:p>
    <w:p>
      <w:pPr>
        <w:pStyle w:val="Normal"/>
      </w:pPr>
      <w:r>
        <w:t xml:space="preserve">Thứ ba, hãy khám phá xem đâu là nơi sự kiêu ngạo trí tuệ (intellectual arrogance) của bạn đang gây ra sự thiếu hiểu biết mang tính tê liệt và hãy khắc phục nó. Có quá nhiều người — đặc biệt là những người có chuyên môn sâu trong một lĩnh vực — lại coi thường kiến thức ở các lĩnh vực khác hoặc tin rằng thông minh có thể thay thế cho kiến thức. Chẳng hạn, những kỹ sư giỏi thường có xu hướng tự hào vì không biết gì về con người. Họ tin rằng con người quá lộn xộn so với tư duy kỹ thuật giỏi giang. Ngược lại, những người làm nhân sự thường tự hào vì mù tịt về kế toán cơ bản hoặc hoàn toàn không biết gì về các phương pháp định lượng. Nhưng tự hào về sự thiếu hiểu biết như vậy là tự hại mình. Hãy bắt tay vào việc học các kỹ năng và kiến thức bạn cần để phát huy trọn vẹn điểm mạnh của mình.</w:t>
        <w:bookmarkStart w:id="33" w:name="people"/>
        <w:t/>
        <w:bookmarkEnd w:id="33"/>
        <w:t xml:space="preserve"/>
      </w:r>
    </w:p>
    <w:p>
      <w:pPr>
        <w:pStyle w:val="Para 025"/>
      </w:pPr>
      <w:r>
        <w:t>Ý tưởng ngắn gọn</w:t>
      </w:r>
    </w:p>
    <w:p>
      <w:pPr>
        <w:pStyle w:val="Para 005"/>
      </w:pPr>
      <w:r>
        <w:t>Chúng ta đang sống trong một thời đại của cơ hội chưa từng có: Nếu bạn có tham vọng, động lực và sự thông minh, bạn có thể vươn lên đỉnh cao trong nghề nghiệp mình chọn — bất kể xuất phát điểm của bạn ở đâu. Nhưng cơ hội đi kèm với trách nhiệm. Các công ty ngày nay không còn quản lý sự nghiệp của những người lao động tri thức (knowledge workers) nữa. Thay vào đó, mỗi chúng ta phải tự làm giám đốc điều hành (chief executive officer) cho chính mình.</w:t>
      </w:r>
    </w:p>
    <w:p>
      <w:pPr>
        <w:pStyle w:val="Para 005"/>
      </w:pPr>
      <w:r>
        <w:t>Nói một cách đơn giản, việc tạo dựng chỗ đứng trong thế giới công việc và biết khi nào cần đổi hướng là tùy thuộc vào bạn. Và việc giữ cho bản thân luôn gắn bó và làm việc hiệu quả trong suốt một cuộc đời làm việc có thể kéo dài tới 50 năm cũng là tùy thuộc vào bạn.</w:t>
      </w:r>
    </w:p>
    <w:p>
      <w:pPr>
        <w:pStyle w:val="Para 005"/>
      </w:pPr>
      <w:r>
        <w:t>Để làm tốt tất cả những điều này, bạn sẽ cần nuôi dưỡng sự thấu hiểu sâu sắc về chính mình. Đâu là những điểm mạnh quý giá nhất và những điểm yếu nguy hiểm nhất của bạn? Cũng quan trọng không kém, bạn học hỏi và làm việc với người khác như thế nào? Đâu là những giá trị bạn trân trọng sâu sắc nhất? Và trong loại môi trường làm việc nào bạn có thể đóng góp nhiều nhất?</w:t>
      </w:r>
    </w:p>
    <w:p>
      <w:pPr>
        <w:pStyle w:val="Para 005"/>
      </w:pPr>
      <w:r>
        <w:t>Hàm ý rất rõ ràng: Chỉ khi bạn hành động dựa trên sự kết hợp giữa điểm mạnh và sự tự thấu hiểu bản thân, bạn mới có thể đạt được sự xuất sắc thực sự — và bền vững.</w:t>
      </w:r>
    </w:p>
    <w:p>
      <w:pPr>
        <w:pStyle w:val="Normal"/>
      </w:pPr>
      <w:r>
        <w:t xml:space="preserve">Việc sửa chữa những thói quen xấu cũng thiết yếu không kém — những điều bạn làm hoặc không làm cản trở hiệu quả và hiệu suất của bạn. Những thói quen như vậy sẽ nhanh chóng lộ ra trong phản hồi. Ví dụ, một người lập kế hoạch có thể nhận ra rằng những kế hoạch đẹp đẽ của mình thất bại vì anh ta không theo đuổi chúng đến cùng. Giống như rất nhiều người thông minh khác, anh ta tin rằng ý tưởng có thể dời núi. Nhưng máy ủi mới dời được núi; ý tưởng chỉ ra nơi máy ủi nên bắt đầu làm việc. Người lập kế hoạch này sẽ phải học rằng công việc không dừng lại khi kế hoạch hoàn thành. Anh ta phải tìm người thực thi kế hoạch và giải thích nó cho họ. Anh ta phải điều chỉnh và thay đổi nó khi đưa vào hành động. Và cuối cùng, anh ta phải quyết định khi nào nên ngừng thúc đẩy kế hoạch.</w:t>
        <w:bookmarkStart w:id="34" w:name="must"/>
        <w:t/>
        <w:bookmarkEnd w:id="34"/>
        <w:t xml:space="preserve"/>
      </w:r>
    </w:p>
    <w:p>
      <w:pPr>
        <w:pStyle w:val="Para 025"/>
      </w:pPr>
      <w:r>
        <w:bookmarkStart w:id="35" w:name="Idea_1"/>
        <w:t>Ý tưởng trong thực hành</w:t>
        <w:bookmarkEnd w:id="35"/>
        <w:t xml:space="preserve"/>
      </w:r>
    </w:p>
    <w:p>
      <w:pPr>
        <w:pStyle w:val="Para 005"/>
      </w:pPr>
      <w:r>
        <w:t>Để xây dựng một cuộc đời xuất sắc, hãy bắt đầu bằng cách tự hỏi mình những câu hỏi sau:</w:t>
      </w:r>
    </w:p>
    <w:p>
      <w:pPr>
        <w:pStyle w:val="Para 017"/>
      </w:pPr>
      <w:r>
        <w:t>“Điểm mạnh của tôi là gì?”</w:t>
      </w:r>
    </w:p>
    <w:p>
      <w:pPr>
        <w:pStyle w:val="Para 005"/>
      </w:pPr>
      <w:r>
        <w:t xml:space="preserve">Để xác định chính xác điểm mạnh của mình, hãy sử dụng phân tích phản hồi. Mỗi khi bạn đưa ra một quyết định quan trọng, hãy viết ra kết quả bạn kỳ vọng. Vài tháng sau, hãy so sánh kết quả thực tế với kết quả kỳ vọng của bạn. Hãy tìm kiếm các khuôn mẫu trong những gì bạn quan sát được: Bạn có kỹ năng tạo ra những kết quả nào? Bạn cần nâng cao những khả năng nào để đạt được kết quả mình muốn? Những thói quen kém hiệu quả nào đang ngăn cản bạn tạo ra kết quả mình mong muốn? Khi xác định các cơ hội cải thiện, đừng lãng phí thời gian trau dồi những lĩnh vực kỹ năng mà bạn có ít năng lực. Thay vào đó, hãy tập trung vào — và phát huy — điểm mạnh của bạn.</w:t>
      </w:r>
      <w:r>
        <w:rPr>
          <w:rStyle w:val="Text2"/>
        </w:rPr>
        <w:t/>
      </w:r>
      <w:r>
        <w:t/>
      </w:r>
    </w:p>
    <w:p>
      <w:pPr>
        <w:pStyle w:val="Para 017"/>
      </w:pPr>
      <w:r>
        <w:t>“Tôi làm việc như thế nào?”</w:t>
      </w:r>
    </w:p>
    <w:p>
      <w:pPr>
        <w:pStyle w:val="Para 005"/>
      </w:pPr>
      <w:r>
        <w:t>Bạn làm việc tốt nhất theo những cách nào? Bạn xử lý thông tin hiệu quả nhất bằng cách đọc nó, hay bằng cách nghe người khác thảo luận về nó? Bạn hoàn thành được nhiều việc nhất khi làm việc cùng người khác, hay khi làm việc một mình? Bạn thể hiện tốt nhất khi đưa ra quyết định, hay khi tư vấn cho người khác về những vấn đề quan trọng? Bạn ở trạng thái tốt nhất khi mọi thứ trở nên căng thẳng, hay bạn hoạt động tối ưu trong một môi trường có tính dự đoán cao?</w:t>
      </w:r>
    </w:p>
    <w:p>
      <w:pPr>
        <w:pStyle w:val="Para 017"/>
      </w:pPr>
      <w:r>
        <w:t>“Giá trị của tôi là gì?”</w:t>
      </w:r>
    </w:p>
    <w:p>
      <w:pPr>
        <w:pStyle w:val="Para 005"/>
      </w:pPr>
      <w:r>
        <w:t>Đạo đức của bạn là gì? Bạn coi đâu là những trách nhiệm quan trọng nhất của mình để sống một cuộc đời xứng đáng và có đạo đức? Đạo đức của tổ chức bạn có hòa hợp với các giá trị của riêng bạn không? Nếu không, sự nghiệp của bạn có lẽ sẽ bị đánh dấu bởi sự thất vọng và hiệu suất kém.</w:t>
      </w:r>
    </w:p>
    <w:p>
      <w:pPr>
        <w:pStyle w:val="Para 017"/>
      </w:pPr>
      <w:r>
        <w:t>“Tôi thuộc về nơi nào?”</w:t>
      </w:r>
    </w:p>
    <w:p>
      <w:pPr>
        <w:pStyle w:val="Para 005"/>
      </w:pPr>
      <w:r>
        <w:t>Hãy xem xét điểm mạnh, phong cách làm việc ưa thích và các giá trị của bạn. Dựa trên những phẩm chất này, bạn sẽ phù hợp nhất với loại môi trường làm việc nào? Hãy tìm được sự phù hợp hoàn hảo, và bạn sẽ biến mình từ một nhân viên chỉ ở mức chấp nhận được thành một người thể hiện xuất sắc.</w:t>
      </w:r>
    </w:p>
    <w:p>
      <w:pPr>
        <w:pStyle w:val="Para 017"/>
      </w:pPr>
      <w:r>
        <w:t>“Tôi có thể đóng góp gì?”</w:t>
      </w:r>
    </w:p>
    <w:p>
      <w:pPr>
        <w:pStyle w:val="Para 005"/>
      </w:pPr>
      <w:r>
        <w:t>Trong những thời đại trước, các công ty nói cho người làm kinh doanh biết đóng góp của họ nên là gì. Ngày nay, bạn có các lựa chọn. Để quyết định cách bạn có thể cải thiện tốt nhất hiệu suất của tổ chức mình, trước tiên hãy hỏi tình huống đòi hỏi điều gì. Dựa trên điểm mạnh, phong cách làm việc và giá trị của bạn, bạn có thể đóng góp lớn nhất cho nỗ lực của tổ chức mình bằng cách nào?</w:t>
      </w:r>
    </w:p>
    <w:p>
      <w:pPr>
        <w:pStyle w:val="Normal"/>
      </w:pPr>
      <w:r>
        <w:t>Đồng thời, phản hồi cũng sẽ cho thấy khi nào vấn đề là do thiếu phép tắc. Phép tắc là dầu bôi trơn của một tổ chức. Có một quy luật tự nhiên rằng hai vật thể chuyển động tiếp xúc với nhau sẽ tạo ra ma sát. Điều này đúng với con người cũng như với các vật vô tri vô giác. Phép tắc — những điều đơn giản như nói “làm ơn” và “cảm ơn”, nhớ tên một người hay hỏi thăm gia đình cô ấy — giúp hai người có thể làm việc cùng nhau dù họ có thích nhau hay không. Những người thông minh, đặc biệt là những người trẻ thông minh, thường không hiểu điều này. Nếu phân tích cho thấy công việc xuất sắc của ai đó liên tục thất bại ngay khi cần đến sự hợp tác từ người khác, điều đó có lẽ cho thấy sự thiếu lịch sự — tức là thiếu phép tắc.</w:t>
      </w:r>
    </w:p>
    <w:p>
      <w:pPr>
        <w:pStyle w:val="Normal"/>
      </w:pPr>
      <w:r>
        <w:t>So sánh kỳ vọng của bạn với kết quả cũng chỉ ra điều không nên làm. Tất cả chúng ta đều có vô số lĩnh vực mà mình không có tài năng hay kỹ năng và ít có cơ hội trở nên dù chỉ ở mức trung bình. Trong những lĩnh vực đó, một người — và đặc biệt là một người lao động tri thức — không nên nhận công việc, vị trí hay nhiệm vụ. Người ta nên lãng phí càng ít nỗ lực càng tốt vào việc cải thiện những lĩnh vực có năng lực thấp. Cần nhiều năng lượng và công sức hơn rất nhiều để cải thiện từ kém cỏi lên trung bình so với việc cải thiện từ giỏi lên xuất sắc. Ấy vậy mà hầu hết mọi người — đặc biệt là hầu hết giáo viên và hầu hết tổ chức — lại tập trung vào việc biến những người thể hiện kém cỏi thành trung bình. Năng lượng, nguồn lực và thời gian đáng lẽ nên được dành để biến một người có năng lực thành một ngôi sao.</w:t>
      </w:r>
    </w:p>
    <w:p>
      <w:pPr>
        <w:pStyle w:val="Heading 1"/>
      </w:pPr>
      <w:r>
        <w:t>Tôi thể hiện như thế nào?</w:t>
      </w:r>
    </w:p>
    <w:p>
      <w:pPr>
        <w:pStyle w:val="Normal"/>
      </w:pPr>
      <w:r>
        <w:t>Đáng kinh ngạc là rất ít người biết cách họ hoàn thành công việc. Thực ra, hầu hết chúng ta thậm chí không biết rằng những người khác nhau làm việc và thể hiện theo những cách khác nhau. Quá nhiều người làm việc theo những cách không phải là cách của họ, và điều đó gần như đảm bảo cho sự không thể hiện được. Đối với người lao động tri thức, câu hỏi Tôi thể hiện như thế nào? có thể còn quan trọng hơn cả câu hỏi Điểm mạnh của tôi là gì?</w:t>
      </w:r>
    </w:p>
    <w:p>
      <w:pPr>
        <w:pStyle w:val="Normal"/>
      </w:pPr>
      <w:r>
        <w:bookmarkStart w:id="36" w:name="Like"/>
        <w:t>Giống như điểm mạnh của mỗi người, cách một người thể hiện là độc nhất. Đó là vấn đề về tính cách. Dù tính cách là do bẩm sinh hay do nuôi dưỡng, nó chắc chắn đã được hình thành từ rất lâu trước khi một người đi làm. Và cách một người thể hiện là điều đã được định sẵn, cũng như việc một người giỏi hay không giỏi điều gì là điều đã được định sẵn. Cách thể hiện của một người có thể được điều chỉnh đôi chút, nhưng khó có thể thay đổi hoàn toàn — và chắc chắn là không dễ dàng. Cũng như người ta đạt được kết quả bằng cách làm những gì mình giỏi, họ cũng đạt được kết quả bằng cách làm việc theo những cách mà họ thể hiện tốt nhất. Một vài đặc điểm tính cách phổ biến thường quyết định cách một người thể hiện.</w:t>
        <w:bookmarkEnd w:id="36"/>
        <w:t xml:space="preserve"/>
      </w:r>
      <w:r>
        <w:rPr>
          <w:rStyle w:val="Text0"/>
        </w:rPr>
        <w:t/>
      </w:r>
      <w:r>
        <w:t xml:space="preserve"/>
      </w:r>
      <w:r>
        <w:rPr>
          <w:rStyle w:val="Text0"/>
        </w:rPr>
        <w:t/>
      </w:r>
      <w:r>
        <w:t xml:space="preserve"/>
      </w:r>
    </w:p>
    <w:p>
      <w:pPr>
        <w:pStyle w:val="Heading 2"/>
      </w:pPr>
      <w:r>
        <w:t>Tôi là người đọc hay người nghe?</w:t>
      </w:r>
    </w:p>
    <w:p>
      <w:pPr>
        <w:pStyle w:val="Normal"/>
      </w:pPr>
      <w:r>
        <w:t>Điều đầu tiên cần biết là bạn thuộc tuýp người đọc hay người nghe. Rất ít người biết rằng có người học bằng cách đọc và có người học bằng cách nghe, và hiếm ai giỏi cả hai. Càng ít người biết mình thuộc tuýp nào hơn. Nhưng vài ví dụ sau sẽ cho thấy sự thiếu hiểu biết đó tai hại đến mức nào.</w:t>
      </w:r>
    </w:p>
    <w:p>
      <w:pPr>
        <w:pStyle w:val="Normal"/>
      </w:pPr>
      <w:r>
        <w:t>Khi Dwight Eisenhower còn là Tổng tư lệnh tối cao lực lượng Đồng minh ở châu Âu, ông là người được báo giới hết mực yêu mến. Các buổi họp báo của ông nổi tiếng vì phong cách của chúng—Tướng Eisenhower thể hiện khả năng kiểm soát hoàn toàn bất kỳ câu hỏi nào được đặt ra, và ông có thể mô tả một tình huống cũng như giải thích một chính sách chỉ trong hai hoặc ba câu trau chuốt và thanh lịch. Mười năm sau, chính những nhà báo từng ngưỡng mộ ông lại công khai coi thường Tổng thống Eisenhower. Họ phàn nàn rằng ông không bao giờ trả lời trực tiếp các câu hỏi, mà lan man không dứt về những chuyện khác. Và họ liên tục chế giễu ông vì đã 'tàn sát' tiếng Anh chuẩn mực bằng những câu trả lời rời rạc và sai ngữ pháp.</w:t>
      </w:r>
    </w:p>
    <w:p>
      <w:pPr>
        <w:pStyle w:val="Normal"/>
      </w:pPr>
      <w:r>
        <w:t xml:space="preserve">Eisenhower rõ ràng không biết rằng ông là người học bằng cách đọc, chứ không phải bằng cách nghe. Khi ông còn là Tổng tư lệnh tối cao ở châu Âu, các trợ lý của ông đảm bảo mọi câu hỏi từ báo chí đều được trình bày bằng văn bản ít nhất nửa giờ trước khi cuộc họp bắt đầu. Và khi đó Eisenhower hoàn toàn làm chủ tình hình. Khi trở thành tổng thống, ông kế nhiệm hai người học bằng cách nghe, Franklin D. Roosevelt và Harry Truman. Cả hai người đều biết mình là người nghe và cả hai đều thích thú với những cuộc họp báo tự do, không gò bó. Eisenhower có lẽ đã cảm thấy mình phải làm những gì hai người tiền nhiệm đã làm. Kết quả là, ông thậm chí không nghe được các câu hỏi mà các nhà báo đặt ra. Và Eisenhower thậm chí còn chưa phải là trường hợp cực đoan của một người không phải tuýp nghe.</w:t>
        <w:bookmarkStart w:id="37" w:name="he"/>
        <w:t/>
        <w:bookmarkEnd w:id="37"/>
        <w:t xml:space="preserve"/>
      </w:r>
    </w:p>
    <w:p>
      <w:pPr>
        <w:pStyle w:val="Normal"/>
      </w:pPr>
      <w:r>
        <w:t>Vài năm sau, Lyndon Johnson đã phá hỏng nhiệm kỳ tổng thống của mình, phần lớn là vì không biết rằng ông là người học bằng cách nghe. Người tiền nhiệm của ông, John Kennedy, là người học bằng cách đọc, người đã tập hợp một nhóm cây bút xuất sắc làm trợ lý, đảm bảo rằng họ viết cho ông trước khi thảo luận trực tiếp về các bản ghi nhớ của họ. Johnson giữ những người này lại trong đội ngũ nhân viên của mình—và họ tiếp tục viết. Ông, rõ ràng, không bao giờ hiểu nổi một chữ nào trong những gì họ viết. Tuy nhiên, khi còn là thượng nghị sĩ, Johnson đã rất xuất sắc; bởi vì các nghị sĩ, trên hết, phải là những người biết lắng nghe.</w:t>
      </w:r>
    </w:p>
    <w:p>
      <w:pPr>
        <w:pStyle w:val="Normal"/>
      </w:pPr>
      <w:r>
        <w:t>Rất ít người thuộc tuýp nghe có thể trở thành người đọc giỏi, hoặc tự biến mình thành người đọc giỏi—và ngược lại. Do đó, người thuộc tuýp nghe mà cố trở thành người đọc sẽ chịu chung số phận như Lyndon Johnson, trong khi người thuộc tuýp đọc mà cố trở thành người nghe sẽ chịu chung số phận như Dwight Eisenhower. Họ sẽ không thể hiện tốt hay đạt được thành tựu.</w:t>
      </w:r>
    </w:p>
    <w:p>
      <w:pPr>
        <w:pStyle w:val="Heading 2"/>
      </w:pPr>
      <w:r>
        <w:t>Tôi học như thế nào?</w:t>
      </w:r>
    </w:p>
    <w:p>
      <w:pPr>
        <w:pStyle w:val="Normal"/>
      </w:pPr>
      <w:r>
        <w:t>Điều thứ hai cần biết về cách một người thể hiện là biết cách người đó học. Nhiều nhà văn hạng nhất—Winston Churchill chỉ là một ví dụ—học kém ở trường. Họ có xu hướng nhớ về quãng đời đi học như một sự tra tấn thực sự. Tuy nhiên, rất ít bạn học của họ nhớ về nó theo cách đó. Họ có thể không thích trường học lắm, nhưng điều tồi tệ nhất họ phải chịu đựng là sự nhàm chán. Lời giải thích là các nhà văn, như một quy luật, không học bằng cách nghe và đọc. Họ học bằng cách viết. Bởi vì trường học không cho phép họ học theo cách này, họ bị điểm kém.</w:t>
      </w:r>
    </w:p>
    <w:p>
      <w:pPr>
        <w:pStyle w:val="Normal"/>
      </w:pPr>
      <w:r>
        <w:t>Các trường học ở khắp mọi nơi được tổ chức dựa trên giả định rằng chỉ có một cách học đúng duy nhất và cách đó giống nhau cho tất cả mọi người. Nhưng bị ép buộc phải học theo cách nhà trường dạy thực sự là địa ngục đối với những học sinh có cách học khác. Thật vậy, có lẽ có đến nửa tá cách học khác nhau.</w:t>
      </w:r>
    </w:p>
    <w:p>
      <w:pPr>
        <w:pStyle w:val="Normal"/>
      </w:pPr>
      <w:r>
        <w:t xml:space="preserve">Có những người, như Churchill, học bằng cách viết. Một số người học bằng cách ghi chép rất nhiều. Ví dụ, Beethoven đã để lại một số lượng khổng lồ sổ phác thảo, nhưng ông nói rằng ông chưa bao giờ thực sự xem lại chúng khi sáng tác. Khi được hỏi tại sao ông giữ chúng, người ta kể rằng ông đã trả lời, 'Nếu tôi không viết nó ra ngay lập tức, tôi sẽ quên nó ngay. Nếu tôi ghi nó vào sổ phác thảo, tôi không bao giờ quên nó và tôi không bao giờ phải tra cứu lại nữa.' Một số người học bằng cách thực hành. Những người khác học bằng cách nghe chính mình nói.</w:t>
        <w:bookmarkStart w:id="38" w:name="immediately"/>
        <w:t/>
        <w:bookmarkEnd w:id="38"/>
        <w:t xml:space="preserve"/>
      </w:r>
    </w:p>
    <w:p>
      <w:pPr>
        <w:pStyle w:val="Normal"/>
      </w:pPr>
      <w:r>
        <w:t>Một giám đốc điều hành mà tôi biết, người đã biến một doanh nghiệp gia đình nhỏ và tầm thường thành công ty hàng đầu trong ngành, là một trong những người học bằng cách nói. Ông có thói quen gọi toàn bộ nhân viên cấp cao vào văn phòng của mình mỗi tuần một lần và sau đó nói với họ trong hai hoặc ba giờ. Ông sẽ nêu ra các vấn đề chính sách và tranh luận ba quan điểm khác nhau cho mỗi vấn đề. Ông hiếm khi hỏi ý kiến hay câu hỏi từ các cộng sự; ông chỉ đơn giản cần một khán giả để nghe chính mình nói. Đó là cách ông học. Và mặc dù ông là một trường hợp khá cực đoan, học thông qua việc nói hoàn toàn không phải là một phương pháp bất thường. Các luật sư tranh tụng thành công học theo cách tương tự, cũng như nhiều bác sĩ chẩn đoán (và tôi cũng vậy).</w:t>
      </w:r>
    </w:p>
    <w:p>
      <w:pPr>
        <w:pStyle w:val="Normal"/>
      </w:pPr>
      <w:r>
        <w:t xml:space="preserve">Trong tất cả những hiểu biết quan trọng về bản thân, hiểu cách bạn học là điều dễ đạt được nhất. Khi tôi hỏi mọi người, 'Bạn học như thế nào?' hầu hết họ đều biết câu trả lời. Nhưng khi tôi hỏi, 'Bạn có hành động dựa trên kiến thức này không?' rất ít người trả lời có. Tuy nhiên, hành động dựa trên kiến thức này là chìa khóa để đạt hiệu suất; hay đúng hơn, không hành động dựa trên kiến thức này sẽ khiến một người không thể đạt được hiệu suất.</w:t>
      </w:r>
      <w:r>
        <w:rPr>
          <w:rStyle w:val="Text0"/>
        </w:rPr>
        <w:t/>
      </w:r>
      <w:r>
        <w:t xml:space="preserve"/>
      </w:r>
    </w:p>
    <w:p>
      <w:pPr>
        <w:pStyle w:val="Normal"/>
      </w:pPr>
      <w:r>
        <w:t>Tôi là người đọc hay người nghe? và Tôi học như thế nào? là những câu hỏi đầu tiên cần đặt ra. Nhưng chúng hoàn toàn không phải là những câu hỏi duy nhất. Để quản lý bản thân một cách hiệu quả, bạn cũng phải hỏi, Tôi làm việc tốt với mọi người, hay tôi là người thích làm việc độc lập? Và nếu bạn làm việc tốt với mọi người, thì bạn phải hỏi tiếp, Trong mối quan hệ nào?</w:t>
      </w:r>
    </w:p>
    <w:p>
      <w:pPr>
        <w:pStyle w:val="Normal"/>
      </w:pPr>
      <w:r>
        <w:t>Một số người làm việc tốt nhất khi là cấp dưới. Tướng George Patton, anh hùng quân sự vĩ đại của Mỹ trong Thế chiến II, là một ví dụ điển hình. Patton là chỉ huy quân đội hàng đầu của Mỹ. Tuy nhiên, khi ông được đề xuất cho một vị trí chỉ huy độc lập, Tướng George Marshall, tham mưu trưởng quân đội Mỹ—và có lẽ là người giỏi nhất trong lịch sử Mỹ trong việc chọn người—đã nói, 'Patton là cấp dưới giỏi nhất mà quân đội Mỹ từng tạo ra, nhưng ông ấy sẽ là người chỉ huy tồi tệ nhất.'</w:t>
      </w:r>
    </w:p>
    <w:p>
      <w:pPr>
        <w:pStyle w:val="Normal"/>
      </w:pPr>
      <w:r>
        <w:t>Một số người làm việc tốt nhất với tư cách là thành viên nhóm. Những người khác làm việc tốt nhất một mình. Một số người đặc biệt tài năng trong vai trò huấn luyện viên và cố vấn; những người khác lại hoàn toàn không đủ năng lực làm cố vấn.</w:t>
      </w:r>
    </w:p>
    <w:p>
      <w:pPr>
        <w:pStyle w:val="Normal"/>
      </w:pPr>
      <w:r>
        <w:bookmarkStart w:id="39" w:name="Another"/>
        <w:t>Một câu hỏi quan trọng khác là, Tôi tạo ra kết quả với tư cách là người ra quyết định hay với tư cách là cố vấn? Rất nhiều người thể hiện tốt nhất khi làm cố vấn nhưng không thể chịu được gánh nặng và áp lực của việc ra quyết định. Ngược lại, khá nhiều người khác cần một cố vấn để buộc bản thân phải suy nghĩ; sau đó họ có thể đưa ra quyết định và hành động theo chúng một cách nhanh chóng, tự tin và can đảm.</w:t>
        <w:bookmarkEnd w:id="39"/>
        <w:t xml:space="preserve"/>
      </w:r>
    </w:p>
    <w:p>
      <w:pPr>
        <w:pStyle w:val="Normal"/>
      </w:pPr>
      <w:r>
        <w:t>Nhân tiện, đây là một lý do khiến người số hai trong một tổ chức thường thất bại khi được thăng chức lên vị trí số một. Vị trí cao nhất đòi hỏi một người ra quyết định. Những người ra quyết định mạnh mẽ thường đặt một người mà họ tin tưởng vào vị trí số hai làm cố vấn cho họ—và ở vị trí đó, người này rất xuất sắc. Nhưng ở vị trí số một, chính người đó lại thất bại. Anh ta hoặc cô ta biết quyết định nên là gì nhưng không thể chấp nhận trách nhiệm thực sự đưa ra quyết định đó.</w:t>
      </w:r>
    </w:p>
    <w:p>
      <w:pPr>
        <w:pStyle w:val="Normal"/>
      </w:pPr>
      <w:r>
        <w:t>Những câu hỏi quan trọng khác cần đặt ra bao gồm, Tôi có thể hiện tốt dưới áp lực không, hay tôi cần một môi trường có cấu trúc chặt chẽ và có thể dự đoán được? Tôi làm việc tốt nhất trong một tổ chức lớn hay nhỏ? Rất ít người làm việc tốt trong mọi loại môi trường. Hết lần này đến lần khác, tôi đã thấy những người rất thành công trong các tổ chức lớn lại chật vật khốn khổ khi chuyển sang các tổ chức nhỏ hơn. Và điều ngược lại cũng hoàn toàn đúng.</w:t>
      </w:r>
    </w:p>
    <w:p>
      <w:pPr>
        <w:pStyle w:val="Normal"/>
      </w:pPr>
      <w:r>
        <w:t>Kết luận cần được nhắc lại: Đừng cố gắng thay đổi bản thân—bạn khó có thể thành công. Nhưng hãy nỗ lực cải thiện cách bạn làm việc. Và cố gắng đừng nhận những công việc mà bạn không thể làm tốt hoặc sẽ chỉ làm một cách kém cỏi.</w:t>
      </w:r>
    </w:p>
    <w:p>
      <w:pPr>
        <w:pStyle w:val="Heading 1"/>
      </w:pPr>
      <w:r>
        <w:t>Giá trị của tôi là gì?</w:t>
      </w:r>
    </w:p>
    <w:p>
      <w:pPr>
        <w:pStyle w:val="Normal"/>
      </w:pPr>
      <w:r>
        <w:t>Để có thể quản lý bản thân, cuối cùng bạn phải hỏi, Giá trị của tôi là gì? Đây không phải là câu hỏi về đạo đức. Về mặt đạo đức, các quy tắc là giống nhau cho tất cả mọi người, và bài kiểm tra rất đơn giản. Tôi gọi nó là 'bài kiểm tra gương' (mirror test).</w:t>
      </w:r>
    </w:p>
    <w:p>
      <w:pPr>
        <w:pStyle w:val="Normal"/>
      </w:pPr>
      <w:r>
        <w:t xml:space="preserve">Vào những năm đầu của thế kỷ này, nhà ngoại giao được kính trọng nhất trong số tất cả các cường quốc là đại sứ Đức tại London. Ông rõ ràng được định sẵn cho những điều lớn lao—ít nhất là trở thành bộ trưởng ngoại giao của đất nước mình, nếu không phải là thủ tướng liên bang. Tuy nhiên, vào năm 1906, ông đột ngột từ chức thay vì chủ trì một bữa tối do ngoại giao đoàn tổ chức cho Edward VII. Nhà vua nổi tiếng là kẻ trăng hoa và đã nói rõ ông muốn loại bữa tối nào. Người ta kể rằng vị đại sứ đã nói, 'Tôi từ chối nhìn thấy một kẻ ma cô trong gương vào buổi sáng khi tôi cạo râu.'</w:t>
        <w:bookmarkStart w:id="40" w:name="abruptly"/>
        <w:t/>
        <w:bookmarkEnd w:id="40"/>
        <w:t xml:space="preserve"/>
      </w:r>
    </w:p>
    <w:p>
      <w:pPr>
        <w:pStyle w:val="Normal"/>
      </w:pPr>
      <w:r>
        <w:t>Đó chính là bài kiểm tra gương. Đạo đức đòi hỏi bạn phải tự hỏi, Tôi muốn nhìn thấy loại người nào trong gương vào buổi sáng? Hành vi đạo đức trong một loại tổ chức hoặc tình huống này cũng là hành vi đạo đức trong một tổ chức hoặc tình huống khác. Nhưng đạo đức chỉ là một phần của hệ giá trị—đặc biệt là hệ giá trị của một tổ chức.</w:t>
      </w:r>
    </w:p>
    <w:p>
      <w:pPr>
        <w:pStyle w:val="Normal"/>
      </w:pPr>
      <w:r>
        <w:t>Làm việc trong một tổ chức có hệ giá trị không thể chấp nhận được hoặc không tương thích với giá trị của chính mình sẽ khiến một người vừa thất vọng vừa không thể đạt được hiệu suất.</w:t>
      </w:r>
    </w:p>
    <w:p>
      <w:pPr>
        <w:pStyle w:val="Normal"/>
      </w:pPr>
      <w:r>
        <w:t>Hãy xem xét trải nghiệm của một giám đốc nhân sự rất thành công có công ty bị một tổ chức lớn hơn mua lại. Sau khi mua lại, cô được thăng chức để làm loại công việc mà cô giỏi nhất, bao gồm việc chọn người cho các vị trí quan trọng. Vị giám đốc này tin tưởng sâu sắc rằng một công ty chỉ nên tuyển người từ bên ngoài cho những vị trí như vậy sau khi đã tận dụng hết mọi khả năng nội bộ. Nhưng công ty mới của cô lại tin vào việc trước tiên tìm kiếm bên ngoài 'để mang lại luồng máu mới.' Cả hai cách tiếp cận đều có điểm hợp lý—theo kinh nghiệm của tôi, cách đúng đắn là kết hợp cả hai. Tuy nhiên, chúng về cơ bản là không tương thích—không phải như các chính sách mà là như các giá trị. Chúng thể hiện những quan điểm khác nhau về mối quan hệ giữa tổ chức và con người; những quan điểm khác nhau về trách nhiệm của một tổ chức đối với con người của mình và sự phát triển của họ; và những quan điểm khác nhau về đóng góp quan trọng nhất của một người cho doanh nghiệp. Sau vài năm thất vọng, vị giám đốc này đã nghỉ việc—với tổn thất tài chính đáng kể. Giá trị của cô và giá trị của tổ chức đơn giản là không tương thích.</w:t>
      </w:r>
    </w:p>
    <w:p>
      <w:pPr>
        <w:pStyle w:val="Normal"/>
      </w:pPr>
      <w:r>
        <w:t xml:space="preserve">Tương tự, việc một công ty dược phẩm cố gắng đạt được kết quả bằng cách thực hiện những cải tiến nhỏ, liên tục hay bằng cách đạt được những 'đột phá' không thường xuyên, cực kỳ tốn kém và rủi ro không phải chủ yếu là một câu hỏi kinh tế. Kết quả của một trong hai chiến lược có thể gần như giống nhau. Về bản chất, có một sự xung đột giữa một hệ giá trị coi đóng góp của công ty là giúp các bác sĩ làm tốt hơn những gì họ đã làm và một hệ giá trị hướng tới việc thực hiện các khám phá khoa học.</w:t>
        <w:bookmarkStart w:id="41" w:name="physicians"/>
        <w:t/>
        <w:bookmarkEnd w:id="41"/>
        <w:t xml:space="preserve"/>
      </w:r>
    </w:p>
    <w:p>
      <w:pPr>
        <w:pStyle w:val="Normal"/>
      </w:pPr>
      <w:r>
        <w:t>Việc một doanh nghiệp nên được điều hành vì kết quả ngắn hạn hay tập trung vào dài hạn cũng là một câu hỏi về giá trị. Các nhà phân tích tài chính tin rằng doanh nghiệp có thể được điều hành cho cả hai mục tiêu cùng một lúc. Các doanh nhân thành công thì biết rõ hơn. Chắc chắn, mọi công ty đều phải tạo ra kết quả ngắn hạn. Nhưng trong bất kỳ xung đột nào giữa kết quả ngắn hạn và tăng trưởng dài hạn, mỗi công ty sẽ tự xác định ưu tiên của mình. Đây không phải chủ yếu là sự bất đồng về kinh tế. Về cơ bản, đó là một xung đột giá trị liên quan đến chức năng của một doanh nghiệp và trách nhiệm của ban quản lý.</w:t>
      </w:r>
    </w:p>
    <w:p>
      <w:pPr>
        <w:pStyle w:val="Normal"/>
      </w:pPr>
      <w:r>
        <w:t>Xung đột giá trị không chỉ giới hạn ở các tổ chức kinh doanh. Một trong những nhà thờ mục vụ phát triển nhanh nhất ở Hoa Kỳ đo lường sự thành công bằng số lượng giáo dân mới. Ban lãnh đạo của nhà thờ này tin rằng điều quan trọng là có bao nhiêu người mới gia nhập giáo đoàn. Chúa nhân từ rồi sẽ chăm sóc các nhu cầu tâm linh của họ hoặc ít nhất là nhu cầu của một tỷ lệ đủ lớn. Một nhà thờ mục vụ, truyền giáo khác tin rằng điều quan trọng là sự phát triển tâm linh của con người. Nhà thờ này nhẹ nhàng khuyến khích những người mới gia nhập nhưng không tham gia vào đời sống tâm linh của nhà thờ rời đi.</w:t>
      </w:r>
    </w:p>
    <w:p>
      <w:pPr>
        <w:pStyle w:val="Normal"/>
      </w:pPr>
      <w:r>
        <w:t>Một lần nữa, đây không phải là vấn đề về số lượng. Thoạt nhìn, có vẻ như nhà thờ thứ hai phát triển chậm hơn. Nhưng nó giữ chân được một tỷ lệ người mới lớn hơn nhiều so với nhà thờ thứ nhất. Nói cách khác, sự phát triển của nó vững chắc hơn. Đây cũng không phải là một vấn đề thần học, hoặc chỉ là thứ yếu. Đó là một vấn đề về giá trị. Trong một cuộc tranh luận công khai, một mục sư lập luận, 'Trừ khi bạn đến nhà thờ trước, bạn sẽ không bao giờ tìm thấy cánh cổng dẫn đến Vương quốc Thiên đàng.'</w:t>
      </w:r>
    </w:p>
    <w:p>
      <w:pPr>
        <w:pStyle w:val="Normal"/>
      </w:pPr>
      <w:r>
        <w:t>'Không,' người kia trả lời. 'Cho đến khi bạn tìm kiếm cánh cổng dẫn đến Vương quốc Thiên đàng trước, bạn không thuộc về nhà thờ.'</w:t>
      </w:r>
    </w:p>
    <w:p>
      <w:pPr>
        <w:pStyle w:val="Normal"/>
      </w:pPr>
      <w:r>
        <w:t>Các tổ chức, cũng như con người, đều có giá trị. Để làm việc hiệu quả trong một tổ chức, giá trị của một người phải tương thích với giá trị của tổ chức đó. Chúng không cần phải giống hệt nhau, nhưng chúng phải đủ gần gũi để cùng tồn tại. Nếu không, người đó sẽ không chỉ cảm thấy thất vọng mà còn không tạo ra được kết quả.</w:t>
      </w:r>
    </w:p>
    <w:p>
      <w:pPr>
        <w:pStyle w:val="Normal"/>
      </w:pPr>
      <w:r>
        <w:t xml:space="preserve">Điểm mạnh của một người và cách người đó làm việc hiếm khi mâu thuẫn với nhau; hai thứ này bổ trợ cho nhau. Nhưng đôi khi lại có sự xung đột giữa giá trị của một người với điểm mạnh của họ. Những gì một người làm tốt—thậm chí rất tốt và thành công—có thể không phù hợp với hệ giá trị của họ. Trong trường hợp đó, công việc có thể không đáng để họ cống hiến cả cuộc đời (hoặc thậm chí một phần đáng kể của cuộc đời).</w:t>
        <w:bookmarkStart w:id="42" w:name="between"/>
        <w:t/>
        <w:bookmarkEnd w:id="42"/>
        <w:t xml:space="preserve"/>
      </w:r>
    </w:p>
    <w:p>
      <w:pPr>
        <w:pStyle w:val="Normal"/>
      </w:pPr>
      <w:r>
        <w:t>Nếu có thể, cho phép tôi xen vào một chút chuyện cá nhân. Nhiều năm trước, tôi cũng từng phải quyết định giữa giá trị của mình và những gì mình đang làm thành công. Tôi đang làm rất tốt với vai trò một chủ ngân hàng đầu tư trẻ ở London vào giữa những năm 1930, và công việc rõ ràng phù hợp với điểm mạnh của tôi. Nhưng tôi không thấy mình đang tạo ra đóng góp gì với tư cách một nhà quản lý tài sản. Tôi nhận ra rằng con người mới là điều tôi trân trọng, và tôi thấy chẳng có ý nghĩa gì khi trở thành kẻ giàu nhất trong nghĩa địa. Tôi không có tiền và cũng chẳng có triển vọng công việc nào khác. Dù cuộc Đại suy thoái vẫn đang tiếp diễn, tôi đã nghỉ việc—và đó là điều đúng đắn nên làm. Nói cách khác, giá trị chính là phép thử cuối cùng và nên là như vậy.</w:t>
      </w:r>
    </w:p>
    <w:p>
      <w:pPr>
        <w:pStyle w:val="Heading 1"/>
      </w:pPr>
      <w:r>
        <w:t>Tôi Thuộc Về Đâu?</w:t>
      </w:r>
    </w:p>
    <w:p>
      <w:pPr>
        <w:pStyle w:val="Normal"/>
      </w:pPr>
      <w:r>
        <w:t>Một số ít người biết rất sớm họ thuộc về đâu. Chẳng hạn, các nhà toán học, nhạc sĩ và đầu bếp thường đã là nhà toán học, nhạc sĩ và đầu bếp từ khi họ bốn hoặc năm tuổi. Các bác sĩ thường quyết định nghề nghiệp của mình ở tuổi thiếu niên, nếu không muốn nói là sớm hơn. Nhưng hầu hết mọi người, đặc biệt là những người có năng khiếu cao, thực sự không biết họ thuộc về đâu cho đến khi đã qua tuổi 25 khá lâu. Tuy nhiên, đến lúc đó, họ nên biết câu trả lời cho ba câu hỏi: Điểm mạnh của tôi là gì? Tôi làm việc theo cách nào? và Giá trị của tôi là gì? Và rồi họ có thể và nên quyết định nơi họ thuộc về.</w:t>
      </w:r>
    </w:p>
    <w:p>
      <w:pPr>
        <w:pStyle w:val="Normal"/>
      </w:pPr>
      <w:r>
        <w:t xml:space="preserve">Hay đúng hơn, họ nên có khả năng quyết định nơi họ không thuộc về. Người đã nhận ra mình không làm việc tốt trong một tổ chức lớn nên học cách nói không với một vị trí trong tổ chức đó. Người đã nhận ra mình không phải là người ra quyết định nên học cách nói không với một nhiệm vụ ra quyết định. Một vị tướng kiểu Patton (người có lẽ chưa bao giờ tự học được điều này) nên học cách nói không với một quyền chỉ huy độc lập.</w:t>
      </w:r>
      <w:r>
        <w:rPr>
          <w:rStyle w:val="Text0"/>
        </w:rPr>
        <w:t/>
      </w:r>
      <w:r>
        <w:t xml:space="preserve"/>
      </w:r>
    </w:p>
    <w:p>
      <w:pPr>
        <w:pStyle w:val="Normal"/>
      </w:pPr>
      <w:r>
        <w:t xml:space="preserve">Quan trọng không kém, việc biết câu trả lời cho những câu hỏi này cho phép một người nói với một cơ hội, một lời đề nghị hoặc một nhiệm vụ rằng: “Vâng, tôi sẽ làm việc đó. Nhưng đây là cách tôi nên làm. Đây là cách nó nên được cấu trúc. Đây là cách các mối quan hệ nên diễn ra. Đây là loại kết quả bạn nên kỳ vọng ở tôi, và trong khung thời gian này, bởi vì đây là con người tôi.”</w:t>
        <w:bookmarkStart w:id="43" w:name="be"/>
        <w:t/>
        <w:bookmarkEnd w:id="43"/>
        <w:t xml:space="preserve"/>
      </w:r>
    </w:p>
    <w:p>
      <w:pPr>
        <w:pStyle w:val="Normal"/>
      </w:pPr>
      <w:r>
        <w:t>Sự nghiệp thành công không được lên kế hoạch trước. Chúng phát triển khi con người sẵn sàng cho các cơ hội vì họ biết điểm mạnh, phương pháp làm việc và giá trị của mình. Biết mình thuộc về đâu có thể biến một người bình thường—chăm chỉ và có năng lực nhưng ngoài ra khá tầm thường—thành một người thể hiện xuất sắc.</w:t>
      </w:r>
    </w:p>
    <w:p>
      <w:pPr>
        <w:pStyle w:val="Heading 1"/>
      </w:pPr>
      <w:r>
        <w:t>Tôi Nên Đóng Góp Điều Gì?</w:t>
      </w:r>
    </w:p>
    <w:p>
      <w:pPr>
        <w:pStyle w:val="Normal"/>
      </w:pPr>
      <w:r>
        <w:t>Trong suốt lịch sử, đại đa số mọi người chưa bao giờ phải đặt câu hỏi: Tôi nên đóng góp điều gì? Họ được chỉ bảo phải đóng góp gì, và nhiệm vụ của họ được quyết định hoặc bởi chính công việc—như với người nông dân hay thợ thủ công—hoặc bởi ông chủ hay bà chủ—như với người hầu trong nhà. Và cho đến rất gần đây, người ta mặc nhiên cho rằng hầu hết mọi người là cấp dưới làm theo những gì họ được bảo. Ngay cả trong những năm 1950 và 1960, những người lao động tri thức mới (những người được gọi là “organization men”) vẫn trông chờ phòng nhân sự của công ty hoạch định sự nghiệp cho họ.</w:t>
      </w:r>
    </w:p>
    <w:p>
      <w:pPr>
        <w:pStyle w:val="Normal"/>
      </w:pPr>
      <w:r>
        <w:t xml:space="preserve">Rồi vào cuối những năm 1960, không ai còn muốn bị bảo phải làm gì nữa. Những người trẻ bắt đầu hỏi: Tôi muốn làm gì? Và điều họ nghe được là cách để đóng góp là “làm điều của riêng bạn”. Nhưng giải pháp này cũng sai lầm như cách của những “organization men” trước đó. Rất ít người tin rằng làm điều của riêng mình sẽ dẫn đến đóng góp, sự tự hoàn thiện và thành công đạt được bất kỳ điều nào trong ba điều đó.</w:t>
      </w:r>
      <w:r>
        <w:rPr>
          <w:rStyle w:val="Text0"/>
        </w:rPr>
        <w:t/>
      </w:r>
      <w:r>
        <w:t xml:space="preserve"/>
      </w:r>
    </w:p>
    <w:p>
      <w:pPr>
        <w:pStyle w:val="Normal"/>
      </w:pPr>
      <w:r>
        <w:t xml:space="preserve">Nhưng dù vậy, không thể quay lại câu trả lời cũ là làm những gì bạn được bảo hoặc được giao. Đặc biệt, những người lao động tri thức phải học cách đặt một câu hỏi chưa từng được đặt ra trước đây: Đóng góp của tôi nên là gì? Để trả lời, họ phải xem xét ba yếu tố riêng biệt: Tình huống đòi hỏi điều gì? Với điểm mạnh, cách làm việc và giá trị của mình, làm thế nào tôi có thể tạo ra đóng góp lớn nhất cho những gì cần được thực hiện? Và cuối cùng, những kết quả nào phải đạt được để tạo ra sự khác biệt?</w:t>
      </w:r>
      <w:r>
        <w:rPr>
          <w:rStyle w:val="Text0"/>
        </w:rPr>
        <w:t/>
      </w:r>
      <w:r>
        <w:t xml:space="preserve"/>
      </w:r>
    </w:p>
    <w:p>
      <w:pPr>
        <w:pStyle w:val="Normal"/>
      </w:pPr>
      <w:r>
        <w:t xml:space="preserve">Hãy xem trải nghiệm của một quản trị viên bệnh viện mới được bổ nhiệm. Bệnh viện này lớn và có uy tín, nhưng nó đã sống bám vào danh tiếng suốt 30 năm. Vị quản trị viên mới quyết định rằng đóng góp của ông nên là thiết lập một tiêu chuẩn xuất sắc ở một lĩnh vực quan trọng trong vòng hai năm. Ông chọn tập trung vào phòng cấp cứu, nơi rộng lớn, dễ thấy và luộm thuộm. Ông quyết định rằng mọi bệnh nhân vào phòng cấp cứu phải được một y tá có chuyên môn thăm khám trong vòng 60 giây. Trong vòng 12 tháng, phòng cấp cứu của bệnh viện đã trở thành hình mẫu cho mọi bệnh viện ở Hoa Kỳ, và trong hai năm tiếp theo, toàn bộ bệnh viện đã được chuyển mình.</w:t>
        <w:bookmarkStart w:id="44" w:name="on"/>
        <w:t/>
        <w:bookmarkEnd w:id="44"/>
        <w:t xml:space="preserve"/>
      </w:r>
    </w:p>
    <w:p>
      <w:pPr>
        <w:pStyle w:val="Normal"/>
      </w:pPr>
      <w:r>
        <w:t>Như ví dụ này gợi ý, hiếm khi có thể—hoặc thậm chí đặc biệt hiệu quả—khi nhìn quá xa về phía trước. Một kế hoạch thường chỉ có thể bao phủ không quá 18 tháng mà vẫn đủ rõ ràng và cụ thể. Vì vậy, câu hỏi trong hầu hết các trường hợp nên là: Tôi có thể đạt được kết quả tạo ra sự khác biệt ở đâu và bằng cách nào trong vòng một năm rưỡi tới? Câu trả lời phải cân bằng nhiều điều. Thứ nhất, kết quả nên khó đạt được—chúng nên đòi hỏi sự “kéo giãn” (stretching), để dùng từ thịnh hành hiện nay. Nhưng đồng thời, chúng nên nằm trong tầm với. Nhắm đến những kết quả không thể đạt được—hoặc chỉ có thể đạt được trong những hoàn cảnh khó xảy ra nhất—không phải là tham vọng; đó là dại dột. Thứ hai, kết quả nên có ý nghĩa. Chúng nên tạo ra sự khác biệt. Cuối cùng, kết quả nên hữu hình và, nếu có thể, đo lường được. Từ đó sẽ hình thành một lộ trình hành động: làm gì, bắt đầu từ đâu và như thế nào, và đặt ra những mục tiêu và thời hạn nào.</w:t>
      </w:r>
    </w:p>
    <w:p>
      <w:pPr>
        <w:pStyle w:val="Heading 1"/>
      </w:pPr>
      <w:r>
        <w:t>Trách Nhiệm Với Các Mối Quan Hệ</w:t>
      </w:r>
    </w:p>
    <w:p>
      <w:pPr>
        <w:pStyle w:val="Normal"/>
      </w:pPr>
      <w:r>
        <w:t>Rất ít người làm việc một mình và đạt được kết quả một mình—một vài nghệ sĩ lớn, một vài nhà khoa học lớn, một vài vận động viên lớn. Hầu hết mọi người làm việc với người khác và hiệu quả khi ở cùng người khác. Điều đó đúng dù họ là thành viên của một tổ chức hay làm việc độc lập. Quản trị bản thân đòi hỏi phải nhận trách nhiệm với các mối quan hệ. Điều này có hai phần.</w:t>
      </w:r>
    </w:p>
    <w:p>
      <w:pPr>
        <w:pStyle w:val="Normal"/>
      </w:pPr>
      <w:r>
        <w:t xml:space="preserve">Phần thứ nhất là chấp nhận sự thật rằng những người khác cũng là những cá nhân như chính bạn vậy. Họ ngang bướng khăng khăng cư xử như con người. Điều này có nghĩa là họ cũng có điểm mạnh của họ; họ cũng có cách hoàn thành công việc của họ; họ cũng có giá trị của họ. Vì vậy, để hiệu quả, bạn phải biết điểm mạnh, cách thức làm việc và giá trị của đồng nghiệp.</w:t>
        <w:bookmarkStart w:id="45" w:name="values"/>
        <w:t/>
        <w:bookmarkEnd w:id="45"/>
        <w:t xml:space="preserve"/>
      </w:r>
    </w:p>
    <w:p>
      <w:pPr>
        <w:pStyle w:val="Normal"/>
      </w:pPr>
      <w:r>
        <w:t xml:space="preserve">Điều đó nghe có vẻ hiển nhiên, nhưng ít người chú ý đến nó. Điển hình là người được huấn luyện viết báo cáo trong nhiệm vụ đầu tiên vì vị sếp đó là người thích đọc. Ngay cả khi vị sếp tiếp theo là người thích nghe, người đó vẫn tiếp tục viết báo cáo và, không đổi, chẳng tạo ra kết quả gì. Không đổi, vị sếp sẽ nghĩ nhân viên đó ngốc nghếch, kém cỏi và lười biếng, và người đó sẽ thất bại. Nhưng điều đó lẽ ra đã có thể tránh được nếu nhân viên đó chỉ cần nhìn vào vị sếp mới và phân tích cách vị sếp này làm việc.</w:t>
      </w:r>
      <w:r>
        <w:rPr>
          <w:rStyle w:val="Text0"/>
        </w:rPr>
        <w:t/>
      </w:r>
      <w:r>
        <w:t xml:space="preserve"/>
      </w:r>
    </w:p>
    <w:p>
      <w:pPr>
        <w:pStyle w:val="Normal"/>
      </w:pPr>
      <w:r>
        <w:t>Sếp không phải là một chức danh trên sơ đồ tổ chức cũng không phải là một “chức năng”. Họ là những cá nhân và có quyền làm công việc của họ theo cách họ làm tốt nhất. Trách nhiệm thuộc về những người làm việc cùng họ là quan sát họ, tìm hiểu cách họ làm việc, và tự điều chỉnh để phù hợp với điều khiến sếp của họ hiệu quả nhất. Thực ra, đây chính là bí quyết để “quản trị” sếp.</w:t>
      </w:r>
    </w:p>
    <w:p>
      <w:pPr>
        <w:pStyle w:val="Normal"/>
      </w:pPr>
      <w:r>
        <w:t>Điều tương tự cũng đúng với tất cả đồng nghiệp của bạn. Mỗi người làm việc theo cách của họ, không phải cách của bạn. Và mỗi người có quyền làm việc theo cách của họ. Điều quan trọng là họ có thể hiện tốt hay không và giá trị của họ là gì. Còn về cách họ làm việc—mỗi người có khả năng làm khác nhau. Bí quyết đầu tiên của sự hiệu quả là hiểu những người bạn làm việc cùng và phụ thuộc vào để bạn có thể tận dụng điểm mạnh, cách làm việc và giá trị của họ. Các mối quan hệ công việc dựa trên con người nhiều như dựa trên công việc vậy.</w:t>
      </w:r>
    </w:p>
    <w:p>
      <w:pPr>
        <w:pStyle w:val="Normal"/>
      </w:pPr>
      <w:r>
        <w:t>Phần thứ hai của trách nhiệm quan hệ là nhận trách nhiệm về giao tiếp. Bất cứ khi nào tôi, hay bất kỳ nhà tư vấn nào khác, bắt đầu làm việc với một tổ chức, điều đầu tiên tôi nghe thấy là tất cả những xung đột cá tính. Hầu hết những xung đột này nảy sinh từ thực tế là mọi người không biết những người khác đang làm gì và họ làm công việc của họ như thế nào, hoặc những người khác đang tập trung vào đóng góp gì và họ kỳ vọng kết quả gì. Và lý do họ không biết là vì họ đã không hỏi và do đó đã không được nói cho biết.</w:t>
      </w:r>
    </w:p>
    <w:p>
      <w:pPr>
        <w:pStyle w:val="Normal"/>
      </w:pPr>
      <w:r>
        <w:t xml:space="preserve">Việc không hỏi này phản ánh sự ngu ngốc của con người ít hơn là phản ánh lịch sử loài người. Cho đến gần đây, việc nói cho bất kỳ ai bất kỳ điều gì trong số này là không cần thiết. Ở thành phố thời trung cổ, mọi người trong một khu phố đều làm cùng một nghề. Ở vùng nông thôn, mọi người trong một thung lũng đều trồng cùng một loại cây ngay khi sương giá tan khỏi mặt đất. Ngay cả số ít người làm những việc không “phổ biến” cũng làm việc một mình, nên họ không cần phải nói cho ai biết họ đang làm gì.</w:t>
        <w:bookmarkStart w:id="46" w:name="same"/>
        <w:t/>
        <w:bookmarkEnd w:id="46"/>
        <w:t xml:space="preserve"/>
      </w:r>
    </w:p>
    <w:p>
      <w:pPr>
        <w:pStyle w:val="Normal"/>
      </w:pPr>
      <w:r>
        <w:t>Ngày nay, đại đa số mọi người làm việc với những người khác có nhiệm vụ và trách nhiệm khác nhau. Phó chủ tịch marketing có thể xuất thân từ bộ phận bán hàng và biết mọi thứ về bán hàng, nhưng cô ấy không biết gì về những việc cô ấy chưa từng làm—định giá, quảng cáo, đóng gói, và những thứ tương tự. Vì vậy, những người làm những việc này phải đảm bảo rằng phó chủ tịch marketing hiểu họ đang cố gắng làm gì, tại sao họ cố gắng làm điều đó, họ sẽ làm điều đó như thế nào, và kỳ vọng kết quả gì.</w:t>
      </w:r>
    </w:p>
    <w:p>
      <w:pPr>
        <w:pStyle w:val="Normal"/>
      </w:pPr>
      <w:r>
        <w:t>Nếu phó chủ tịch marketing không hiểu những chuyên gia tri thức cao cấp này đang làm gì, thì lỗi chủ yếu thuộc về họ, không phải cô ấy. Họ đã không giúp cô ấy hiểu. Ngược lại, trách nhiệm của phó chủ tịch marketing là đảm bảo rằng tất cả đồng nghiệp của cô ấy hiểu cách cô ấy nhìn nhận marketing: mục tiêu của cô ấy là gì, cô ấy làm việc như thế nào, và cô ấy kỳ vọng gì ở bản thân và ở từng người trong số họ.</w:t>
      </w:r>
    </w:p>
    <w:p>
      <w:pPr>
        <w:pStyle w:val="Normal"/>
      </w:pPr>
      <w:r>
        <w:t>Ngay cả những người hiểu tầm quan trọng của việc nhận trách nhiệm với các mối quan hệ cũng thường không giao tiếp đầy đủ với cộng sự của mình. Họ sợ bị coi là tự phụ, tọc mạch hoặc ngốc nghếch. Họ đã sai. Bất cứ khi nào ai đó đến gặp cộng sự của mình và nói: “Đây là điều tôi giỏi. Đây là cách tôi làm việc. Đây là những giá trị của tôi. Đây là đóng góp tôi dự định tập trung vào và những kết quả tôi được kỳ vọng sẽ mang lại,” phản hồi luôn là: “Điều này rất hữu ích. Nhưng tại sao bạn không nói với tôi sớm hơn?”</w:t>
      </w:r>
    </w:p>
    <w:p>
      <w:pPr>
        <w:pStyle w:val="Normal"/>
      </w:pPr>
      <w:r>
        <w:t>Và người ta nhận được phản ứng tương tự—không có ngoại lệ, theo kinh nghiệm của tôi—nếu người đó tiếp tục hỏi: “Và tôi cần biết gì về điểm mạnh của bạn, cách bạn làm việc, giá trị của bạn, và đóng góp bạn dự kiến?” Thực tế, những người lao động tri thức nên yêu cầu điều này từ tất cả những người họ làm việc cùng, dù là cấp dưới, cấp trên, đồng nghiệp hay thành viên nhóm. Và một lần nữa, bất cứ khi nào điều này được thực hiện, phản ứng luôn là: “Cảm ơn vì đã hỏi tôi. Nhưng tại sao bạn không hỏi tôi sớm hơn?”</w:t>
      </w:r>
    </w:p>
    <w:p>
      <w:pPr>
        <w:pStyle w:val="Normal"/>
      </w:pPr>
      <w:r>
        <w:t xml:space="preserve">Các tổ chức không còn được xây dựng trên sức mạnh mà trên lòng tin. Sự tồn tại của lòng tin giữa người với người không nhất thiết có nghĩa là họ thích nhau. Nó có nghĩa là họ hiểu nhau. Vì vậy, nhận trách nhiệm với các mối quan hệ là một điều cần thiết tuyệt đối. Đó là một nghĩa vụ. Dù một người là thành viên của tổ chức, nhà tư vấn cho tổ chức, nhà cung cấp hay nhà phân phối, người đó đều mắc nợ trách nhiệm đó với tất cả cộng sự của mình: những người mà công việc của họ mà mình phụ thuộc vào cũng như những người phụ thuộc vào công việc của mình.</w:t>
        <w:bookmarkStart w:id="47" w:name="like"/>
        <w:t/>
        <w:bookmarkEnd w:id="47"/>
        <w:t xml:space="preserve"/>
      </w:r>
    </w:p>
    <w:p>
      <w:pPr>
        <w:pStyle w:val="Heading 1"/>
      </w:pPr>
      <w:r>
        <w:t>Nửa Sau Cuộc Đời Bạn</w:t>
      </w:r>
    </w:p>
    <w:p>
      <w:pPr>
        <w:pStyle w:val="Normal"/>
      </w:pPr>
      <w:r>
        <w:t>Khi công việc của hầu hết mọi người là lao động chân tay, không cần phải lo lắng về nửa sau cuộc đời bạn. Bạn chỉ đơn giản tiếp tục làm những gì bạn vẫn luôn làm. Và nếu bạn đủ may mắn sống sót sau 40 năm làm việc vất vả trong nhà máy hoặc trên đường sắt, bạn khá hạnh phúc khi dành phần đời còn lại để không làm gì cả. Tuy nhiên, ngày nay, hầu hết công việc là công việc tri thức, và những người lao động tri thức không “xong việc” sau 40 năm làm việc, họ chỉ đơn thuần là chán.</w:t>
      </w:r>
    </w:p>
    <w:p>
      <w:pPr>
        <w:pStyle w:val="Normal"/>
      </w:pPr>
      <w:r>
        <w:t>Chúng ta nghe rất nhiều về khủng hoảng tuổi trung niên của các nhà điều hành. Phần lớn đó là sự buồn chán. Ở tuổi 45, hầu hết các nhà điều hành đã đạt đến đỉnh cao sự nghiệp kinh doanh của họ, và họ biết điều đó. Sau 20 năm làm những công việc rất giống nhau, họ rất giỏi trong công việc của mình. Nhưng họ không còn học hỏi hay đóng góp hay nhận được thử thách và sự thỏa mãn từ công việc. Vậy mà họ vẫn có khả năng phải đối mặt với 20 nếu không phải 25 năm làm việc nữa. Đó là lý do tại sao việc quản trị bản thân ngày càng dẫn dắt một người bắt đầu sự nghiệp thứ hai.</w:t>
      </w:r>
    </w:p>
    <w:p>
      <w:pPr>
        <w:pStyle w:val="Normal"/>
      </w:pPr>
      <w:r>
        <w:t>Có ba cách để phát triển sự nghiệp thứ hai. Cách thứ nhất là thực sự bắt đầu một sự nghiệp mới. Thường thì việc này chỉ đơn giản là chuyển từ loại hình tổ chức này sang loại hình tổ chức khác: chẳng hạn, một kiểm soát viên bộ phận (divisional controller) ở một tập đoàn lớn trở thành kiểm soát viên của một bệnh viện quy mô vừa. Nhưng cũng ngày càng có nhiều người chuyển hẳn sang những lĩnh vực công việc hoàn toàn khác: ví dụ như một giám đốc doanh nghiệp hay quan chức chính phủ bước vào con đường tu sĩ ở tuổi 45; hay một quản lý cấp trung rời bỏ đời sống công ty sau 20 năm để theo học trường luật và trở thành một luật sư ở thị trấn nhỏ.</w:t>
      </w:r>
    </w:p>
    <w:p>
      <w:pPr>
        <w:pStyle w:val="Normal"/>
      </w:pPr>
      <w:r>
        <w:t xml:space="preserve">Chúng ta sẽ thấy nhiều người đạt được thành công khiêm tốn trong công việc đầu tiên của mình bắt đầu sự nghiệp thứ hai hơn nữa. Những người như vậy có kỹ năng đáng kể, và họ biết cách làm việc. Họ cần một cộng đồng—ngôi nhà trở nên trống trải khi con cái đã rời đi—và họ cũng cần thu nhập. Nhưng trên hết, họ cần thử thách.</w:t>
        <w:bookmarkStart w:id="48" w:name="community"/>
        <w:t/>
        <w:bookmarkEnd w:id="48"/>
        <w:t/>
      </w:r>
    </w:p>
    <w:p>
      <w:pPr>
        <w:pStyle w:val="Normal"/>
      </w:pPr>
      <w:r>
        <w:t>Cách thứ hai để chuẩn bị cho nửa sau cuộc đời bạn là phát triển một sự nghiệp song song (parallel career). Nhiều người rất thành công trong sự nghiệp đầu tiên của họ vẫn tiếp tục công việc họ đang làm, dù là toàn thời gian, bán thời gian hay với tư cách cố vấn. Nhưng thêm vào đó, họ tạo ra một công việc song song, thường là ở một tổ chức phi lợi nhuận, chiếm thêm mười giờ làm việc mỗi tuần. Chẳng hạn, họ có thể đảm nhận việc quản trị nhà thờ của mình, hoặc làm chủ tịch hội đồng Hướng đạo sinh nữ địa phương. Họ có thể điều hành một trung tâm bảo trợ phụ nữ bị bạo hành, làm thủ thư thiếu nhi cho thư viện công cộng địa phương, tham gia hội đồng trường học, vân vân.</w:t>
      </w:r>
    </w:p>
    <w:p>
      <w:pPr>
        <w:pStyle w:val="Normal"/>
      </w:pPr>
      <w:r>
        <w:t>Cuối cùng, có những doanh nhân xã hội (social entrepreneurs). Đây thường là những người đã rất thành công trong sự nghiệp đầu tiên của họ. Họ yêu thích công việc của mình, nhưng nó không còn thử thách họ nữa. Trong nhiều trường hợp, họ vẫn tiếp tục làm những gì họ đã làm bấy lâu nay nhưng dành ngày càng ít thời gian cho nó. Họ cũng bắt đầu một hoạt động khác, thường là một tổ chức phi lợi nhuận. Ví dụ, người bạn Bob Buford của tôi đã xây dựng một công ty truyền hình rất thành công mà ông vẫn đang điều hành. Nhưng ông cũng đã sáng lập và xây dựng một tổ chức phi lợi nhuận thành công làm việc với các nhà thờ Tin lành, và ông đang xây dựng một tổ chức khác để dạy các doanh nhân xã hội cách quản lý các dự án phi lợi nhuận của riêng họ trong khi vẫn điều hành doanh nghiệp ban đầu của mình.</w:t>
      </w:r>
    </w:p>
    <w:p>
      <w:pPr>
        <w:pStyle w:val="Normal"/>
      </w:pPr>
      <w:r>
        <w:t>Những người quản lý nửa sau cuộc đời mình có thể luôn là thiểu số. Đa số có thể “nghỉ hưu tại chỗ” và đếm từng năm cho đến khi thực sự nghỉ hưu. Nhưng chính thiểu số này, những người đàn ông và phụ nữ coi tuổi thọ làm việc dài là một cơ hội cho cả bản thân họ và cho xã hội, sẽ trở thành những nhà lãnh đạo và hình mẫu.</w:t>
      </w:r>
    </w:p>
    <w:p>
      <w:pPr>
        <w:pStyle w:val="Normal"/>
      </w:pPr>
      <w:r>
        <w:t>Có một điều kiện tiên quyết để quản lý nửa sau cuộc đời bạn: Bạn phải bắt đầu từ rất lâu trước khi bước vào giai đoạn đó. Khi lần đầu tiên trở nên rõ ràng 30 năm trước rằng tuổi thọ làm việc đang kéo dài rất nhanh, nhiều nhà quan sát (bao gồm cả tôi) tin rằng những người về hưu sẽ ngày càng trở thành tình nguyện viên cho các tổ chức phi lợi nhuận. Điều đó đã không xảy ra. Nếu một người không bắt đầu làm tình nguyện trước khoảng 40 tuổi, người đó sẽ không làm tình nguyện khi đã qua 60.</w:t>
      </w:r>
    </w:p>
    <w:p>
      <w:pPr>
        <w:pStyle w:val="Normal"/>
      </w:pPr>
      <w:r>
        <w:bookmarkStart w:id="49" w:name="Similarly"/>
        <w:t>Tương tự, tất cả các doanh nhân xã hội mà tôi biết đều bắt đầu làm việc trong lĩnh vực thứ hai mà họ đã chọn từ rất lâu trước khi họ đạt đến đỉnh cao trong công việc kinh doanh ban đầu của mình. Hãy xem ví dụ về một luật sư thành công, cố vấn pháp lý cho một tập đoàn lớn, người đã bắt đầu một dự án thành lập các trường học kiểu mẫu ở tiểu bang của mình. Ông bắt đầu làm công việc pháp lý tình nguyện cho các trường học khi ông khoảng 35 tuổi. Ông được bầu vào hội đồng trường học ở tuổi 40. Ở tuổi 50, khi đã tích lũy được một gia tài, ông bắt đầu dự án riêng của mình để xây dựng và điều hành các trường học kiểu mẫu. Tuy nhiên, ông vẫn làm việc gần như toàn thời gian với tư cách là cố vấn trưởng tại công ty mà ông đã góp phần sáng lập khi còn là một luật sư trẻ.</w:t>
        <w:bookmarkEnd w:id="49"/>
        <w:t xml:space="preserve"/>
      </w:r>
    </w:p>
    <w:p>
      <w:pPr>
        <w:pStyle w:val="Normal"/>
      </w:pPr>
      <w:r>
        <w:t>Có một lý do khác để phát triển một mối quan tâm lớn thứ hai, và phát triển nó sớm. Không ai có thể mong đợi sống lâu mà không trải qua một thất bại nghiêm trọng trong cuộc sống hoặc công việc của mình. Có kỹ sư giỏi bị bỏ qua khi thăng chức ở tuổi 45. Có giáo sư đại học giỏi nhận ra ở tuổi 42 rằng cô sẽ không bao giờ có được chức giáo sư tại một trường đại học lớn, mặc dù cô có thể hoàn toàn đủ tiêu chuẩn cho vị trí đó. Có những bi kịch trong đời sống gia đình: sự tan vỡ của hôn nhân hay sự mất mát của một đứa con. Vào những lúc như vậy, một mối quan tâm lớn thứ hai—không chỉ là một sở thích—có thể tạo nên tất cả sự khác biệt. Ví dụ, người kỹ sư giờ đây biết rằng anh ta đã không thực sự thành công trong công việc của mình. Nhưng trong hoạt động bên ngoài của anh ta—chẳng hạn như làm thủ quỹ nhà thờ—anh ta là một người thành công. Gia đình của một người có thể tan vỡ, nhưng trong hoạt động bên ngoài đó vẫn còn một cộng đồng.</w:t>
      </w:r>
    </w:p>
    <w:p>
      <w:pPr>
        <w:pStyle w:val="Normal"/>
      </w:pPr>
      <w:r>
        <w:t>Trong một xã hội mà thành công đã trở nên quan trọng khủng khiếp, việc có các lựa chọn sẽ ngày càng trở nên sống còn. Về mặt lịch sử, không có thứ gọi là “thành công.” Đại đa số mọi người không mong đợi gì ngoài việc ở yên trong “vị trí thích hợp” của mình, như một lời cầu nguyện cổ của người Anh đã nói. Sự dịch chuyển duy nhất là sự dịch chuyển đi xuống.</w:t>
      </w:r>
    </w:p>
    <w:p>
      <w:pPr>
        <w:pStyle w:val="Normal"/>
      </w:pPr>
      <w:r>
        <w:t xml:space="preserve">Tuy nhiên, trong một xã hội tri thức (knowledge society), chúng ta kỳ vọng mọi người đều thành công. Điều này rõ ràng là bất khả thi. Đối với rất nhiều người, tốt nhất chỉ là không có thất bại. Bất cứ nơi nào có thành công, thì phải có thất bại. Và khi đó, điều cực kỳ quan trọng đối với cá nhân, và cũng quan trọng không kém đối với gia đình của cá nhân đó, là có một lĩnh vực mà trong đó họ có thể đóng góp, tạo ra sự khác biệt, và trở thành một ai đó. Điều đó có nghĩa là tìm kiếm một lĩnh vực thứ hai—dù là trong sự nghiệp thứ hai, sự nghiệp song song, hay một dự án xã hội—mang lại cơ hội để trở thành người lãnh đạo, để được tôn trọng, để thành công.</w:t>
      </w:r>
      <w:r>
        <w:rPr>
          <w:rStyle w:val="Text0"/>
        </w:rPr>
        <w:t/>
      </w:r>
      <w:r>
        <w:t xml:space="preserve"/>
        <w:bookmarkStart w:id="50" w:name="or"/>
        <w:t/>
        <w:bookmarkEnd w:id="50"/>
        <w:t xml:space="preserve"/>
      </w:r>
    </w:p>
    <w:p>
      <w:pPr>
        <w:pStyle w:val="Normal"/>
      </w:pPr>
      <w:r>
        <w:t>Những thách thức của việc tự quản lý bản thân có vẻ hiển nhiên, nếu không muốn nói là sơ đẳng. Và các câu trả lời có vẻ tự hiển nhiên đến mức có vẻ ngây thơ. Nhưng việc tự quản lý bản thân đòi hỏi những điều mới mẻ và chưa từng có từ cá nhân, và đặc biệt là từ người lao động tri thức (knowledge worker). Thực chất, việc tự quản lý bản thân đòi hỏi mỗi người lao động tri thức phải suy nghĩ và hành xử như một giám đốc điều hành. Hơn nữa, sự chuyển dịch từ những người lao động chân tay làm theo những gì họ được bảo sang những người lao động tri thức phải tự quản lý bản thân thách thức sâu sắc cấu trúc xã hội. Mọi xã hội hiện hữu, ngay cả xã hội đề cao cá nhân nhất, đều mặc nhiên coi hai điều là hiển nhiên, dù chỉ trong tiềm thức: rằng các tổ chức tồn tại lâu hơn người lao động, và rằng hầu hết mọi người ở yên một chỗ.</w:t>
      </w:r>
    </w:p>
    <w:p>
      <w:pPr>
        <w:pStyle w:val="Normal"/>
      </w:pPr>
      <w:r>
        <w:t>Nhưng ngày nay điều ngược lại mới đúng. Người lao động tri thức tồn tại lâu hơn các tổ chức, và họ có tính cơ động. Do đó, nhu cầu tự quản lý bản thân đang tạo ra một cuộc cách mạng trong các vấn đề của con người.</w:t>
      </w:r>
    </w:p>
    <w:p>
      <w:pPr>
        <w:pStyle w:val="Para 046"/>
      </w:pPr>
      <w:r>
        <w:t>Xuất bản lần đầu vào tháng 1 năm 1999. Tái bản R0501K</w:t>
      </w:r>
      <w:r>
        <w:rPr>
          <w:rStyle w:val="Text2"/>
        </w:rPr>
        <w:t xml:space="preserve"/>
      </w:r>
      <w:r>
        <w:rPr>
          <w:rStyle w:val="Text9"/>
        </w:rPr>
        <w:t/>
      </w:r>
    </w:p>
    <w:p>
      <w:bookmarkStart w:id="51" w:name="Management_Time__Who_s_Got_the_M"/>
      <w:bookmarkStart w:id="52" w:name="Top_of_07_Manageme_xhtml"/>
      <w:pPr>
        <w:pStyle w:val="Para 043"/>
        <w:pageBreakBefore w:val="on"/>
      </w:pPr>
      <w:r>
        <w:bookmarkStart w:id="53" w:name="Management"/>
        <w:t>Thời gian quản lý: Ai đang giữ con khỉ?</w:t>
        <w:bookmarkEnd w:id="53"/>
        <w:t xml:space="preserve"/>
      </w:r>
      <w:bookmarkEnd w:id="51"/>
      <w:bookmarkEnd w:id="52"/>
    </w:p>
    <w:p>
      <w:pPr>
        <w:pStyle w:val="Para 045"/>
      </w:pPr>
      <w:r>
        <w:t>bởi William Oncken, Jr., và Donald L. Wass</w:t>
      </w:r>
    </w:p>
    <w:p>
      <w:pPr>
        <w:pStyle w:val="Normal"/>
      </w:pPr>
      <w:r>
        <w:rPr>
          <w:rStyle w:val="Text4"/>
        </w:rPr>
        <w:t>TẠI SAO CÁC NHÀ QUẢN LÝ thường hết thời gian trong khi cấp dưới của họ thường hết việc để làm? Ở đây chúng ta sẽ khám phá ý nghĩa của thời gian quản lý (management time) khi nó liên quan đến sự tương tác giữa các nhà quản lý với sếp của họ, đồng cấp của họ, và cấp dưới của họ.</w:t>
      </w:r>
      <w:r>
        <w:t xml:space="preserve"/>
      </w:r>
    </w:p>
    <w:p>
      <w:pPr>
        <w:pStyle w:val="Normal"/>
      </w:pPr>
      <w:r>
        <w:t>Cụ thể, chúng ta sẽ xử lý ba loại thời gian quản lý:</w:t>
      </w:r>
    </w:p>
    <w:p>
      <w:pPr>
        <w:pStyle w:val="Para 071"/>
      </w:pPr>
      <w:r>
        <w:rPr>
          <w:rStyle w:val="Text0"/>
        </w:rPr>
        <w:t>Thời gian do sếp áp đặt (boss-imposed time)—dùng để hoàn thành những hoạt động mà sếp yêu cầu và nhà quản lý không thể bỏ qua nếu không chịu hình phạt trực tiếp và nhanh chóng.</w:t>
      </w:r>
      <w:r>
        <w:t/>
      </w:r>
    </w:p>
    <w:p>
      <w:pPr>
        <w:pStyle w:val="Para 077"/>
      </w:pPr>
      <w:r>
        <w:rPr>
          <w:rStyle w:val="Text0"/>
        </w:rPr>
        <w:t>Thời gian do hệ thống áp đặt (system-imposed time)—dùng để đáp ứng các yêu cầu từ đồng cấp về sự hỗ trợ tích cực. Việc bỏ qua những yêu cầu này cũng sẽ dẫn đến hình phạt, mặc dù không phải lúc nào cũng trực tiếp hoặc nhanh chóng.</w:t>
      </w:r>
      <w:r>
        <w:t/>
      </w:r>
    </w:p>
    <w:p>
      <w:pPr>
        <w:pStyle w:val="Para 077"/>
      </w:pPr>
      <w:r>
        <w:rPr>
          <w:rStyle w:val="Text0"/>
        </w:rPr>
        <w:t>Thời gian tự áp đặt (self-imposed time)—dùng để làm những việc mà nhà quản lý tự khởi xướng hoặc đồng ý làm. Tuy nhiên, một phần nhất định của loại thời gian này sẽ bị cấp dưới chiếm lấy và được gọi là thời gian do cấp dưới áp đặt (subordinate-imposed time). Phần còn lại sẽ là của riêng nhà quản lý và được gọi là thời gian tùy ý (discretionary time). Thời gian tự áp đặt không phải chịu hình phạt vì cả sếp lẫn hệ thống đều không thể kỷ luật nhà quản lý vì đã không làm những gì họ không hề biết là ông ta đã có ý định làm ngay từ đầu.</w:t>
      </w:r>
      <w:r>
        <w:t xml:space="preserve"/>
      </w:r>
      <w:r>
        <w:rPr>
          <w:rStyle w:val="Text0"/>
        </w:rPr>
        <w:t/>
      </w:r>
      <w:r>
        <w:t xml:space="preserve"/>
      </w:r>
      <w:r>
        <w:rPr>
          <w:rStyle w:val="Text0"/>
        </w:rPr>
        <w:t/>
      </w:r>
      <w:r>
        <w:t/>
      </w:r>
    </w:p>
    <w:p>
      <w:pPr>
        <w:pStyle w:val="Normal"/>
      </w:pPr>
      <w:r>
        <w:bookmarkStart w:id="54" w:name="To"/>
        <w:t>Để đáp ứng những yêu cầu đó, các nhà quản lý cần kiểm soát thời điểm và nội dung của những gì họ làm. Vì những gì sếp và hệ thống áp đặt lên họ đều phải chịu hình phạt, các nhà quản lý không thể can thiệp vào những yêu cầu đó. Do đó, thời gian tự áp đặt của họ trở thành lĩnh vực quan tâm chính của họ.</w:t>
        <w:bookmarkEnd w:id="54"/>
        <w:t xml:space="preserve"/>
      </w:r>
    </w:p>
    <w:p>
      <w:pPr>
        <w:pStyle w:val="Normal"/>
      </w:pPr>
      <w:r>
        <w:t>Các nhà quản lý nên cố gắng tăng phần tùy ý của thời gian tự áp đặt bằng cách giảm thiểu hoặc loại bỏ phần do cấp dưới áp đặt. Sau đó, họ sẽ dùng phần tăng thêm đó để kiểm soát tốt hơn các hoạt động do sếp áp đặt và do hệ thống áp đặt. Hầu hết các nhà quản lý dành nhiều thời gian hơn cho các vấn đề của cấp dưới so với mức họ mơ hồ nhận ra. Do đó, chúng ta sẽ dùng phép ẩn dụ con khỉ trên lưng (monkey-on-the-back) để xem xét thời gian do cấp dưới áp đặt hình thành như thế nào và cấp trên có thể làm gì với nó.</w:t>
      </w:r>
    </w:p>
    <w:p>
      <w:pPr>
        <w:pStyle w:val="Heading 1"/>
      </w:pPr>
      <w:r>
        <w:t>Con khỉ ở đâu?</w:t>
      </w:r>
    </w:p>
    <w:p>
      <w:pPr>
        <w:pStyle w:val="Normal"/>
      </w:pPr>
      <w:r>
        <w:t>Chúng ta hãy tưởng tượng một nhà quản lý đang đi dọc hành lang và anh ta nhận thấy một trong những cấp dưới của mình, Jones, đang đi về phía anh ta. Khi hai người gặp nhau, Jones chào nhà quản lý: “Chào buổi sáng. À, nhân tiện, chúng ta có một vấn đề. Anh thấy đấy . . . .” Khi Jones tiếp tục nói, nhà quản lý nhận ra trong vấn đề này hai đặc điểm chung cho tất cả các vấn đề mà cấp dưới của anh ta tự ý mang đến cho anh ta chú ý. Cụ thể là, nhà quản lý biết (a) đủ để tham gia, nhưng (b) không đủ để đưa ra quyết định ngay tại chỗ mà người ta mong đợi ở anh ta. Cuối cùng, nhà quản lý nói: “Rất vui vì anh đã nêu vấn đề này. Hiện tại tôi đang vội. Trong lúc đó, để tôi suy nghĩ đã, rồi tôi sẽ cho anh biết.” Sau đó anh ta và Jones chia tay.</w:t>
      </w:r>
    </w:p>
    <w:p>
      <w:pPr>
        <w:pStyle w:val="Normal"/>
      </w:pPr>
      <w:r>
        <w:t xml:space="preserve">Chúng ta hãy phân tích những gì vừa xảy ra. Trước khi hai người gặp nhau, “con khỉ” ở trên lưng ai? Của cấp dưới. Sau khi họ chia tay, nó ở trên lưng ai? Của nhà quản lý. Thời gian do cấp dưới áp đặt bắt đầu từ khoảnh khắc một con khỉ nhảy thành công từ lưng của cấp dưới sang lưng của cấp trên của họ và không kết thúc cho đến khi con khỉ được trả lại cho chủ sở hữu hợp pháp của nó để chăm sóc và nuôi dưỡng. Khi nhận con khỉ, nhà quản lý đã tự nguyện đảm nhận một vị trí cấp dưới so với cấp dưới của mình. Nghĩa là, anh ta đã cho phép Jones biến anh ta thành cấp dưới của cô ấy bằng cách làm hai việc mà một cấp dưới thường được kỳ vọng làm cho sếp—nhà quản lý đã nhận một trách nhiệm từ cấp dưới của mình, và nhà quản lý đã hứa với cô ấy một báo cáo tiến độ.</w:t>
        <w:bookmarkStart w:id="55" w:name="Jones"/>
        <w:t/>
        <w:bookmarkEnd w:id="55"/>
        <w:t xml:space="preserve"/>
      </w:r>
    </w:p>
    <w:p>
      <w:pPr>
        <w:pStyle w:val="Para 025"/>
      </w:pPr>
      <w:r>
        <w:t>Ý tưởng ngắn gọn</w:t>
      </w:r>
    </w:p>
    <w:p>
      <w:pPr>
        <w:pStyle w:val="Para 005"/>
      </w:pPr>
      <w:r>
        <w:t>Bạn đang chạy vội dọc hành lang. Một nhân viên chặn bạn lại và nói: “Chúng ta có một vấn đề.” Bạn cho rằng mình nên tham gia nhưng không thể đưa ra quyết định ngay tại chỗ. Bạn nói: “Để tôi suy nghĩ đã.”</w:t>
      </w:r>
    </w:p>
    <w:p>
      <w:pPr>
        <w:pStyle w:val="Para 005"/>
      </w:pPr>
      <w:r>
        <w:t xml:space="preserve">Bạn vừa cho phép một “con khỉ” nhảy từ lưng cấp dưới của bạn sang lưng bạn. Giờ bạn đang làm việc cho cấp dưới của mình. Nhận đủ nhiều con khỉ, và bạn sẽ không có thời gian để xử lý công việc thực sự của mình: hoàn thành các yêu cầu của chính sếp bạn và giúp đồng cấp tạo ra kết quả kinh doanh.</w:t>
      </w:r>
      <w:r>
        <w:rPr>
          <w:rStyle w:val="Text0"/>
        </w:rPr>
        <w:t/>
      </w:r>
      <w:r>
        <w:t xml:space="preserve"/>
      </w:r>
      <w:r>
        <w:rPr>
          <w:rStyle w:val="Text0"/>
        </w:rPr>
        <w:t/>
      </w:r>
      <w:r>
        <w:t xml:space="preserve"/>
      </w:r>
      <w:r>
        <w:rPr>
          <w:rStyle w:val="Text0"/>
        </w:rPr>
        <w:t/>
      </w:r>
      <w:r>
        <w:t xml:space="preserve"/>
      </w:r>
    </w:p>
    <w:p>
      <w:pPr>
        <w:pStyle w:val="Para 005"/>
      </w:pPr>
      <w:r>
        <w:t>Làm thế nào để tránh tích lũy khỉ? Hãy phát triển tính chủ động của cấp dưới, Oncken và Wass nói. Ví dụ, khi một nhân viên cố giao cho bạn một vấn đề, hãy làm rõ liệu anh ta nên: đề xuất và thực hiện một giải pháp, hành động rồi báo cáo ngay cho bạn, hay hành động và báo cáo kết quả trong một buổi cập nhật định kỳ.</w:t>
      </w:r>
    </w:p>
    <w:p>
      <w:pPr>
        <w:pStyle w:val="Para 005"/>
      </w:pPr>
      <w:r>
        <w:t>Khi bạn khuyến khích nhân viên tự xử lý những con khỉ của họ, họ có được những kỹ năng mới—và bạn giải phóng thời gian để làm công việc của chính mình.</w:t>
      </w:r>
    </w:p>
    <w:p>
      <w:pPr>
        <w:pStyle w:val="Normal"/>
      </w:pPr>
      <w:r>
        <w:t>Để chắc chắn sếp không bỏ sót điểm này, cô cấp dưới sau đó sẽ thò đầu vào văn phòng sếp và vui vẻ hỏi, “Dạo này thế nào rồi ạ?” (Đây gọi là giám sát.)</w:t>
      </w:r>
    </w:p>
    <w:p>
      <w:pPr>
        <w:pStyle w:val="Normal"/>
      </w:pPr>
      <w:r>
        <w:t>Hoặc hãy tưởng tượng khi kết thúc cuộc họp với Johnson, một cấp dưới khác, lời chào tạm biệt của sếp là, “Được rồi. Gửi tôi một bản ghi nhớ về việc đó nhé.”</w:t>
      </w:r>
    </w:p>
    <w:p>
      <w:pPr>
        <w:pStyle w:val="Normal"/>
      </w:pPr>
      <w:r>
        <w:t xml:space="preserve">Hãy phân tích tình huống này. Con khỉ giờ đang trên lưng cấp dưới vì nước đi tiếp theo thuộc về anh ta, nhưng nó đang ở tư thế sẵn sàng nhảy. Hãy để ý con khỉ đó. Johnson ngoan ngoãn viết bản ghi nhớ được yêu cầu và thả vào khay gửi đi của mình. Ngay sau đó, sếp nhặt nó từ khay thư đến và đọc. Giờ nước đi thuộc về ai? Của sếp. Nếu sếp không sớm hành động, ông sẽ nhận được một bản ghi nhớ nhắc nhở từ cấp dưới. (Đây là một hình thức giám sát khác.) Sếp càng trì hoãn lâu, cấp dưới càng bực bội (anh ta sẽ quay mòng mòng) và sếp càng thấy tội lỗi (tồn đọng thời gian do cấp dưới áp đặt sẽ ngày càng chất đống).</w:t>
        <w:bookmarkStart w:id="56" w:name="manager"/>
        <w:t/>
        <w:bookmarkEnd w:id="56"/>
        <w:t xml:space="preserve"/>
      </w:r>
    </w:p>
    <w:p>
      <w:pPr>
        <w:pStyle w:val="Para 025"/>
      </w:pPr>
      <w:r>
        <w:bookmarkStart w:id="57" w:name="Idea_2"/>
        <w:t>Ý tưởng trong thực hành</w:t>
        <w:bookmarkEnd w:id="57"/>
        <w:t xml:space="preserve"/>
      </w:r>
    </w:p>
    <w:p>
      <w:pPr>
        <w:pStyle w:val="Para 005"/>
      </w:pPr>
      <w:r>
        <w:t>Làm sao để trả khỉ về đúng chủ? Oncken, Wass, và Steven Covey (trong phần lời bạt cho bài viết kinh điển này) đưa ra những gợi ý sau.</w:t>
      </w:r>
    </w:p>
    <w:p>
      <w:pPr>
        <w:pStyle w:val="Para 017"/>
      </w:pPr>
      <w:r>
        <w:t>Hẹn lịch để xử lý khỉ</w:t>
      </w:r>
    </w:p>
    <w:p>
      <w:pPr>
        <w:pStyle w:val="Para 005"/>
      </w:pPr>
      <w:r>
        <w:t>Tránh bàn về bất kỳ con khỉ nào một cách tùy hứng—chẳng hạn khi bạn lướt qua cấp dưới ở hành lang. Bạn sẽ không truyền tải được mức độ nghiêm túc phù hợp. Thay vào đó, hãy hẹn lịch để thảo luận vấn đề.</w:t>
      </w:r>
    </w:p>
    <w:p>
      <w:pPr>
        <w:pStyle w:val="Para 017"/>
      </w:pPr>
      <w:r>
        <w:t>Xác định mức độ chủ động</w:t>
      </w:r>
    </w:p>
    <w:p>
      <w:pPr>
        <w:pStyle w:val="Para 005"/>
      </w:pPr>
      <w:r>
        <w:t>Nhân viên của bạn có thể thực hiện năm mức độ chủ động khi xử lý vấn đề trong công việc. Từ thấp đến cao, các mức đó là:</w:t>
      </w:r>
    </w:p>
    <w:p>
      <w:pPr>
        <w:pStyle w:val="Para 010"/>
      </w:pPr>
      <w:r>
        <w:t>1. Chờ được bảo phải làm gì.</w:t>
      </w:r>
    </w:p>
    <w:p>
      <w:pPr>
        <w:pStyle w:val="Para 010"/>
      </w:pPr>
      <w:r>
        <w:t>2. Hỏi xem nên làm gì.</w:t>
      </w:r>
    </w:p>
    <w:p>
      <w:pPr>
        <w:pStyle w:val="Para 010"/>
      </w:pPr>
      <w:r>
        <w:t>3. Đề xuất một hành động, rồi sau khi bạn phê duyệt thì triển khai.</w:t>
      </w:r>
    </w:p>
    <w:p>
      <w:pPr>
        <w:pStyle w:val="Para 010"/>
      </w:pPr>
      <w:r>
        <w:t>4. Tự hành động độc lập nhưng báo cho bạn ngay lập tức.</w:t>
      </w:r>
    </w:p>
    <w:p>
      <w:pPr>
        <w:pStyle w:val="Para 010"/>
      </w:pPr>
      <w:r>
        <w:t>5. Tự hành động độc lập và cập nhật cho bạn qua quy trình thường lệ.</w:t>
      </w:r>
    </w:p>
    <w:p>
      <w:pPr>
        <w:pStyle w:val="Para 005"/>
      </w:pPr>
      <w:r>
        <w:t>Khi nhân viên mang vấn đề đến cho bạn, hãy cấm dùng mức 1 hoặc 2. Thống nhất và gán mức 3, 4, hoặc 5 cho con khỉ. Dành không quá 15 phút để bàn về vấn đề.</w:t>
      </w:r>
    </w:p>
    <w:p>
      <w:pPr>
        <w:pStyle w:val="Para 017"/>
      </w:pPr>
      <w:r>
        <w:t>Thống nhất về cập nhật tiến độ</w:t>
      </w:r>
    </w:p>
    <w:p>
      <w:pPr>
        <w:pStyle w:val="Para 005"/>
      </w:pPr>
      <w:r>
        <w:t>Sau khi quyết định cách tiến hành, hãy thống nhất thời gian và địa điểm nhân viên sẽ báo cáo tiến độ cho bạn.</w:t>
      </w:r>
    </w:p>
    <w:p>
      <w:pPr>
        <w:pStyle w:val="Para 017"/>
      </w:pPr>
      <w:r>
        <w:t>Xem xét động cơ của chính bạn</w:t>
      </w:r>
    </w:p>
    <w:p>
      <w:pPr>
        <w:pStyle w:val="Para 005"/>
      </w:pPr>
      <w:r>
        <w:t>Một số nhà quản lý thầm lo rằng nếu khuyến khích cấp dưới chủ động hơn, họ sẽ trông kém mạnh mẽ, dễ bị tổn thương và kém hữu dụng hơn. Thay vào đó, hãy nuôi dưỡng cảm giác an toàn nội tâm để bạn có thể buông bỏ quyền kiểm soát trực tiếp và hỗ trợ nhân viên phát triển.</w:t>
      </w:r>
    </w:p>
    <w:p>
      <w:pPr>
        <w:pStyle w:val="Para 017"/>
      </w:pPr>
      <w:r>
        <w:t>Phát triển kỹ năng cho nhân viên</w:t>
      </w:r>
    </w:p>
    <w:p>
      <w:pPr>
        <w:pStyle w:val="Para 005"/>
      </w:pPr>
      <w:r>
        <w:t>Nhân viên cố giao khỉ đi khi họ thiếu mong muốn hoặc khả năng xử lý chúng. Hãy giúp nhân viên phát triển kỹ năng giải quyết vấn đề cần thiết. Ban đầu việc này tốn thời gian hơn là tự mình xử lý vấn đề—nhưng về lâu dài sẽ tiết kiệm thời gian.</w:t>
      </w:r>
    </w:p>
    <w:p>
      <w:pPr>
        <w:pStyle w:val="Para 017"/>
      </w:pPr>
      <w:r>
        <w:t>Nuôi dưỡng lòng tin</w:t>
      </w:r>
    </w:p>
    <w:p>
      <w:pPr>
        <w:pStyle w:val="Para 005"/>
      </w:pPr>
      <w:r>
        <w:t>Phát triển tính chủ động của nhân viên đòi hỏi mối quan hệ tin cậy giữa bạn và cấp dưới. Nếu họ sợ thất bại, họ sẽ tiếp tục mang khỉ đến cho bạn thay vì tự giải quyết vấn đề của mình. Để thúc đẩy lòng tin, hãy trấn an họ rằng mắc sai lầm là an toàn.</w:t>
      </w:r>
    </w:p>
    <w:p>
      <w:pPr>
        <w:pStyle w:val="Normal"/>
      </w:pPr>
      <w:r>
        <w:t>Hoặc giả sử một lần nữa rằng tại cuộc họp với cấp dưới thứ ba, Smith, sếp đồng ý cung cấp mọi hỗ trợ cần thiết cho một đề xuất quan hệ công chúng mà ông vừa yêu cầu Smith phát triển. Lời chào tạm biệt của sếp với cô là, “Cứ cho tôi biết tôi có thể giúp gì nhé.”</w:t>
      </w:r>
    </w:p>
    <w:p>
      <w:pPr>
        <w:pStyle w:val="Normal"/>
      </w:pPr>
      <w:r>
        <w:t>Giờ hãy phân tích tình huống này. Một lần nữa con khỉ ban đầu nằm trên lưng cấp dưới. Nhưng được bao lâu? Smith nhận ra rằng cô không thể cho sếp “biết” cho đến khi đề xuất của cô được sếp phê duyệt. Và từ kinh nghiệm, cô cũng nhận ra rằng đề xuất của cô có thể sẽ nằm trong cặp của sếp hàng tuần trước khi ông thực sự đụng tới. Ai mới thực sự giữ con khỉ? Ai sẽ kiểm tra ai? Sự quay mòng mòng và tắc nghẽn lại đang trên đà xuất hiện.</w:t>
      </w:r>
    </w:p>
    <w:p>
      <w:pPr>
        <w:pStyle w:val="Normal"/>
      </w:pPr>
      <w:r>
        <w:t>Cấp dưới thứ tư, Reed, vừa được chuyển từ bộ phận khác của công ty để anh ta có thể khởi động và cuối cùng quản lý một dự án kinh doanh mới thành lập. Sếp đã nói rằng họ nên sớm gặp nhau để vạch ra một bộ mục tiêu cho công việc mới, và thêm rằng, “Tôi sẽ phác thảo bản nháp đầu tiên để thảo luận với anh.”</w:t>
      </w:r>
    </w:p>
    <w:p>
      <w:pPr>
        <w:pStyle w:val="Normal"/>
      </w:pPr>
      <w:r>
        <w:t>Hãy phân tích tình huống này nữa. Cấp dưới có công việc mới (theo phân công chính thức) và toàn bộ trách nhiệm (theo ủy quyền chính thức), nhưng sếp mới là người có nước đi tiếp theo. Cho đến khi ông hành động, ông sẽ giữ con khỉ, và cấp dưới sẽ bị tê liệt.</w:t>
      </w:r>
    </w:p>
    <w:p>
      <w:pPr>
        <w:pStyle w:val="Normal"/>
      </w:pPr>
      <w:r>
        <w:t>Vì sao tất cả những chuyện này xảy ra? Bởi vì trong mỗi trường hợp, ngay từ đầu cả sếp và cấp dưới đều ngầm hoặc công khai cho rằng vấn đề đang xét là vấn đề chung. Con khỉ trong mỗi trường hợp bắt đầu sự nghiệp bằng cách cưỡi lên lưng cả hai người. Tất cả những gì nó cần làm là cử động nhầm chân, và—phụt!—cấp dưới khéo léo biến mất. Thế là sếp lại có thêm một món mới cho bộ sưu tập thú của mình. Tất nhiên, khỉ có thể được huấn luyện để không cử động nhầm chân. Nhưng ngay từ đầu ngăn chúng cưỡi lên hai lưng vẫn dễ hơn.</w:t>
      </w:r>
    </w:p>
    <w:p>
      <w:pPr>
        <w:pStyle w:val="Heading 1"/>
      </w:pPr>
      <w:r>
        <w:t>Ai đang làm việc cho ai?</w:t>
      </w:r>
    </w:p>
    <w:p>
      <w:pPr>
        <w:pStyle w:val="Normal"/>
      </w:pPr>
      <w:r>
        <w:t xml:space="preserve">Giả sử bốn cấp dưới này chu đáo và quan tâm đến thời gian của sếp đến mức họ cố gắng không để quá ba con khỉ nhảy từ lưng mỗi người sang lưng sếp trong một ngày. Trong một tuần năm ngày, sếp sẽ nhặt được 60 con khỉ đang gào thét—quá nhiều để có thể xử lý từng con một. Vì vậy, ông dành thời gian do cấp dưới áp đặt để tung hứng các “ưu tiên” của mình.</w:t>
        <w:bookmarkStart w:id="58" w:name="in"/>
        <w:t/>
        <w:bookmarkEnd w:id="58"/>
        <w:t xml:space="preserve"/>
      </w:r>
    </w:p>
    <w:p>
      <w:pPr>
        <w:pStyle w:val="Normal"/>
      </w:pPr>
      <w:r>
        <w:t>Chiều thứ Sáu muộn, người quản lý đang ở trong văn phòng, đóng cửa lại để có không gian riêng tư suy ngẫm tình hình, trong khi cấp dưới đang đợi bên ngoài để có cơ hội cuối cùng trước cuối tuần nhắc ông rằng ông sẽ phải “quyết định dứt khoát (fish or cut bait)”. Hãy tưởng tượng họ đang nói gì với nhau về người quản lý khi chờ đợi: “Đúng là nút thắt cổ chai. Ông ấy không thể quyết định được. Làm sao mà ai đó có thể leo lên cao như vậy trong công ty chúng ta mà lại không thể ra quyết định, chúng ta sẽ không bao giờ hiểu nổi.”</w:t>
      </w:r>
    </w:p>
    <w:p>
      <w:pPr>
        <w:pStyle w:val="Normal"/>
      </w:pPr>
      <w:r>
        <w:t>Tệ nhất là, lý do người quản lý không thể thực hiện bất kỳ “bước đi tiếp theo” nào trong số này là vì thời gian của ông gần như bị nuốt trọn bởi việc đáp ứng các yêu cầu do chính sếp áp đặt và hệ thống áp đặt. Để kiểm soát những nhiệm vụ đó, ông cần thời gian tùy ý (discretionary time), nhưng thời gian đó lại bị từ chối khi ông bận tâm với tất cả những con khỉ này. Người quản lý bị mắc kẹt trong một vòng luẩn quẩn. Nhưng thời gian đang trôi qua lãng phí (nói giảm nói tránh). Người quản lý gọi thư ký qua máy liên lạc nội bộ và bảo cô ấy nói với cấp dưới rằng ông sẽ không thể gặp họ cho đến sáng thứ Hai. Lúc 7 giờ tối, ông lái xe về nhà, với quyết tâm sắt đá sẽ quay lại văn phòng vào ngày mai để giải quyết công việc tồn đọng trong cuối tuần. Ông quay lại từ sáng sớm hôm sau chỉ để thấy, trên bãi cỏ gần nhất của sân golf đối diện cửa sổ văn phòng, một nhóm bốn người. Đoán xem là ai?</w:t>
      </w:r>
    </w:p>
    <w:p>
      <w:pPr>
        <w:pStyle w:val="Normal"/>
      </w:pPr>
      <w:r>
        <w:t>Thế là đủ. Giờ ông biết ai thực sự đang làm việc cho ai. Hơn nữa, giờ ông thấy rằng nếu ông thực sự hoàn thành trong cuối tuần này những gì ông đến để hoàn thành, tinh thần của cấp dưới sẽ tăng vọt đến mức mỗi người sẽ nâng giới hạn số lượng khỉ mà họ để nhảy từ lưng họ sang lưng ông. Nói ngắn gọn, giờ ông thấy, với sự sáng tỏ như một khải thị trên đỉnh núi, rằng càng giải quyết xong việc, ông càng tụt lại phía sau.</w:t>
      </w:r>
    </w:p>
    <w:p>
      <w:pPr>
        <w:pStyle w:val="Normal"/>
      </w:pPr>
      <w:r>
        <w:t>Ông rời văn phòng với tốc độ của một người chạy trốn khỏi bệnh dịch. Kế hoạch của ông? Để bù đắp cho một điều khác mà ông đã không có thời gian trong nhiều năm: một cuối tuần với gia đình. (Đây là một trong nhiều dạng thời gian tùy ý.)</w:t>
      </w:r>
    </w:p>
    <w:p>
      <w:pPr>
        <w:pStyle w:val="Normal"/>
      </w:pPr>
      <w:r>
        <w:bookmarkStart w:id="59" w:name="Sunday"/>
        <w:t>Tối Chủ nhật, ông tận hưởng mười tiếng ngủ ngon lành, không lo lắng, vì ông có kế hoạch rõ ràng cho thứ Hai. Ông sẽ loại bỏ thời gian do cấp dưới áp đặt. Đổi lại, ông sẽ có được một lượng thời gian tùy ý tương đương, một phần trong đó ông sẽ dành cho cấp dưới để đảm bảo rằng họ học được nghệ thuật quản lý khó nhưng bổ ích gọi là “Chăm sóc và Nuôi dưỡng Khỉ (The Care and Feeding of Monkeys).”</w:t>
        <w:bookmarkEnd w:id="59"/>
        <w:t xml:space="preserve"/>
      </w:r>
    </w:p>
    <w:p>
      <w:pPr>
        <w:pStyle w:val="Normal"/>
      </w:pPr>
      <w:r>
        <w:t>Người quản lý cũng sẽ còn dư nhiều thời gian tùy ý để kiểm soát thời điểm và nội dung không chỉ của thời gian do sếp áp đặt mà còn của thời gian do hệ thống áp đặt. Có thể mất nhiều tháng, nhưng so với tình trạng hiện tại, phần thưởng sẽ rất lớn. Mục tiêu cuối cùng của ông là quản lý thời gian của mình.</w:t>
      </w:r>
    </w:p>
    <w:p>
      <w:pPr>
        <w:pStyle w:val="Heading 1"/>
      </w:pPr>
      <w:r>
        <w:t>Loại bỏ những con khỉ</w:t>
      </w:r>
    </w:p>
    <w:p>
      <w:pPr>
        <w:pStyle w:val="Normal"/>
      </w:pPr>
      <w:r>
        <w:t>Người quản lý quay lại văn phòng sáng thứ Hai vừa đủ muộn để bốn cấp dưới của ông đã tụ tập bên ngoài văn phòng chờ gặp ông về những con khỉ của họ. Ông gọi họ vào từng người một. Mục đích của mỗi cuộc gặp là bắt một con khỉ, đặt nó lên bàn giữa hai người, và cùng nhau tìm ra cách mà bước đi tiếp theo có thể hợp lý thuộc về cấp dưới. Với một số con khỉ, điều đó sẽ cần chút nỗ lực. Bước đi tiếp theo của cấp dưới có thể khó nắm bắt đến mức người quản lý có thể quyết định—chỉ trong lúc này—đơn giản là để con khỉ ngủ trên lưng cấp dưới qua đêm và bảo người đó mang nó quay lại vào giờ hẹn sáng hôm sau để tiếp tục cùng tìm kiếm một bước đi thực chất hơn từ phía cấp dưới. (Khỉ ngủ qua đêm trên lưng cấp dưới cũng ngon giấc như trên lưng cấp trên vậy.)</w:t>
      </w:r>
    </w:p>
    <w:p>
      <w:pPr>
        <w:pStyle w:val="Normal"/>
      </w:pPr>
      <w:r>
        <w:t>Khi mỗi cấp dưới rời văn phòng, người quản lý được tưởng thưởng bằng cảnh tượng một con khỉ rời văn phòng trên lưng cấp dưới. Trong 24 giờ tiếp theo, cấp dưới sẽ không phải chờ người quản lý; thay vào đó, người quản lý sẽ chờ cấp dưới.</w:t>
      </w:r>
    </w:p>
    <w:p>
      <w:pPr>
        <w:pStyle w:val="Normal"/>
      </w:pPr>
      <w:r>
        <w:t>Sau đó, như để tự nhắc mình rằng không có luật nào cấm ông tham gia vào một bài tập mang tính xây dựng trong lúc chờ đợi, người quản lý tản bộ qua văn phòng cấp dưới, thò đầu vào cửa, và vui vẻ hỏi, “Tiến triển thế nào rồi?” (Thời gian dành cho việc này là thời gian tùy ý đối với người quản lý và là thời gian do sếp áp đặt đối với cấp dưới.)</w:t>
      </w:r>
    </w:p>
    <w:p>
      <w:pPr>
        <w:pStyle w:val="Para 049"/>
      </w:pPr>
      <w:r>
        <w:bookmarkStart w:id="60" w:name="Making"/>
        <w:t>Dành thời gian cho những con khỉ đột</w:t>
        <w:bookmarkEnd w:id="60"/>
        <w:t xml:space="preserve"/>
      </w:r>
    </w:p>
    <w:p>
      <w:pPr>
        <w:pStyle w:val="Para 103"/>
      </w:pPr>
      <w:r>
        <w:t>bởi Stephen R. Covey</w:t>
      </w:r>
    </w:p>
    <w:p>
      <w:pPr>
        <w:pStyle w:val="Para 007"/>
      </w:pPr>
      <w:r>
        <w:rPr>
          <w:rStyle w:val="Text2"/>
        </w:rPr>
        <w:t>KHI BILL ONCKEN VIẾT bài báo này vào năm 1974, các nhà quản lý đang ở trong tình thế tiến thoái lưỡng nan. Họ khao khát có cách giải phóng thời gian của mình, nhưng mệnh lệnh và kiểm soát (command and control) là hiện trạng. Các nhà quản lý cảm thấy họ không được phép trao quyền cho cấp dưới tự ra quyết định. Quá nguy hiểm. Quá rủi ro. Đó là lý do thông điệp của Oncken—trả con khỉ về cho chủ nhân hợp pháp của nó—liên quan đến một sự thay đổi mô hình tư duy (paradigm shift) cực kỳ quan trọng. Nhiều nhà quản lý đang làm việc ngày nay mang ơn ông.</w:t>
      </w:r>
      <w:r>
        <w:t xml:space="preserve"/>
      </w:r>
    </w:p>
    <w:p>
      <w:pPr>
        <w:pStyle w:val="Para 007"/>
      </w:pPr>
      <w:r>
        <w:t>Tuy nhiên, nói rằng nhiều điều đã thay đổi kể từ khuyến nghị cấp tiến của Oncken là một cách nói giảm nói tránh. Mệnh lệnh và kiểm soát như một triết lý quản lý gần như đã chết, và “trao quyền (empowerment)” là từ khóa của thời đại trong hầu hết các tổ chức đang cố gắng phát triển trong các thị trường toàn cầu cạnh tranh khốc liệt. Nhưng mệnh lệnh và kiểm soát vẫn ngoan cố tồn tại như một thông lệ phổ biến. Các nhà tư tưởng quản lý và các nhà điều hành đã phát hiện ra trong thập kỷ qua rằng các ông chủ không thể chỉ trả con khỉ lại cho cấp dưới rồi vui vẻ tiếp tục công việc của mình. Trao quyền cho cấp dưới là công việc khó khăn và phức tạp.</w:t>
      </w:r>
    </w:p>
    <w:p>
      <w:pPr>
        <w:pStyle w:val="Para 007"/>
      </w:pPr>
      <w:r>
        <w:t>Lý do: khi bạn trả vấn đề lại cho cấp dưới để họ tự giải quyết, bạn phải chắc chắn rằng họ có cả mong muốn và khả năng để làm điều đó. Như mọi nhà điều hành đều biết, điều đó không phải lúc nào cũng đúng. Một loạt vấn đề mới xuất hiện. Trao quyền thường có nghĩa là bạn phải phát triển con người, điều ban đầu tốn thời gian hơn nhiều so với việc tự mình giải quyết vấn đề.</w:t>
      </w:r>
    </w:p>
    <w:p>
      <w:pPr>
        <w:pStyle w:val="Para 007"/>
      </w:pPr>
      <w:r>
        <w:t>Cũng quan trọng không kém, trao quyền chỉ có thể phát triển mạnh khi toàn bộ tổ chức tin tưởng vào nó—khi các hệ thống chính thức và văn hóa phi chính thức ủng hộ nó. Các nhà quản lý cần được khen thưởng vì đã ủy quyền quyết định và phát triển con người. Nếu không, mức độ trao quyền thực sự trong một tổ chức sẽ thay đổi tùy theo niềm tin và thực hành của từng nhà quản lý.</w:t>
      </w:r>
    </w:p>
    <w:p>
      <w:pPr>
        <w:pStyle w:val="Para 007"/>
      </w:pPr>
      <w:r>
        <w:t>Nhưng có lẽ bài học quan trọng nhất về trao quyền là ủy quyền hiệu quả—kiểu mà Oncken ủng hộ—phụ thuộc vào mối quan hệ tin cậy giữa người quản lý và cấp dưới. Thông điệp của Oncken có thể đã đi trước thời đại, nhưng điều ông đề xuất vẫn là một giải pháp khá độc đoán. Về cơ bản, ông nói với các ông chủ, “Hãy trả vấn đề lại!” Ngày nay, chúng ta biết rằng cách tiếp cận này tự nó là quá độc đoán. Để ủy quyền hiệu quả, các nhà điều hành cần thiết lập một cuộc đối thoại liên tục với cấp dưới. Họ cần thiết lập một mối quan hệ đối tác. Suy cho cùng, nếu cấp dưới sợ thất bại trước mặt sếp, họ sẽ tiếp tục quay lại nhờ giúp đỡ thay vì thực sự chủ động.</w:t>
      </w:r>
    </w:p>
    <w:p>
      <w:pPr>
        <w:pStyle w:val="Para 007"/>
      </w:pPr>
      <w:r>
        <w:bookmarkStart w:id="61" w:name="Oncken_s"/>
        <w:t>Bài báo của Oncken cũng không đề cập đến một khía cạnh của ủy quyền mà tôi rất quan tâm trong hai thập kỷ qua—rằng nhiều nhà quản lý thực ra rất háo hức nhận lấy những con khỉ của cấp dưới. Gần như tất cả các nhà quản lý mà tôi trò chuyện đều đồng ý rằng nhân viên của họ chưa được sử dụng hết năng lực trong công việc hiện tại. Nhưng ngay cả một số nhà điều hành thành công nhất, có vẻ tự tin nhất cũng đã nói về việc khó khăn thế nào khi từ bỏ quyền kiểm soát cho cấp dưới.</w:t>
        <w:bookmarkEnd w:id="61"/>
        <w:t xml:space="preserve"/>
      </w:r>
      <w:r>
        <w:rPr>
          <w:rStyle w:val="Text0"/>
        </w:rPr>
        <w:t/>
      </w:r>
      <w:r>
        <w:t xml:space="preserve"/>
      </w:r>
    </w:p>
    <w:p>
      <w:pPr>
        <w:pStyle w:val="Para 007"/>
      </w:pPr>
      <w:r>
        <w:t>Tôi cho rằng sự háo hức kiểm soát đó bắt nguồn từ một niềm tin phổ biến, ăn sâu rằng phần thưởng trong cuộc sống là khan hiếm và mong manh. Dù họ học được điều đó từ gia đình, trường học hay thể thao, nhiều người xây dựng bản sắc bằng cách so sánh mình với người khác. Ví dụ, khi họ thấy người khác giành được quyền lực, thông tin, tiền bạc hoặc sự công nhận, họ trải nghiệm điều mà nhà tâm lý học Abraham Maslow gọi là “cảm giác thiếu hụt (a feeling of deficiency)”—một cảm giác rằng có thứ gì đó đang bị lấy đi khỏi họ. Điều đó khiến họ khó có thể thực sự vui mừng trước thành công của người khác—thậm chí của những người thân yêu của họ. Oncken ngụ ý rằng các nhà quản lý có thể dễ dàng trả lại hoặc từ chối những con khỉ, nhưng nhiều nhà quản lý có thể trong tiềm thức sợ rằng một cấp dưới chủ động sẽ khiến họ trông kém mạnh mẽ hơn một chút và dễ bị tổn thương hơn một chút.</w:t>
      </w:r>
    </w:p>
    <w:p>
      <w:pPr>
        <w:pStyle w:val="Para 007"/>
      </w:pPr>
      <w:r>
        <w:t>Vậy thì, làm thế nào các nhà quản lý phát triển được sự an toàn nội tâm, tâm lý “dư dả (abundance)”, để có thể từ bỏ quyền kiểm soát và tìm kiếm sự phát triển của những người xung quanh? Công việc tôi đã thực hiện với nhiều tổ chức cho thấy rằng những nhà quản lý sống chính trực theo một hệ giá trị dựa trên nguyên tắc có nhiều khả năng duy trì phong cách lãnh đạo trao quyền nhất.</w:t>
      </w:r>
    </w:p>
    <w:p>
      <w:pPr>
        <w:pStyle w:val="Para 007"/>
      </w:pPr>
      <w:r>
        <w:t>Với thời đại mà ông viết, không có gì ngạc nhiên khi thông điệp của Oncken gây được tiếng vang với các nhà quản lý. Nhưng nó còn được củng cố bởi tài kể chuyện tuyệt vời của Oncken. Tôi quen biết Oncken trên diễn đàn diễn giả vào những năm 1970, và tôi luôn ấn tượng bởi cách ông kịch tính hóa các ý tưởng của mình bằng chi tiết sống động. Giống như truyện tranh Dilbert, Oncken có phong cách hài hước châm biếm (tongue-in-cheek) chạm đến cốt lõi nỗi bực bội của các nhà quản lý và khiến họ muốn giành lại quyền kiểm soát thời gian của mình. Và con khỉ trên lưng bạn không chỉ là một phép ẩn dụ đối với Oncken—nó là biểu tượng cá nhân của ông. Tôi đã vài lần thấy ông đi qua sân bay với một con khỉ nhồi bông trên vai.</w:t>
      </w:r>
    </w:p>
    <w:p>
      <w:pPr>
        <w:pStyle w:val="Para 007"/>
      </w:pPr>
      <w:r>
        <w:t xml:space="preserve">Tôi không ngạc nhiên khi bài báo của ông là một trong hai bài báo bán chạy nhất mọi thời đại của HBR. Ngay cả với tất cả những gì chúng ta biết về trao quyền, thông điệp sống động của nó thậm chí còn quan trọng và phù hợp hơn bây giờ so với 25 năm trước. Thật vậy, hiểu biết sâu sắc của Oncken là nền tảng cho công việc của riêng tôi về quản lý thời gian, trong đó tôi yêu cầu mọi người phân loại các hoạt động của họ theo mức độ khẩn cấp và quan trọng. Tôi đã nghe từ các nhà điều hành hết lần này đến lần khác rằng một nửa hoặc hơn thời gian của họ được dành cho những việc khẩn cấp nhưng không quan trọng. Họ bị mắc kẹt trong một chu kỳ vô tận xử lý những con khỉ của người khác, nhưng họ lại miễn cưỡng giúp những người đó tự chủ động. Kết quả là, họ thường quá bận để dành thời gian cần thiết cho những con khỉ đột thực sự trong tổ chức của họ. Bài báo của Oncken vẫn là một lời cảnh tỉnh mạnh mẽ cho các nhà quản lý cần ủy quyền hiệu quả.</w:t>
        <w:bookmarkStart w:id="62" w:name="cycle"/>
        <w:t/>
        <w:bookmarkEnd w:id="62"/>
        <w:t xml:space="preserve"/>
      </w:r>
    </w:p>
    <w:p>
      <w:pPr>
        <w:pStyle w:val="Para 104"/>
      </w:pPr>
      <w:r>
        <w:rPr>
          <w:rStyle w:val="Text2"/>
        </w:rPr>
        <w:t>Stephen R. Covey là phó chủ tịch của Franklin Covey Company, một nhà cung cấp toàn cầu các dịch vụ và sản phẩm phát triển lãnh đạo và năng suất.</w:t>
      </w:r>
      <w:r>
        <w:t xml:space="preserve"/>
      </w:r>
    </w:p>
    <w:p>
      <w:pPr>
        <w:pStyle w:val="Normal"/>
      </w:pPr>
      <w:r>
        <w:t>Khi cấp dưới (với con khỉ trên lưng) và người quản lý gặp nhau vào giờ hẹn ngày hôm sau, người quản lý giải thích các nguyên tắc cơ bản bằng những lời đại loại như sau:</w:t>
      </w:r>
    </w:p>
    <w:p>
      <w:pPr>
        <w:pStyle w:val="Normal"/>
      </w:pPr>
      <w:r>
        <w:t>“Bất cứ lúc nào tôi đang giúp bạn giải quyết vấn đề này hay bất kỳ vấn đề nào khác, vấn đề của bạn sẽ không bao giờ trở thành vấn đề của tôi. Ngay khi vấn đề của bạn trở thành của tôi, bạn không còn vấn đề nữa. Tôi không thể giúp một người không có vấn đề.</w:t>
      </w:r>
    </w:p>
    <w:p>
      <w:pPr>
        <w:pStyle w:val="Normal"/>
      </w:pPr>
      <w:r>
        <w:t>“Khi cuộc họp này kết thúc, vấn đề sẽ rời văn phòng này đúng như cách nó đến—trên lưng bạn. Bạn có thể nhờ tôi giúp đỡ vào bất kỳ giờ hẹn nào, và chúng ta sẽ cùng nhau xác định bước đi tiếp theo là gì và ai trong chúng ta sẽ thực hiện nó.</w:t>
      </w:r>
    </w:p>
    <w:p>
      <w:pPr>
        <w:pStyle w:val="Normal"/>
      </w:pPr>
      <w:r>
        <w:t>“Trong những trường hợp hiếm hoi khi bước đi tiếp theo hóa ra là của tôi, bạn và tôi sẽ cùng nhau xác định nó. Tôi sẽ không thực hiện bất kỳ bước đi nào một mình.”</w:t>
      </w:r>
    </w:p>
    <w:p>
      <w:pPr>
        <w:pStyle w:val="Normal"/>
      </w:pPr>
      <w:r>
        <w:t>Người quản lý tiếp tục theo cùng một hướng suy nghĩ này với từng cấp dưới cho đến khoảng 11 giờ sáng, khi ông nhận ra rằng mình không cần phải đóng cửa văn phòng nữa. Những con khỉ của ông đã biến mất. Chúng sẽ quay lại—nhưng chỉ theo lịch hẹn. Lịch của ông sẽ đảm bảo điều này.</w:t>
      </w:r>
    </w:p>
    <w:p>
      <w:pPr>
        <w:pStyle w:val="Heading 1"/>
      </w:pPr>
      <w:r>
        <w:t>Chuyển giao sự chủ động</w:t>
      </w:r>
    </w:p>
    <w:p>
      <w:pPr>
        <w:pStyle w:val="Normal"/>
      </w:pPr>
      <w:r>
        <w:t xml:space="preserve">Điều chúng ta đang hướng tới trong phép loại suy con khỉ trên lưng này là các nhà quản lý có thể chuyển sự chủ động trở lại cho cấp dưới và giữ nó ở đó. Chúng ta đã cố gắng làm nổi bật một chân lý hiển nhiên nhưng cũng tinh tế: đó là, trước khi phát triển sự chủ động ở cấp dưới, người quản lý phải đảm bảo rằng họ có sự chủ động. Một khi người quản lý lấy lại nó, ông sẽ không còn có nó nữa và ông có thể tạm biệt thời gian tùy ý của mình. Tất cả sẽ quay trở lại thành thời gian do cấp dưới áp đặt.</w:t>
        <w:bookmarkStart w:id="63" w:name="manager_1"/>
        <w:t/>
        <w:bookmarkEnd w:id="63"/>
        <w:t xml:space="preserve"/>
      </w:r>
      <w:r>
        <w:rPr>
          <w:rStyle w:val="Text0"/>
        </w:rPr>
        <w:t/>
      </w:r>
      <w:r>
        <w:t xml:space="preserve"/>
      </w:r>
    </w:p>
    <w:p>
      <w:pPr>
        <w:pStyle w:val="Normal"/>
      </w:pPr>
      <w:r>
        <w:t>Người quản lý và cấp dưới cũng không thể cùng lúc nắm giữ một sáng kiến giống nhau một cách hiệu quả. Câu mở đầu, “Sếp ơi, chúng ta có vấn đề rồi,” ngầm chứa tính hai mặt này và, như đã nói ở trên, thể hiện một con khỉ đang ngồi vắt vẻo trên lưng hai người, một cách khởi đầu rất tệ cho sự nghiệp của một con khỉ. Vậy nên, hãy dành vài phút để xem xét cái mà chúng tôi gọi là “Giải phẫu học về Sáng kiến của Người quản lý” (The Anatomy of Managerial Initiative).</w:t>
      </w:r>
    </w:p>
    <w:p>
      <w:pPr>
        <w:pStyle w:val="Normal"/>
      </w:pPr>
      <w:r>
        <w:t>Có năm mức độ sáng kiến mà người quản lý có thể thực hiện trong mối quan hệ với sếp và với hệ thống:</w:t>
      </w:r>
    </w:p>
    <w:p>
      <w:pPr>
        <w:pStyle w:val="Para 036"/>
      </w:pPr>
      <w:r>
        <w:t>1. chờ được bảo mới làm (sáng kiến thấp nhất);</w:t>
      </w:r>
    </w:p>
    <w:p>
      <w:pPr>
        <w:pStyle w:val="Para 036"/>
      </w:pPr>
      <w:r>
        <w:t>2. hỏi xem phải làm gì;</w:t>
      </w:r>
    </w:p>
    <w:p>
      <w:pPr>
        <w:pStyle w:val="Para 036"/>
      </w:pPr>
      <w:r>
        <w:t>3. đề xuất, rồi thực hiện hành động theo đó;</w:t>
      </w:r>
    </w:p>
    <w:p>
      <w:pPr>
        <w:pStyle w:val="Para 036"/>
      </w:pPr>
      <w:r>
        <w:t>4. hành động, nhưng báo cáo ngay lập tức;</w:t>
      </w:r>
    </w:p>
    <w:p>
      <w:pPr>
        <w:pStyle w:val="Para 036"/>
      </w:pPr>
      <w:r>
        <w:t>5. và tự hành động, sau đó báo cáo định kỳ (sáng kiến cao nhất).</w:t>
      </w:r>
    </w:p>
    <w:p>
      <w:pPr>
        <w:pStyle w:val="Normal"/>
      </w:pPr>
      <w:r>
        <w:t>Rõ ràng, người quản lý nên đủ chuyên nghiệp để không sa vào sáng kiến mức 1 và 2 trong mối quan hệ với sếp hay với hệ thống. Người quản lý dùng sáng kiến mức 1 không kiểm soát được thời điểm hay nội dung của thời gian do sếp áp đặt hoặc hệ thống áp đặt, và vì thế mất quyền phàn nàn về việc mình được bảo làm gì hay làm khi nào. Người quản lý dùng sáng kiến mức 2 kiểm soát được thời điểm nhưng không kiểm soát được nội dung. Sáng kiến mức 3, 4, và 5 giúp người quản lý kiểm soát cả hai, với mức kiểm soát lớn nhất nằm ở mức 5.</w:t>
      </w:r>
    </w:p>
    <w:p>
      <w:pPr>
        <w:pStyle w:val="Normal"/>
      </w:pPr>
      <w:r>
        <w:t>Trong mối quan hệ với cấp dưới, công việc của người quản lý có hai phần. Thứ nhất, cấm dùng sáng kiến mức 1 và 2, khiến cấp dưới không còn lựa chọn nào khác ngoài việc học và thành thạo “Công việc Nhân viên Hoàn chỉnh” (Completed Staff Work). Thứ hai, đảm bảo rằng với mỗi vấn đề rời khỏi văn phòng của mình, đều có một mức độ sáng kiến đã được thống nhất gắn cho nó, cùng với thời gian và địa điểm đã thống nhất cho cuộc họp tiếp theo giữa người quản lý và cấp dưới. Điều sau nên được ghi chú cẩn thận vào lịch của người quản lý.</w:t>
      </w:r>
    </w:p>
    <w:p>
      <w:pPr>
        <w:pStyle w:val="Heading 1"/>
      </w:pPr>
      <w:r>
        <w:bookmarkStart w:id="64" w:name="The"/>
        <w:t>Chăm sóc và Nuôi dưỡng Khỉ</w:t>
        <w:bookmarkEnd w:id="64"/>
        <w:t xml:space="preserve"/>
      </w:r>
    </w:p>
    <w:p>
      <w:pPr>
        <w:pStyle w:val="Normal"/>
      </w:pPr>
      <w:r>
        <w:t>Để làm rõ thêm phép so sánh giữa con khỉ trên lưng và các quy trình giao việc và kiểm soát, chúng ta sẽ nói ngắn gọn về lịch hẹn của người quản lý, vốn đòi hỏi năm quy tắc cứng rắn chi phối việc “Chăm sóc và Nuôi dưỡng Khỉ.” (Vi phạm các quy tắc này sẽ làm tốn thời gian tùy ý.)</w:t>
      </w:r>
    </w:p>
    <w:p>
      <w:pPr>
        <w:pStyle w:val="Heading 2"/>
      </w:pPr>
      <w:r>
        <w:t>Quy tắc 1</w:t>
      </w:r>
    </w:p>
    <w:p>
      <w:pPr>
        <w:pStyle w:val="Normal"/>
      </w:pPr>
      <w:r>
        <w:t>Khỉ nên được cho ăn hoặc bắn bỏ. Nếu không, chúng sẽ chết đói, và người quản lý sẽ lãng phí thời gian quý báu vào việc khám nghiệm tử thi hoặc cố gắng hồi sinh.</w:t>
      </w:r>
    </w:p>
    <w:p>
      <w:pPr>
        <w:pStyle w:val="Heading 2"/>
      </w:pPr>
      <w:r>
        <w:t>Quy tắc 2</w:t>
      </w:r>
    </w:p>
    <w:p>
      <w:pPr>
        <w:pStyle w:val="Normal"/>
      </w:pPr>
      <w:r>
        <w:t>Số lượng khỉ nên được giữ dưới mức tối đa mà người quản lý có thời gian cho ăn. Cấp dưới sẽ tìm được thời gian để làm bao nhiêu con khỉ tùy theo số lượng người quản lý có thời gian cho ăn, nhưng không hơn. Không nên mất quá năm đến 15 phút để cho một con khỉ được chăm sóc đúng cách ăn.</w:t>
      </w:r>
    </w:p>
    <w:p>
      <w:pPr>
        <w:pStyle w:val="Heading 2"/>
      </w:pPr>
      <w:r>
        <w:t>Quy tắc 3</w:t>
      </w:r>
    </w:p>
    <w:p>
      <w:pPr>
        <w:pStyle w:val="Normal"/>
      </w:pPr>
      <w:r>
        <w:t>Khỉ chỉ nên được cho ăn theo lịch hẹn. Người quản lý không nên phải đi săn những con khỉ đang chết đói và cho chúng ăn một cách chộp được lúc nào thì cho ăn lúc đó.</w:t>
      </w:r>
    </w:p>
    <w:p>
      <w:pPr>
        <w:pStyle w:val="Heading 2"/>
      </w:pPr>
      <w:r>
        <w:t>Quy tắc 4</w:t>
      </w:r>
    </w:p>
    <w:p>
      <w:pPr>
        <w:pStyle w:val="Normal"/>
      </w:pPr>
      <w:r>
        <w:t>Khỉ nên được cho ăn trực tiếp hoặc qua điện thoại, nhưng không bao giờ qua thư từ. (Hãy nhớ—với thư từ, nước đi tiếp theo sẽ thuộc về người quản lý.) Tài liệu có thể bổ trợ cho quá trình cho ăn, nhưng không thể thay thế việc cho ăn.</w:t>
      </w:r>
    </w:p>
    <w:p>
      <w:pPr>
        <w:pStyle w:val="Heading 2"/>
      </w:pPr>
      <w:r>
        <w:t>Quy tắc 5</w:t>
      </w:r>
    </w:p>
    <w:p>
      <w:pPr>
        <w:pStyle w:val="Normal"/>
      </w:pPr>
      <w:r>
        <w:t>Mỗi con khỉ nên có thời gian cho ăn tiếp theo và mức độ sáng kiến được ấn định. Những điều này có thể được điều chỉnh bất cứ lúc nào theo thỏa thuận chung nhưng không bao giờ được để trở nên mơ hồ hay không xác định. Nếu không, con khỉ sẽ hoặc chết đói hoặc cuối cùng nhảy lên lưng người quản lý.</w:t>
      </w:r>
    </w:p>
    <w:p>
      <w:pPr>
        <w:pStyle w:val="Normal"/>
      </w:pPr>
      <w:r>
        <w:bookmarkStart w:id="65" w:name=""/>
        <w:t>“Hãy kiểm soát thời điểm và nội dung của những gì bạn làm” là lời khuyên phù hợp để quản lý thời gian. Việc đầu tiên là người quản lý phải mở rộng thời gian tùy ý của mình bằng cách loại bỏ thời gian do cấp dưới áp đặt. Việc thứ hai là người quản lý dùng một phần thời gian tùy ý mới có được này để đảm bảo rằng mỗi cấp dưới thực sự có sáng kiến và áp dụng nó. Việc thứ ba là người quản lý dùng một phần khác của thời gian tùy ý tăng thêm để giành và giữ quyền kiểm soát thời điểm và nội dung của cả thời gian do sếp áp đặt lẫn thời gian do hệ thống áp đặt. Tất cả các bước này sẽ làm tăng đòn bẩy của người quản lý và giúp giá trị của mỗi giờ dành cho việc quản lý thời gian quản lý nhân lên không giới hạn về mặt lý thuyết.</w:t>
        <w:bookmarkEnd w:id="65"/>
        <w:t/>
      </w:r>
    </w:p>
    <w:p>
      <w:pPr>
        <w:pStyle w:val="Para 046"/>
      </w:pPr>
      <w:r>
        <w:t>Xuất bản lần đầu vào tháng 11 năm 1999. Tái bản 99609</w:t>
      </w:r>
      <w:r>
        <w:rPr>
          <w:rStyle w:val="Text2"/>
        </w:rPr>
        <w:t xml:space="preserve"/>
      </w:r>
      <w:r>
        <w:rPr>
          <w:rStyle w:val="Text9"/>
        </w:rPr>
        <w:t/>
      </w:r>
    </w:p>
    <w:p>
      <w:bookmarkStart w:id="66" w:name="How_Resilience_Works_by_Diane_L"/>
      <w:bookmarkStart w:id="67" w:name="Top_of_08_How_Resi_xhtml"/>
      <w:pPr>
        <w:pStyle w:val="Para 043"/>
        <w:pageBreakBefore w:val="on"/>
      </w:pPr>
      <w:r>
        <w:bookmarkStart w:id="68" w:name="How_1"/>
        <w:t>Sự Kiên Cường Vận Hành Như Thế Nào</w:t>
        <w:bookmarkEnd w:id="68"/>
        <w:t xml:space="preserve"/>
      </w:r>
      <w:bookmarkEnd w:id="66"/>
      <w:bookmarkEnd w:id="67"/>
    </w:p>
    <w:p>
      <w:pPr>
        <w:pStyle w:val="Para 045"/>
      </w:pPr>
      <w:r>
        <w:t>của Diane L. Coutu</w:t>
      </w:r>
    </w:p>
    <w:p>
      <w:pPr>
        <w:pStyle w:val="Normal"/>
      </w:pPr>
      <w:r>
        <w:rPr>
          <w:rStyle w:val="Text4"/>
        </w:rPr>
        <w:t>KHI TÔI BẮT ĐẦU SỰ NGHIỆP BÁO CHÍ—hồi đó tôi là phóng viên cho một tạp chí quốc gia—có một người đàn ông mà tôi sẽ gọi là Claus Schmidt. Ông ấy ở độ tuổi ngoài năm mươi, và trong đôi mắt dễ bị ấn tượng của tôi, ông là một nhà báo điển hình: đôi lúc hoài nghi, nhưng tò mò không ngừng và tràn đầy sức sống, và thường hài hước đến mức cười vỡ bụng theo kiểu khô khan như giấy nhám. Ông cho ra đời những bài bìa và bài đặc biệt sắc bén với tốc độ và sự thanh nhã mà tôi chỉ dám mơ ước. Tôi luôn kinh ngạc vì ông chưa bao giờ được thăng chức lên biên tập viên quản lý.</w:t>
      </w:r>
      <w:r>
        <w:t/>
      </w:r>
    </w:p>
    <w:p>
      <w:pPr>
        <w:pStyle w:val="Normal"/>
      </w:pPr>
      <w:r>
        <w:t>Nhưng những người hiểu Claus rõ hơn tôi không chỉ coi ông là một nhà báo giỏi mà còn là một người sống sót điển hình, một người đã trụ vững trong một môi trường thường thù địch với tài năng. Ông đã trải qua ít nhất ba lần thay đổi lớn trong ban lãnh đạo tạp chí, mất đi hầu hết bạn thân và đồng nghiệp trên đường đi. Ở nhà, hai người con của ông chống chọi với những căn bệnh nan y, và người con thứ ba thiệt mạng trong một tai nạn giao thông. Bất chấp tất cả—hoặc có lẽ chính vì thế—ngày này qua ngày khác, ông vẫn đi đi lại lại quanh tòa soạn, kèm cặp các phóng viên trẻ, kể về những cuốn tiểu thuyết ông đang viết—luôn hướng về những gì tương lai dành cho mình.</w:t>
      </w:r>
    </w:p>
    <w:p>
      <w:pPr>
        <w:pStyle w:val="Normal"/>
      </w:pPr>
      <w:r>
        <w:t xml:space="preserve">Vì sao một số người trải qua khó khăn thực sự mà không gục ngã? Claus Schmidt lẽ ra đã có thể phản ứng rất khác. Chúng ta đều từng thấy điều đó xảy ra: Một người dường như không thể lấy lại sự tự tin sau khi bị sa thải; một người khác, trầm cảm dai dẳng, mất vài năm sống tách khỏi cuộc đời sau khi ly hôn. Câu hỏi mà tất cả chúng ta đều muốn có lời giải đáp là, Vì sao? Chính xác thì phẩm chất kiên cường giúp con người vượt qua cuộc đời là gì?</w:t>
        <w:bookmarkStart w:id="69" w:name="layoff"/>
        <w:t/>
        <w:bookmarkEnd w:id="69"/>
        <w:t xml:space="preserve"/>
      </w:r>
    </w:p>
    <w:p>
      <w:pPr>
        <w:pStyle w:val="Normal"/>
      </w:pPr>
      <w:r>
        <w:t>Đó là câu hỏi đã mê hoặc tôi kể từ lần đầu tôi biết về những người sống sót sau thảm họa Holocaust hồi tiểu học. Vào đại học, và sau này trong quá trình nghiên cứu với tư cách học giả liên kết tại Boston Psychoanalytic Society and Institute, tôi quay lại chủ đề này. Tuy nhiên, trong vài tháng qua, tôi nhìn nó với một sự cấp bách mới, vì với tôi dường như chủ nghĩa khủng bố, chiến tranh, và suy thoái trong những tháng gần đây khiến việc hiểu về sự kiên cường trở nên quan trọng hơn bao giờ hết. Tôi đã xem xét cả bản chất của sự kiên cường cá nhân lẫn điều gì khiến một số tổ chức nhìn chung kiên cường hơn những tổ chức khác. Vì sao một số người và một số công ty gục ngã dưới áp lực? Và điều gì khiến những người khác cong đi nhưng cuối cùng bật trở lại?</w:t>
      </w:r>
    </w:p>
    <w:p>
      <w:pPr>
        <w:pStyle w:val="Normal"/>
      </w:pPr>
      <w:r>
        <w:t>Cuộc khám phá của tôi đã dạy tôi nhiều điều về sự kiên cường, dù đây là chủ đề không ai trong chúng ta sẽ từng hiểu trọn vẹn. Thật vậy, sự kiên cường là một trong những câu đố lớn của bản chất con người, giống như sự sáng tạo hay bản năng tôn giáo. Nhưng khi sàng lọc qua nghiên cứu tâm lý học và suy ngẫm về nhiều câu chuyện kiên cường mà tôi từng nghe, tôi đã nhìn sâu hơn một chút vào trái tim và tâm trí của những người như Claus Schmidt và, khi làm vậy, cũng nhìn sâu hơn vào tâm hồn con người.</w:t>
      </w:r>
    </w:p>
    <w:p>
      <w:pPr>
        <w:pStyle w:val="Heading 1"/>
      </w:pPr>
      <w:r>
        <w:t>Lời xì xào về khả năng phục hồi (resilience)</w:t>
      </w:r>
    </w:p>
    <w:p>
      <w:pPr>
        <w:pStyle w:val="Normal"/>
      </w:pPr>
      <w:r>
        <w:t xml:space="preserve">Khả năng phục hồi (resilience) đang là chủ đề nóng trong giới kinh doanh những ngày này. Cách đây không lâu, tôi có trò chuyện với một cộng sự cấp cao tại một công ty tư vấn danh tiếng về cách chiêu mộ những ứng viên MBA giỏi nhất – vốn là cuộc chơi chính trong ngành đó. Người cộng sự ấy, Daniel Savageau (không phải tên thật), liệt kê một loạt dài những phẩm chất mà công ty ông tìm kiếm ở ứng viên: thông minh, tham vọng, chính trực, khả năng phân tích, vân vân. “Còn khả năng phục hồi thì sao?” tôi hỏi. “À, cái đó đang rất thịnh hành,” ông nói. “Đó là từ khóa mới. Ứng viên thậm chí còn nói với chúng tôi rằng họ có khả năng phục hồi; họ tự nguyện khai ra điều đó. Nhưng nói thẳng ra, họ còn quá trẻ để biết điều đó về bản thân mình. Khả năng phục hồi là thứ bạn nhận ra mình có sau khi sự việc đã xảy ra.”</w:t>
      </w:r>
      <w:r>
        <w:rPr>
          <w:rStyle w:val="Text0"/>
        </w:rPr>
        <w:t/>
      </w:r>
      <w:r>
        <w:t xml:space="preserve"/>
      </w:r>
    </w:p>
    <w:p>
      <w:pPr>
        <w:pStyle w:val="Para 025"/>
      </w:pPr>
      <w:r>
        <w:bookmarkStart w:id="70" w:name="Idea_3"/>
        <w:t>Ý tưởng tóm tắt</w:t>
        <w:bookmarkEnd w:id="70"/>
        <w:t xml:space="preserve"/>
      </w:r>
    </w:p>
    <w:p>
      <w:pPr>
        <w:pStyle w:val="Para 005"/>
      </w:pPr>
      <w:r>
        <w:t>Đây là những ngày u ám: người ta mất việc, bị cắt giảm lương, nhà cửa bị xiết nợ. Một số người gục ngã – chìm vào trầm cảm hoặc đánh mất sự tự tin vĩnh viễn.</w:t>
      </w:r>
    </w:p>
    <w:p>
      <w:pPr>
        <w:pStyle w:val="Para 005"/>
      </w:pPr>
      <w:r>
        <w:t>Nhưng những người khác lại bật dậy; chẳng hạn, tận dụng việc bị sa thải để xây dựng sự nghiệp mới. Điều gì giúp họ vượt qua thời kỳ khó khăn? Khả năng phục hồi (resilience).</w:t>
      </w:r>
    </w:p>
    <w:p>
      <w:pPr>
        <w:pStyle w:val="Para 005"/>
      </w:pPr>
      <w:r>
        <w:t>Người có khả năng phục hồi sở hữu ba đặc điểm nổi bật: Họ bình tĩnh chấp nhận những thực tế khắc nghiệt đang đối mặt. Họ tìm thấy ý nghĩa trong những thời khắc tồi tệ. Và họ có khả năng ứng biến kỳ lạ, xoay xở với bất cứ thứ gì có trong tay.</w:t>
      </w:r>
    </w:p>
    <w:p>
      <w:pPr>
        <w:pStyle w:val="Para 005"/>
      </w:pPr>
      <w:r>
        <w:t>Trong những đợt suy thoái sâu, khả năng phục hồi trở nên quan trọng hơn bao giờ hết. May mắn thay, bạn có thể học để trở nên kiên cường.</w:t>
      </w:r>
    </w:p>
    <w:p>
      <w:pPr>
        <w:pStyle w:val="Normal"/>
      </w:pPr>
      <w:r>
        <w:t>“Nhưng nếu có thể, anh có kiểm tra phẩm chất đó khi tuyển dụng không?” tôi hỏi. “Nó có quan trọng trong kinh doanh không?”</w:t>
      </w:r>
    </w:p>
    <w:p>
      <w:pPr>
        <w:pStyle w:val="Normal"/>
      </w:pPr>
      <w:r>
        <w:t>Savageau ngập ngừng. Ông là người đàn ông ngoài bốn mươi và thành công cả về mặt cá nhân lẫn sự nghiệp. Nhưng con đường lên đỉnh của ông không hề bằng phẳng. Ông xuất thân là một người Canada gốc Pháp nghèo khó ở Woonsocket, Rhode Island, và mồ côi cha năm sáu tuổi. Ông may mắn có học bổng bóng bầu dục nhưng bị đuổi khỏi Boston University hai lần vì uống rượu. Ông thay đổi cuộc đời ở tuổi đôi mươi, kết hôn, ly hôn, tái hôn và nuôi năm đứa con. Trên hành trình đó, ông đã tạo dựng rồi đánh mất hai cơ nghiệp trước khi góp phần thành lập công ty tư vấn mà ông đang điều hành. “Có, nó quan trọng,” cuối cùng ông nói. “Thực ra, nó có lẽ quan trọng hơn bất kỳ tiêu chí thông thường nào mà chúng tôi tìm kiếm.” Trong quá trình thực hiện bài viết này, tôi nghe đi nghe lại nhận định đó. Như Dean Becker, chủ tịch kiêm CEO của Adaptiv Learning Systems, một công ty bốn năm tuổi ở King of Prussia, Pennsylvania, chuyên phát triển và cung cấp các chương trình đào tạo về khả năng phục hồi, đã nói: “Hơn cả học vấn, hơn cả kinh nghiệm, hơn cả đào tạo, mức độ phục hồi của một người sẽ quyết định ai thành công và ai thất bại. Điều đó đúng ở khoa ung thư, đúng ở Thế vận hội, và đúng ở phòng họp hội đồng quản trị.”</w:t>
      </w:r>
    </w:p>
    <w:p>
      <w:pPr>
        <w:pStyle w:val="Normal"/>
      </w:pPr>
      <w:r>
        <w:t>Nghiên cứu học thuật về khả năng phục hồi bắt đầu khoảng 40 năm trước với những nghiên cứu tiên phong của Norman Garmezy, nay là giáo sư danh dự tại University of Minnesota ở Minneapolis. Sau khi nghiên cứu vì sao</w:t>
      </w:r>
    </w:p>
    <w:p>
      <w:pPr>
        <w:pStyle w:val="Normal"/>
      </w:pPr>
      <w:r>
        <w:bookmarkStart w:id="71" w:name="many"/>
        <w:t>nhiều con của cha mẹ bị tâm thần phân liệt không bị tổn thương tâm lý do lớn lên cùng họ, ông kết luận rằng một phẩm chất phục hồi nhất định đóng vai trò lớn hơn trong sức khỏe tinh thần so với bất kỳ ai từng nghi ngờ trước đó.</w:t>
        <w:bookmarkEnd w:id="71"/>
        <w:t xml:space="preserve"/>
      </w:r>
    </w:p>
    <w:p>
      <w:pPr>
        <w:pStyle w:val="Normal"/>
      </w:pPr>
      <w:r>
        <w:t xml:space="preserve">Ngày nay, có vô số lý thuyết về điều gì tạo nên khả năng phục hồi. Khi quan sát những nạn nhân Holocaust, Maurice Vanderpol, cựu chủ tịch của Boston Psychoanalytic Society and Institute, nhận thấy nhiều người sống sót khỏe mạnh từ các trại tập trung có thứ mà ông gọi là “tấm khiên dẻo.” Tấm khiên ấy bao gồm nhiều yếu tố, trong đó có khiếu hài hước. Thường thì sự hài hước ấy mang màu sắc đen tối, nhưng dù sao nó vẫn mang lại một góc nhìn quan trọng. Những đặc điểm cốt lõi khác giúp ích bao gồm khả năng gắn kết với người khác và sở hữu một không gian tâm lý bên trong bảo vệ người sống sót khỏi sự xâm phạm của những kẻ ngược đãi. Nghiên cứu về các nhóm khác phát hiện những phẩm chất khác liên quan đến khả năng phục hồi. Search Institute, một tổ chức phi lợi nhuận có trụ sở tại Minneapolis tập trung vào khả năng phục hồi và thanh thiếu niên, nhận thấy những đứa trẻ kiên cường hơn có khả năng kỳ lạ trong việc khiến người lớn giúp đỡ chúng. Các nghiên cứu khác cho thấy thanh thiếu niên nội thành kiên cường thường có những tài năng như năng khiếu thể thao thu hút người khác đến với họ.</w:t>
        <w:bookmarkStart w:id="72" w:name="groups"/>
        <w:t/>
        <w:bookmarkEnd w:id="72"/>
        <w:t xml:space="preserve"/>
      </w:r>
    </w:p>
    <w:p>
      <w:pPr>
        <w:pStyle w:val="Para 025"/>
      </w:pPr>
      <w:r>
        <w:t>Áp dụng ý tưởng</w:t>
      </w:r>
    </w:p>
    <w:p>
      <w:pPr>
        <w:pStyle w:val="Para 005"/>
      </w:pPr>
      <w:r>
        <w:t>Khả năng phục hồi có thể giúp bạn sống sót và hồi phục ngay cả sau những trải nghiệm tàn khốc nhất. Để nuôi dưỡng khả năng phục hồi, hãy áp dụng những thực hành sau.</w:t>
      </w:r>
    </w:p>
    <w:p>
      <w:pPr>
        <w:pStyle w:val="Para 017"/>
      </w:pPr>
      <w:r>
        <w:t>Đối diện thẳng với thực tế</w:t>
      </w:r>
    </w:p>
    <w:p>
      <w:pPr>
        <w:pStyle w:val="Para 005"/>
      </w:pPr>
      <w:r>
        <w:t>Thay vì trượt vào trạng thái phủ nhận để đối phó với khó khăn, hãy có cái nhìn tỉnh táo, thực tế về hoàn cảnh của mình. Bạn sẽ chuẩn bị cho mình hành động theo những cách giúp bạn chịu đựng được – rèn luyện bản thân để sống sót trước khi sự việc xảy ra.</w:t>
      </w:r>
    </w:p>
    <w:p>
      <w:pPr>
        <w:pStyle w:val="Para 030"/>
      </w:pPr>
      <w:r>
        <w:rPr>
          <w:rStyle w:val="Text8"/>
        </w:rPr>
        <w:t>Ví dụ: Đô đốc Jim Stockdale sống sót sau khi bị Việt Cộng bắt làm tù binh và tra tấn một phần nhờ chấp nhận rằng mình có thể bị giam giữ trong thời gian dài. (Ông bị giam tám năm.) Những người không ra khỏi trại được cứ lạc quan cho rằng họ sẽ được thả theo những mốc thời gian ngắn hơn – vào Giáng sinh, vào Lễ Phục sinh, vào ngày Quốc khánh Mỹ. “Tôi nghĩ tất cả họ đều chết vì trái tim tan vỡ,” Stockdale nói.</w:t>
      </w:r>
      <w:r>
        <w:t xml:space="preserve"/>
      </w:r>
    </w:p>
    <w:p>
      <w:pPr>
        <w:pStyle w:val="Para 017"/>
      </w:pPr>
      <w:r>
        <w:t>Tìm kiếm ý nghĩa</w:t>
      </w:r>
    </w:p>
    <w:p>
      <w:pPr>
        <w:pStyle w:val="Para 005"/>
      </w:pPr>
      <w:r>
        <w:t>Khi thời kỳ khó khăn ập đến, hãy chống lại mọi thôi thúc xem mình là nạn nhân và kêu lên, “Sao lại là tôi?” Thay vào đó, hãy xây dựng những cách diễn giải về nỗi đau của mình để tạo ra ý nghĩa cho bản thân và người khác. Bạn sẽ bắc những cây cầu từ thử thách hiện tại đến một tương lai trọn vẹn, tốt đẹp hơn. Những cây cầu đó sẽ khiến hiện tại trở nên dễ quản lý hơn, bằng cách xóa bỏ cảm giác rằng hiện tại đang quá sức chịu đựng.</w:t>
      </w:r>
    </w:p>
    <w:p>
      <w:pPr>
        <w:pStyle w:val="Para 030"/>
      </w:pPr>
      <w:r>
        <w:rPr>
          <w:rStyle w:val="Text8"/>
        </w:rPr>
        <w:t>Ví dụ: Bác sĩ tâm thần người Áo và là người sống sót Auschwitz Victor Frankl nhận ra rằng để sống sót trong trại, ông phải tìm ra một mục đích nào đó. Ông đã làm điều đó bằng cách tưởng tượng mình đang thuyết giảng sau chiến tranh về tâm lý học của trại tập trung để giúp người ngoài hiểu những gì ông đã trải qua. Bằng cách tạo ra những mục tiêu cụ thể cho mình, ông đã vượt lên trên những đau khổ của thời khắc hiện tại.</w:t>
      </w:r>
      <w:r>
        <w:t xml:space="preserve"/>
      </w:r>
    </w:p>
    <w:p>
      <w:pPr>
        <w:pStyle w:val="Para 017"/>
      </w:pPr>
      <w:r>
        <w:t>Không ngừng ứng biến</w:t>
      </w:r>
    </w:p>
    <w:p>
      <w:pPr>
        <w:pStyle w:val="Para 005"/>
      </w:pPr>
      <w:r>
        <w:t>Khi thảm họa ập đến, hãy sáng tạo. Tận dụng tối đa những gì bạn có, đưa nguồn lực vào những mục đích xa lạ và tưởng tượng ra những khả năng mà người khác không nhìn thấy.</w:t>
      </w:r>
    </w:p>
    <w:p>
      <w:pPr>
        <w:pStyle w:val="Para 030"/>
      </w:pPr>
      <w:r>
        <w:rPr>
          <w:rStyle w:val="Text8"/>
        </w:rPr>
        <w:t>Ví dụ: Mike thành lập một doanh nghiệp với người bạn Paul, bán tài liệu giáo dục cho trường học, doanh nghiệp và công ty tư vấn. Khi suy thoái ập đến, họ mất nhiều khách hàng cốt lõi. Paul trải qua cuộc ly hôn cay đắng, bị trầm cảm và không thể làm việc. Khi Mike đề nghị mua lại phần của Paul, Paul kiện anh ta với cáo buộc Mike đang tìm cách chiếm đoạt doanh nghiệp.</w:t>
      </w:r>
      <w:r>
        <w:t xml:space="preserve"/>
      </w:r>
    </w:p>
    <w:p>
      <w:pPr>
        <w:pStyle w:val="Para 030"/>
      </w:pPr>
      <w:r>
        <w:t>Mike duy trì công ty bằng mọi cách có thể – tham gia liên doanh để bán tài liệu đào tạo tiếng Anh cho các đối thủ Nga và Trung Quốc, xuất bản bản tin cho khách hàng, thậm chí viết kịch bản video cho đối thủ. Vụ kiện cuối cùng được giải quyết theo hướng có lợi cho anh, và anh có một doanh nghiệp mới vững chắc hơn nhiều so với doanh nghiệp ban đầu.</w:t>
      </w:r>
    </w:p>
    <w:p>
      <w:pPr>
        <w:pStyle w:val="Normal"/>
      </w:pPr>
      <w:r>
        <w:t xml:space="preserve">Nhiều lý thuyết ban đầu về khả năng phục hồi nhấn mạnh vai trò của di truyền. Một số người sinh ra đã kiên cường, theo các lập luận đó. Dĩ nhiên điều đó có phần đúng, nhưng ngày càng nhiều bằng chứng thực nghiệm cho thấy khả năng phục hồi – dù ở trẻ em, người sống sót trại tập trung, hay doanh nghiệp trở về từ bờ vực – đều có thể học được. Chẳng hạn, George Vaillant, giám đốc Study of Adult Development tại Harvard Medical School ở Boston, quan sát thấy trong nhiều nhóm được nghiên cứu suốt 60 năm, một số người trở nên kiên cường rõ rệt hơn theo thời gian. Các nhà tâm lý học khác cho rằng người kém kiên cường có thể phát triển kỹ năng phục hồi dễ dàng hơn những người có lợi thế ban đầu.</w:t>
        <w:bookmarkStart w:id="73" w:name="people_1"/>
        <w:t/>
        <w:bookmarkEnd w:id="73"/>
        <w:t xml:space="preserve"/>
      </w:r>
    </w:p>
    <w:p>
      <w:pPr>
        <w:pStyle w:val="Normal"/>
      </w:pPr>
      <w:r>
        <w:t>Hầu hết các lý thuyết về khả năng phục hồi tôi gặp trong nghiên cứu đều rất hợp lẽ thường. Nhưng tôi cũng quan sát thấy hầu như mọi lý thuyết đều trùng nhau ở ba điểm. Họ đặt ra rằng người kiên cường sở hữu ba đặc điểm: sự chấp nhận thực tế vững vàng; niềm tin sâu sắc, thường được củng cố bởi những giá trị mạnh mẽ, rằng cuộc sống có ý nghĩa; và khả năng ứng biến kỳ lạ. Bạn có thể bật dậy sau khó khăn chỉ với một hoặc hai phẩm chất này, nhưng bạn chỉ thực sự kiên cường khi có đủ cả ba. Ba đặc điểm này cũng đúng với các tổ chức kiên cường. Hãy lần lượt xem xét từng đặc điểm.</w:t>
      </w:r>
    </w:p>
    <w:p>
      <w:pPr>
        <w:pStyle w:val="Heading 1"/>
      </w:pPr>
      <w:r>
        <w:t>Đối diện với thực tế</w:t>
      </w:r>
    </w:p>
    <w:p>
      <w:pPr>
        <w:pStyle w:val="Normal"/>
      </w:pPr>
      <w:r>
        <w:t xml:space="preserve">Một niềm tin phổ biến về khả năng phục hồi là nó bắt nguồn từ bản chất lạc quan. Điều đó đúng nhưng chỉ khi sự lạc quan ấy không bóp méo cảm nhận thực tế của bạn. Trong những tình huống cực kỳ bất lợi, lối suy nghĩ màu hồng thực ra có thể dẫn đến thảm họa. Điểm này được nhà nghiên cứu quản lý kiêm tác giả Jim Collins chỉ ra một cách sâu sắc với tôi, khi ông tình cờ phát hiện khái niệm này trong lúc nghiên cứu Good to Great, cuốn sách của ông về cách các công ty tự chuyển mình từ tầm thường thành xuất chúng. Collins có một linh cảm (một linh cảm hoàn toàn sai) rằng các công ty kiên cường chứa đầy những người lạc quan. Ông thử ý tưởng đó với Đô đốc Jim Stockdale, người bị Việt Cộng bắt làm tù binh và tra tấn suốt tám năm.</w:t>
      </w:r>
      <w:r>
        <w:rPr>
          <w:rStyle w:val="Text0"/>
        </w:rPr>
        <w:t/>
      </w:r>
      <w:r>
        <w:t/>
      </w:r>
    </w:p>
    <w:p>
      <w:pPr>
        <w:pStyle w:val="Normal"/>
      </w:pPr>
      <w:r>
        <w:t>Collins kể lại: “Tôi hỏi Stockdale: ‘Ai đã không ra khỏi trại được?’ Và ông ấy nói, ‘Ồ, dễ thôi. Đó là những người lạc quan. Họ là những người nói chúng ta sẽ ra ngoài vào Giáng sinh. Rồi họ nói chúng ta sẽ ra vào Lễ Phục sinh, rồi ra vào ngày Quốc khánh Mỹ, rồi ra vào Lễ Tạ ơn, và rồi lại đến Giáng sinh.’ Sau đó Stockdale quay sang tôi và nói, ‘Anh biết đấy, tôi nghĩ tất cả họ đều chết vì trái tim tan vỡ.’”</w:t>
      </w:r>
    </w:p>
    <w:p>
      <w:pPr>
        <w:pStyle w:val="Normal"/>
      </w:pPr>
      <w:r>
        <w:t xml:space="preserve">Trong thế giới kinh doanh, Collins nhận thấy thái độ không chớp mắt tương tự ở các nhà điều hành tại tất cả những công ty thành công nhất mà ông nghiên cứu. Giống như Stockdale, người kiên cường có cái nhìn rất tỉnh táo và thực tế về những phần của hiện thực có ý nghĩa sống còn. Điều đó không có nghĩa là sự lạc quan không có chỗ đứng: Chẳng hạn, khi vực dậy một đội ngũ bán hàng đang mất tinh thần, việc khơi dậy cảm giác về khả năng có thể là một công cụ rất mạnh. Nhưng với những thách thức lớn hơn, một cảm nhận thực tế điềm tĩnh, gần như bi quan, quan trọng hơn nhiều.</w:t>
        <w:bookmarkStart w:id="74" w:name="Like_1"/>
        <w:t/>
        <w:bookmarkEnd w:id="74"/>
        <w:t xml:space="preserve"/>
      </w:r>
    </w:p>
    <w:p>
      <w:pPr>
        <w:pStyle w:val="Normal"/>
      </w:pPr>
      <w:r>
        <w:t>Có lẽ bạn đang tự hỏi: “Tôi có thực sự hiểu—và chấp nhận—thực tế của hoàn cảnh mình không? Tổ chức của tôi thì sao?” Đó là những câu hỏi hay, đặc biệt vì nghiên cứu cho thấy hầu hết mọi người rơi vào trạng thái phủ nhận như một cơ chế đối phó. Đối mặt với thực tế, thực sự đối mặt với nó, là công việc mệt mỏi. Quả thật, nó có thể khó chịu và thường khiến ta đau lòng. Hãy xem câu chuyện sau đây về khả năng phục hồi của tổ chức, và xem việc đối mặt với thực tế nghĩa là gì.</w:t>
      </w:r>
    </w:p>
    <w:p>
      <w:pPr>
        <w:pStyle w:val="Normal"/>
      </w:pPr>
      <w:r>
        <w:t>Trước ngày 11 tháng 9 năm 2001, Morgan Stanley, ngân hàng đầu tư nổi tiếng, là khách thuê lớn nhất tại Trung tâm Thương mại Thế giới. Công ty có khoảng 2.700 nhân viên làm việc tại tòa tháp phía nam trên 22 tầng, từ tầng 43 đến tầng 74. Vào cái ngày kinh hoàng đó, chiếc máy bay đầu tiên đâm vào tòa tháp phía bắc lúc 8:46 sáng, và Morgan Stanley bắt đầu sơ tán chỉ một phút sau đó, lúc 8:47 sáng. Khi chiếc máy bay thứ hai đâm vào tòa tháp phía nam 15 phút sau đó, các văn phòng của Morgan Stanley gần như đã trống. Tổng cộng, công ty chỉ mất bảy nhân viên dù gần như bị đánh trúng trực diện.</w:t>
      </w:r>
    </w:p>
    <w:p>
      <w:pPr>
        <w:pStyle w:val="Normal"/>
      </w:pPr>
      <w:r>
        <w:t>Tất nhiên, tổ chức này chỉ đơn giản là may mắn khi ở tòa tháp thứ hai. Cantor Fitzgerald, có văn phòng bị tấn công đầu tiên, không thể làm gì để cứu nhân viên của mình. Dù vậy, chính chủ nghĩa hiện thực cứng rắn của Morgan Stanley đã giúp công ty tận dụng được vận may của mình. Ngay sau vụ tấn công năm 1993 vào Trung tâm Thương mại Thế giới, ban lãnh đạo cấp cao nhận ra rằng làm việc tại một trung tâm biểu tượng của quyền lực thương mại Hoa Kỳ như vậy khiến công ty dễ trở thành mục tiêu chú ý của bọn khủng bố và có thể bị tấn công.</w:t>
      </w:r>
    </w:p>
    <w:p>
      <w:pPr>
        <w:pStyle w:val="Normal"/>
      </w:pPr>
      <w:r>
        <w:t xml:space="preserve">Với nhận thức ảm đạm này, Morgan Stanley đã triển khai một chương trình chuẩn bị sẵn sàng ở cấp độ vi mô. Rất ít công ty coi trọng các buổi diễn tập phòng cháy chữa cháy. Morgan Stanley thì không như vậy, khi phó chủ tịch an ninh của Nhóm Nhà đầu tư Cá nhân, Rick Rescorla, đã mang kỷ luật quân đội vào công việc. Rescorla, bản thân là một cựu chiến binh Việt Nam được tặng thưởng huân chương và có khả năng phục hồi cao, đã đảm bảo mọi người được diễn tập đầy đủ về những việc cần làm khi xảy ra thảm họa. Khi thảm họa ập đến vào ngày 11 tháng 9, Rescorla đang cầm loa phóng thanh bảo các nhân viên Morgan Stanley giữ bình tĩnh và làm theo bài diễn tập đã được luyện tập kỹ lưỡng, dù một số người giám sát tòa nhà nói với những người bên trong rằng mọi thứ vẫn ổn. Đáng buồn thay, chính Rescorla, người có câu chuyện cuộc đời đã được đưa tin rộng rãi trong những tháng gần đây, là một trong bảy người đã không thoát ra được.</w:t>
        <w:bookmarkStart w:id="75" w:name="in_1"/>
        <w:t/>
        <w:bookmarkEnd w:id="75"/>
        <w:t xml:space="preserve"/>
      </w:r>
    </w:p>
    <w:p>
      <w:pPr>
        <w:pStyle w:val="Normal"/>
      </w:pPr>
      <w:r>
        <w:t>“Khi bạn làm trong ngành dịch vụ tài chính, nơi mọi thứ phụ thuộc rất nhiều vào công nghệ, việc lập kế hoạch dự phòng là một phần quan trọng trong hoạt động kinh doanh của bạn,” Chủ tịch kiêm COO Robert G. Scott nói. Nhưng Morgan Stanley đã chuẩn bị cho thực tế khắc nghiệt nhất. Công ty có không chỉ một, mà tới ba địa điểm phục hồi, nơi nhân viên có thể tập trung và công việc có thể tiếp tục nếu các địa điểm làm việc bị gián đoạn. “Nhiều địa điểm dự phòng có vẻ như một sự lãng phí khó tin vào ngày 10 tháng 9,” Scott thừa nhận. “Nhưng vào ngày 12 tháng 9, chúng có vẻ như là thiên tài.”</w:t>
      </w:r>
    </w:p>
    <w:p>
      <w:pPr>
        <w:pStyle w:val="Normal"/>
      </w:pPr>
      <w:r>
        <w:t>Có thể đó là thiên tài; chắc chắn đó là khả năng phục hồi đang vận hành. Thực tế là, khi chúng ta thực sự nhìn thẳng vào thực tế, chúng ta chuẩn bị cho mình hành động theo những cách giúp ta chịu đựng và sống sót qua nghịch cảnh phi thường. Chúng ta rèn luyện cách sống sót trước khi sự việc xảy ra.</w:t>
      </w:r>
    </w:p>
    <w:p>
      <w:pPr>
        <w:pStyle w:val="Heading 1"/>
      </w:pPr>
      <w:r>
        <w:t>Cuộc Tìm Kiếm Ý Nghĩa</w:t>
      </w:r>
    </w:p>
    <w:p>
      <w:pPr>
        <w:pStyle w:val="Normal"/>
      </w:pPr>
      <w:r>
        <w:t>Khả năng nhìn nhận thực tế có liên hệ chặt chẽ với khối xây dựng thứ hai của khả năng phục hồi, đó là xu hướng tạo ra ý nghĩa từ những thời điểm khủng khiếp. Chúng ta đều biết những người, khi gặp áp lực, giơ tay lên trời và kêu lên: “Sao chuyện này lại xảy ra với tôi?” Những người như vậy coi mình là nạn nhân, và việc trải qua khó khăn không mang lại bài học nào cho họ. Nhưng những người có khả năng phục hồi lại tạo ra những cách diễn giải về nỗi đau của mình để tạo ra một loại ý nghĩa nào đó cho bản thân và người khác.</w:t>
      </w:r>
    </w:p>
    <w:p>
      <w:pPr>
        <w:pStyle w:val="Normal"/>
      </w:pPr>
      <w:r>
        <w:t xml:space="preserve">Tôi có một người bạn mà tôi sẽ gọi là Jackie Oiseaux, người đã trải qua những cơn loạn thần lặp đi lặp lại trong suốt mười năm do chứng rối loạn lưỡng cực không được chẩn đoán. Ngày nay, cô ấy đảm nhận một công việc lớn tại một trong những công ty xuất bản hàng đầu của đất nước, có gia đình, và là một thành viên nổi bật của cộng đồng nhà thờ. Khi mọi người hỏi cô làm thế nào để vực dậy sau những khủng hoảng, cô đưa tay vuốt tóc. “Mọi người đôi khi nói, ‘Tại sao lại là tôi?’ Nhưng tôi luôn nói, ‘Tại sao lại không phải là tôi?’ Đúng là tôi đã mất nhiều thứ trong thời gian bị bệnh,” cô nói, “nhưng tôi đã tìm thấy nhiều hơn thế—những người bạn tuyệt vời đã ở bên tôi qua những thời điểm đen tối nhất và sẽ mang lại ý nghĩa cho cuộc đời tôi mãi mãi.”</w:t>
      </w:r>
      <w:r>
        <w:rPr>
          <w:rStyle w:val="Text0"/>
        </w:rPr>
        <w:t/>
      </w:r>
      <w:r>
        <w:t xml:space="preserve"/>
        <w:bookmarkStart w:id="76" w:name="more"/>
        <w:t/>
        <w:bookmarkEnd w:id="76"/>
        <w:t/>
      </w:r>
    </w:p>
    <w:p>
      <w:pPr>
        <w:pStyle w:val="Normal"/>
      </w:pPr>
      <w:r>
        <w:t>Động lực tạo ra ý nghĩa này, theo hầu hết các nhà nghiên cứu, là cách những người có khả năng phục hồi xây dựng những cây cầu từ khó khăn hiện tại đến một tương lai đầy đủ hơn, được xây dựng tốt hơn. Những cây cầu đó khiến hiện tại trở nên có thể quản lý được, vì thiếu một từ hay hơn, loại bỏ cảm giác rằng hiện tại đang quá sức chịu đựng. Khái niệm này đã được Viktor E. Frankl, một bác sĩ tâm thần người Áo và là người sống sót sau trại Auschwitz, diễn đạt một cách tuyệt đẹp. Giữa những đau khổ khủng khiếp, Frankl đã phát minh ra “liệu pháp ý nghĩa” (meaning therapy), một kỹ thuật trị liệu nhân văn giúp các cá nhân đưa ra những quyết định tạo ra ý nghĩa trong cuộc sống của họ.</w:t>
      </w:r>
    </w:p>
    <w:p>
      <w:pPr>
        <w:pStyle w:val="Normal"/>
      </w:pPr>
      <w:r>
        <w:t xml:space="preserve">Trong cuốn sách Đi Tìm Lẽ Sống (Man’s Search for Meaning), Frankl mô tả khoảnh khắc then chốt trong trại khi ông phát triển liệu pháp ý nghĩa. Một ngày nọ trên đường đi làm, ông lo lắng liệu mình có nên đổi điếu thuốc cuối cùng lấy một bát súp hay không. Ông tự hỏi làm thế nào để làm việc với một quản đốc mới mà ông biết là đặc biệt tàn bạo. Đột nhiên, ông thấy ghê tởm vì cuộc sống của mình đã trở nên tầm thường và vô nghĩa đến mức nào. Ông nhận ra rằng để sống sót, ông phải tìm ra một mục đích nào đó. Frankl đã làm điều đó bằng cách tưởng tượng mình đang thuyết trình sau chiến tranh về tâm lý học của trại tập trung, để giúp người ngoài hiểu những gì ông đã trải qua. Dù thậm chí không chắc mình có sống sót hay không, Frankl đã tạo ra một số mục tiêu cụ thể cho bản thân. Khi làm vậy, ông đã thành công trong việc vượt lên trên những đau khổ của hiện tại. Như ông đã viết trong cuốn sách của mình: “Chúng ta không bao giờ được quên rằng chúng ta cũng có thể tìm thấy ý nghĩa trong cuộc sống ngay cả khi đối mặt với một tình huống vô vọng, khi đối mặt với một số phận không thể thay đổi.”</w:t>
      </w:r>
      <w:r>
        <w:rPr>
          <w:rStyle w:val="Text0"/>
        </w:rPr>
        <w:t/>
      </w:r>
      <w:r>
        <w:t/>
      </w:r>
    </w:p>
    <w:p>
      <w:pPr>
        <w:pStyle w:val="Normal"/>
      </w:pPr>
      <w:r>
        <w:t xml:space="preserve">Lý thuyết của Frankl là nền tảng cho hầu hết các khóa huấn luyện khả năng phục hồi trong kinh doanh. Quả thật, tôi đã ngạc nhiên khi thấy các doanh nhân thường xuyên nhắc đến công trình của ông. “Huấn luyện khả năng phục hồi—cái mà chúng tôi gọi là sự cứng cỏi (hardiness)—là một cách để chúng tôi giúp mọi người xây dựng ý nghĩa trong cuộc sống hàng ngày của họ,” Salvatore R. Maddi, giáo sư tâm lý học tại Đại học California, Irvine và giám đốc Viện Hardiness ở Newport Beach, California, giải thích. “Khi mọi người nhận ra sức mạnh của huấn luyện khả năng phục hồi, họ thường nói, ‘Bác sĩ, đây có phải là liệu pháp tâm lý không?’ Nhưng liệu pháp tâm lý dành cho những người có cuộc sống đã sụp đổ nghiêm trọng và cần được sửa chữa. Chúng tôi xem công việc của mình là chỉ cho mọi người các kỹ năng sống và thái độ. Có lẽ những điều đó nên được dạy ở nhà, có lẽ nên được dạy ở trường học, nhưng thực tế thì không. Vì vậy, cuối cùng chúng tôi phải làm việc đó trong môi trường kinh doanh.”</w:t>
        <w:bookmarkStart w:id="77" w:name="those"/>
        <w:t/>
        <w:bookmarkEnd w:id="77"/>
        <w:t xml:space="preserve"/>
      </w:r>
    </w:p>
    <w:p>
      <w:pPr>
        <w:pStyle w:val="Normal"/>
      </w:pPr>
      <w:r>
        <w:t>Tuy nhiên, thách thức mà các nhà huấn luyện khả năng phục hồi phải đối mặt thường khó khăn hơn chúng ta tưởng tượng. Ý nghĩa có thể rất khó nắm bắt, và chỉ vì bạn đã tìm thấy nó một lần không có nghĩa là bạn sẽ giữ được nó hoặc tìm thấy nó lần nữa. Hãy xem Aleksandr Solzhenitsyn, người đã sống sót sau cuộc chiến chống Đức Quốc xã, bị giam cầm trong trại cải tạo gulag, và bệnh ung thư. Vậy mà khi chuyển đến một trang trại ở Vermont yên bình, an toàn, ông không thể chịu đựng được “phương Tây ấu trĩ.” Ông không thể nhận ra bất kỳ ý nghĩa thực sự nào trong cái mà ông cảm thấy là sự tự do phá hoại và vô trách nhiệm của phương Tây. Bực bội vì những người chỉ trích mình, ông rút vào ngôi nhà trang trại của mình, sau hàng rào khóa kín, hiếm khi xuất hiện trước công chúng. Năm 1994, một người đàn ông cay đắng, Solzhenitsyn chuyển về Nga.</w:t>
      </w:r>
    </w:p>
    <w:p>
      <w:pPr>
        <w:pStyle w:val="Normal"/>
      </w:pPr>
      <w:r>
        <w:t>Vì việc tìm thấy ý nghĩa trong môi trường của mình là một khía cạnh quan trọng của khả năng phục hồi, không có gì ngạc nhiên khi các tổ chức và con người thành công nhất sở hữu những hệ giá trị mạnh mẽ. Những giá trị mạnh mẽ truyền ý nghĩa vào môi trường vì chúng đưa ra những cách để diễn giải và định hình các sự kiện. Dù ngày nay việc chế giễu các giá trị là phổ biến, chắc chắn không phải ngẫu nhiên mà tổ chức có khả năng phục hồi tốt nhất thế giới là Giáo hội Công giáo, đã sống sót qua chiến tranh, tham nhũng và ly giáo trong hơn 2.000 năm, phần lớn nhờ vào bộ giá trị bất biến của mình. Các doanh nghiệp tồn tại lâu dài cũng có những tín điều riêng, mang lại cho họ mục đích vượt ra ngoài việc chỉ kiếm tiền. Đáng chú ý, nhiều công ty mô tả hệ giá trị của mình bằng ngôn ngữ tôn giáo. Chẳng hạn, gã khổng lồ dược phẩm Johnson &amp; Johnson gọi hệ giá trị của mình, được trình bày trong một tài liệu trao cho mọi nhân viên mới khi định hướng, là Tín điều (Credo). Công ty chuyển phát bưu kiện UPS liên tục nói về Mục đích Cao cả (Noble Purpose) của mình.</w:t>
      </w:r>
    </w:p>
    <w:p>
      <w:pPr>
        <w:pStyle w:val="Normal"/>
      </w:pPr>
      <w:r>
        <w:t xml:space="preserve">Hệ giá trị tại các công ty có khả năng phục hồi thay đổi rất ít qua nhiều năm và được dùng như giàn giáo trong những lúc khó khăn. Chủ tịch kiêm CEO của UPS, Mike Eskew, tin rằng Mục đích Cao cả đã giúp công ty tập hợp lại sau cuộc đình công đau đớn năm 1997. Eskew nói: “Đó là khoảng thời gian vô cùng khó khăn, giống như một cuộc xung đột gia đình. Mọi người đều có bạn thân ở cả hai phía, và thật khó để chúng tôi chọn phe. Nhưng điều cứu chúng tôi chính là Mục đích Cao cả. Dù mọi người đứng về phía nào, họ đều chia sẻ một bộ giá trị chung. Những giá trị đó là cốt lõi đối với chúng tôi và không bao giờ thay đổi; chúng định khung cho hầu hết các quyết định quan trọng của chúng tôi. Chiến lược và sứ mệnh của chúng tôi có thể thay đổi, nhưng giá trị của chúng tôi thì không bao giờ.”</w:t>
        <w:bookmarkStart w:id="78" w:name="never"/>
        <w:t/>
        <w:bookmarkEnd w:id="78"/>
        <w:t xml:space="preserve"/>
      </w:r>
    </w:p>
    <w:p>
      <w:pPr>
        <w:pStyle w:val="Normal"/>
      </w:pPr>
      <w:r>
        <w:t>Tuy nhiên, những hàm ý tôn giáo của các từ như “tín điều,” “giá trị,” và “mục đích cao cả” không nên bị nhầm lẫn với nội dung thực tế của các giá trị. Các công ty có thể giữ những giá trị đáng ngờ về mặt đạo đức mà vẫn rất có khả năng phục hồi. Hãy xem Phillip Morris, công ty đã thể hiện khả năng phục hồi ấn tượng trước sự phản đối ngày càng tăng. Như Jim Collins chỉ ra, Phillip Morris có những giá trị rất mạnh, dù chúng ta có thể không đồng ý với chúng—chẳng hạn, giá trị về “sự lựa chọn của người trưởng thành.” Nhưng không còn nghi ngờ gì nữa, các giám đốc điều hành của Phillip Morris tin tưởng mạnh mẽ vào các giá trị của mình, và sức mạnh niềm tin của họ khiến công ty khác biệt với hầu hết các công ty thuốc lá khác. Trong bối cảnh này, cần lưu ý rằng khả năng phục hồi không tốt hay xấu về mặt đạo đức. Nó chỉ đơn thuần là kỹ năng và năng lực để trở nên vững vàng trong điều kiện căng thẳng và thay đổi to lớn. Như Viktor Frankl đã viết: “Trung bình, chỉ những tù nhân nào, sau nhiều năm lê bước từ trại này sang trại khác, đã mất hết mọi sự e dè trong cuộc chiến sinh tồn, mới có thể sống sót; họ sẵn sàng dùng mọi thủ đoạn, trung thực hay không, thậm chí tàn bạo..., để tự cứu mình. Những người trong chúng tôi đã trở về... chúng tôi biết: Những người tốt nhất trong chúng tôi đã không trở về.”</w:t>
      </w:r>
    </w:p>
    <w:p>
      <w:pPr>
        <w:pStyle w:val="Normal"/>
      </w:pPr>
      <w:r>
        <w:t>Giá trị, dù tích cực hay tiêu cực, thực ra quan trọng hơn đối với khả năng phục hồi của tổ chức so với việc có những nhân viên có khả năng phục hồi trong biên chế. Nếu những nhân viên có khả năng phục hồi đều diễn giải thực tế theo những cách khác nhau, các quyết định và hành động của họ có thể xung đột, khiến sự tồn tại của tổ chức bị nghi ngờ. Và khi điểm yếu của một tổ chức trở nên rõ ràng, những cá nhân có khả năng phục hồi cao thường có xu hướng rời bỏ tổ chức hơn là gây nguy hiểm cho sự sống còn của chính mình.</w:t>
      </w:r>
    </w:p>
    <w:p>
      <w:pPr>
        <w:pStyle w:val="Heading 1"/>
      </w:pPr>
      <w:r>
        <w:t>Sự Khéo Léo Được Nghi Thức Hóa</w:t>
      </w:r>
    </w:p>
    <w:p>
      <w:pPr>
        <w:pStyle w:val="Normal"/>
      </w:pPr>
      <w:r>
        <w:t>Khối xây dựng thứ ba của khả năng phục hồi là khả năng xoay xở với bất cứ thứ gì có trong tay. Các nhà tâm lý học theo bước nhà nhân chủng học người Pháp Claude Levi-Strauss gọi kỹ năng này là bricolage.1 Điều thú vị là, nguồn gốc của từ đó gắn chặt với khái niệm khả năng phục hồi, theo nghĩa đen có nghĩa là “nảy trở lại.” Levi-Strauss nói: “Theo nghĩa cũ, động từ bricoler... luôn được dùng để chỉ một chuyển động ngoại lai nào đó: một quả bóng nảy lại, một con chó đi lạc, hoặc một con ngựa chệch khỏi đường đi thẳng để tránh chướng ngại vật.”</w:t>
      </w:r>
      <w:hyperlink w:anchor="1_1">
        <w:r>
          <w:rPr>
            <w:rStyle w:val="Text14"/>
          </w:rPr>
          <w:bookmarkStart w:id="79" w:name="1"/>
          <w:t/>
          <w:bookmarkEnd w:id="79"/>
        </w:r>
      </w:hyperlink>
      <w:r>
        <w:t xml:space="preserve"/>
      </w:r>
      <w:r>
        <w:rPr>
          <w:rStyle w:val="Text0"/>
        </w:rPr>
        <w:t/>
      </w:r>
      <w:r>
        <w:t xml:space="preserve"/>
        <w:bookmarkStart w:id="80" w:name="extraneous"/>
        <w:t/>
        <w:bookmarkEnd w:id="80"/>
        <w:t xml:space="preserve"/>
      </w:r>
    </w:p>
    <w:p>
      <w:pPr>
        <w:pStyle w:val="Normal"/>
      </w:pPr>
      <w:r>
        <w:t xml:space="preserve">Bricolage theo nghĩa hiện đại có thể được định nghĩa là một loại khả năng sáng chế, khả năng ứng biến một giải pháp cho vấn đề mà không có công cụ hoặc vật liệu phù hợp hoặc rõ ràng. Những người bricoleur luôn mày mò—chế tạo radio từ đồ gia dụng hoặc tự sửa xe của mình. Họ tận dụng tối đa những gì mình có, dùng đồ vật vào những mục đích không quen thuộc. Ví dụ, trong các trại tập trung, những tù nhân có khả năng phục hồi biết nhét những mẩu dây hoặc sợi thép vào túi bất cứ khi nào tìm thấy chúng. Sợi dây hoặc thép đó sau này có thể trở nên hữu ích—chẳng hạn để sửa một đôi giày, điều mà trong điều kiện băng giá có thể tạo ra sự khác biệt giữa sự sống và cái chết.</w:t>
      </w:r>
      <w:r>
        <w:rPr>
          <w:rStyle w:val="Text0"/>
        </w:rPr>
        <w:t/>
      </w:r>
      <w:r>
        <w:t xml:space="preserve"/>
      </w:r>
    </w:p>
    <w:p>
      <w:pPr>
        <w:pStyle w:val="Normal"/>
      </w:pPr>
      <w:r>
        <w:t>Khi tình huống trở nên rối ren, những người bricoleur vẫn xoay xở được, tưởng tượng ra những khả năng trong khi người khác bối rối. Tôi có hai người bạn, tôi sẽ gọi họ là Paul Shields và Mike Andrews, là bạn cùng phòng suốt những năm đại học. Không ai ngạc nhiên khi tốt nghiệp, họ cùng nhau lập một doanh nghiệp, bán tài liệu giáo dục cho các trường học, doanh nghiệp và công ty tư vấn. Ban đầu, công ty rất thành công, khiến cả hai nhà sáng lập trở thành triệu phú trên giấy tờ. Nhưng cuộc suy thoái đầu những năm 1990 đã giáng một đòn mạnh vào công ty, và nhiều khách hàng cốt lõi đã rời đi. Cùng lúc đó, Paul trải qua một cuộc ly hôn cay đắng và một cơn trầm cảm khiến anh không thể làm việc. Mike đề nghị mua lại phần của Paul nhưng thay vào đó lại bị kiện với cáo buộc rằng Mike đang cố đánh cắp doanh nghiệp. Đến lúc này, một người kém kiên cường hơn có thể đã bỏ đi khỏi mớ hỗn độn này. Nhưng Mike thì không. Khi vụ kiện kéo dài qua các phiên tòa, anh vẫn duy trì công ty bằng mọi cách có thể—liên tục thay đổi hình thái kinh doanh cho đến khi tìm ra một mô hình hiệu quả: tham gia các liên doanh để bán tài liệu đào tạo tiếng Anh cho các công ty Nga và Trung Quốc. Sau đó, anh mở rộng sang xuất bản bản tin cho khách hàng. Có lúc, anh thậm chí còn viết kịch bản video cho các đối thủ cạnh tranh của mình. Nhờ tất cả sự khéo léo ứng biến (bricolage) này, đến khi vụ kiện được giải quyết có lợi cho anh, Mike đã có một doanh nghiệp hoàn toàn khác, và vững chắc hơn nhiều, so với doanh nghiệp mà anh đã bắt đầu.</w:t>
      </w:r>
    </w:p>
    <w:p>
      <w:pPr>
        <w:pStyle w:val="Normal"/>
      </w:pPr>
      <w:r>
        <w:t xml:space="preserve">Bricolage cũng có thể được thực hành ở một cấp độ cao hơn. Richard Feynman, người đoạt giải Nobel Vật lý năm 1965, là hiện thân của cái mà tôi thích gọi là bricolage trí tuệ. Xuất phát từ sự tò mò thuần túy, Feynman đã tự biến mình thành chuyên gia phá két sắt, không chỉ nghiên cứu cơ chế hoạt động của việc phá két mà còn chắp nối những hiểu biết tâm lý về những người sử dụng két và đặt mật mã. Chẳng hạn, ông đã phá được nhiều két sắt ở Los Alamos vì ông đoán rằng các nhà vật lý lý thuyết sẽ không đặt mật mã bằng những dãy số ngẫu nhiên dễ quên mà thay vào đó sẽ dùng một dãy số có ý nghĩa toán học. Hóa ra ba chiếc két chứa toàn bộ bí mật về bom nguyên tử đều được đặt theo cùng một hằng số toán học, e, với sáu chữ số đầu tiên là 2.71828.</w:t>
        <w:bookmarkStart w:id="81" w:name="Feynman"/>
        <w:t/>
        <w:bookmarkEnd w:id="81"/>
        <w:t xml:space="preserve"/>
      </w:r>
      <w:r>
        <w:rPr>
          <w:rStyle w:val="Text0"/>
        </w:rPr>
        <w:t/>
      </w:r>
      <w:r>
        <w:t/>
      </w:r>
    </w:p>
    <w:p>
      <w:pPr>
        <w:pStyle w:val="Normal"/>
      </w:pPr>
      <w:r>
        <w:t>Các tổ chức có khả năng phục hồi chứa đầy những người biết chắp vá (bricoleurs), dù tất nhiên không phải ai cũng là Richard Feynman. Thật vậy, những công ty tồn tại được đều xem khả năng ứng biến là một kỹ năng cốt lõi. Hãy xem UPS, công ty trao quyền cho các tài xế làm bất cứ điều gì cần thiết để giao hàng đúng giờ. CEO Eskew nói: “Chúng tôi bảo nhân viên hãy hoàn thành công việc. Nếu điều đó có nghĩa là họ cần ứng biến, họ sẽ ứng biến. Nếu không, chúng tôi không thể làm được những gì mình làm mỗi ngày. Cứ nghĩ xem có bao nhiêu thứ có thể trục trặc: đèn giao thông hỏng, lốp xe xẹp, cây cầu bị cuốn trôi. Nếu một trận bão tuyết ập xuống Louisville tối nay, một nhóm người sẽ ngồi lại với nhau và bàn cách xử lý vấn đề. Không ai bảo họ làm vậy. Họ tự tập hợp lại vì đó là truyền thống của chúng tôi.”</w:t>
      </w:r>
    </w:p>
    <w:p>
      <w:pPr>
        <w:pStyle w:val="Normal"/>
      </w:pPr>
      <w:r>
        <w:t>Truyền thống đó có nghĩa là công ty vẫn giao bưu kiện ở đông nam Florida chỉ một ngày sau khi cơn bão Andrew tàn phá khu vực này vào năm 1992, gây thiệt hại hàng tỷ đô la. Nhiều người phải sống trong ô tô vì nhà cửa đã bị phá hủy, vậy mà các tài xế và quản lý của UPS vẫn phân loại bưu kiện tại một điểm chuyển hướng và giao hàng ngay cả cho những người mắc kẹt trong xe. Chính kỹ năng ứng biến của UPS đã giúp công ty tiếp tục hoạt động sau cú tấn công thảm khốc. Và việc công ty vẫn tiếp tục hoạt động đã mang lại cho người khác cảm giác về mục đích hoặc ý nghĩa giữa cảnh hỗn loạn.</w:t>
      </w:r>
    </w:p>
    <w:p>
      <w:pPr>
        <w:pStyle w:val="Normal"/>
      </w:pPr>
      <w:r>
        <w:t xml:space="preserve">Tuy nhiên, kiểu ứng biến mà UPS thực hành khác xa với sự sáng tạo không giới hạn. Thật vậy, giống như quân đội, UPS sống nhờ các quy tắc và quy định. Như Eskew nói: “Các tài xế luôn đặt chìa khóa vào cùng một chỗ. Họ đóng cửa theo cùng một cách. Họ mặc đồng phục theo cùng một cách. Chúng tôi là một công ty của sự chính xác.” Ông tin rằng dù có vẻ ngột ngạt, các quy tắc của UPS chính là thứ cho phép công ty phục hồi ngay lập tức sau cơn bão Andrew, vì chúng giúp mọi người tập trung vào một hoặc hai điều chỉnh cần thiết để tiếp tục tiến lên.</w:t>
        <w:bookmarkStart w:id="82" w:name="Andrew"/>
        <w:t/>
        <w:bookmarkEnd w:id="82"/>
        <w:t xml:space="preserve"/>
      </w:r>
    </w:p>
    <w:p>
      <w:pPr>
        <w:pStyle w:val="Normal"/>
      </w:pPr>
      <w:r>
        <w:t>Ý kiến của Eskew được đồng tình bởi Karl E. Weick, giáo sư hành vi tổ chức tại University of Michigan Business School ở Ann Arbor và là một trong những nhà tư tưởng được kính trọng nhất về tâm lý học tổ chức. “Có bằng chứng rõ ràng rằng khi con người bị đặt dưới áp lực, họ sẽ quay về những cách phản ứng quen thuộc nhất của mình,” Weick đã viết. “Điều chúng ta không mong đợi dưới áp lực đe dọa tính mạng là sự sáng tạo.” Nói cách khác, các quy tắc và quy định khiến một số công ty trông kém sáng tạo hơn thực ra có thể khiến họ kiên cường hơn trong những lúc hỗn loạn thực sự.</w:t>
      </w:r>
    </w:p>
    <w:p>
      <w:pPr>
        <w:pStyle w:val="Para 055"/>
      </w:pPr>
      <w:r>
        <w:t>_____________________</w:t>
      </w:r>
    </w:p>
    <w:p>
      <w:pPr>
        <w:pStyle w:val="Normal"/>
      </w:pPr>
      <w:r>
        <w:t>Claus Schmidt, nhà báo mà tôi đã nhắc đến trước đó, đã qua đời khoảng năm năm trước, nhưng tôi không chắc mình có thể phỏng vấn ông về khả năng phục hồi của chính ông ngay cả khi ông còn sống. Tôi nghĩ sẽ thật kỳ lạ nếu hỏi ông: “Claus, ông có thực sự đối mặt với thực tế không? Ông có tạo ra ý nghĩa từ những khó khăn của mình không? Ông có ứng biến để phục hồi sau mỗi thảm họa nghề nghiệp và cá nhân không?” Có lẽ ông đã không thể trả lời. Theo trải nghiệm của tôi, những người kiên cường thường không mô tả bản thân theo cách đó. Họ gạt đi những câu chuyện sống sót của mình và rất thường gán chúng cho may mắn.</w:t>
      </w:r>
    </w:p>
    <w:p>
      <w:pPr>
        <w:pStyle w:val="Normal"/>
      </w:pPr>
      <w:r>
        <w:t>Rõ ràng, may mắn có vai trò lớn trong việc sống sót. Việc Morgan Stanley nằm ở tòa tháp phía nam và có thể áp dụng khóa huấn luyện chuẩn bị sẵn sàng của mình là nhờ may mắn. Nhưng may mắn không giống với khả năng phục hồi. Khả năng phục hồi là một phản xạ, một cách đối mặt và thấu hiểu thế giới, được khắc sâu vào tâm trí và tâm hồn của một con người. Những người và công ty kiên cường đối mặt với thực tế bằng sự kiên định, tạo ra ý nghĩa từ khó khăn thay vì kêu gào trong tuyệt vọng, và ứng biến giải pháp từ hư không. Những người khác thì không. Đây là bản chất của khả năng phục hồi, và chúng ta sẽ không bao giờ hiểu hết được nó.</w:t>
      </w:r>
    </w:p>
    <w:p>
      <w:pPr>
        <w:pStyle w:val="Para 046"/>
      </w:pPr>
      <w:r>
        <w:t>Xuất bản lần đầu vào tháng 5 năm 2002. Tái bản R0205B</w:t>
      </w:r>
      <w:r>
        <w:rPr>
          <w:rStyle w:val="Text2"/>
        </w:rPr>
        <w:t xml:space="preserve"/>
      </w:r>
      <w:r>
        <w:rPr>
          <w:rStyle w:val="Text9"/>
        </w:rPr>
        <w:t/>
      </w:r>
    </w:p>
    <w:p>
      <w:pPr>
        <w:pStyle w:val="Heading 2"/>
      </w:pPr>
      <w:r>
        <w:t>Ghi chú</w:t>
      </w:r>
    </w:p>
    <w:p>
      <w:pPr>
        <w:pStyle w:val="Para 078"/>
      </w:pPr>
      <w:hyperlink w:anchor="1">
        <w:r>
          <w:rPr>
            <w:rStyle w:val="Text1"/>
          </w:rPr>
          <w:bookmarkStart w:id="83" w:name="1_1"/>
          <w:t>1. Xem, ví dụ, Karl E. Weick, “The Collapse of Sense-making in Organizations: The Mann Gulch Disaster,” Administrative Science Quarterly, tháng 12 năm 1993.</w:t>
          <w:bookmarkEnd w:id="83"/>
        </w:r>
      </w:hyperlink>
      <w:r>
        <w:t xml:space="preserve"/>
      </w:r>
      <w:r>
        <w:rPr>
          <w:rStyle w:val="Text0"/>
        </w:rPr>
        <w:t/>
      </w:r>
      <w:r>
        <w:t/>
      </w:r>
    </w:p>
    <w:p>
      <w:bookmarkStart w:id="84" w:name="Manage_Your_Energy__Not_Your_Tim"/>
      <w:bookmarkStart w:id="85" w:name="Top_of_09_Manage_Y_xhtml"/>
      <w:pPr>
        <w:pStyle w:val="Para 043"/>
        <w:pageBreakBefore w:val="on"/>
      </w:pPr>
      <w:r>
        <w:bookmarkStart w:id="86" w:name="Manage"/>
        <w:t>Quản Lý Năng Lượng, Không Phải Thời Gian</w:t>
        <w:bookmarkEnd w:id="86"/>
        <w:t xml:space="preserve"/>
      </w:r>
      <w:bookmarkEnd w:id="84"/>
      <w:bookmarkEnd w:id="85"/>
    </w:p>
    <w:p>
      <w:pPr>
        <w:pStyle w:val="Para 045"/>
      </w:pPr>
      <w:r>
        <w:t>bởi Tony Schwartz và Catherine McCarthy</w:t>
      </w:r>
    </w:p>
    <w:p>
      <w:pPr>
        <w:pStyle w:val="Normal"/>
      </w:pPr>
      <w:r>
        <w:rPr>
          <w:rStyle w:val="Text4"/>
        </w:rPr>
        <w:t>STEVE WANNER LÀ MỘT đối tác 37 tuổi rất được kính trọng tại Ernst &amp; Young, đã kết hôn và có bốn con nhỏ. Khi chúng tôi gặp anh một năm trước, anh làm việc 12 đến 14 giờ mỗi ngày, luôn cảm thấy kiệt sức, và thấy khó có thể thực sự gắn kết với gia đình vào buổi tối, điều này khiến anh cảm thấy tội lỗi và bất mãn. Anh ngủ kém, không dành thời gian tập thể dục, và hiếm khi ăn những bữa lành mạnh, thay vào đó ăn vội trên đường hoặc trong lúc làm việc tại bàn.</w:t>
      </w:r>
      <w:r>
        <w:t xml:space="preserve"/>
      </w:r>
    </w:p>
    <w:p>
      <w:pPr>
        <w:pStyle w:val="Normal"/>
      </w:pPr>
      <w:r>
        <w:t>Trải nghiệm của Wanner không hiếm gặp. Hầu hết chúng ta phản ứng với những yêu cầu ngày càng tăng ở nơi làm việc bằng cách làm việc nhiều giờ hơn, điều này chắc chắn gây tổn hại cho chúng ta về thể chất, tinh thần và cảm xúc. Điều đó dẫn đến mức độ gắn kết giảm sút, mức độ xao nhãng gia tăng, tỷ lệ nghỉ việc cao, và chi phí y tế tăng vọt ở nhân viên. Chúng tôi tại Energy Project đã làm việc với hàng nghìn nhà lãnh đạo và quản lý trong quá trình tư vấn và huấn luyện tại các tổ chức lớn trong năm năm qua. Với sự nhất quán đáng kinh ngạc, những nhà điều hành này nói với chúng tôi rằng họ đang thúc ép bản thân nhiều hơn bao giờ hết để theo kịp và ngày càng cảm thấy mình đang ở điểm giới hạn.</w:t>
      </w:r>
    </w:p>
    <w:p>
      <w:pPr>
        <w:pStyle w:val="Normal"/>
      </w:pPr>
      <w:r>
        <w:t xml:space="preserve">Vấn đề cốt lõi của việc làm việc nhiều giờ hơn là thời gian là một nguồn lực hữu hạn. Năng lượng lại là một câu chuyện khác. Được định nghĩa trong vật lý là khả năng thực hiện công việc, năng lượng đến từ bốn nguồn chính trong con người: cơ thể, cảm xúc, tâm trí và tinh thần. Ở mỗi nguồn, năng lượng có thể được mở rộng một cách có hệ thống và được tái tạo thường xuyên bằng cách thiết lập các nghi thức cụ thể—những hành vi được thực hành có chủ đích và được lên lịch chính xác, với mục tiêu biến chúng thành vô thức và tự động nhanh nhất có thể.</w:t>
        <w:bookmarkStart w:id="87" w:name="systematically"/>
        <w:t/>
        <w:bookmarkEnd w:id="87"/>
        <w:t xml:space="preserve"/>
      </w:r>
    </w:p>
    <w:p>
      <w:pPr>
        <w:pStyle w:val="Normal"/>
      </w:pPr>
      <w:r>
        <w:t>Để tái tạo năng lượng hiệu quả cho lực lượng lao động, các tổ chức cần chuyển trọng tâm từ việc khai thác nhiều hơn từ con người sang đầu tư nhiều hơn vào họ, để họ có động lực—và có khả năng—mang nhiều hơn bản thân mình đến công việc mỗi ngày. Để tự nạp lại năng lượng, mỗi cá nhân cần nhận ra cái giá của những hành vi làm cạn kiệt năng lượng và sau đó chịu trách nhiệm thay đổi chúng, bất kể hoàn cảnh họ đang đối mặt.</w:t>
      </w:r>
    </w:p>
    <w:p>
      <w:pPr>
        <w:pStyle w:val="Normal"/>
      </w:pPr>
      <w:r>
        <w:t>Những nghi thức và hành vi mà Wanner thiết lập để quản lý năng lượng tốt hơn đã thay đổi cuộc đời anh. Anh đi ngủ sớm hơn và bỏ rượu, thứ đã làm gián đoạn giấc ngủ của anh. Nhờ đó, khi thức dậy anh cảm thấy được nghỉ ngơi nhiều hơn và có động lực tập thể dục hơn, điều mà giờ đây anh làm gần như mỗi sáng. Trong chưa đầy hai tháng, anh đã giảm 15 pound. Sau khi tập luyện, giờ anh ngồi ăn sáng cùng gia đình. Wanner vẫn làm việc nhiều giờ, nhưng anh thường xuyên tái tạo năng lượng trên đường đi. Anh rời bàn làm việc để ăn trưa và thường đi bộ ngoài trời vào buổi sáng và buổi chiều. Khi về nhà vào buổi tối, anh thư thái hơn và có thể kết nối tốt hơn với vợ và các con.</w:t>
      </w:r>
    </w:p>
    <w:p>
      <w:pPr>
        <w:pStyle w:val="Normal"/>
      </w:pPr>
      <w:r>
        <w:t>Việc thiết lập những nghi thức đơn giản như vậy có thể dẫn đến những kết quả đáng kinh ngạc trên toàn tổ chức. Tại Wachovia Bank, chúng tôi đưa một nhóm nhân viên qua một chương trình quản lý năng lượng thí điểm và sau đó đo lường hiệu suất của họ so với một nhóm đối chứng. Những người tham gia vượt trội hơn nhóm đối chứng trên một loạt chỉ số tài chính, chẳng hạn như giá trị các khoản vay họ tạo ra. Họ cũng báo cáo những cải thiện đáng kể trong mối quan hệ với khách hàng, sự gắn kết với công việc và sự hài lòng cá nhân. Trong bài viết này, chúng tôi sẽ mô tả nghiên cứu Wachovia chi tiết hơn một chút. Sau đó, chúng tôi sẽ giải thích những gì các nhà điều hành và quản lý có thể làm để tăng cường và thường xuyên tái tạo năng lực làm việc—cách tiếp cận được Energy Project sử dụng, dựa trên, đào sâu và mở rộng một số khái niệm cốt lõi do đối tác cũ của Tony là Jim Loehr phát triển trong công trình tiên phong của ông với các vận động viên.</w:t>
      </w:r>
    </w:p>
    <w:p>
      <w:pPr>
        <w:pStyle w:val="Para 025"/>
      </w:pPr>
      <w:r>
        <w:bookmarkStart w:id="88" w:name="Idea_4"/>
        <w:t>Ý Tưởng Tóm Tắt</w:t>
        <w:bookmarkEnd w:id="88"/>
        <w:t xml:space="preserve"/>
      </w:r>
    </w:p>
    <w:p>
      <w:pPr>
        <w:pStyle w:val="Para 005"/>
      </w:pPr>
      <w:r>
        <w:t>Các tổ chức đang đòi hỏi hiệu suất ngày càng cao từ lực lượng lao động của mình. Mọi người đang cố gắng đáp ứng, nhưng phương pháp thông thường—làm việc nhiều giờ hơn—đã phản tác dụng. Họ đang trở nên kiệt sức, mất gắn kết và bệnh tật. Và họ đang rời bỏ để đến những môi trường làm việc lành mạnh hơn.</w:t>
      </w:r>
    </w:p>
    <w:p>
      <w:pPr>
        <w:pStyle w:val="Para 005"/>
      </w:pPr>
      <w:r>
        <w:t xml:space="preserve">Những ngày dài hơn ở văn phòng không hiệu quả vì thời gian là một nguồn lực hữu hạn. Nhưng năng lượng cá nhân thì có thể tái tạo, Schwartz và McCarthy nói. Bằng cách nuôi dưỡng những nghi thức đơn giản đến bất ngờ giúp nhân viên thường xuyên bổ sung năng lượng, các tổ chức xây dựng khả năng phục hồi về thể chất, cảm xúc và tinh thần cho người lao động. Những nghi thức này bao gồm nghỉ giải lao ngắn vào những khoảng thời gian cụ thể, bày tỏ sự trân trọng với người khác, giảm thiểu sự gián đoạn, và dành nhiều thời gian hơn cho những hoạt động mà mọi người làm tốt nhất và thích nhất.</w:t>
      </w:r>
      <w:r>
        <w:rPr>
          <w:rStyle w:val="Text2"/>
        </w:rPr>
        <w:t/>
      </w:r>
      <w:r>
        <w:t xml:space="preserve"/>
      </w:r>
    </w:p>
    <w:p>
      <w:pPr>
        <w:pStyle w:val="Para 005"/>
      </w:pPr>
      <w:r>
        <w:t>Hãy giúp nhân viên của bạn tái tạo năng lượng cá nhân một cách có hệ thống, và lợi ích sẽ đi thẳng vào lợi nhuận của bạn. Lấy Wachovia Bank làm ví dụ: Những người tham gia chương trình tái tạo năng lượng tạo ra doanh thu từ các khoản vay tăng trưởng so với cùng kỳ năm trước cao hơn 13 điểm phần trăm so với nhóm đối chứng. Và họ vượt mức tăng doanh thu từ tiền gửi của nhóm đối chứng tới 20 điểm phần trăm.</w:t>
      </w:r>
    </w:p>
    <w:p>
      <w:pPr>
        <w:pStyle w:val="Heading 1"/>
      </w:pPr>
      <w:r>
        <w:t>Liên Kết Năng Lực và Hiệu Suất tại Wachovia</w:t>
      </w:r>
    </w:p>
    <w:p>
      <w:pPr>
        <w:pStyle w:val="Normal"/>
      </w:pPr>
      <w:r>
        <w:t>Hầu hết các tổ chức lớn đầu tư vào việc phát triển kỹ năng, kiến thức và năng lực của nhân viên. Rất ít tổ chức giúp xây dựng và duy trì năng lực của họ—năng lượng của họ—thứ thường bị xem là hiển nhiên. Thực tế, năng lực lớn hơn giúp hoàn thành nhiều việc hơn trong thời gian ngắn hơn với mức độ gắn kết cao hơn và bền vững hơn. Trải nghiệm của chúng tôi tại Wachovia đã chứng minh điều này.</w:t>
      </w:r>
    </w:p>
    <w:p>
      <w:pPr>
        <w:pStyle w:val="Normal"/>
      </w:pPr>
      <w:r>
        <w:t xml:space="preserve">Vào đầu năm 2006, chúng tôi đưa 106 nhân viên tại 12 ngân hàng khu vực ở miền nam New Jersey qua một chương trình gồm bốn mô-đun, mỗi mô-đun tập trung vào các chiến lược cụ thể để củng cố một trong bốn khía cạnh chính của năng lượng. Chúng tôi triển khai theo khoảng cách một tháng cho các nhóm khoảng 20 đến 25 người, từ lãnh đạo cấp cao đến quản lý cấp thấp hơn. Chúng tôi cũng chỉ định cho mỗi người tham dự một đồng nghiệp làm nguồn hỗ trợ giữa các buổi học. Sử dụng các chỉ số hiệu suất chính của chính Wachovia, chúng tôi đánh giá nhóm tham gia so với một nhóm nhân viên ở cấp độ tương tự tại một cụm ngân hàng Wachovia gần đó không tham gia khóa đào tạo. Để tạo cơ sở so sánh đáng tin cậy, chúng tôi xem xét phần trăm thay đổi hiệu suất so với cùng kỳ năm trước trên nhiều chỉ số.</w:t>
        <w:bookmarkStart w:id="89" w:name="training"/>
        <w:t/>
        <w:bookmarkEnd w:id="89"/>
        <w:t xml:space="preserve"/>
      </w:r>
    </w:p>
    <w:p>
      <w:pPr>
        <w:pStyle w:val="Normal"/>
      </w:pPr>
      <w:r>
        <w:t xml:space="preserve">Trên một thước đo gọi là “Big 3”—doanh thu từ ba loại khoản vay—những người tham gia cho thấy mức tăng so với cùng kỳ năm trước cao hơn 13 điểm phần trăm so với nhóm đối chứng trong ba tháng đầu của nghiên cứu. Về doanh thu từ tiền gửi, những người tham gia vượt mức tăng so với cùng kỳ năm trước của nhóm đối chứng tới 20 điểm phần trăm trong cùng giai đoạn đó. Mức tăng chính xác thay đổi theo từng tháng, nhưng chỉ với một vài ngoại lệ, những người tham gia tiếp tục vượt trội đáng kể so với nhóm đối chứng trong suốt một năm sau khi hoàn thành chương trình. Mặc dù các biến số khác chắc chắn ảnh hưởng đến những kết quả này, hiệu suất vượt trội của những người tham gia là đáng chú ý ở tính nhất quán của nó. (Xem biểu đồ “How Energy Renewal Programs Boosted Productivity at Wachovia.”)</w:t>
        <w:bookmarkStart w:id="90" w:name="continued"/>
        <w:t/>
        <w:bookmarkEnd w:id="90"/>
        <w:t xml:space="preserve"/>
      </w:r>
      <w:hyperlink w:anchor="How_2">
        <w:r>
          <w:rPr>
            <w:rStyle w:val="Text1"/>
          </w:rPr>
          <w:t/>
        </w:r>
      </w:hyperlink>
      <w:r>
        <w:t/>
      </w:r>
    </w:p>
    <w:p>
      <w:pPr>
        <w:pStyle w:val="Para 025"/>
      </w:pPr>
      <w:r>
        <w:t>Ý Tưởng Thực Hành</w:t>
      </w:r>
    </w:p>
    <w:p>
      <w:pPr>
        <w:pStyle w:val="Para 005"/>
      </w:pPr>
      <w:r>
        <w:t>Schwartz và McCarthy khuyến nghị những thực hành sau để tái tạo bốn khía cạnh của năng lượng cá nhân.</w:t>
      </w:r>
    </w:p>
    <w:p>
      <w:pPr>
        <w:pStyle w:val="Para 017"/>
      </w:pPr>
      <w:r>
        <w:t>Năng Lượng Thể Chất</w:t>
      </w:r>
    </w:p>
    <w:p>
      <w:pPr>
        <w:pStyle w:val="Para 010"/>
      </w:pPr>
      <w:r>
        <w:t>• Cải thiện giấc ngủ bằng cách đi ngủ sớm hơn và giảm bớt rượu bia.</w:t>
      </w:r>
    </w:p>
    <w:p>
      <w:pPr>
        <w:pStyle w:val="Para 010"/>
      </w:pPr>
      <w:r>
        <w:t>• Giảm căng thẳng bằng cách tập cardio ít nhất ba lần một tuần và tập tạ ít nhất một lần.</w:t>
      </w:r>
    </w:p>
    <w:p>
      <w:pPr>
        <w:pStyle w:val="Para 010"/>
      </w:pPr>
      <w:r>
        <w:t>• Ăn các bữa nhỏ và đồ ăn nhẹ mỗi ba giờ.</w:t>
      </w:r>
    </w:p>
    <w:p>
      <w:pPr>
        <w:pStyle w:val="Para 010"/>
      </w:pPr>
      <w:r>
        <w:t>• Học cách nhận biết các dấu hiệu sắp mất năng lượng, bao gồm bồn chồn, ngáp, đói và khó tập trung.</w:t>
      </w:r>
    </w:p>
    <w:p>
      <w:pPr>
        <w:pStyle w:val="Para 010"/>
      </w:pPr>
      <w:r>
        <w:t>• Nghỉ giải lao ngắn nhưng đều đặn, rời khỏi bàn làm việc, mỗi 90 đến 120 phút trong ngày.</w:t>
      </w:r>
    </w:p>
    <w:p>
      <w:pPr>
        <w:pStyle w:val="Para 017"/>
      </w:pPr>
      <w:r>
        <w:t>Năng lượng cảm xúc</w:t>
      </w:r>
    </w:p>
    <w:p>
      <w:pPr>
        <w:pStyle w:val="Para 010"/>
      </w:pPr>
      <w:r>
        <w:t>• Xoa dịu những cảm xúc tiêu cực — cáu kỉnh, mất kiên nhẫn, lo lắng, bất an — bằng cách thở sâu bằng bụng.</w:t>
      </w:r>
    </w:p>
    <w:p>
      <w:pPr>
        <w:pStyle w:val="Para 010"/>
      </w:pPr>
      <w:r>
        <w:t>• Nuôi dưỡng cảm xúc tích cực ở bản thân và người khác bằng cách thường xuyên bày tỏ sự trân trọng với người khác một cách chi tiết, cụ thể qua ghi chú, e-mail, cuộc gọi hoặc trò chuyện.</w:t>
      </w:r>
    </w:p>
    <w:p>
      <w:pPr>
        <w:pStyle w:val="Para 010"/>
      </w:pPr>
      <w:r>
        <w:t>• Nhìn những tình huống khó chịu qua lăng kính mới. Dùng “lăng kính ngược” để hỏi: “Người kia trong mâu thuẫn này sẽ nói gì, và có thể họ đúng ở điểm nào?” Dùng “lăng kính dài” để hỏi: “Sáu tháng nữa tôi có thể sẽ nhìn nhận tình huống này thế nào?” Dùng “lăng kính rộng” để hỏi: “Tôi có thể trưởng thành và học được gì từ tình huống này?”</w:t>
      </w:r>
    </w:p>
    <w:p>
      <w:pPr>
        <w:pStyle w:val="Para 017"/>
      </w:pPr>
      <w:r>
        <w:t>Năng lượng tinh thần</w:t>
      </w:r>
    </w:p>
    <w:p>
      <w:pPr>
        <w:pStyle w:val="Para 010"/>
      </w:pPr>
      <w:r>
        <w:t>• Giảm gián đoạn bằng cách làm những việc cần tập trung cao ở nơi tránh xa điện thoại và e-mail.</w:t>
      </w:r>
    </w:p>
    <w:p>
      <w:pPr>
        <w:pStyle w:val="Para 010"/>
      </w:pPr>
      <w:r>
        <w:t>• Trả lời thư thoại và e-mail vào những khung giờ cố định trong ngày.</w:t>
      </w:r>
    </w:p>
    <w:p>
      <w:pPr>
        <w:pStyle w:val="Para 010"/>
      </w:pPr>
      <w:r>
        <w:t>• Mỗi tối, hãy xác định thử thách quan trọng nhất cho ngày hôm sau. Rồi biến nó thành ưu tiên hàng đầu khi bạn đến công sở vào buổi sáng.</w:t>
      </w:r>
    </w:p>
    <w:p>
      <w:pPr>
        <w:pStyle w:val="Para 017"/>
      </w:pPr>
      <w:r>
        <w:t>Năng lượng tinh thần sâu sắc</w:t>
      </w:r>
    </w:p>
    <w:p>
      <w:pPr>
        <w:pStyle w:val="Para 010"/>
      </w:pPr>
      <w:r>
        <w:t>• Xác định những hoạt động “điểm ngọt” của bạn — những việc mang lại cho bạn cảm giác hiệu quả, cuốn hút nhẹ nhàng và thỏa mãn. Tìm cách làm nhiều hơn những việc này. Một nhà quản lý ghét làm báo cáo bán hàng đã giao việc đó cho người thích làm.</w:t>
      </w:r>
    </w:p>
    <w:p>
      <w:pPr>
        <w:pStyle w:val="Para 010"/>
      </w:pPr>
      <w:r>
        <w:t>• Phân bổ thời gian và năng lượng cho điều bạn coi là quan trọng nhất. Ví dụ, hãy dành 20 phút cuối trên đường đi làm về để thư giãn, để bạn có thể kết nối với gia đình khi về đến nhà.</w:t>
      </w:r>
    </w:p>
    <w:p>
      <w:pPr>
        <w:pStyle w:val="Para 010"/>
      </w:pPr>
      <w:r>
        <w:t>• Sống đúng với giá trị cốt lõi của bạn. Chẳng hạn, nếu sự chu đáo là quan trọng với bạn nhưng bạn luôn đến họp muộn, hãy tập cố ý đến sớm năm phút.</w:t>
      </w:r>
    </w:p>
    <w:p>
      <w:pPr>
        <w:pStyle w:val="Para 017"/>
      </w:pPr>
      <w:r>
        <w:t>Các công ty có thể giúp gì</w:t>
      </w:r>
    </w:p>
    <w:p>
      <w:pPr>
        <w:pStyle w:val="Para 005"/>
      </w:pPr>
      <w:r>
        <w:t>Để hỗ trợ các thói quen tái tạo năng lượng trong công ty bạn:</w:t>
      </w:r>
    </w:p>
    <w:p>
      <w:pPr>
        <w:pStyle w:val="Para 010"/>
      </w:pPr>
      <w:r>
        <w:t>• Xây “phòng tái tạo” nơi mọi người có thể đến thư giãn và nạp lại năng lượng.</w:t>
      </w:r>
    </w:p>
    <w:p>
      <w:pPr>
        <w:pStyle w:val="Para 010"/>
      </w:pPr>
      <w:r>
        <w:t>• Hỗ trợ chi phí tập gym.</w:t>
      </w:r>
    </w:p>
    <w:p>
      <w:pPr>
        <w:pStyle w:val="Para 010"/>
      </w:pPr>
      <w:r>
        <w:t>• Khuyến khích quản lý rủ nhân viên tập luyện vào giữa ngày.</w:t>
      </w:r>
    </w:p>
    <w:p>
      <w:pPr>
        <w:pStyle w:val="Para 010"/>
      </w:pPr>
      <w:r>
        <w:t>• Gợi ý mọi người ngừng kiểm tra e-mail trong lúc họp.</w:t>
      </w:r>
    </w:p>
    <w:p>
      <w:pPr>
        <w:pStyle w:val="Normal"/>
      </w:pPr>
      <w:r>
        <w:t xml:space="preserve">Chúng tôi cũng hỏi người tham gia chương trình ảnh hưởng đến cá nhân họ thế nào. 68% cho biết chương trình có tác động tích cực đến mối quan hệ của họ với khách hàng. 71% nói rằng nó có tác động tích cực rõ rệt hoặc đáng kể đến năng suất và hiệu quả làm việc. Những phát hiện này củng cố thêm hàng loạt bằng chứng thực tế chúng tôi thu thập được về hiệu quả của phương pháp này ở các nhà lãnh đạo tại những công ty lớn khác như Ernst &amp; Young, Sony, Deutsche Bank, Nokia, ING Direct, Ford và MasterCard.</w:t>
        <w:bookmarkStart w:id="91" w:name="productivity"/>
        <w:t/>
        <w:bookmarkEnd w:id="91"/>
        <w:t xml:space="preserve"/>
      </w:r>
    </w:p>
    <w:p>
      <w:pPr>
        <w:pStyle w:val="Para 053"/>
      </w:pPr>
      <w:r>
        <w:bookmarkStart w:id="92" w:name="How_2"/>
        <w:t>Chương trình tái tạo năng lượng đã tăng năng suất ở Wachovia như thế nào</w:t>
        <w:bookmarkEnd w:id="92"/>
        <w:t xml:space="preserve"/>
      </w:r>
    </w:p>
    <w:p>
      <w:pPr>
        <w:pStyle w:val="Para 065"/>
      </w:pPr>
      <w:r>
        <w:t>Tại Wachovia Bank, những nhân viên tham gia chương trình tái tạo năng lượng đạt kết quả tốt hơn nhóm đối chứng, cho thấy mức cải thiện hiệu suất theo năm lớn hơn đáng kể trong quý đầu năm 2006.</w:t>
      </w:r>
      <w:r>
        <w:rPr>
          <w:rStyle w:val="Text0"/>
        </w:rPr>
        <w:t/>
      </w:r>
    </w:p>
    <w:p>
      <w:pPr>
        <w:pStyle w:val="Para 050"/>
      </w:pPr>
      <w:r>
        <w:drawing>
          <wp:anchor distL="0" distR="0" distT="0" distB="0" simplePos="0" relativeHeight="1" behindDoc="0" locked="0" layoutInCell="1" allowOverlap="1">
            <wp:simplePos x="0" y="0"/>
            <wp:positionH relativeFrom="margin">
              <wp:align>center</wp:align>
            </wp:positionH>
            <wp:positionV relativeFrom="line">
              <wp:align>top</wp:align>
            </wp:positionV>
            <wp:extent cx="4864100" cy="3251200"/>
            <wp:effectExtent l="0" r="0" t="0" b="0"/>
            <wp:wrapTopAndBottom/>
            <wp:docPr id="3" name="74_1.png" descr="74_1.png"/>
            <wp:cNvGraphicFramePr>
              <a:graphicFrameLocks noChangeAspect="1"/>
            </wp:cNvGraphicFramePr>
            <a:graphic>
              <a:graphicData uri="http://schemas.openxmlformats.org/drawingml/2006/picture">
                <pic:pic>
                  <pic:nvPicPr>
                    <pic:cNvPr id="0" name="74_1.png" descr="74_1.png"/>
                    <pic:cNvPicPr/>
                  </pic:nvPicPr>
                  <pic:blipFill>
                    <a:blip r:embed="rId7"/>
                    <a:stretch>
                      <a:fillRect/>
                    </a:stretch>
                  </pic:blipFill>
                  <pic:spPr>
                    <a:xfrm>
                      <a:off x="0" y="0"/>
                      <a:ext cx="4864100" cy="3251200"/>
                    </a:xfrm>
                    <a:prstGeom prst="rect">
                      <a:avLst/>
                    </a:prstGeom>
                  </pic:spPr>
                </pic:pic>
              </a:graphicData>
            </a:graphic>
          </wp:anchor>
        </w:drawing>
      </w:r>
    </w:p>
    <w:p>
      <w:pPr>
        <w:pStyle w:val="Heading 1"/>
      </w:pPr>
      <w:r>
        <w:t>Cơ thể: Năng lượng thể chất</w:t>
      </w:r>
    </w:p>
    <w:p>
      <w:pPr>
        <w:pStyle w:val="Normal"/>
      </w:pPr>
      <w:r>
        <w:t xml:space="preserve">Chương trình của chúng tôi bắt đầu bằng việc tập trung vào năng lượng thể chất. Chẳng có gì mới khi nói rằng dinh dưỡng, vận động, giấc ngủ và nghỉ ngơi không đầy đủ làm giảm mức năng lượng cơ bản của con người, cũng như khả năng quản lý cảm xúc và tập trung chú ý. Dù vậy, nhiều nhà quản lý không tìm được cách duy trì các hành vi lành mạnh một cách nhất quán, giữa vô vàn đòi hỏi khác trong cuộc sống.</w:t>
        <w:bookmarkStart w:id="93" w:name="emotions"/>
        <w:t/>
        <w:bookmarkEnd w:id="93"/>
        <w:t xml:space="preserve"/>
      </w:r>
    </w:p>
    <w:p>
      <w:pPr>
        <w:pStyle w:val="Normal"/>
      </w:pPr>
      <w:r>
        <w:t>Trước khi người tham gia chương trình bắt đầu khám phá cách tăng năng lượng thể chất, họ làm một bài đánh giá năng lượng, gồm bốn câu hỏi cho mỗi khía cạnh năng lượng — cơ thể, cảm xúc, tinh thần và tinh thần sâu sắc. (Xem bảng “Bạn có đang hướng tới khủng hoảng năng lượng?”) Trung bình, người tham gia trả lời “sai” tám đến mười trong số 16 câu hỏi đó, nghĩa là họ đang làm những việc như bỏ bữa sáng, không bày tỏ sự trân trọng với người khác, khó tập trung vào một việc tại một thời điểm, hoặc dành quá ít thời gian cho những hoạt động mang lại cảm giác có mục đích. Dù hầu hết người tham gia không ngạc nhiên khi biết những hành vi này gây phản tác dụng, việc thấy tất cả liệt kê ở một chỗ thường khiến họ khó chịu, tỉnh ngộ và có động lực thay đổi. Bài đánh giá làm nổi bật những thiếu hụt năng lượng lớn nhất của nhân viên. Người tham gia cũng điền vào các biểu đồ được thiết kế để nâng cao nhận thức về việc thói quen tập luyện, ăn uống và ngủ nghỉ ảnh hưởng đến mức năng lượng của họ thế nào.</w:t>
      </w:r>
      <w:hyperlink w:anchor="Are">
        <w:r>
          <w:rPr>
            <w:rStyle w:val="Text1"/>
          </w:rPr>
          <w:t/>
        </w:r>
      </w:hyperlink>
      <w:r>
        <w:t/>
      </w:r>
    </w:p>
    <w:p>
      <w:pPr>
        <w:pStyle w:val="Normal"/>
      </w:pPr>
      <w:r>
        <w:t>Bước tiếp theo là xác định những thói quen để xây dựng và tái tạo năng lượng thể chất. Khi Gary Faro, một phó chủ tịch tại Wachovia, bắt đầu chương trình, ông thừa cân đáng kể, ăn uống kém, không có thói quen tập luyện đều đặn, làm việc nhiều giờ và thường chỉ ngủ năm hoặc sáu tiếng mỗi đêm. Đó không phải là hồ sơ hiếm gặp ở các nhà lãnh đạo và quản lý mà chúng tôi gặp. Trong quá trình tham gia chương trình, Faro bắt đầu tập cardio và tập tạ đều đặn. Ông bắt đầu đi ngủ vào một giờ cố định và ngủ lâu hơn. Ông thay đổi thói quen ăn uống từ hai bữa lớn mỗi ngày (“Tôi thường ăn no căng bụng,” ông nói) sang các bữa nhỏ và đồ ăn nhẹ mỗi ba giờ. Mục tiêu là giúp ông ổn định lượng đường trong máu suốt cả ngày, tránh tăng giảm đột ngột. Trong quá trình đó, ông giảm được 50 pound và mức năng lượng tăng vọt. “Tôi từng xếp những dự án khó vào buổi sáng, khi tôi biết mình sẽ tập trung hơn,” Faro nói. “Giờ tôi không cần làm vậy nữa vì tôi thấy mình tập trung lúc 5 giờ chiều cũng như lúc 8 giờ sáng.”</w:t>
      </w:r>
    </w:p>
    <w:p>
      <w:pPr>
        <w:pStyle w:val="Normal"/>
      </w:pPr>
      <w:r>
        <w:t xml:space="preserve">Một nghi thức quan trọng khác mà Faro áp dụng là nghỉ ngắn nhưng đều đặn vào những khoảng thời gian cụ thể trong ngày làm việc—luôn rời khỏi bàn làm việc. Giá trị của những lần nghỉ này bắt nguồn từ sinh lý học của chúng ta. “Nhịp siêu sinh học (ultradian rhythms)” chỉ các chu kỳ 90 đến 120 phút mà trong đó cơ thể chúng ta từ từ chuyển từ trạng thái năng lượng cao sang vùng trũng sinh lý. Về cuối mỗi chu kỳ, cơ thể bắt đầu thèm một khoảng thời gian phục hồi. Các tín hiệu bao gồm bồn chồn về thể chất, ngáp, đói và khó tập trung, nhưng nhiều người trong chúng ta phớt lờ chúng và tiếp tục làm việc. Hậu quả là bể năng lượng—năng lực còn lại của chúng ta—cạn dần khi ngày trôi qua.</w:t>
        <w:bookmarkStart w:id="94" w:name="_1"/>
        <w:t/>
        <w:bookmarkEnd w:id="94"/>
        <w:t/>
      </w:r>
    </w:p>
    <w:p>
      <w:pPr>
        <w:pStyle w:val="Para 053"/>
      </w:pPr>
      <w:r>
        <w:bookmarkStart w:id="95" w:name="Are"/>
        <w:t>Bạn có đang tiến tới một cuộc khủng hoảng năng lượng không?</w:t>
        <w:bookmarkEnd w:id="95"/>
        <w:t xml:space="preserve"/>
      </w:r>
    </w:p>
    <w:p>
      <w:pPr>
        <w:pStyle w:val="Para 105"/>
      </w:pPr>
      <w:r>
        <w:t>Hãy đánh dấu vào những câu dưới đây đúng với bạn.</w:t>
      </w:r>
      <w:r>
        <w:rPr>
          <w:rStyle w:val="Text0"/>
        </w:rPr>
        <w:t/>
      </w:r>
    </w:p>
    <w:p>
      <w:pPr>
        <w:pStyle w:val="Para 021"/>
      </w:pPr>
      <w:r>
        <w:t>Thể chất</w:t>
      </w:r>
    </w:p>
    <w:p>
      <w:pPr>
        <w:pStyle w:val="Para 018"/>
      </w:pPr>
      <w:r>
        <w:t>□ Tôi không thường xuyên ngủ đủ bảy đến tám tiếng mỗi đêm, và tôi thường thức dậy với cảm giác mệt mỏi.</w:t>
      </w:r>
    </w:p>
    <w:p>
      <w:pPr>
        <w:pStyle w:val="Para 018"/>
      </w:pPr>
      <w:r>
        <w:t>□ Tôi thường bỏ bữa sáng, hoặc tôi chấp nhận thứ gì đó không đủ dinh dưỡng.</w:t>
      </w:r>
    </w:p>
    <w:p>
      <w:pPr>
        <w:pStyle w:val="Para 018"/>
      </w:pPr>
      <w:r>
        <w:t>□ Tôi không tập thể dục đủ (nghĩa là tập tim mạch ít nhất ba lần một tuần và tập sức mạnh ít nhất một lần một tuần).</w:t>
      </w:r>
    </w:p>
    <w:p>
      <w:pPr>
        <w:pStyle w:val="Para 018"/>
      </w:pPr>
      <w:r>
        <w:t>□ Tôi không nghỉ giải lao đều đặn trong ngày để thực sự tái tạo và nạp lại năng lượng, hoặc tôi thường ăn trưa ngay tại bàn làm việc, nếu tôi có ăn.</w:t>
      </w:r>
    </w:p>
    <w:p>
      <w:pPr>
        <w:pStyle w:val="Para 021"/>
      </w:pPr>
      <w:r>
        <w:t>Cảm xúc</w:t>
      </w:r>
    </w:p>
    <w:p>
      <w:pPr>
        <w:pStyle w:val="Para 018"/>
      </w:pPr>
      <w:r>
        <w:t>□ Tôi thường thấy mình cáu kỉnh, mất kiên nhẫn hoặc lo lắng trong công việc, đặc biệt khi công việc đòi hỏi nhiều.</w:t>
      </w:r>
    </w:p>
    <w:p>
      <w:pPr>
        <w:pStyle w:val="Para 018"/>
      </w:pPr>
      <w:r>
        <w:t>□ Tôi không có đủ thời gian cho gia đình và những người thân yêu, và khi ở bên họ, tôi không phải lúc nào cũng thực sự ở bên họ.</w:t>
      </w:r>
    </w:p>
    <w:p>
      <w:pPr>
        <w:pStyle w:val="Para 018"/>
      </w:pPr>
      <w:r>
        <w:t>□ Tôi có quá ít thời gian cho những hoạt động mà tôi yêu thích sâu sắc nhất.</w:t>
      </w:r>
    </w:p>
    <w:p>
      <w:pPr>
        <w:pStyle w:val="Para 018"/>
      </w:pPr>
      <w:r>
        <w:t>□ Tôi không dừng lại đủ thường xuyên để bày tỏ sự trân trọng với người khác hoặc để tận hưởng những thành tựu và phước lành của mình.</w:t>
      </w:r>
    </w:p>
    <w:p>
      <w:pPr>
        <w:pStyle w:val="Para 021"/>
      </w:pPr>
      <w:r>
        <w:t>Tâm trí</w:t>
      </w:r>
    </w:p>
    <w:p>
      <w:pPr>
        <w:pStyle w:val="Para 018"/>
      </w:pPr>
      <w:r>
        <w:t>□ Tôi khó tập trung vào một việc tại một thời điểm, và tôi dễ bị phân tâm trong ngày, đặc biệt là bởi e-mail.</w:t>
      </w:r>
    </w:p>
    <w:p>
      <w:pPr>
        <w:pStyle w:val="Para 018"/>
      </w:pPr>
      <w:r>
        <w:t>□ Tôi dành phần lớn thời gian trong ngày để phản ứng với các cuộc khủng hoảng và yêu cầu trước mắt thay vì tập trung vào những hoạt động có giá trị dài hạn và đòn bẩy cao.</w:t>
      </w:r>
    </w:p>
    <w:p>
      <w:pPr>
        <w:pStyle w:val="Para 018"/>
      </w:pPr>
      <w:r>
        <w:t>□ Tôi không dành đủ thời gian cho việc suy ngẫm, hoạch định chiến lược và tư duy sáng tạo.</w:t>
      </w:r>
    </w:p>
    <w:p>
      <w:pPr>
        <w:pStyle w:val="Para 018"/>
      </w:pPr>
      <w:r>
        <w:t>□ Tôi làm việc vào buổi tối hoặc cuối tuần, và tôi gần như không bao giờ có một kỳ nghỉ không có e-mail.</w:t>
      </w:r>
    </w:p>
    <w:p>
      <w:pPr>
        <w:pStyle w:val="Para 021"/>
      </w:pPr>
      <w:r>
        <w:t>Tinh thần</w:t>
      </w:r>
    </w:p>
    <w:p>
      <w:pPr>
        <w:pStyle w:val="Para 018"/>
      </w:pPr>
      <w:r>
        <w:t>□ Tôi không dành đủ thời gian trong công việc để làm những gì tôi giỏi nhất và thích nhất.</w:t>
      </w:r>
    </w:p>
    <w:p>
      <w:pPr>
        <w:pStyle w:val="Para 018"/>
      </w:pPr>
      <w:r>
        <w:t>□ Có những khoảng cách đáng kể giữa những gì tôi nói là quan trọng nhất với tôi trong cuộc sống và cách tôi thực sự phân bổ thời gian và năng lượng của mình.</w:t>
      </w:r>
    </w:p>
    <w:p>
      <w:pPr>
        <w:pStyle w:val="Para 018"/>
      </w:pPr>
      <w:r>
        <w:t>□ Các quyết định của tôi trong công việc thường bị ảnh hưởng bởi những yêu cầu bên ngoài hơn là bởi một cảm nhận mạnh mẽ, rõ ràng về mục đích của chính tôi.</w:t>
      </w:r>
    </w:p>
    <w:p>
      <w:pPr>
        <w:pStyle w:val="Para 018"/>
      </w:pPr>
      <w:r>
        <w:t>□ Tôi không đầu tư đủ thời gian và năng lượng vào việc tạo ra sự khác biệt tích cực cho người khác hoặc cho thế giới.</w:t>
      </w:r>
    </w:p>
    <w:p>
      <w:pPr>
        <w:pStyle w:val="Para 021"/>
      </w:pPr>
      <w:r>
        <w:t>Năng lượng tổng thể của bạn thế nào?</w:t>
      </w:r>
    </w:p>
    <w:p>
      <w:pPr>
        <w:pStyle w:val="Para 018"/>
      </w:pPr>
      <w:r>
        <w:t>Tổng số câu đã đánh dấu: —</w:t>
      </w:r>
    </w:p>
    <w:p>
      <w:pPr>
        <w:pStyle w:val="Para 021"/>
      </w:pPr>
      <w:r>
        <w:t>Hướng dẫn chấm điểm</w:t>
      </w:r>
    </w:p>
    <w:p>
      <w:pPr>
        <w:pStyle w:val="Para 018"/>
      </w:pPr>
      <w:r>
        <w:t>0–3: Kỹ năng quản lý năng lượng xuất sắc</w:t>
      </w:r>
    </w:p>
    <w:p>
      <w:pPr>
        <w:pStyle w:val="Para 018"/>
      </w:pPr>
      <w:r>
        <w:t>4–6: Kỹ năng quản lý năng lượng hợp lý</w:t>
      </w:r>
    </w:p>
    <w:p>
      <w:pPr>
        <w:pStyle w:val="Para 018"/>
      </w:pPr>
      <w:r>
        <w:t>7–10: Thiếu hụt quản lý năng lượng đáng kể</w:t>
      </w:r>
    </w:p>
    <w:p>
      <w:pPr>
        <w:pStyle w:val="Para 018"/>
      </w:pPr>
      <w:r>
        <w:t>11–16: Khủng hoảng quản lý năng lượng toàn diện</w:t>
      </w:r>
    </w:p>
    <w:p>
      <w:pPr>
        <w:pStyle w:val="Para 021"/>
      </w:pPr>
      <w:r>
        <w:t>Bạn cần cải thiện điều gì?</w:t>
      </w:r>
    </w:p>
    <w:p>
      <w:pPr>
        <w:pStyle w:val="Para 018"/>
      </w:pPr>
      <w:r>
        <w:t>Số lần đánh dấu ở từng hạng mục:</w:t>
      </w:r>
    </w:p>
    <w:p>
      <w:pPr>
        <w:pStyle w:val="Para 018"/>
      </w:pPr>
      <w:r>
        <w:t>Thể chất ___</w:t>
      </w:r>
    </w:p>
    <w:p>
      <w:pPr>
        <w:pStyle w:val="Para 018"/>
      </w:pPr>
      <w:r>
        <w:t>Tinh thần ___</w:t>
      </w:r>
    </w:p>
    <w:p>
      <w:pPr>
        <w:pStyle w:val="Para 018"/>
      </w:pPr>
      <w:r>
        <w:t>Cảm xúc ___</w:t>
      </w:r>
    </w:p>
    <w:p>
      <w:pPr>
        <w:pStyle w:val="Para 018"/>
      </w:pPr>
      <w:r>
        <w:t>Tâm hồn ___</w:t>
      </w:r>
    </w:p>
    <w:p>
      <w:pPr>
        <w:pStyle w:val="Para 021"/>
      </w:pPr>
      <w:r>
        <w:t>Hướng dẫn chấm điểm từng hạng mục</w:t>
      </w:r>
    </w:p>
    <w:p>
      <w:pPr>
        <w:pStyle w:val="Para 018"/>
      </w:pPr>
      <w:r>
        <w:t>0: Kỹ năng quản lý năng lượng xuất sắc</w:t>
      </w:r>
    </w:p>
    <w:p>
      <w:pPr>
        <w:pStyle w:val="Para 018"/>
      </w:pPr>
      <w:r>
        <w:t>1: Kỹ năng quản lý năng lượng tốt</w:t>
      </w:r>
    </w:p>
    <w:p>
      <w:pPr>
        <w:pStyle w:val="Para 018"/>
      </w:pPr>
      <w:r>
        <w:t>2: Thiếu hụt đáng kể</w:t>
      </w:r>
    </w:p>
    <w:p>
      <w:pPr>
        <w:pStyle w:val="Para 018"/>
      </w:pPr>
      <w:r>
        <w:t>3: Kỹ năng quản lý năng lượng kém</w:t>
      </w:r>
    </w:p>
    <w:p>
      <w:pPr>
        <w:pStyle w:val="Para 018"/>
      </w:pPr>
      <w:r>
        <w:t>4: Khủng hoảng năng lượng toàn diện</w:t>
      </w:r>
    </w:p>
    <w:p>
      <w:pPr>
        <w:pStyle w:val="Normal"/>
      </w:pPr>
      <w:r>
        <w:t>Chúng tôi nhận thấy rằng những khoảng nghỉ ngắt quãng để tái tạo năng lượng mang lại hiệu suất cao hơn và bền vững hơn. Độ dài của khoảng nghỉ không quan trọng bằng chất lượng. Bạn hoàn toàn có thể phục hồi rất nhiều chỉ trong một thời gian ngắn—chỉ vài phút—nếu đó là một thói quen giúp bạn tách khỏi công việc và thực sự chuyển kênh. Điều đó có thể là đứng dậy trò chuyện với đồng nghiệp về chuyện ngoài công việc, nghe nhạc trên iPod, hay đi lên đi xuống cầu thang trong tòa nhà văn phòng. Dù việc nghỉ giải lao đi ngược lại văn hóa ở hầu hết các tổ chức và có vẻ phản trực giác với nhiều người thành đạt, giá trị của nó thì rất đa dạng.</w:t>
      </w:r>
    </w:p>
    <w:p>
      <w:pPr>
        <w:pStyle w:val="Normal"/>
      </w:pPr>
      <w:r>
        <w:t xml:space="preserve">Matthew Lang là giám đốc điều hành của Sony tại Nam Phi. Anh áp dụng một số thói quen giống Faro, trong đó có việc đi bộ 20 phút vào buổi chiều. Cuộc đi bộ của Lang không chỉ giúp anh thư giãn tinh thần, cảm xúc và vận động cơ thể, mà còn trở thành thời điểm anh nảy ra những ý tưởng sáng tạo nhất. Đó là vì khi đi bộ, anh không chủ động suy nghĩ, điều này cho phép bán cầu não trái vốn chiếm ưu thế nhường chỗ cho bán cầu não phải với khả năng nhìn bức tranh toàn cảnh và tạo ra những bước nhảy vọt về trí tưởng tượng tốt hơn.</w:t>
        <w:bookmarkStart w:id="96" w:name="20"/>
        <w:t/>
        <w:bookmarkEnd w:id="96"/>
        <w:t/>
      </w:r>
    </w:p>
    <w:p>
      <w:pPr>
        <w:pStyle w:val="Heading 1"/>
      </w:pPr>
      <w:r>
        <w:t>Cảm xúc: Chất lượng năng lượng</w:t>
      </w:r>
    </w:p>
    <w:p>
      <w:pPr>
        <w:pStyle w:val="Normal"/>
      </w:pPr>
      <w:r>
        <w:t>Khi mọi người có thể kiểm soát cảm xúc tốt hơn, họ có thể cải thiện chất lượng năng lượng của mình, bất kể áp lực bên ngoài họ đang đối mặt là gì. Để làm được điều này, trước tiên họ phải nhận thức rõ hơn về cảm giác của mình ở từng thời điểm trong ngày làm việc và tác động của những cảm xúc đó đến hiệu quả công việc. Hầu hết mọi người nhận ra rằng họ có xu hướng làm việc tốt nhất khi cảm thấy năng lượng tích cực. Điều khiến họ ngạc nhiên là họ không thể làm việc tốt hay lãnh đạo hiệu quả khi cảm thấy bất kỳ trạng thái nào khác.</w:t>
      </w:r>
    </w:p>
    <w:p>
      <w:pPr>
        <w:pStyle w:val="Normal"/>
      </w:pPr>
      <w:r>
        <w:t>Đáng tiếc là nếu không có sự phục hồi ngắt quãng, về mặt sinh lý chúng ta không thể duy trì những cảm xúc tích cực cao độ trong thời gian dài. Đối mặt với những yêu cầu không ngừng nghỉ và thách thức bất ngờ, con người có xu hướng rơi vào cảm xúc tiêu cực—chế độ chiến đấu hay bỏ chạy (fight-or-flight)—thường nhiều lần trong một ngày. Họ trở nên cáu kỉnh và thiếu kiên nhẫn, hoặc lo lắng và bất an. Những trạng thái tinh thần như vậy rút cạn năng lượng của con người và gây ra xích mích trong các mối quan hệ. Cảm xúc chiến đấu hay bỏ chạy cũng khiến người ta không thể suy nghĩ rõ ràng, logic và thấu đáo. Khi các nhà lãnh đạo học cách nhận ra loại sự kiện nào kích hoạt cảm xúc tiêu cực của họ, họ có thêm khả năng kiểm soát phản ứng của mình.</w:t>
      </w:r>
    </w:p>
    <w:p>
      <w:pPr>
        <w:pStyle w:val="Normal"/>
      </w:pPr>
      <w:r>
        <w:t xml:space="preserve">Một thói quen đơn giản nhưng mạnh mẽ để xoa dịu cảm xúc tiêu cực là cái chúng tôi gọi là “câu giờ”. Hít thở sâu bằng bụng là một cách để làm điều đó. Thở ra chậm trong năm hoặc sáu giây tạo ra sự thư giãn và phục hồi, đồng thời tắt phản ứng chiến đấu hay bỏ chạy. Khi chúng tôi bắt đầu làm việc với Fujio Nishida, chủ tịch Sony Europe, ông có thói quen châm một điếu thuốc mỗi khi có chuyện gì đó đặc biệt căng thẳng xảy ra—ít nhất hai hoặc ba lần một ngày. Ngoài những lúc đó, ông không hút thuốc. Chúng tôi dạy ông bài tập thở như một giải pháp thay thế, và nó có hiệu quả ngay lập tức: Nishida thấy mình không còn thèm thuốc nữa. Chúng tôi kết luận rằng không phải việc hút thuốc đã giúp ông giảm căng thẳng, mà chính là sự thư giãn đến từ việc hít vào và thở ra thật sâu.</w:t>
        <w:bookmarkStart w:id="97" w:name="and"/>
        <w:t/>
        <w:bookmarkEnd w:id="97"/>
        <w:t xml:space="preserve"/>
      </w:r>
    </w:p>
    <w:p>
      <w:pPr>
        <w:pStyle w:val="Normal"/>
      </w:pPr>
      <w:r>
        <w:t>Một thói quen mạnh mẽ nuôi dưỡng cảm xúc tích cực là bày tỏ sự trân trọng với người khác, một thực hành dường như mang lại lợi ích cho người cho cũng nhiều như người nhận. Nó có thể là một ghi chú viết tay, một email, một cuộc gọi, hay một cuộc trò chuyện—và càng chi tiết, cụ thể bao nhiêu thì tác động càng lớn bấy nhiêu. Như với mọi thói quen khác, việc dành riêng một thời điểm cụ thể để làm điều đó làm tăng đáng kể khả năng thành công. Ben Jenkins, phó chủ tịch kiêm chủ tịch của General Bank tại Wachovia ở Charlotte, North Carolina, đã xây dựng thói quen bày tỏ sự trân trọng của mình vào thời gian dành cho việc cố vấn. Ông bắt đầu sắp xếp các bữa trưa hoặc tối thường xuyên với những người làm việc dưới quyền. Trước đây, những cuộc gặp trực tiếp duy nhất ông có với cấp dưới trực tiếp là để nghe báo cáo hàng tháng về các con số hoặc đưa ra đánh giá hiệu suất hàng năm. Giờ đây, trong các bữa ăn, ông ưu tiên ghi nhận thành tích của họ và cũng trò chuyện với họ về cuộc sống và khát vọng thay vì trách nhiệm công việc trước mắt.</w:t>
      </w:r>
    </w:p>
    <w:p>
      <w:pPr>
        <w:pStyle w:val="Normal"/>
      </w:pPr>
      <w:r>
        <w:t>Cuối cùng, mọi người có thể nuôi dưỡng cảm xúc tích cực bằng cách học cách thay đổi câu chuyện họ tự kể về các sự kiện trong cuộc đời mình. Thông thường, những người trong xung đột tự đặt mình vào vai nạn nhân, đổ lỗi cho người khác hoặc hoàn cảnh bên ngoài về vấn đề của họ. Việc nhận thức được sự khác biệt giữa sự thật trong một tình huống nhất định và cách chúng ta diễn giải những sự thật đó tự bản thân nó đã có sức mạnh lớn. Đó là một khám phá bất ngờ đối với nhiều người chúng tôi làm việc cùng khi họ nhận ra mình có quyền lựa chọn cách nhìn nhận một sự kiện và nhận ra câu chuyện họ kể ảnh hưởng mạnh mẽ thế nào đến cảm xúc họ cảm nhận. Chúng tôi dạy họ kể câu chuyện đầy hy vọng và trao quyền cá nhân nhất có thể trong bất kỳ tình huống nào, mà không phủ nhận hay giảm nhẹ sự thật.</w:t>
      </w:r>
    </w:p>
    <w:p>
      <w:pPr>
        <w:pStyle w:val="Normal"/>
      </w:pPr>
      <w:r>
        <w:t xml:space="preserve">Cách hiệu quả nhất để mọi người thay đổi một câu chuyện là nhìn nó qua bất kỳ một trong ba lăng kính mới, tất cả đều là những lựa chọn thay thế cho việc nhìn thế giới từ góc độ nạn nhân. Ví dụ, với lăng kính đảo ngược, mọi người tự hỏi: “Người kia trong xung đột này sẽ nói gì và điều đó có thể đúng ở những khía cạnh nào?” Với lăng kính dài hạn, họ hỏi: “Sáu tháng nữa tôi nhiều khả năng sẽ nhìn nhận tình huống này thế nào?” Với lăng kính rộng, họ tự hỏi: “Bất kể kết quả của vấn đề này ra sao, tôi có thể trưởng thành và học được gì từ nó?” Mỗi lăng kính này có thể giúp mọi người chủ động nuôi dưỡng nhiều cảm xúc tích cực hơn.</w:t>
      </w:r>
      <w:r>
        <w:rPr>
          <w:rStyle w:val="Text0"/>
        </w:rPr>
        <w:t/>
      </w:r>
      <w:r>
        <w:t xml:space="preserve"/>
      </w:r>
      <w:r>
        <w:rPr>
          <w:rStyle w:val="Text0"/>
        </w:rPr>
        <w:t/>
      </w:r>
      <w:r>
        <w:t xml:space="preserve"/>
        <w:bookmarkStart w:id="98" w:name="With"/>
        <w:t/>
        <w:bookmarkEnd w:id="98"/>
        <w:t xml:space="preserve"/>
      </w:r>
      <w:r>
        <w:rPr>
          <w:rStyle w:val="Text0"/>
        </w:rPr>
        <w:t/>
      </w:r>
      <w:r>
        <w:t xml:space="preserve"/>
      </w:r>
    </w:p>
    <w:p>
      <w:pPr>
        <w:pStyle w:val="Normal"/>
      </w:pPr>
      <w:r>
        <w:t>Nicolas Babin, giám đốc truyền thông doanh nghiệp của Sony Europe, là người đầu mối trả lời các cuộc gọi từ phóng viên khi Sony trải qua vài đợt thu hồi pin vào năm 2006. Theo thời gian, anh thấy công việc của mình ngày càng mệt mỏi và nản lòng. Sau khi thực hành các bài tập lăng kính, anh bắt đầu tìm cách kể cho mình một câu chuyện tích cực và trao quyền hơn về vai trò của mình. “Tôi nhận ra,” anh giải thích, “rằng đây là cơ hội để tôi xây dựng mối quan hệ bền chặt hơn với các nhà báo bằng cách sẵn sàng tiếp cận họ và tăng uy tín của Sony bằng cách thẳng thắn và trung thực.”</w:t>
      </w:r>
    </w:p>
    <w:p>
      <w:pPr>
        <w:pStyle w:val="Heading 1"/>
      </w:pPr>
      <w:r>
        <w:t>Tinh thần: Trọng tâm của năng lượng</w:t>
      </w:r>
    </w:p>
    <w:p>
      <w:pPr>
        <w:pStyle w:val="Normal"/>
      </w:pPr>
      <w:r>
        <w:t>Nhiều nhà quản lý coi làm nhiều việc cùng lúc (multitasking) là điều cần thiết trước tất cả những yêu cầu họ phải xoay xở, nhưng thực ra nó làm giảm năng suất. Sự xao nhãng rất tốn kém: Một sự chuyển dịch chú ý tạm thời từ nhiệm vụ này sang nhiệm vụ khác—ví dụ như dừng lại để trả lời email hay nghe điện thoại—làm tăng thời gian cần thiết để hoàn thành nhiệm vụ chính lên tới 25%, một hiện tượng được gọi là “thời gian chuyển đổi” (switching time). Tập trung hoàn toàn trong 90 đến 120 phút, nghỉ thực sự, rồi lại tập trung hoàn toàn vào hoạt động tiếp theo sẽ hiệu quả hơn nhiều. Chúng tôi gọi những khoảng thời gian làm việc này là “những cú chạy nước rút siêu nhịp” (ultradian sprints).</w:t>
      </w:r>
    </w:p>
    <w:p>
      <w:pPr>
        <w:pStyle w:val="Normal"/>
      </w:pPr>
      <w:r>
        <w:t>Một khi mọi người thấy mình vật lộn thế nào để tập trung, họ có thể tạo ra các thói quen để giảm bớt những gián đoạn không ngừng mà công nghệ đã đưa vào cuộc sống của họ. Chúng tôi bắt đầu bằng một bài tập buộc họ phải đối mặt với tác động của những xao nhãng hàng ngày. Họ cố gắng hoàn thành một nhiệm vụ phức tạp và thường xuyên bị ngắt quãng—một trải nghiệm mà mọi người cho biết cuối cùng cảm thấy rất giống cuộc sống thường nhật.</w:t>
      </w:r>
    </w:p>
    <w:p>
      <w:pPr>
        <w:pStyle w:val="Normal"/>
      </w:pPr>
      <w:r>
        <w:t xml:space="preserve">Dan Cluna, một phó chủ tịch tại Wachovia, đã thiết kế hai thói quen để tập trung chú ý tốt hơn. Thói quen đầu tiên là rời khỏi bàn làm việc và vào phòng họp, tránh xa điện thoại và email, bất cứ khi nào anh có nhiệm vụ cần sự tập trung. Giờ đây anh hoàn thành các báo cáo chỉ trong một phần ba thời gian trước đây. Cluna xây dựng thói quen thứ hai xoay quanh các cuộc họp tại chi nhánh với các chuyên gia tài chính báo cáo cho anh. Trước đây, anh thường trả lời điện thoại bất cứ khi nào nó đổ chuông trong các cuộc họp này. Hậu quả là các cuộc họp anh lên lịch một giờ thường kéo dài thành hai giờ, và anh hiếm khi dành cho ai sự chú ý trọn vẹn. Giờ đây Cluna để điện thoại chuyển sang hộp thư thoại để có thể tập trung hoàn toàn vào người trước mặt. Anh trả lời các tin nhắn thoại tích lũy khi có thời gian rảnh giữa các cuộc họp.</w:t>
        <w:bookmarkStart w:id="99" w:name="report"/>
        <w:t/>
        <w:bookmarkEnd w:id="99"/>
        <w:t xml:space="preserve"/>
      </w:r>
    </w:p>
    <w:p>
      <w:pPr>
        <w:pStyle w:val="Normal"/>
      </w:pPr>
      <w:r>
        <w:t>Wanner, người làm việc đầy năng lượng tại E&amp;Y, từng trả lời email liên tục suốt cả ngày—bất cứ khi nào anh nghe thấy tiếng “ping”. Sau đó anh tạo thói quen chỉ kiểm tra email hai lần một ngày—lúc 10:15 sáng và 2:30 chiều. Trong khi trước đây anh không thể theo kịp tất cả tin nhắn, anh phát hiện ra mình có thể dọn sạch hộp thư đến mỗi lần mở nó—phần thưởng của việc tập trung hoàn toàn sự chú ý vào email trong 45 phút mỗi lần. Wanner cũng đã thiết lập lại kỳ vọng của tất cả những người anh thường xuyên liên lạc qua email. “Tôi đã nói với họ nếu đó là trường hợp khẩn cấp và họ cần phản hồi ngay lập tức, họ có thể gọi cho tôi và tôi sẽ luôn bắt máy,” anh nói. Chín tháng sau, anh vẫn chưa nhận được cuộc gọi nào như vậy.</w:t>
      </w:r>
    </w:p>
    <w:p>
      <w:pPr>
        <w:pStyle w:val="Normal"/>
      </w:pPr>
      <w:r>
        <w:t>Michael Henke, một quản lý cấp cao tại E&amp;Y, đã ngồi lại với nhóm của mình vào đầu mùa bận rộn mùa đông năm ngoái và nói với họ rằng vào một số thời điểm nhất định trong ngày, anh sẽ tắt Sametime (một hệ thống nhắn tin nội bộ). Kết quả, anh nói, là anh sẽ ít sẵn sàng trả lời câu hỏi của họ hơn. Giống Wanner, anh bảo nhóm của mình gọi điện nếu có trường hợp khẩn cấp, nhưng họ hiếm khi làm vậy. Anh cũng khuyến khích cả nhóm nghỉ giải lao thường xuyên trong ngày và ăn uống đều đặn hơn. Họ kết thúc mùa bận rộn dưới ngân sách và có lợi nhuận cao hơn các nhóm khác không áp dụng chương trình tái tạo năng lượng. “Chúng tôi hoàn thành cùng một khối lượng công việc trong thời gian ngắn hơn,” Henke nói. “Đó là một kết quả đôi bên cùng thắng.”</w:t>
      </w:r>
    </w:p>
    <w:p>
      <w:pPr>
        <w:pStyle w:val="Normal"/>
      </w:pPr>
      <w:r>
        <w:t xml:space="preserve">Một cách khác để huy động năng lượng tinh thần là tập trung một cách có hệ thống vào những hoạt động có đòn bẩy dài hạn nhất. Trừ khi mọi người chủ động lên lịch thời gian cho công việc thách thức hơn, họ có xu hướng không bao giờ đụng đến nó hoặc làm vội vào phút chót. Có lẽ thói quen tập trung hiệu quả nhất mà các nhà quản lý chúng tôi làm việc cùng áp dụng là mỗi tối xác định thách thức quan trọng nhất cho ngày hôm sau và biến nó thành ưu tiên hàng đầu khi họ đến văn phòng vào buổi sáng. Jean Luc Duquesne, một phó chủ tịch của Sony Europe tại Paris, từng trả lời email ngay khi đến văn phòng, giống như nhiều người khác. Giờ đây anh cố gắng tập trung giờ đầu tiên mỗi ngày vào chủ đề quan trọng nhất. Anh thấy rằng mình thường bước ra khỏi giờ tập trung đó lúc 10 giờ sáng với cảm giác như đã có một ngày làm việc hiệu quả.</w:t>
        <w:bookmarkStart w:id="100" w:name="Paris"/>
        <w:t/>
        <w:bookmarkEnd w:id="100"/>
        <w:t xml:space="preserve"/>
      </w:r>
    </w:p>
    <w:p>
      <w:pPr>
        <w:pStyle w:val="Heading 1"/>
      </w:pPr>
      <w:r>
        <w:t>Tâm hồn con người: Năng lượng của ý nghĩa và mục đích</w:t>
      </w:r>
    </w:p>
    <w:p>
      <w:pPr>
        <w:pStyle w:val="Normal"/>
      </w:pPr>
      <w:r>
        <w:t>Con người chạm được vào nguồn năng lượng của tinh thần khi công việc và hoạt động hằng ngày của họ nhất quán với những gì họ trân trọng nhất và với những gì mang lại cho họ cảm giác ý nghĩa và mục đích. Nếu công việc họ đang làm thực sự quan trọng với họ, họ thường cảm thấy năng lượng tích cực hơn, tập trung tốt hơn và thể hiện sự kiên trì lớn hơn. Đáng tiếc là những yêu cầu cao và nhịp độ nhanh của cuộc sống doanh nghiệp không để lại nhiều thời gian để chú ý đến những vấn đề này, và nhiều người thậm chí không nhận ra ý nghĩa và mục đích là những nguồn năng lượng tiềm năng. Thật vậy, nếu chúng tôi cố gắng bắt đầu chương trình của mình bằng cách tập trung vào tinh thần con người, nó có thể sẽ có tác động tối thiểu. Chỉ khi những người tham gia đã trải nghiệm giá trị của các nghi thức họ thiết lập ở các khía cạnh khác, họ mới bắt đầu thấy rằng việc chú ý đến những nhu cầu sâu xa hơn của chính mình ảnh hưởng đáng kể đến hiệu quả và sự hài lòng của họ trong công việc.</w:t>
      </w:r>
    </w:p>
    <w:p>
      <w:pPr>
        <w:pStyle w:val="Normal"/>
      </w:pPr>
      <w:r>
        <w:t>Đối với Jonathan Anspacher, một cộng sự của E&amp;Y, chỉ riêng việc có cơ hội tự hỏi mình một loạt câu hỏi về điều gì thực sự quan trọng với mình đã vừa soi sáng vừa tiếp thêm năng lượng. “Tôi nghĩ điều quan trọng là phải hơi hướng nội một chút và tự hỏi, ‘Bạn muốn được nhớ đến vì điều gì?’” ông nói với chúng tôi. “Bạn không muốn bị nhớ đến như một cộng sự điên rồ làm việc nhiều giờ liền và khiến nhân viên của mình khốn khổ. Khi con tôi gọi cho tôi và hỏi, ‘Bố đến buổi hòa nhạc của con được không?’ tôi muốn nói, ‘Được, bố sẽ đến và bố sẽ ngồi hàng ghế đầu.’ Tôi không muốn trở thành người cha đến rồi ngồi phía sau, dán mắt vào Blackberry và phải bước ra ngoài để nghe điện thoại.”</w:t>
      </w:r>
    </w:p>
    <w:p>
      <w:pPr>
        <w:pStyle w:val="Normal"/>
      </w:pPr>
      <w:r>
        <w:t>Để tiếp cận năng lượng của tinh thần con người, mọi người cần làm rõ các ưu tiên và thiết lập các nghi thức đi kèm trong ba nhóm: làm những gì họ giỏi nhất và thích nhất trong công việc; phân bổ thời gian và năng lượng một cách có ý thức cho những lĩnh vực trong cuộc sống—công việc, gia đình, sức khỏe, phục vụ người khác—mà họ coi là quan trọng nhất; và sống theo các giá trị cốt lõi của mình trong hành vi hằng ngày.</w:t>
      </w:r>
    </w:p>
    <w:p>
      <w:pPr>
        <w:pStyle w:val="Normal"/>
      </w:pPr>
      <w:r>
        <w:bookmarkStart w:id="101" w:name="When"/>
        <w:t>Khi bạn cố gắng khám phá điều mình làm tốt nhất và điều mình thích nhất, điều quan trọng là nhận ra rằng hai điều này không nhất thiết luôn đi cùng nhau. Bạn có thể nhận được nhiều phản hồi tích cực về điều gì đó bạn rất giỏi nhưng không thực sự thích nó. Ngược lại, bạn có thể thích làm điều gì đó nhưng không có năng khiếu về nó, vì vậy để đạt được thành công đòi hỏi nhiều năng lượng hơn mức đáng để đầu tư.</w:t>
        <w:bookmarkEnd w:id="101"/>
        <w:t xml:space="preserve"/>
      </w:r>
    </w:p>
    <w:p>
      <w:pPr>
        <w:pStyle w:val="Normal"/>
      </w:pPr>
      <w:r>
        <w:t>Để giúp những người tham gia chương trình khám phá các lĩnh vực thế mạnh của mình, chúng tôi yêu cầu họ nhớ lại ít nhất hai trải nghiệm công việc trong vài tháng qua mà họ thấy mình ở trong “điểm ngọt” (sweet spot)—cảm thấy hiệu quả, bị cuốn hút một cách dễ dàng, được truyền cảm hứng và thỏa mãn. Sau đó, chúng tôi yêu cầu họ mổ xẻ những trải nghiệm đó để hiểu chính xác điều gì đã tiếp năng lượng tích cực cho họ và họ đã sử dụng những tài năng cụ thể nào. Ví dụ, nếu việc dẫn dắt chiến lược mang lại cảm giác như một điểm ngọt, thì điều tiếp sức nhất là việc được làm người phụ trách hay việc tham gia vào một nỗ lực sáng tạo? Hay là việc sử dụng một kỹ năng đến với bạn một cách dễ dàng và vì thế cảm thấy thích thú khi thực hành? Cuối cùng, chúng tôi yêu cầu mọi người thiết lập một nghi thức khuyến khích họ làm nhiều hơn chính loại hoạt động đó trong công việc.</w:t>
      </w:r>
    </w:p>
    <w:p>
      <w:pPr>
        <w:pStyle w:val="Normal"/>
      </w:pPr>
      <w:r>
        <w:t>Một lãnh đạo cấp cao mà chúng tôi từng làm việc cùng nhận ra rằng một trong những hoạt động ông ít thích nhất là đọc và tóm tắt các báo cáo bán hàng chi tiết, trong khi một trong những hoạt động yêu thích nhất của ông là động não về các chiến lược mới. Vị lãnh đạo này đã tìm được một nhân viên cấp dưới trực tiếp thích đắm mình vào các con số và giao nhiệm vụ báo cáo bán hàng cho anh ta—vui vẻ chấp nhận việc nhận các bản tóm tắt miệng ngắn gọn từ anh ta mỗi ngày. Vị lãnh đạo này cũng bắt đầu lên lịch một buổi họp chiến lược tự do kéo dài 90 phút cách tuần với những người sáng tạo nhất trong nhóm của mình.</w:t>
      </w:r>
    </w:p>
    <w:p>
      <w:pPr>
        <w:pStyle w:val="Normal"/>
      </w:pPr>
      <w:r>
        <w:t xml:space="preserve">Ở nhóm thứ hai, dành thời gian và năng lượng cho điều quan trọng với bạn, thường có một khoảng cách tương tự giữa điều mọi người nói là quan trọng và điều họ thực sự làm. Các nghi thức có thể giúp thu hẹp khoảng cách này. Khi Jean Luc Duquesne, phó chủ tịch Sony Europe, suy nghĩ kỹ về các ưu tiên cá nhân của mình, ông nhận ra rằng dành thời gian cho gia đình là điều quan trọng nhất với ông, nhưng nó thường bị đẩy ra khỏi ngày làm việc của ông. Vì vậy, ông đã thiết lập một nghi thức là tắt máy ít nhất ba giờ mỗi tối khi về đến nhà để có thể tập trung vào gia đình. “Tôi vẫn chưa phải là chuyên gia về PlayStation,” ông nói với chúng tôi, “nhưng theo con trai út của tôi, tôi đang học và tôi là một học trò ngoan.” Steve Wanner, người từng nói chuyện điện thoại di động suốt quãng đường về đến tận cửa nhà, đã chọn một địa điểm cụ thể cách nhà 20 phút, nơi ông kết thúc bất kỳ cuộc gọi nào đang nghe và cất điện thoại đi. Ông dành phần còn lại của quãng đường về nhà để thư giãn để khi về đến nhà, ông ít bận tâm về công việc hơn và sẵn sàng dành thời gian cho vợ con hơn.</w:t>
        <w:bookmarkStart w:id="102" w:name="PlayStation"/>
        <w:t/>
        <w:bookmarkEnd w:id="102"/>
        <w:t xml:space="preserve"/>
      </w:r>
    </w:p>
    <w:p>
      <w:pPr>
        <w:pStyle w:val="Normal"/>
      </w:pPr>
      <w:r>
        <w:t>Nhóm thứ ba, thực hành các giá trị cốt lõi trong hành vi hằng ngày, cũng là một thách thức đối với nhiều người. Hầu hết mọi người đang sống với nhịp độ điên cuồng đến mức họ hiếm khi dừng lại để tự hỏi mình đại diện cho điều gì và muốn trở thành người như thế nào. Hệ quả là họ để những đòi hỏi bên ngoài quyết định hành động của mình.</w:t>
      </w:r>
    </w:p>
    <w:p>
      <w:pPr>
        <w:pStyle w:val="Normal"/>
      </w:pPr>
      <w:r>
        <w:t>Chúng tôi không gợi ý mọi người định nghĩa rõ ràng các giá trị của mình, vì kết quả thường quá dễ đoán. Thay vào đó, chúng tôi tìm cách khám phá chúng, một phần bằng cách đặt những câu hỏi vô tình làm lộ ra điều đó, chẳng hạn như, “Những phẩm chất nào bạn thấy khó chịu nhất khi nhìn thấy ở người khác?” Bằng cách mô tả điều họ không thể chịu đựng được, mọi người vô tình tiết lộ điều họ đại diện. Ví dụ, nếu bạn rất khó chịu với sự keo kiệt, thì sự hào phóng có lẽ là một trong những giá trị cốt lõi của bạn. Nếu bạn đặc biệt khó chịu với sự thô lỗ ở người khác, có khả năng sự quan tâm đến người khác là một giá trị cao đối với bạn. Như ở các nhóm khác, việc thiết lập các nghi thức có thể giúp thu hẹp khoảng cách giữa các giá trị bạn hướng tới và cách bạn hiện đang hành xử. Nếu bạn khám phá ra rằng sự quan tâm đến người khác là một giá trị cốt lõi, nhưng bạn thường xuyên đến muộn trong các cuộc họp, nghi thức có thể là kết thúc các cuộc họp bạn chủ trì sớm hơn thường lệ năm phút và cố ý đến sớm năm phút cho cuộc họp tiếp theo.</w:t>
      </w:r>
    </w:p>
    <w:p>
      <w:pPr>
        <w:pStyle w:val="Normal"/>
      </w:pPr>
      <w:r>
        <w:t>Việc giải quyết ba nhóm này giúp mọi người tiến xa trong việc đạt được cảm giác liên kết, hài lòng và hạnh phúc lớn hơn trong cuộc sống cả trong lẫn ngoài công việc. Những cảm giác đó tự thân là nguồn năng lượng tích cực và củng cố mong muốn của mọi người trong việc duy trì các nghi thức ở các khía cạnh năng lượng khác.</w:t>
      </w:r>
    </w:p>
    <w:p>
      <w:pPr>
        <w:pStyle w:val="Para 055"/>
      </w:pPr>
      <w:r>
        <w:t>_____________________</w:t>
      </w:r>
    </w:p>
    <w:p>
      <w:pPr>
        <w:pStyle w:val="Normal"/>
      </w:pPr>
      <w:r>
        <w:t xml:space="preserve">Cách làm việc mới này chỉ bén rễ khi các tổ chức hỗ trợ nhân viên của mình áp dụng các hành vi mới. Chúng tôi đã học được, đôi khi một cách đau đớn, rằng không phải tất cả các nhà điều hành và công ty đều sẵn sàng chấp nhận quan điểm rằng sự đổi mới cá nhân cho nhân viên sẽ dẫn đến hiệu suất tốt hơn và bền vững hơn. Để thành công, các nỗ lực đổi mới cần có sự hỗ trợ và cam kết vững chắc từ ban lãnh đạo cấp cao, bắt đầu từ người ra quyết định chủ chốt.</w:t>
        <w:bookmarkStart w:id="103" w:name="are"/>
        <w:t/>
        <w:bookmarkEnd w:id="103"/>
        <w:t xml:space="preserve"/>
      </w:r>
    </w:p>
    <w:p>
      <w:pPr>
        <w:pStyle w:val="Normal"/>
      </w:pPr>
      <w:r>
        <w:t>Tại Wachovia, Susanne Svizeny, chủ tịch khu vực nơi chúng tôi tiến hành nghiên cứu, là người cổ vũ chính cho chương trình. Bà đã áp dụng các nguyên tắc này vào cuộc sống của chính mình và thực hiện một loạt thay đổi cá nhân, bao gồm một cam kết rõ ràng trong việc xây dựng thêm các nghi thức đổi mới thường xuyên vào cuộc sống công việc của mình. Tiếp theo, bà tự mình thúc đẩy sự hào hứng và cam kết của đội ngũ lãnh đạo của mình. Cuối cùng, bà thường xuyên liên hệ qua e-mail với tất cả những người tham gia dự án để khuyến khích họ thực hiện các nghi thức và tìm kiếm phản hồi của họ. Mọi người đều thấy rõ rằng bà rất nghiêm túc với công việc này. Sự nhiệt tình của bà có sức lan tỏa, và kết quả đã tự nói lên điều đó.</w:t>
      </w:r>
    </w:p>
    <w:p>
      <w:pPr>
        <w:pStyle w:val="Normal"/>
      </w:pPr>
      <w:r>
        <w:t>Tại Sony Europe, hàng trăm lãnh đạo đã áp dụng các nguyên tắc quản lý năng lượng. Trong năm tới, hơn 2.000 nhân viên cấp dưới trực tiếp của họ sẽ tham gia chương trình đổi mới năng lượng. Từ Fujio Nishida trở xuống, việc nghỉ giải lao giữa giờ, tập thể dục vào buổi trưa, chỉ trả lời e-mail vào những thời điểm được chỉ định, và thậm chí hỏi các đồng nghiệp có vẻ cáu kỉnh hoặc thiếu kiên nhẫn rằng họ đang tự kể cho mình nghe câu chuyện gì, đã ngày càng trở nên được chấp nhận về mặt văn hóa tại Sony.</w:t>
      </w:r>
    </w:p>
    <w:p>
      <w:pPr>
        <w:pStyle w:val="Normal"/>
      </w:pPr>
      <w:r>
        <w:t>Sự hỗ trợ của tổ chức cũng đòi hỏi những thay đổi trong chính sách, thực tiễn và các thông điệp văn hóa. Một số công ty chúng tôi từng làm việc cùng đã xây dựng các “phòng đổi mới” nơi mọi người có thể thường xuyên đến để thư giãn và nạp lại năng lượng. Những công ty khác cung cấp thẻ thành viên phòng tập được trợ giá. Trong một số trường hợp, chính các lãnh đạo tập hợp các nhóm nhân viên để tập thể dục vào buổi trưa. Một công ty đã thiết lập khu vực không họp từ 8 đến 9 giờ sáng để đảm bảo mọi người có ít nhất một giờ hoàn toàn không có cuộc họp. Tại một số công ty, bao gồm cả Sony, các lãnh đạo cấp cao đã cùng nhau đồng ý ngừng kiểm tra e-mail trong các cuộc họp như một cách để làm cho các cuộc họp tập trung và hiệu quả hơn.</w:t>
      </w:r>
    </w:p>
    <w:p>
      <w:pPr>
        <w:pStyle w:val="Normal"/>
      </w:pPr>
      <w:r>
        <w:t xml:space="preserve">Một yếu tố có thể cản trở thành công là tâm lý khủng hoảng. Những ứng viên tối ưu cho các chương trình đổi mới năng lượng là các tổ chức đang cảm thấy đủ đau đớn để khao khát các giải pháp mới nhưng không đến mức hoàn toàn bị choáng ngợp. Tại một tổ chức nơi chúng tôi có sự hỗ trợ tích cực của CEO, công ty đang chịu áp lực dữ dội phải tăng trưởng nhanh chóng, và đội ngũ lãnh đạo cấp cao không thể rời mắt khỏi sự tập trung vào việc sống còn trước mắt—mặc dù việc dành thời gian để đổi mới có thể cho phép họ làm việc hiệu quả hơn ở một mức độ bền vững hơn.</w:t>
        <w:bookmarkStart w:id="104" w:name="where"/>
        <w:t/>
        <w:bookmarkEnd w:id="104"/>
        <w:t xml:space="preserve"/>
      </w:r>
    </w:p>
    <w:p>
      <w:pPr>
        <w:pStyle w:val="Normal"/>
      </w:pPr>
      <w:r>
        <w:t>Ngược lại, nhóm tại Ernst &amp; Young đã trải qua quy trình này thành công vào đỉnh điểm của mùa thuế. Với sự cho phép của các lãnh đạo, họ đã thực hành việc xoa dịu các cảm xúc tiêu cực bằng cách hít thở hoặc tự kể cho mình nghe những câu chuyện khác, và xen kẽ các giai đoạn làm việc tập trung cao độ với các khoảng nghỉ đổi mới. Hầu hết mọi người trong nhóm cho biết mùa bận rộn này là mùa ít căng thẳng nhất họ từng trải qua.</w:t>
      </w:r>
    </w:p>
    <w:p>
      <w:pPr>
        <w:pStyle w:val="Normal"/>
      </w:pPr>
      <w:r>
        <w:t>Hợp đồng ngầm giữa các tổ chức và nhân viên của họ ngày nay là mỗi bên sẽ cố gắng lấy từ bên kia càng nhiều càng tốt, càng nhanh càng tốt, rồi bước tiếp mà không ngoái lại. Chúng tôi tin rằng điều đó là tự hại cho cả hai bên. Cả cá nhân lẫn tổ chức họ làm việc cuối cùng đều kiệt quệ thay vì giàu có hơn. Nhân viên ngày càng cảm thấy bị vây hãm và kiệt sức. Các tổ chức buộc phải chấp nhận những nhân viên không thực sự gắn bó hết mình và liên tục phải tuyển dụng và đào tạo người mới để thay thế những người chọn ra đi. Chúng tôi hình dung một hợp đồng mới và rõ ràng mang lại lợi ích cho tất cả các bên: Các tổ chức đầu tư vào con người của họ trên tất cả các khía cạnh của cuộc sống để giúp họ xây dựng và duy trì giá trị của mình. Các cá nhân đáp lại bằng cách mang toàn bộ năng lượng đa chiều của mình đến công việc mỗi ngày một cách toàn tâm toàn ý. Kết quả là cả hai đều gia tăng giá trị.</w:t>
      </w:r>
    </w:p>
    <w:p>
      <w:pPr>
        <w:pStyle w:val="Para 046"/>
      </w:pPr>
      <w:r>
        <w:t>Xuất bản lần đầu vào tháng 10 năm 2007. Tái bản R0710B</w:t>
      </w:r>
      <w:r>
        <w:rPr>
          <w:rStyle w:val="Text2"/>
        </w:rPr>
        <w:t xml:space="preserve"/>
      </w:r>
      <w:r>
        <w:rPr>
          <w:rStyle w:val="Text9"/>
        </w:rPr>
        <w:t/>
      </w:r>
    </w:p>
    <w:p>
      <w:bookmarkStart w:id="105" w:name="Overloaded_Circuits_by_Edward_M"/>
      <w:bookmarkStart w:id="106" w:name="Top_of_10_Overload_xhtml"/>
      <w:pPr>
        <w:pStyle w:val="Para 043"/>
        <w:pageBreakBefore w:val="on"/>
      </w:pPr>
      <w:r>
        <w:bookmarkStart w:id="107" w:name="Overloaded"/>
        <w:t>Mạch điện quá tải</w:t>
        <w:bookmarkEnd w:id="107"/>
        <w:t xml:space="preserve"/>
      </w:r>
      <w:bookmarkEnd w:id="105"/>
      <w:bookmarkEnd w:id="106"/>
    </w:p>
    <w:p>
      <w:pPr>
        <w:pStyle w:val="Para 045"/>
      </w:pPr>
      <w:r>
        <w:t>bởi Edward M. Hallowell</w:t>
      </w:r>
    </w:p>
    <w:p>
      <w:pPr>
        <w:pStyle w:val="Normal"/>
      </w:pPr>
      <w:r>
        <w:rPr>
          <w:rStyle w:val="Text4"/>
        </w:rPr>
        <w:t>DAVID GÕ NGÓN TAY lên bàn làm việc khi anh lướt qua e-mail trên màn hình máy tính. Cùng lúc đó, anh đang nói chuyện điện thoại với một giám đốc điều hành ở nửa vòng trái đất. Đầu gối anh nhún lên nhún xuống như búa khoan. Anh thỉnh thoảng cắn môi và với lấy người bạn đồng hành thường trực của mình, tách cà phê. Anh đang mải mê làm nhiều việc cùng lúc đến mức quên mất cuộc hẹn mà lịch Outlook đã nhắc anh 15 phút trước.</w:t>
      </w:r>
      <w:r>
        <w:t xml:space="preserve"/>
      </w:r>
    </w:p>
    <w:p>
      <w:pPr>
        <w:pStyle w:val="Normal"/>
      </w:pPr>
      <w:r>
        <w:t>Jane, một phó chủ tịch cấp cao, và Mike, CEO của cô, có văn phòng liền kề để họ có thể giao tiếp nhanh chóng, nhưng giao tiếp dường như không bao giờ xảy ra. “Bất cứ khi nào tôi bước vào văn phòng Mike, điện thoại của anh ấy sáng lên, điện thoại di động của tôi đổ chuông, ai đó gõ cửa, anh ấy đột ngột quay sang màn hình và viết e-mail, hoặc anh ấy nói với tôi về một vấn đề mới mà anh ấy muốn tôi giải quyết,” Jane phàn nàn. “Chúng tôi đang làm việc hết công suất chỉ để trụ nổi, và chúng tôi chẳng hoàn thành được điều gì quan trọng. Điều đó làm tôi phát điên.”</w:t>
      </w:r>
    </w:p>
    <w:p>
      <w:pPr>
        <w:pStyle w:val="Normal"/>
      </w:pPr>
      <w:r>
        <w:t xml:space="preserve">David, Jane, và Mike không điên, nhưng họ chắc chắn đang phát cuồng. Trải nghiệm của họ đang trở thành chuẩn mực cho những nhà quản lý làm việc quá sức, những người—giống như nhiều đồng nghiệp của bạn, và có thể giống như bạn—mắc phải một hiện tượng thần kinh rất thực nhưng không được nhận ra mà tôi gọi là đặc điểm thiếu chú ý (attention deficit trait), hay ADT. Do tình trạng quá tải của não bộ gây ra, ADT hiện đang lan tràn trong các tổ chức. Các triệu chứng cốt lõi là mất tập trung, bồn chồn nội tâm và thiếu kiên nhẫn. Những người mắc ADT gặp khó khăn trong việc duy trì sự ngăn nắp, thiết lập ưu tiên và quản lý thời gian. Những triệu chứng này có thể làm suy yếu công việc của một nhà điều hành tài năng. Nếu David, Jane, Mike và hàng triệu người như họ hiểu bản thân theo góc độ thần kinh học, họ có thể chủ động quản lý cuộc sống của mình thay vì phản ứng với các vấn đề khi chúng xảy ra.</w:t>
        <w:bookmarkStart w:id="108" w:name="David"/>
        <w:t/>
        <w:bookmarkEnd w:id="108"/>
        <w:t xml:space="preserve"/>
      </w:r>
    </w:p>
    <w:p>
      <w:pPr>
        <w:pStyle w:val="Normal"/>
      </w:pPr>
      <w:r>
        <w:t>Là một bác sĩ tâm thần đã chẩn đoán và điều trị cho hàng nghìn người trong 25 năm qua về một tình trạng y khoa gọi là rối loạn thiếu chú ý (attention deficit disorder), hay ADD (hiện được gọi trên lâm sàng là rối loạn tăng động giảm chú ý), tôi đã tận mắt quan sát cách một bộ phận người trưởng thành đang phát triển nhanh chóng mắc phải tình trạng mới, có liên quan này. Số người mắc ADT đến với phòng khám của tôi đã tăng gấp mười lần trong thập kỷ qua. Đáng tiếc là hầu hết các biện pháp khắc phục tình trạng quá tải kinh niên do các chuyên gia tư vấn quản lý thời gian và huấn luyện viên điều hành đề xuất đều không giải quyết được các nguyên nhân gốc rễ của ADT.</w:t>
      </w:r>
    </w:p>
    <w:p>
      <w:pPr>
        <w:pStyle w:val="Normal"/>
      </w:pPr>
      <w:r>
        <w:t>Không giống như ADD, một chứng rối loạn thần kinh có yếu tố di truyền và có thể trầm trọng hơn do các yếu tố môi trường và thể chất, ADT hoàn toàn bắt nguồn từ môi trường. Giống như tắc đường, ADT là một sản phẩm phụ của cuộc sống hiện đại. Nó được gây ra bởi những đòi hỏi về thời gian và sự chú ý của chúng ta đã bùng nổ trong hai thập kỷ qua. Khi tâm trí chúng ta đầy ắp tiếng ồn—những sự kiện khớp thần kinh vô nghĩa—bộ não dần mất khả năng tập trung hoàn toàn và thấu đáo vào bất cứ điều gì.</w:t>
      </w:r>
    </w:p>
    <w:p>
      <w:pPr>
        <w:pStyle w:val="Normal"/>
      </w:pPr>
      <w:r>
        <w:t>Các triệu chứng của ADT đến với một người một cách từ từ. Người mắc phải không trải qua một cuộc khủng hoảng duy nhất mà là một loạt các tình huống khẩn cấp nhỏ trong khi họ cố gắng ngày càng nhiều hơn để theo kịp. Mang trách nhiệm phải 'cố gắng chịu đựng' và không phàn nàn khi khối lượng công việc tăng lên, các nhà quản lý mắc ADT làm mọi cách để xử lý một khối lượng công việc mà họ đơn giản là không thể quản lý tốt như mong muốn. Do đó, người mắc ADT luôn cảm thấy một mức độ hoảng loạn và tội lỗi thấp thường trực. Đối mặt với một cơn sóng thần công việc, nhà quản lý ngày càng trở nên vội vã, cộc lốc, hấp tấp và mất tập trung, trong khi giả vờ rằng mọi thứ đều ổn.</w:t>
      </w:r>
    </w:p>
    <w:p>
      <w:pPr>
        <w:pStyle w:val="Normal"/>
      </w:pPr>
      <w:r>
        <w:t>Để kiểm soát ADT, trước tiên chúng ta phải nhận ra nó. Và chúng ta phải kiểm soát nó, nếu chúng ta với tư cách cá nhân và nhà lãnh đạo tổ chức muốn làm việc hiệu quả. Trong các trang tiếp theo, tôi sẽ đưa ra phân tích về nguồn gốc của ADT và cung cấp một số gợi ý có thể giúp bạn quản lý nó.</w:t>
      </w:r>
    </w:p>
    <w:p>
      <w:pPr>
        <w:pStyle w:val="Para 025"/>
      </w:pPr>
      <w:r>
        <w:bookmarkStart w:id="109" w:name="Idea_5"/>
        <w:t>Ý tưởng tóm tắt</w:t>
        <w:bookmarkEnd w:id="109"/>
        <w:t xml:space="preserve"/>
      </w:r>
    </w:p>
    <w:p>
      <w:pPr>
        <w:pStyle w:val="Para 005"/>
      </w:pPr>
      <w:r>
        <w:t xml:space="preserve">Những nhà quản lý điên cuồng ngồi không yên trong các cuộc họp, lỡ hẹn và bấm liên tục nút 'đóng cửa' thang máy không hề điên—chỉ là đang bị quá tải. Họ đang mắc phải một hiện tượng thần kinh mới được công nhận gọi là đặc điểm thiếu tập trung (attention deficit trait - ADT). Được đánh dấu bởi sự mất tập trung, sự điên cuồng bên trong và sự thiếu kiên nhẫn, ADT ngăn cản các nhà quản lý làm rõ các ưu tiên, đưa ra quyết định thông minh và quản lý thời gian của họ. Tình trạng ngấm ngầm này biến những người tài năng thành những kẻ kém hiệu quả đầy lo lắng. Và nó đang đạt đến mức độ dịch bệnh.</w:t>
      </w:r>
      <w:r>
        <w:rPr>
          <w:rStyle w:val="Text2"/>
        </w:rPr>
        <w:t/>
      </w:r>
      <w:r>
        <w:t/>
      </w:r>
    </w:p>
    <w:p>
      <w:pPr>
        <w:pStyle w:val="Para 005"/>
      </w:pPr>
      <w:r>
        <w:t>ADT không phải là một căn bệnh hay khiếm khuyết tính cách. Đó là phản ứng tự nhiên của bộ não chúng ta trước những đòi hỏi bùng nổ về thời gian và sự chú ý. Khi dữ liệu ngày càng tràn ngập bộ não, chúng ta mất khả năng giải quyết vấn đề và xử lý những điều chưa biết. Sự sáng tạo teo tóp lại; sai lầm nhân lên. Một số người mắc phải cuối cùng suy sụp hoàn toàn.</w:t>
      </w:r>
    </w:p>
    <w:p>
      <w:pPr>
        <w:pStyle w:val="Para 005"/>
      </w:pPr>
      <w:r>
        <w:t xml:space="preserve">Làm thế nào để kiểm soát tác động tàn phá của ADT đối với hiệu suất? Hãy nuôi dưỡng cảm xúc tích cực bằng cách kết nối trực tiếp với những người bạn thích trong suốt cả ngày. Chăm sóc thể chất cho bộ não của bạn bằng cách ngủ đủ giấc, ăn uống lành mạnh và tập thể dục thường xuyên. Sắp xếp để đối phó với ADT, dành một phần mỗi ngày cho việc suy nghĩ và lập kế hoạch, và thiết lập văn phòng của bạn để thúc đẩy chức năng tinh thần (ví dụ: luôn giữ một phần bàn làm việc của bạn trống trải).</w:t>
      </w:r>
      <w:r>
        <w:rPr>
          <w:rStyle w:val="Text0"/>
        </w:rPr>
        <w:t/>
      </w:r>
      <w:r>
        <w:t xml:space="preserve"/>
      </w:r>
      <w:r>
        <w:rPr>
          <w:rStyle w:val="Text0"/>
        </w:rPr>
        <w:t/>
      </w:r>
      <w:r>
        <w:t xml:space="preserve"/>
      </w:r>
      <w:r>
        <w:rPr>
          <w:rStyle w:val="Text0"/>
        </w:rPr>
        <w:t/>
      </w:r>
      <w:r>
        <w:t/>
      </w:r>
    </w:p>
    <w:p>
      <w:pPr>
        <w:pStyle w:val="Para 005"/>
      </w:pPr>
      <w:r>
        <w:t>Những chiến lược này nghe có vẻ hiển nhiên. Nhưng chúng sẽ giúp bạn đánh bại con quỷ ADT trước khi nó kịp tấn công.</w:t>
      </w:r>
    </w:p>
    <w:p>
      <w:pPr>
        <w:pStyle w:val="Heading 1"/>
      </w:pPr>
      <w:r>
        <w:t>Họ hàng của chứng thiếu tập trung</w:t>
      </w:r>
    </w:p>
    <w:p>
      <w:pPr>
        <w:pStyle w:val="Normal"/>
      </w:pPr>
      <w:r>
        <w:t>Để hiểu bản chất và cách điều trị ADT, sẽ hữu ích khi biết đôi điều về người họ hàng của nó, ADD.</w:t>
      </w:r>
    </w:p>
    <w:p>
      <w:pPr>
        <w:pStyle w:val="Normal"/>
      </w:pPr>
      <w:r>
        <w:t xml:space="preserve">Thường được coi là một khuyết tật học tập ở trẻ em, ADD cũng ảnh hưởng đến khoảng 5% dân số trưởng thành. Các nhà nghiên cứu sử dụng chụp cộng hưởng từ (MRI) đã phát hiện ra rằng những người mắc ADD có thể tích giảm nhẹ ở bốn vùng não cụ thể có các chức năng khác nhau như điều chỉnh cảm xúc (đặc biệt là tức giận và thất vọng) và hỗ trợ học tập. Một trong những vùng đó, được tạo thành từ thùy trán và thùy trước trán, tạo ra suy nghĩ, đưa ra quyết định, thiết lập ưu tiên và tổ chức các hoạt động. Mặc dù các loại thuốc dùng để điều trị ADD không thay đổi cấu trúc giải phẫu của não, nhưng chúng làm thay đổi hóa học não, từ đó cải thiện chức năng ở mỗi vùng trong bốn vùng và do đó cải thiện đáng kể hiệu suất của những người mắc ADD.</w:t>
        <w:bookmarkStart w:id="110" w:name="the"/>
        <w:t/>
        <w:bookmarkEnd w:id="110"/>
        <w:t xml:space="preserve"/>
      </w:r>
    </w:p>
    <w:p>
      <w:pPr>
        <w:pStyle w:val="Para 025"/>
      </w:pPr>
      <w:r>
        <w:bookmarkStart w:id="111" w:name="Idea_6"/>
        <w:t>Ý tưởng trong thực hành</w:t>
        <w:bookmarkEnd w:id="111"/>
        <w:t xml:space="preserve"/>
      </w:r>
    </w:p>
    <w:p>
      <w:pPr>
        <w:pStyle w:val="Para 017"/>
      </w:pPr>
      <w:r>
        <w:t>Cách bạn có thể chống lại ADT</w:t>
      </w:r>
    </w:p>
    <w:p>
      <w:pPr>
        <w:pStyle w:val="Para 005"/>
      </w:pPr>
      <w:r>
        <w:rPr>
          <w:rStyle w:val="Text2"/>
        </w:rPr>
        <w:t>Thúc đẩy cảm xúc tích cực. Cảm xúc tiêu cực—đặc biệt là sợ hãi—có thể cản trở hoạt động hiệu quả của não. Để thúc đẩy cảm giác tích cực, đặc biệt là trong những thời điểm cực kỳ căng thẳng, hãy tương tác trực tiếp với người bạn thích ít nhất mỗi bốn đến sáu giờ một lần. Trong môi trường mà mọi người tiếp xúc trực tiếp với những người họ tin tưởng, chức năng não hoạt động trơn tru. Bằng cách kết nối thoải mái với đồng nghiệp, bạn sẽ giúp trung tâm 'điều hành' của não (chịu trách nhiệm ra quyết định, lập kế hoạch và ưu tiên thông tin) hoạt động tốt nhất.</w:t>
      </w:r>
      <w:r>
        <w:t xml:space="preserve"/>
      </w:r>
    </w:p>
    <w:p>
      <w:pPr>
        <w:pStyle w:val="Para 005"/>
      </w:pPr>
      <w:r>
        <w:rPr>
          <w:rStyle w:val="Text2"/>
        </w:rPr>
        <w:t>Chăm sóc thể chất cho bộ não của bạn. Ngủ đủ giấc, chế độ ăn uống tốt và tập thể dục là rất quan trọng để ngăn chặn ADT. Bạn ngủ đủ giấc nếu bạn có thể thức dậy mà không cần đồng hồ báo thức. Bạn ăn uống tốt nếu bạn tránh đường và bột mì trắng và thay vào đó tiêu thụ nhiều trái cây, ngũ cốc nguyên hạt, rau và protein. Bạn tập thể dục đủ nếu bạn đi bộ nhanh hoặc leo lên xuống cầu thang vài lần một ngày.</w:t>
      </w:r>
      <w:r>
        <w:t xml:space="preserve"/>
      </w:r>
    </w:p>
    <w:p>
      <w:pPr>
        <w:pStyle w:val="Para 005"/>
      </w:pPr>
      <w:r>
        <w:rPr>
          <w:rStyle w:val="Text2"/>
        </w:rPr>
        <w:t>Sắp xếp để đối phó với ADT. Thay vì bị cuốn vào vòng xoáy của email hoặc thư thoại ngay từ sáng sớm, hãy tập trung vào một nhiệm vụ quan trọng. Với giấy tờ, hãy áp dụng quy tắc OHIO ('Chỉ xử lý một lần'): Bất cứ khi nào bạn chạm vào một tài liệu, hãy xử lý nó, lưu trữ nó hoặc vứt nó đi. Làm công việc quan trọng vào những thời điểm trong ngày khi bạn làm việc tốt nhất. Sử dụng bất kỳ chiến lược nhỏ nào giúp bạn hoạt động tinh thần tốt—cho dù đó là nghe nhạc hoặc đi lại trong khi làm việc, hoặc vẽ nguệch ngoạc trong các cuộc họp. Và trước khi bạn rời đi trong ngày, hãy liệt kê ba đến năm mục ưu tiên bạn cần giải quyết vào ngày mai.</w:t>
      </w:r>
      <w:r>
        <w:t xml:space="preserve"/>
      </w:r>
    </w:p>
    <w:p>
      <w:pPr>
        <w:pStyle w:val="Para 005"/>
      </w:pPr>
      <w:r>
        <w:rPr>
          <w:rStyle w:val="Text2"/>
        </w:rPr>
        <w:t>Công ty của bạn có thể làm gì. Trong các công ty phớt lờ các triệu chứng ADT, nhân viên làm việc kém hiệu quả, tạo ra sự bừa bộn và làm việc cẩu thả. Những sai lầm bất cẩn, bệnh tật và tỷ lệ nghỉ việc tăng lên, khi mọi người lãng phí trí lực của họ. Để chống lại ADT và khai thác trí lực của nhân viên, hãy đầu tư vào các tiện nghi thúc đẩy bầu không khí tích cực và hiệu quả.</w:t>
      </w:r>
      <w:r>
        <w:t xml:space="preserve"/>
      </w:r>
    </w:p>
    <w:p>
      <w:pPr>
        <w:pStyle w:val="Para 030"/>
      </w:pPr>
      <w:r>
        <w:rPr>
          <w:rStyle w:val="Text8"/>
        </w:rPr>
        <w:t>Ví dụ: Công ty phần mềm lớn SAS Institute tạo ra một môi trường làm việc ấm áp, kết nối và thoải mái bằng cách cung cấp cho nhân viên các đặc quyền như ngày làm việc bảy giờ kết thúc lúc 5:00; phòng tập thể dục và cơ sở giữ trẻ lớn tại chỗ; và nhà ăn cung cấp ghế em bé và ghế cao để cha mẹ có thể ăn trưa với con cái của họ. Kết quả? Nhân viên đáp lại bằng năng suất cao. Và tỷ lệ nghỉ việc của SAS không bao giờ vượt quá 5%—tiết kiệm cho công ty hàng triệu đô la cho việc tuyển dụng, đào tạo và trợ cấp thôi việc.</w:t>
      </w:r>
      <w:r>
        <w:t xml:space="preserve"/>
      </w:r>
    </w:p>
    <w:p>
      <w:pPr>
        <w:pStyle w:val="Normal"/>
      </w:pPr>
      <w:r>
        <w:t>ADD mang lại cả bất lợi và lợi thế. Các đặc điểm tiêu cực bao gồm xu hướng trì hoãn và trễ hạn. Những người mắc ADD phải vật lộn với sự vô tổ chức và sự chậm trễ; họ có thể hay quên và lơ đãng giữa chừng một cuộc trò chuyện hoặc trong khi đọc. Hiệu suất của họ có thể không nhất quán: xuất sắc vào lúc này và không đạt yêu cầu vào lúc khác. Những người mắc ADD cũng có xu hướng thể hiện sự thiếu kiên nhẫn và mất tập trung trừ khi, kỳ lạ thay, họ đang bị căng thẳng hoặc xử lý nhiều đầu vào. (Điều này là do căng thẳng dẫn đến việc sản xuất adrenaline, chất này tương tự về mặt hóa học với các loại thuốc chúng ta dùng để điều trị ADD.) Cuối cùng, những người mắc ADD đôi khi cũng tự điều trị bằng rượu quá mức hoặc các chất khác.</w:t>
      </w:r>
    </w:p>
    <w:p>
      <w:pPr>
        <w:pStyle w:val="Normal"/>
      </w:pPr>
      <w:r>
        <w:t>Về mặt tích cực, những người mắc ADD thường sở hữu những tài năng và năng khiếu hiếm có. Tuy nhiên, những năng khiếu đó thường không được chú ý hoặc không được phát triển vì những vấn đề gây ra bởi các triệu chứng tiêu cực của tình trạng này. Những người mắc ADD có thể sáng tạo và độc đáo một cách đáng kinh ngạc. Họ kiên trì một cách bất thường trong một số hoàn cảnh nhất định và thường sở hữu sự nhạy bén kinh doanh. Họ thể hiện sự khéo léo và khuyến khích đặc điểm đó ở người khác. Họ có xu hướng ứng biến tốt dưới áp lực. Bởi vì họ có khả năng tiếp nhận nhiều đầu vào cùng một lúc, họ có thể là những nhà lãnh đạo mạnh mẽ trong thời kỳ thay đổi. Họ cũng có xu hướng phục hồi nhanh chóng sau thất bại và mang lại năng lượng tươi mới cho công ty mỗi ngày.</w:t>
      </w:r>
    </w:p>
    <w:p>
      <w:pPr>
        <w:pStyle w:val="Normal"/>
      </w:pPr>
      <w:r>
        <w:t>Các nhà quản lý mắc ADD thường đạt được kết quả không nhất quán. Đôi khi họ thất bại thảm hại vì họ vô tổ chức và mắc sai lầm. Vào những lúc khác, họ thể hiện xuất sắc, đưa ra những ý tưởng và chiến lược độc đáo dẫn đến hiệu suất ở mức cao nhất.</w:t>
      </w:r>
    </w:p>
    <w:p>
      <w:pPr>
        <w:pStyle w:val="Normal"/>
      </w:pPr>
      <w:r>
        <w:t xml:space="preserve">David Neeleman, CEO của JetBlue Airways, mắc ADD. Trường học là một cực hình; không thể tập trung, ông ghét học và trì hoãn vô tận. 'Tôi cảm thấy như mình nên ra ngoài làm mọi thứ, thúc đẩy mọi thứ tiến triển, nhưng tôi lại ở đây, mắc kẹt với việc học thống kê, thứ mà tôi biết không có ứng dụng gì cho cuộc sống của mình,' Neeleman nói với tôi. 'Tôi biết mình phải có học vấn, nhưng ngay khi có cơ hội đầu tiên để bắt đầu kinh doanh, tôi đã bỏ học đại học.' Ông thăng tiến nhanh chóng trong thế giới doanh nghiệp, tận dụng các thế mạnh của mình—tư duy độc đáo, năng lượng cao, khả năng khơi dậy những điều tốt nhất ở mọi người—và nhận được sự giúp đỡ về tổ chức và quản lý thời gian.</w:t>
        <w:bookmarkStart w:id="112" w:name="education"/>
        <w:t/>
        <w:bookmarkEnd w:id="112"/>
        <w:t xml:space="preserve"/>
      </w:r>
    </w:p>
    <w:p>
      <w:pPr>
        <w:pStyle w:val="Normal"/>
      </w:pPr>
      <w:r>
        <w:t>Giống như hầu hết những người mắc ADD, Neeleman đôi khi có thể xúc phạm người khác bằng những lời nói thẳng thừng của mình, nhưng ý tưởng của ông đủ tốt để thay đổi ngành hàng không. Ví dụ, ông đã phát minh ra vé điện tử. 'Khi tôi đề xuất ý tưởng đó, mọi người cười nhạo tôi, nói rằng không ai đến sân bay mà không có vé giấy,' ông nói. 'Bây giờ mọi người đều làm vậy, và nó đã tiết kiệm cho ngành hàng không hàng triệu đô la.' Có vẻ phù hợp khi một người mắc ADD lại phát minh ra cách để không phải nhớ mang theo vé giấy. Neeleman tin rằng ADD là một trong những chìa khóa thành công của ông. Không hề hối tiếc vì mắc phải nó, ông ăn mừng nó. Nhưng ông hiểu rằng mình phải quản lý ADD của mình một cách cẩn thận.</w:t>
      </w:r>
    </w:p>
    <w:p>
      <w:pPr>
        <w:pStyle w:val="Normal"/>
      </w:pPr>
      <w:r>
        <w:t xml:space="preserve">Đặc điểm thiếu tập trung được đặc trưng bởi các triệu chứng tiêu cực của ADD. Tuy nhiên, thay vì bắt nguồn từ di truyền, ADT hoàn toàn là một phản ứng đối với môi trường quá năng động mà chúng ta đang sống. Thật vậy, văn hóa hiện đại gần như đòi hỏi nhiều người trong chúng ta phát triển ADT. Chưa bao giờ trong lịch sử, bộ não con người bị yêu cầu theo dõi quá nhiều điểm dữ liệu. Ở khắp mọi nơi, mọi người dựa vào điện thoại di động, email và trợ lý kỹ thuật số của họ trong cuộc đua thu thập và truyền dữ liệu, kế hoạch và ý tưởng ngày càng nhanh hơn. Người ta có thể lập luận rằng giá trị chính của thời hiện đại là tốc độ, điều mà tiểu thuyết gia Milan Kundera mô tả là 'hình thức của sự ngây ngất mà công nghệ đã ban tặng cho con người hiện đại.' Nghiện tốc độ, chúng ta đòi hỏi nó ngay cả khi chúng ta không thể đi nhanh hơn nữa. James Gleick đã lưu ý một cách hài hước trong cuốn Faster: The Acceleration of Just About Everything rằng nút 'đóng cửa' trong thang máy thường là nút có lớp sơn bị mòn. Khi bộ não con người phải vật lộn để theo kịp, nó chùn bước và sau đó rơi vào thế giới của ADT.</w:t>
      </w:r>
      <w:r>
        <w:rPr>
          <w:rStyle w:val="Text0"/>
        </w:rPr>
        <w:t/>
      </w:r>
      <w:r>
        <w:t xml:space="preserve"/>
      </w:r>
    </w:p>
    <w:p>
      <w:pPr>
        <w:pStyle w:val="Heading 1"/>
      </w:pPr>
      <w:r>
        <w:t>Đây là bộ não của bạn</w:t>
      </w:r>
    </w:p>
    <w:p>
      <w:pPr>
        <w:pStyle w:val="Normal"/>
      </w:pPr>
      <w:r>
        <w:t xml:space="preserve">Mặc dù chụp não không thể hiển thị sự khác biệt về mặt giải phẫu giữa những người có bộ não 'bình thường' và những người mắc ADT, các nghiên cứu đã chỉ ra rằng khi bộ não con người được yêu cầu xử lý lượng dữ liệu chóng mặt, khả năng giải quyết vấn đề một cách linh hoạt và sáng tạo của nó giảm sút và số lượng sai lầm tăng lên. Để tìm hiểu lý do tại sao, chúng ta hãy thực hiện một chuyến hành trình thần kinh ngắn.</w:t>
        <w:bookmarkStart w:id="113" w:name="amounts"/>
        <w:t/>
        <w:bookmarkEnd w:id="113"/>
        <w:t xml:space="preserve"/>
      </w:r>
    </w:p>
    <w:p>
      <w:pPr>
        <w:pStyle w:val="Normal"/>
      </w:pPr>
      <w:r>
        <w:t>Được ban tặng vỏ não lớn nhất trong tự nhiên, chủ nhân của cơ quan hàng nghìn tỷ tế bào này ngày nay đặt áp lực đặc biệt lên thùy trán và thùy trước trán, mà tôi sẽ gọi đơn giản là thùy trán trong bài viết này. Vùng này chi phối cái được gọi là, một cách rất phù hợp, chức năng điều hành (executive functioning - EF). EF hướng dẫn việc ra quyết định và lập kế hoạch; tổ chức và ưu tiên hóa thông tin và ý tưởng; quản lý thời gian; và nhiều nhiệm vụ quản lý tinh vi, độc đáo của con người khác. Miễn là thùy trán của chúng ta vẫn nắm quyền kiểm soát, mọi thứ đều ổn.</w:t>
      </w:r>
    </w:p>
    <w:p>
      <w:pPr>
        <w:pStyle w:val="Normal"/>
      </w:pPr>
      <w:r>
        <w:t>Bên dưới thùy trán là các phần của não dành cho sự sống còn. Các trung tâm sâu này chi phối các chức năng cơ bản như giấc ngủ, cơn đói, ham muốn tình dục, hô hấp và nhịp tim, cũng như các cảm xúc tích cực và tiêu cực thô sơ. Khi bạn đang làm tốt và hoạt động ở mức cao nhất, các trung tâm sâu gửi lên những thông điệp phấn khích, hài lòng và vui vẻ. Chúng thúc đẩy động lực của bạn, giúp bạn duy trì sự chú ý và không can thiệp vào trí nhớ làm việc, số lượng điểm dữ liệu bạn có thể theo dõi cùng một lúc. Nhưng khi bạn phải đối mặt với quyết định thứ sáu sau lần gián đoạn thứ năm trong lúc đang tìm kiếm mảnh thông tin bị thiếu thứ chín vào cái ngày mà thỏa thuận thứ ba đã sụp đổ và yêu cầu bất khả thi thứ mười hai đã bất ngờ hiện lên trên màn hình máy tính của bạn, bộ não của bạn bắt đầu hoảng loạn, phản ứng như thể quyết định thứ sáu đó là một con hổ khát máu ăn thịt người.</w:t>
      </w:r>
    </w:p>
    <w:p>
      <w:pPr>
        <w:pStyle w:val="Normal"/>
      </w:pPr>
      <w:r>
        <w:t>Là một chuyên gia về khuyết tật học tập, tôi nhận thấy rằng khuyết tật nguy hiểm nhất không phải là bất kỳ tình trạng nào có thể chẩn đoán chính thức như chứng khó đọc hay ADD. Đó là nỗi sợ hãi. Nỗi sợ hãi đẩy chúng ta vào chế độ sinh tồn và do đó ngăn cản việc học tập linh hoạt và sự hiểu biết tinh tế. Chắc chắn, nếu một con hổ thật sắp tấn công bạn, sinh tồn là chế độ bạn muốn. Nhưng nếu bạn đang cố gắng giải quyết một cách thông minh một nhiệm vụ tinh tế, chế độ sinh tồn là vô cùng khó chịu và phản tác dụng.</w:t>
      </w:r>
    </w:p>
    <w:p>
      <w:pPr>
        <w:pStyle w:val="Normal"/>
      </w:pPr>
      <w:r>
        <w:t xml:space="preserve">Khi thùy trán tiến gần đến giới hạn công suất và chúng ta bắt đầu lo sợ rằng mình không thể theo kịp, mối quan hệ giữa các vùng cao hơn và thấp hơn của não có một bước ngoặt đáng ngại. Hàng ngàn năm tiến hóa đã dạy cho não cao hơn không được phớt lờ các tín hiệu đau khổ của não thấp hơn. Trong chế độ sinh tồn, các vùng sâu của não nắm quyền kiểm soát và bắt đầu chỉ đạo các vùng cao hơn. Kết quả là, toàn bộ bộ não bị mắc kẹt trong một tình thế tiến thoái lưỡng nan về thần kinh. Các vùng sâu diễn giải các thông điệp quá tải mà chúng nhận được từ thùy trán theo cùng một cách chúng diễn giải mọi thứ: một cách nguyên thủy. Chúng điên cuồng phát ra các tín hiệu sợ hãi, lo lắng, thiếu kiên nhẫn, cáu kỉnh, tức giận hoặc hoảng loạn. Những tín hiệu báo động này cướp lấy sự chú ý của thùy trán, buộc chúng phải từ bỏ phần lớn sức mạnh của mình. Bởi vì các tín hiệu sinh tồn là không thể cưỡng lại, thùy trán bị mắc kẹt gửi thông điệp trở lại các trung tâm sâu rằng, 'Đã nhận được thông điệp. Đang cố gắng xử lý nhưng không thành công.' Những thông điệp này càng làm nhiễu loạn các trung tâm sâu, khiến chúng gửi những thông điệp đau khổ thậm chí còn mạnh mẽ hơn trở lại thùy trán.</w:t>
        <w:bookmarkStart w:id="114" w:name="distress"/>
        <w:t/>
        <w:bookmarkEnd w:id="114"/>
        <w:t xml:space="preserve"/>
      </w:r>
    </w:p>
    <w:p>
      <w:pPr>
        <w:pStyle w:val="Normal"/>
      </w:pPr>
      <w:r>
        <w:t>Trong khi đó, để phản ứng với những gì đang diễn ra trong não, phần còn lại của cơ thể—đặc biệt là hệ nội tiết, hô hấp, tim mạch, cơ xương và thần kinh ngoại biên—đã chuyển sang chế độ khủng hoảng và thay đổi trạng thái sinh lý nền từ yên bình, tĩnh lặng sang báo động đỏ. Não và cơ thể bị khóa trong một vòng phản hồi dội qua dội lại trong khi thùy trán mất đi sự tinh tế, như thể giấm bị đổ vào rượu vang. Ở trạng thái này, chức năng điều hành (EF) quay về lối suy nghĩ đen trắng đơn giản; tầm nhìn và các sắc thái xám biến mất. Trí thông minh mờ đi. Trong nỗ lực vô vọng muốn làm nhiều hơn mức có thể, não bộ nghịch lý thay lại tự làm giảm khả năng suy nghĩ rõ ràng của chính mình.</w:t>
      </w:r>
    </w:p>
    <w:p>
      <w:pPr>
        <w:pStyle w:val="Normal"/>
      </w:pPr>
      <w:r>
        <w:t xml:space="preserve">Sự kiện thần kinh này xảy ra khi một nhà quản lý đang tuyệt vọng cố xử lý nhiều thông tin đầu vào hơn mức anh ta có thể. Trong chế độ sinh tồn, nhà quản lý đưa ra những phán đoán bốc đồng, giận dữ lao vào chốt hạ bất cứ vấn đề nào trước mắt. Anh ta cảm thấy buộc phải kiểm soát vấn đề ngay lập tức, dập tắt mối nguy hiểm mà anh ta cảm nhận được kẻo nó hủy diệt mình. Anh ta bị tước mất sự linh hoạt, khiếu hài hước, khả năng đối phó với những điều chưa biết. Anh ta quên mất bức tranh lớn, quên mất mục tiêu và giá trị mà mình theo đuổi. Anh ta mất đi sự sáng tạo và khả năng thay đổi kế hoạch. Anh ta khao khát giết chết con hổ ẩn dụ. Vào những lúc này, anh ta dễ suy sụp, nổi cơn tam bành, đổ lỗi cho người khác và tự phá hoại chính mình. Hoặc anh ta có thể đi theo hướng ngược lại, chìm vào phủ nhận và né tránh hoàn toàn những vấn đề đang tấn công mình, chỉ để rồi bị nuốt chửng. Đây là ADT ở mức tồi tệ nhất.</w:t>
        <w:bookmarkStart w:id="115" w:name="and_1"/>
        <w:t/>
        <w:bookmarkEnd w:id="115"/>
        <w:t xml:space="preserve"/>
      </w:r>
    </w:p>
    <w:p>
      <w:pPr>
        <w:pStyle w:val="Normal"/>
      </w:pPr>
      <w:r>
        <w:t>Dù ADT không phải lúc nào cũng đạt đến mức độ cực đoan như vậy, nó vẫn gieo rắc hỗn loạn cho những người lao động quá tải. Vì không có hai bộ não nào giống nhau, một số người đối phó với tình trạng này tốt hơn những người khác. Tuy nhiên, dù các nhà điều hành có vẻ hoạt động tốt đến đâu, không ai có toàn quyền kiểm soát chức năng điều hành của chính mình.</w:t>
      </w:r>
    </w:p>
    <w:p>
      <w:pPr>
        <w:pStyle w:val="Heading 1"/>
      </w:pPr>
      <w:r>
        <w:t>Quản lý ADT</w:t>
      </w:r>
    </w:p>
    <w:p>
      <w:pPr>
        <w:pStyle w:val="Normal"/>
      </w:pPr>
      <w:r>
        <w:t>Đáng tiếc là ban lãnh đạo cấp cao từ trước đến nay vẫn nhìn các triệu chứng của ADT qua lăng kính méo mó của đạo đức hoặc tính cách. Những nhân viên có vẻ không theo kịp nhịp độ bị xem là kém cỏi hoặc yếu đuối. Hãy xem trường hợp một nhà điều hành đến gặp tôi khi anh ta hoàn toàn quá tải. Tôi đề nghị anh ta trao đổi tình hình với cấp trên và nhờ giúp đỡ. Khi khách hàng của tôi làm vậy, anh ta bị nói rằng nếu không xử lý nổi công việc thì nên nghĩ đến chuyện từ chức. Dù các đánh giá hiệu suất của anh ta rất xuất sắc và anh ta từng được khen là một trong những người sáng tạo nhất tổ chức, anh ta vẫn bị để cho ra đi. Vì công ty tìm cách duy trì huyền thoại rằng không cọng rơm nào có thể làm gãy lưng nhân viên của họ, họ không thể chấp nhận việc nhà quản lý nói rằng lưng mình đang gãy. Sau khi ra làm riêng, anh ta phát triển rực rỡ.</w:t>
      </w:r>
    </w:p>
    <w:p>
      <w:pPr>
        <w:pStyle w:val="Normal"/>
      </w:pPr>
      <w:r>
        <w:t>Làm thế nào để kiểm soát những tác động tàn phá của ADT, cả ở chính chúng ta lẫn trong tổ chức của chúng ta? Trong khi ADD thường cần dùng thuốc, việc điều trị ADT chắc chắn không cần. ADT chỉ có thể được kiểm soát bằng cách chủ động thiết kế lại môi trường cũng như sức khỏe cảm xúc và thể chất của mình. Tôi nhận thấy các biện pháp phòng ngừa sau đây giúp ích rất nhiều cho các nhà điều hành trong việc kiểm soát các triệu chứng ADT.</w:t>
      </w:r>
    </w:p>
    <w:p>
      <w:pPr>
        <w:pStyle w:val="Heading 2"/>
      </w:pPr>
      <w:r>
        <w:t>Thúc đẩy cảm xúc tích cực</w:t>
      </w:r>
    </w:p>
    <w:p>
      <w:pPr>
        <w:pStyle w:val="Normal"/>
      </w:pPr>
      <w:r>
        <w:t xml:space="preserve">Bước quan trọng nhất để kiểm soát ADT không phải là mua một chiếc BlackBerry siêu tăng ác và nhồi đầy việc cần làm, mà là tạo ra một môi trường để não bộ có thể hoạt động tốt nhất. Điều này có nghĩa là xây dựng bầu không khí cảm xúc tích cực, không sợ hãi, vì cảm xúc chính là công tắc bật/tắt của chức năng điều hành.</w:t>
        <w:bookmarkStart w:id="116" w:name="means"/>
        <w:t/>
        <w:bookmarkEnd w:id="116"/>
        <w:t xml:space="preserve"/>
      </w:r>
    </w:p>
    <w:p>
      <w:pPr>
        <w:pStyle w:val="Normal"/>
      </w:pPr>
      <w:r>
        <w:t>Có những lý do thần kinh học giải thích vì sao ADT ít xảy ra hơn trong môi trường mà mọi người có tiếp xúc trực tiếp và tin tưởng, tôn trọng lẫn nhau. Khi bạn kết nối thoải mái với một đồng nghiệp, ngay cả khi đang đối mặt với một vấn đề quá sức, các trung tâm sâu trong não sẽ gửi thông điệp qua trung tâm khoái cảm đến khu vực phân bổ nguồn lực cho thùy trán. Ngay cả khi bạn đang chịu căng thẳng cực độ, cảm giác kết nối giữa con người này vẫn khiến chức năng điều hành hoạt động trơn tru.</w:t>
      </w:r>
    </w:p>
    <w:p>
      <w:pPr>
        <w:pStyle w:val="Normal"/>
      </w:pPr>
      <w:r>
        <w:t>Ngược lại, những người làm việc trong sự cô lập về mặt thể chất có nhiều khả năng mắc ADT hơn, vì càng cô lập, chúng ta càng căng thẳng. Tôi đã chứng kiến một ví dụ đầy kịch tính về mối nguy hiểm của môi trường mất kết nối và sức mạnh chữa lành của môi trường gắn kết khi tôi tư vấn cho một trong những khoa hóa học hàng đầu thế giới của một trường đại học. Trong văn hóa cũ đầy áp lực của khoa, ADT hoành hành, càng trầm trọng hơn bởi một quy tắc ngầm cấm bất kỳ ai nhờ giúp đỡ hay thậm chí nói ra rằng có điều gì đó không ổn. Mọi người không tin tưởng lẫn nhau; họ làm dự án một mình, điều này lại càng dẫn đến mất lòng tin nhiều hơn. Hầu hết mọi người đều đau khổ về mặt cảm xúc, nhưng ẩn sâu trong văn hóa của khoa là quan niệm rằng đau đớn lớn dẫn đến thành quả lớn.</w:t>
      </w:r>
    </w:p>
    <w:p>
      <w:pPr>
        <w:pStyle w:val="Normal"/>
      </w:pPr>
      <w:r>
        <w:t>Vào cuối những năm 1990, một trong những nghiên cứu sinh tài năng nhất của khoa đã tự tử. Bức thư tuyệt mệnh của anh ta công khai đổ lỗi cho trường đại học đã đẩy anh ta vượt quá giới hạn. Văn hóa của khoa đúng nghĩa là chết người.</w:t>
      </w:r>
    </w:p>
    <w:p>
      <w:pPr>
        <w:pStyle w:val="Normal"/>
      </w:pPr>
      <w:r>
        <w:t xml:space="preserve">Thay vì cố che giấu bi kịch, chủ nhiệm khoa và người kế nhiệm đã hành động táo bạo và sáng tạo. Họ ngay lập tức thay đổi cấu trúc hệ thống giám sát để mỗi nghiên cứu sinh và nghiên cứu sinh sau tiến sĩ được phân công ba người hướng dẫn, thay vì chỉ một người duy nhất nắm quyền sinh sát đối với sự nghiệp của người học. Khoa tổ chức các bữa tiệc buffet thân mật hai tuần một lần để mọi người kết nối. (Ngay cả nhà hóa học khép kín nhất cũng chui ra khỏi nơi ẩn náu vì đồ ăn, một trong những thứ kết nối tuyệt vời nhất của cuộc sống.) Ban lãnh đạo khoa thậm chí còn thay đổi cả kiến trúc tòa nhà chính của khoa, phá bỏ các bức tường, thêm khu vực sinh hoạt chung và một quầy cà phê espresso có cả đàn piano lớn. Họ cung cấp các bài giảng và tài liệu viết cho tất cả sinh viên về các dấu hiệu nguy hiểm của sự bào mòn tinh thần và đưa ra các quy trình bảo mật cho những sinh viên cần giúp đỡ. Những bước đi này, cùng với các cuộc họp định kỳ có sự tham gia của giảng viên kỳ cựu và lãnh đạo trường, đã tạo nên một nền văn hóa nhân văn và hiệu quả hơn, nơi sinh viên và giảng viên cảm thấy thực sự gắn bó. Thành tích của khoa vẫn ở mức xuất sắc, và nghiên cứu sáng tạo nở rộ.</w:t>
        <w:bookmarkStart w:id="117" w:name="all"/>
        <w:t/>
        <w:bookmarkEnd w:id="117"/>
        <w:t xml:space="preserve"/>
      </w:r>
    </w:p>
    <w:p>
      <w:pPr>
        <w:pStyle w:val="Normal"/>
      </w:pPr>
      <w:r>
        <w:t>Điểm mấu chốt là thế này: Nuôi dưỡng kết nối và giảm bớt sợ hãi sẽ thúc đẩy sức mạnh não bộ. Khi bạn dành thời gian ít nhất mỗi bốn đến sáu giờ cho một “khoảnh khắc con người” (human moment), một cuộc trao đổi mặt đối mặt với người bạn yêu quý, bạn đang cho não mình thứ nó cần.</w:t>
      </w:r>
    </w:p>
    <w:p>
      <w:pPr>
        <w:pStyle w:val="Heading 2"/>
      </w:pPr>
      <w:r>
        <w:t>Chăm sóc thể chất cho não bộ</w:t>
      </w:r>
    </w:p>
    <w:p>
      <w:pPr>
        <w:pStyle w:val="Normal"/>
      </w:pPr>
      <w:r>
        <w:t>Giấc ngủ, chế độ ăn uống tốt và tập thể dục là những yếu tố then chốt để ngăn chặn ADT. Nghe có vẻ hiển nhiên, nhưng quá nhiều người trong chúng ta đang ngược đãi não bộ bằng cách bỏ qua những nguyên tắc chăm sóc cơ bản.</w:t>
      </w:r>
    </w:p>
    <w:p>
      <w:pPr>
        <w:pStyle w:val="Normal"/>
      </w:pPr>
      <w:r>
        <w:t>Bạn có thể cố đối phó với ADT bằng cách ngủ ít đi, với hy vọng hão huyền rằng mình sẽ làm được nhiều việc hơn. Đây là điều ngược lại với những gì bạn cần làm, vì ADT ập đến khi bạn không ngủ đủ giấc. Có rất nhiều tài liệu cho thấy thiếu ngủ gây ra hàng loạt vấn đề, từ suy giảm khả năng ra quyết định và giảm sáng tạo đến hành vi liều lĩnh và hoang tưởng. Nhu cầu ngủ của mỗi người khác nhau; một nguyên tắc nhỏ là bạn ngủ đủ nếu có thể thức dậy mà không cần đồng hồ báo thức.</w:t>
      </w:r>
    </w:p>
    <w:p>
      <w:pPr>
        <w:pStyle w:val="Normal"/>
      </w:pPr>
      <w:r>
        <w:t>Chế độ ăn uống cũng đóng vai trò quan trọng đối với sức khỏe não bộ. Nhiều người làm việc chăm chỉ có thói quen nạp ồ ạt carbohydrate, khiến lượng đường trong máu dao động lên xuống thất thường. Điều này dẫn đến một vòng luẩn quẩn: Sự dao động nhanh của nồng độ insulin càng làm tăng cơn thèm carbohydrate. Não bộ, vốn dựa vào glucose để lấy năng lượng, hoặc bị nhồi nhét quá mức hoặc bị bỏ đói, cả hai đều không phải điều kiện tối ưu cho hoạt động nhận thức.</w:t>
      </w:r>
    </w:p>
    <w:p>
      <w:pPr>
        <w:pStyle w:val="Normal"/>
      </w:pPr>
      <w:r>
        <w:t xml:space="preserve">Não hoạt động tốt hơn nhiều nếu lượng đường trong máu được giữ tương đối ổn định. Để làm được điều này, hãy tránh các loại carbohydrate đơn giản chứa đường và bột mì trắng (ví dụ như bánh ngọt, bánh mì trắng và mì ống). Hãy dựa vào các loại carbohydrate phức hợp có trong trái cây, ngũ cốc nguyên hạt và rau củ. Protein rất quan trọng: Thay vì bắt đầu ngày mới bằng cà phê và bánh ngọt Đan Mạch, hãy thử trà và một quả trứng hoặc một miếng cá hồi hun khói trên bánh mì nướng nguyên cám. Hãy uống vitamin tổng hợp mỗi ngày cũng như bổ sung axit béo omega-3, một nguồn tuyệt vời là dầu cá. Omega-3 và vitamin E, B phức hợp có trong vitamin tổng hợp thúc đẩy chức năng não khỏe mạnh và thậm chí có thể ngăn ngừa bệnh Alzheimer và các bệnh viêm nhiễm (vốn có thể là khởi điểm của những căn bệnh giết người hàng đầu như bệnh tim, đột quỵ, tiểu đường và ung thư). Hãy tiết chế lượng cồn nạp vào, vì quá nhiều cồn giết chết tế bào não và đẩy nhanh quá trình mất trí nhớ, thậm chí là sa sút trí tuệ. Khi bạn thay đổi chế độ ăn để thúc đẩy chức năng não tối ưu và sức khỏe tổng thể tốt, cơ thể bạn cũng sẽ giảm được cân thừa.</w:t>
        <w:bookmarkStart w:id="118" w:name="omega"/>
        <w:t/>
        <w:bookmarkEnd w:id="118"/>
        <w:t/>
      </w:r>
    </w:p>
    <w:p>
      <w:pPr>
        <w:pStyle w:val="Normal"/>
      </w:pPr>
      <w:r>
        <w:t>Nếu bạn nghĩ mình không có thời gian để tập thể dục, hãy nghĩ lại. Ngồi tại bàn làm việc hàng giờ liền làm giảm sự nhạy bén của trí óc, không chỉ vì lưu lượng máu lên não giảm mà còn vì những lý do sinh hóa khác. Tập thể dục kích thích cơ thể sản sinh ra một loạt hóa chất mà não yêu thích, bao gồm endorphin, serotonin, dopamine, epinephrine và norepinephrine, cũng như hai hợp chất mới được phát hiện gần đây là yếu tố dinh dưỡng thần kinh có nguồn gốc từ não (BDNF) và yếu tố tăng trưởng thần kinh (NGF). Cả BDNF và NGF đều thúc đẩy sức khỏe và sự phát triển của tế bào não, ngăn chặn sự tàn phá của lão hóa và căng thẳng, đồng thời giữ cho não ở trạng thái tốt nhất. Không gì kích thích sản sinh BDNF và NGF mạnh mẽ bằng tập thể dục, điều này giải thích vì sao những người tập thể dục thường xuyên nói về cảm giác uể oải, chậm chạp khi bỏ tập vài ngày. Bạn sẽ được đền bù nhiều hơn thời gian đầu tư trên máy chạy bộ nhờ năng suất và hiệu quả được cải thiện. Để chống lại các triệu chứng ADT khi đang làm việc, hãy đứng dậy khỏi bàn và đi lên đi xuống cầu thang vài lần hoặc đi bộ nhanh dọc hành lang. Những nỗ lực nhanh gọn, đơn giản này sẽ nhấn nút khởi động lại cho não bạn.</w:t>
      </w:r>
    </w:p>
    <w:p>
      <w:pPr>
        <w:pStyle w:val="Heading 2"/>
      </w:pPr>
      <w:r>
        <w:t>Tổ chức công việc để đối phó với ADT</w:t>
      </w:r>
    </w:p>
    <w:p>
      <w:pPr>
        <w:pStyle w:val="Normal"/>
      </w:pPr>
      <w:r>
        <w:t>Điều quan trọng là phát triển các chiến thuật để sắp xếp công việc ngăn nắp, nhưng không phải theo kiểu những quyết tâm đầu năm sáo rỗng. Đúng hơn, mục tiêu của bạn là sắp xếp công việc theo cách phù hợp với mình, để sự bừa bộn không ngăn cản bạn đạt được mục tiêu.</w:t>
      </w:r>
    </w:p>
    <w:p>
      <w:pPr>
        <w:pStyle w:val="Normal"/>
      </w:pPr>
      <w:r>
        <w:t xml:space="preserve">Trước tiên, hãy nghĩ ra các chiến lược giúp thùy trán của bạn luôn kiểm soát được tình hình. Những chiến lược này có thể bao gồm chia nhỏ các nhiệm vụ lớn thành những nhiệm vụ nhỏ hơn và luôn giữ một khu vực trên bàn làm việc hoặc không gian làm việc được gọn gàng. (Bạn không cần có một văn phòng ngăn nắp, chỉ cần một góc ngăn nắp trong văn phòng của mình.) Tương tự, bạn có thể thử dành một phần thời gian trong ngày không có lịch hẹn, e-mail và những thứ gây xao nhãng khác để có thời gian suy nghĩ và lên kế hoạch. Vì e-mail là một cách tuyệt vời để trì hoãn công việc và đồng thời tự đưa mình vào ADT, bạn có thể cân nhắc đặt ra những “giờ e-mail” cụ thể, vì không cần thiết phải trả lời mọi e-mail ngay lập tức.</w:t>
        <w:bookmarkStart w:id="119" w:name="and_2"/>
        <w:t/>
        <w:bookmarkEnd w:id="119"/>
        <w:t xml:space="preserve"/>
      </w:r>
    </w:p>
    <w:p>
      <w:pPr>
        <w:pStyle w:val="Normal"/>
      </w:pPr>
      <w:r>
        <w:t>Khi bắt đầu ngày mới, đừng để bản thân bị cuốn vào vòng xoáy của e-mail hay hộp thư thoại, hay sa vào những việc vặt vãnh ngốn thời gian nhưng chẳng mang lại giá trị. Thay vào đó, hãy tập trung vào một nhiệm vụ quan trọng. Trước khi ra về, hãy lập danh sách không quá năm mục ưu tiên cần bạn chú ý vào ngày mai. Danh sách ngắn buộc bạn phải ưu tiên hóa và hoàn thành nhiệm vụ. Ngoài ra, hãy ngăn chặn những dòng thác tài liệu. Một bệnh nhân của tôi, một nhà điều hành mắc ADD, sử dụng quy tắc OHIO: Chỉ xử lý một lần (Only handle it once). Nếu anh ta chạm vào một tài liệu, anh ta xử lý nó, lưu trữ nó, hoặc vứt nó đi. “Tôi không đặt nó vào đống giấy tờ,” anh ta nói. “Đống giấy tờ giống như cỏ dại vậy. Nếu bạn để chúng mọc, chúng sẽ chiếm lĩnh mọi thứ.”</w:t>
      </w:r>
    </w:p>
    <w:p>
      <w:pPr>
        <w:pStyle w:val="Normal"/>
      </w:pPr>
      <w:r>
        <w:t>Hãy chú ý đến những thời điểm trong ngày bạn cảm thấy mình làm việc tốt nhất; hãy làm công việc quan trọng nhất vào lúc đó và để dành những việc máy móc cho thời gian khác. Hãy sắp xếp văn phòng theo cách hỗ trợ hoạt động trí óc. Nếu bạn tập trung tốt hơn khi có nhạc, hãy bật nhạc (nếu cần, hãy dùng tai nghe). Nếu bạn suy nghĩ tốt nhất khi đứng, hãy làm việc trong tư thế đứng hoặc thường xuyên đi lại. Nếu vẽ nguệch ngoạc hoặc gõ ngón tay giúp ích, hãy tìm cách làm điều đó mà không làm phiền ai, hoặc mua một món đồ chơi giảm căng thẳng để mang vào cuộc họp. Những chiến lược nhỏ này nghe có vẻ tầm thường, nhưng chúng giải quyết con quỷ ADT ẩn náu trong những chi tiết gây xao nhãng.</w:t>
      </w:r>
    </w:p>
    <w:p>
      <w:pPr>
        <w:pStyle w:val="Heading 2"/>
      </w:pPr>
      <w:r>
        <w:t>Bảo vệ thùy trán của bạn</w:t>
      </w:r>
    </w:p>
    <w:p>
      <w:pPr>
        <w:pStyle w:val="Normal"/>
      </w:pPr>
      <w:r>
        <w:t>Để thoát khỏi chế độ sinh tồn và ngăn não dưới chiếm quyền kiểm soát, hãy chậm lại. Hãy dành thời gian cần thiết để hiểu chuyện gì đang xảy ra, để lắng nghe, đặt câu hỏi và tiêu hóa những gì đã được nói để bạn không bị bối rối và khiến não rơi vào hoảng loạn. Hãy trao quyền cho một trợ lý để quản thúc bạn; yêu cầu người đó nhắc bạn dừng gửi e-mail, cúp điện thoại hoặc rời văn phòng.</w:t>
      </w:r>
    </w:p>
    <w:p>
      <w:pPr>
        <w:pStyle w:val="Para 049"/>
      </w:pPr>
      <w:r>
        <w:bookmarkStart w:id="120" w:name="Control"/>
        <w:t>Kiểm soát ADT của bạn</w:t>
        <w:bookmarkEnd w:id="120"/>
        <w:t xml:space="preserve"/>
      </w:r>
    </w:p>
    <w:p>
      <w:pPr>
        <w:pStyle w:val="Heading 2"/>
      </w:pPr>
      <w:r>
        <w:t>Nói chung</w:t>
      </w:r>
    </w:p>
    <w:p>
      <w:pPr>
        <w:pStyle w:val="Para 027"/>
      </w:pPr>
      <w:r>
        <w:t>• Ngủ đủ giấc.</w:t>
      </w:r>
    </w:p>
    <w:p>
      <w:pPr>
        <w:pStyle w:val="Para 027"/>
      </w:pPr>
      <w:r>
        <w:t>• Chú ý đến những gì bạn ăn. Tránh carbohydrate đơn giản, nhiều đường; tiết chế lượng cồn; bổ sung protein; gắn bó với carbohydrate phức hợp (rau củ, ngũ cốc nguyên hạt, trái cây).</w:t>
      </w:r>
    </w:p>
    <w:p>
      <w:pPr>
        <w:pStyle w:val="Para 027"/>
      </w:pPr>
      <w:r>
        <w:t>• Tập thể dục ít nhất 30 phút, ít nhất cách ngày một lần.</w:t>
      </w:r>
    </w:p>
    <w:p>
      <w:pPr>
        <w:pStyle w:val="Para 027"/>
      </w:pPr>
      <w:r>
        <w:t>• Uống một viên vitamin tổng hợp và một viên bổ sung axit béo omega-3 mỗi ngày.</w:t>
      </w:r>
    </w:p>
    <w:p>
      <w:pPr>
        <w:pStyle w:val="Heading 2"/>
      </w:pPr>
      <w:r>
        <w:t>Tại nơi làm việc</w:t>
      </w:r>
    </w:p>
    <w:p>
      <w:pPr>
        <w:pStyle w:val="Para 027"/>
      </w:pPr>
      <w:r>
        <w:t>• Làm mọi điều có thể để tạo ra một môi trường làm việc tin cậy, gắn kết.</w:t>
      </w:r>
    </w:p>
    <w:p>
      <w:pPr>
        <w:pStyle w:val="Para 027"/>
      </w:pPr>
      <w:r>
        <w:t>• Trò chuyện thân thiện, trực tiếp với một người bạn quý mến mỗi bốn đến sáu giờ một lần.</w:t>
      </w:r>
    </w:p>
    <w:p>
      <w:pPr>
        <w:pStyle w:val="Para 027"/>
      </w:pPr>
      <w:r>
        <w:t>• Chia các nhiệm vụ lớn thành những nhiệm vụ nhỏ hơn.</w:t>
      </w:r>
    </w:p>
    <w:p>
      <w:pPr>
        <w:pStyle w:val="Para 027"/>
      </w:pPr>
      <w:r>
        <w:t>• Luôn giữ một góc bàn hoặc không gian làm việc gọn gàng, thoáng đãng.</w:t>
      </w:r>
    </w:p>
    <w:p>
      <w:pPr>
        <w:pStyle w:val="Para 027"/>
      </w:pPr>
      <w:r>
        <w:t>• Mỗi ngày, dành ra một khoảng “thời gian suy nghĩ” không bị làm phiền bởi lịch hẹn, email hay điện thoại.</w:t>
      </w:r>
    </w:p>
    <w:p>
      <w:pPr>
        <w:pStyle w:val="Para 027"/>
      </w:pPr>
      <w:r>
        <w:t>• Gác email sang một bên cho đến khi bạn hoàn thành ít nhất một hoặc hai nhiệm vụ quan trọng hơn.</w:t>
      </w:r>
    </w:p>
    <w:p>
      <w:pPr>
        <w:pStyle w:val="Para 027"/>
      </w:pPr>
      <w:r>
        <w:bookmarkStart w:id="121" w:name="_2"/>
        <w:t>• Trước khi rời văn phòng mỗi ngày, hãy lập một danh sách ngắn gồm ba đến năm việc bạn sẽ giải quyết vào ngày hôm sau.</w:t>
        <w:bookmarkEnd w:id="121"/>
        <w:t xml:space="preserve"/>
      </w:r>
    </w:p>
    <w:p>
      <w:pPr>
        <w:pStyle w:val="Para 027"/>
      </w:pPr>
      <w:r>
        <w:t>• Cố gắng xử lý, lưu trữ hoặc vứt bỏ ngay mọi tài liệu bạn chạm tay vào.</w:t>
      </w:r>
    </w:p>
    <w:p>
      <w:pPr>
        <w:pStyle w:val="Para 027"/>
      </w:pPr>
      <w:r>
        <w:t>• Đừng để giấy tờ chất đống.</w:t>
      </w:r>
    </w:p>
    <w:p>
      <w:pPr>
        <w:pStyle w:val="Para 027"/>
      </w:pPr>
      <w:r>
        <w:t>• Chú ý đến những thời điểm trong ngày bạn cảm thấy mình sung sức nhất; hãy làm những việc quan trọng nhất vào lúc đó, và để dành những việc lặp đi lặp lại cho thời gian khác.</w:t>
      </w:r>
    </w:p>
    <w:p>
      <w:pPr>
        <w:pStyle w:val="Para 027"/>
      </w:pPr>
      <w:r>
        <w:t>• Làm bất cứ điều gì cần thiết để làm việc tập trung hơn: bật nhạc nền, đi lại xung quanh, v.v.</w:t>
      </w:r>
    </w:p>
    <w:p>
      <w:pPr>
        <w:pStyle w:val="Para 027"/>
      </w:pPr>
      <w:r>
        <w:t>• Nhờ một đồng nghiệp hoặc trợ lý giúp bạn ngừng nói chuyện điện thoại, gửi email hoặc làm việc quá muộn.</w:t>
      </w:r>
    </w:p>
    <w:p>
      <w:pPr>
        <w:pStyle w:val="Heading 2"/>
      </w:pPr>
      <w:r>
        <w:t>Khi bạn cảm thấy quá tải</w:t>
      </w:r>
    </w:p>
    <w:p>
      <w:pPr>
        <w:pStyle w:val="Para 027"/>
      </w:pPr>
      <w:r>
        <w:t>• Chậm lại.</w:t>
      </w:r>
    </w:p>
    <w:p>
      <w:pPr>
        <w:pStyle w:val="Para 027"/>
      </w:pPr>
      <w:r>
        <w:t>• Làm một việc lặp lại đơn giản: chỉnh lại đồng hồ, viết một ghi chú về một chủ đề trung tính (chẳng hạn như mô tả ngôi nhà của bạn), đọc vài định nghĩa trong từ điển, giải một ô chữ ngắn.</w:t>
      </w:r>
    </w:p>
    <w:p>
      <w:pPr>
        <w:pStyle w:val="Para 027"/>
      </w:pPr>
      <w:r>
        <w:t>• Di chuyển xung quanh: Đi lên đi xuống một cầu thang hoặc đi bộ nhanh.</w:t>
      </w:r>
    </w:p>
    <w:p>
      <w:pPr>
        <w:pStyle w:val="Para 027"/>
      </w:pPr>
      <w:r>
        <w:t>• Nhờ giúp đỡ, giao bớt một nhiệm vụ hoặc cùng suy nghĩ với một đồng nghiệp. Nói ngắn gọn, đừng lo lắng một mình.</w:t>
      </w:r>
    </w:p>
    <w:p>
      <w:pPr>
        <w:pStyle w:val="Normal"/>
      </w:pPr>
      <w:r>
        <w:t>Nếu bạn bắt đầu cảm thấy quá tải, hãy thử những mẹo giải tỏa tâm trí sau đây. Làm một việc lặp lại đơn giản, chẳng hạn như chỉnh lại lịch trên đồng hồ hoặc viết một ghi chú về một chủ đề trung tính. Nếu bạn cảm thấy lo lắng khi bắt đầu một dự án, hãy lấy một tờ giấy hoặc mở trình soạn thảo văn bản và viết một đoạn về điều gì đó không liên quan đến dự án (mô tả ngôi nhà, chiếc xe, đôi giày của bạn—bất cứ điều gì bạn biết rõ). Bạn cũng có thể giải quyết phần dễ nhất của nhiệm vụ; ví dụ, chỉ viết tiêu đề của một bản ghi nhớ về việc đó. Mở từ điển và đọc vài định nghĩa, hoặc dành năm phút giải một ô chữ. Mỗi việc nhỏ này giúp xoa dịu phần não dưới của bạn bằng cách đánh lừa nó ngừng phát đi những thông điệp báo động và đưa thùy trán của bạn trở lại kiểm soát hoàn toàn.</w:t>
      </w:r>
    </w:p>
    <w:p>
      <w:pPr>
        <w:pStyle w:val="Normal"/>
      </w:pPr>
      <w:r>
        <w:t>Cuối cùng, hãy sẵn sàng cho đợt tấn công tiếp theo của ADT bằng cách dán bảng “Kiểm soát ADT của bạn” gần bàn làm việc nơi bạn có thể nhìn thấy. Biết rằng mình đã chuẩn bị sẽ làm giảm khả năng xảy ra một đợt tấn công, vì bạn không dễ bị hoảng loạn.</w:t>
      </w:r>
      <w:hyperlink w:anchor="Control">
        <w:r>
          <w:rPr>
            <w:rStyle w:val="Text1"/>
          </w:rPr>
          <w:t/>
        </w:r>
      </w:hyperlink>
      <w:r>
        <w:t/>
      </w:r>
    </w:p>
    <w:p>
      <w:pPr>
        <w:pStyle w:val="Heading 1"/>
      </w:pPr>
      <w:r>
        <w:t>Nhà lãnh đạo có thể làm gì</w:t>
      </w:r>
    </w:p>
    <w:p>
      <w:pPr>
        <w:pStyle w:val="Normal"/>
      </w:pPr>
      <w:r>
        <w:t xml:space="preserve">Rất thường xuyên, các công ty gây ra và làm trầm trọng thêm ADT ở nhân viên bằng cách đòi hỏi tư duy nhanh thay vì tư duy sâu. Các công ty cũng yêu cầu nhân viên làm nhiều dự án và sáng kiến chồng chéo cùng lúc, dẫn đến tư duy hời hợt. Tệ hơn, những công ty yêu cầu nhân viên làm quá nhiều việc cùng một lúc có xu hướng thưởng cho những ai nói “có” với tình trạng quá tải, trong khi trừng phạt những ai chọn tập trung và nói “không”.</w:t>
        <w:bookmarkStart w:id="122" w:name="those_1"/>
        <w:t/>
        <w:bookmarkEnd w:id="122"/>
        <w:t xml:space="preserve"/>
      </w:r>
    </w:p>
    <w:p>
      <w:pPr>
        <w:pStyle w:val="Normal"/>
      </w:pPr>
      <w:r>
        <w:t>Hơn nữa, các tổ chức mắc sai lầm khi ép nhân viên làm nhiều hơn với ít nguồn lực hơn bằng cách cắt giảm nhân viên hỗ trợ. Những công ty như vậy cuối cùng sẽ mất tiền về lâu dài, vì một nhà quản lý càng phải dành nhiều thời gian để tự làm trợ lý hành chính cho chính mình và càng ít có khả năng giao việc, thì anh ta càng kém hiệu quả trong việc thực hiện công việc quan trọng là đưa tổ chức tiến lên. Ngoài ra, những công ty phớt lờ các triệu chứng ADT ở nhân viên sẽ phải gánh chịu hậu quả xấu của nó: Nhân viên làm việc dưới năng lực, tạo ra sự bừa bộn, đi tắt, mắc lỗi bất cẩn và lãng phí trí lực. Khi các yêu cầu tiếp tục tăng lên, một môi trường độc hại, áp lực cao dẫn đến tỷ lệ nhân viên ốm đau và nghỉ việc cao.</w:t>
      </w:r>
    </w:p>
    <w:p>
      <w:pPr>
        <w:pStyle w:val="Normal"/>
      </w:pPr>
      <w:r>
        <w:t>Để chống lại ADT và khai thác trí lực của nhân viên, các công ty nên đầu tư vào những tiện ích góp phần tạo ra bầu không khí tích cực. Một công ty đã làm rất tốt về mặt này là SAS Institute, một công ty phần mềm lớn ở North Carolina. Công ty nổi tiếng với việc cung cấp cho nhân viên một danh sách dài các đặc quyền: một phòng tập thể dục tại chỗ rộng 36.000 foot vuông; ngày làm việc bảy giờ kết thúc lúc 5 giờ chiều; cơ sở giữ trẻ ban ngày tại chỗ lớn nhất ở North Carolina; một nhà ăn cung cấp ghế em bé và ghế cao để cha mẹ có thể ăn trưa cùng con cái; ngày nghỉ ốm không giới hạn; và nhiều hơn nữa. Bầu không khí tại SAS ấm áp, gắn kết và thoải mái. Tác động lên lợi nhuận ròng là vô cùng tích cực; tỷ lệ nghỉ việc không bao giờ vượt quá 5%. Công ty tiết kiệm được hàng triệu đô la mà các công ty phần mềm khác chi cho tuyển dụng, đào tạo và trợ cấp thôi việc (ước tính ít nhất bằng 1,5 lần lương trong ngành phần mềm). Nhân viên đáp lại những ưu đãi đó bằng năng suất cao. Các lực lượng ADT vốn phá tan các tổ chức khác không bao giờ có đà phát triển tại SAS.</w:t>
      </w:r>
    </w:p>
    <w:p>
      <w:pPr>
        <w:pStyle w:val="Normal"/>
      </w:pPr>
      <w:r>
        <w:t xml:space="preserve">Các nhà lãnh đạo cũng có thể giúp ngăn ngừa ADT bằng cách ghép kỹ năng của nhân viên với nhiệm vụ. Khi các nhà quản lý giao những mục tiêu vượt quá sức người hoặc yêu cầu nhân viên tập trung vào những gì họ không giỏi thay vì những gì họ làm tốt, căng thẳng sẽ tăng lên. Ngược lại, những nhà quản lý hiểu rõ sự nguy hiểm của ADT có thể tìm cách giữ cho bản thân và tổ chức của họ đi đúng hướng. Ví dụ, David Neeleman của JetBlue đã công khai và không ngại ngần chỉ ra những gì ông không giỏi và tìm cách đối phó với những điểm yếu của mình, bằng cách giao việc hoặc trao quyền cho trợ lý chỉ đạo ông. Neeleman cũng làm gương cho hành vi này đối với mọi người khác trong tổ chức. Sự cởi mở của ông về những thách thức của chứng ADD của mình cho phép người khác lên tiếng về những khó khăn thiếu tập trung của chính họ và nhận được sự hỗ trợ họ cần. Ông cũng khuyến khích các nhà quản lý ghép người với những nhiệm vụ phù hợp với phong cách nhận thức và cảm xúc của họ, vì biết rằng không có phong cách nào là tốt nhất. Neeleman tin rằng giúp mọi người làm việc theo thế mạnh của họ không chỉ là dấu hiệu của quản lý tinh tế; đó còn là một cách tuyệt vời để nâng cao năng suất và tinh thần của nhân viên.</w:t>
        <w:bookmarkStart w:id="123" w:name="ways"/>
        <w:t/>
        <w:bookmarkEnd w:id="123"/>
        <w:t xml:space="preserve"/>
      </w:r>
    </w:p>
    <w:p>
      <w:pPr>
        <w:pStyle w:val="Para 055"/>
      </w:pPr>
      <w:r>
        <w:t>_____________________</w:t>
      </w:r>
    </w:p>
    <w:p>
      <w:pPr>
        <w:pStyle w:val="Normal"/>
      </w:pPr>
      <w:r>
        <w:t>ADT là một mối đe dọa rất thực tế đối với tất cả chúng ta. Nếu chúng ta không quản lý nó, nó sẽ quản lý chúng ta. Nhưng hiểu biết về ADT và những tác hại của nó cho phép chúng ta áp dụng các phương pháp thực tế để cải thiện công việc và cuộc sống. Cuối cùng, bước quan trọng nhất mà một nhà lãnh đạo sáng suốt có thể thực hiện để giải quyết vấn đề ADT là gọi tên nó. Đưa ADT ra khỏi bóng tối và mô tả các triệu chứng của nó sẽ xóa bỏ sự kỳ thị và loại bỏ sự lên án đạo đức mà các công ty từ lâu đã nhầm lẫn áp đặt lên những nhân viên quá tải. Bằng cách cho phép mọi người yêu cầu giúp đỡ và luôn cảnh giác với các dấu hiệu căng thẳng, các tổ chức sẽ tiến một bước dài hướng tới việc xây dựng môi trường làm việc năng suất hơn, cân bằng hơn và thông minh hơn.</w:t>
      </w:r>
    </w:p>
    <w:p>
      <w:pPr>
        <w:pStyle w:val="Para 046"/>
      </w:pPr>
      <w:r>
        <w:t>Xuất bản lần đầu vào tháng 1 năm 2005. Tái bản R0501E</w:t>
      </w:r>
      <w:r>
        <w:rPr>
          <w:rStyle w:val="Text2"/>
        </w:rPr>
        <w:t xml:space="preserve"/>
      </w:r>
      <w:r>
        <w:rPr>
          <w:rStyle w:val="Text9"/>
        </w:rPr>
        <w:t/>
      </w:r>
    </w:p>
    <w:p>
      <w:bookmarkStart w:id="124" w:name="Be_a_Better_Leader__Have_a_Riche"/>
      <w:bookmarkStart w:id="125" w:name="Top_of_11_Be_a_Bet_xhtml"/>
      <w:pPr>
        <w:pStyle w:val="Para 043"/>
        <w:pageBreakBefore w:val="on"/>
      </w:pPr>
      <w:r>
        <w:bookmarkStart w:id="126" w:name="Be"/>
        <w:t>Hãy là một nhà lãnh đạo tốt hơn, có một cuộc sống phong phú hơn</w:t>
        <w:bookmarkEnd w:id="126"/>
        <w:t xml:space="preserve"/>
      </w:r>
      <w:bookmarkEnd w:id="124"/>
      <w:bookmarkEnd w:id="125"/>
    </w:p>
    <w:p>
      <w:pPr>
        <w:pStyle w:val="Para 045"/>
      </w:pPr>
      <w:r>
        <w:t>bởi Stewart D. Friedman</w:t>
      </w:r>
    </w:p>
    <w:p>
      <w:pPr>
        <w:pStyle w:val="Normal"/>
      </w:pPr>
      <w:r>
        <w:rPr>
          <w:rStyle w:val="Text4"/>
        </w:rPr>
        <w:t>TRONG CÔNG VIỆC NGHIÊN CỨU VÀ HUẤN LUYỆN suốt hai thập kỷ qua, tôi đã gặp rất nhiều người cảm thấy bất mãn, quá tải, hoặc trì trệ vì họ đang bỏ bê hiệu suất ở một hoặc nhiều khía cạnh của cuộc sống. Họ không phát huy khả năng lãnh đạo của mình trong tất cả các lĩnh vực của đời sống—công việc, gia đình, cộng đồng, và bản thân (tâm trí, cơ thể, và tinh thần). Dĩ nhiên, sẽ luôn có một chút căng thẳng giữa các vai trò khác nhau mà chúng ta đảm nhận. Nhưng, trái với quan niệm thông thường, không có lý do gì để cho rằng đó là một trò chơi có tổng bằng không (zero-sum game). Sẽ hợp lý hơn khi theo đuổi hiệu suất xuất sắc với tư cách là nhà lãnh đạo trong cả bốn lĩnh vực—đạt được điều mà tôi gọi là “chiến thắng bốn chiều” (four-way wins)—không đánh đổi cái này lấy cái kia mà tìm kiếm giá trị chung giữa chúng.</w:t>
      </w:r>
      <w:r>
        <w:t xml:space="preserve"/>
      </w:r>
    </w:p>
    <w:p>
      <w:pPr>
        <w:pStyle w:val="Normal"/>
      </w:pPr>
      <w:r>
        <w:t>Đây là ý tưởng chính trong một chương trình có tên là Lãnh đạo Toàn diện (Total Leadership) mà tôi giảng dạy tại Wharton School và tại các công ty, hội thảo trên khắp thế giới. “Toàn diện” vì nó hướng đến con người tổng thể và “Lãnh đạo” vì nó hướng đến việc tạo ra sự thay đổi bền vững để mang lại lợi ích không chỉ cho bạn mà còn cho những người quan trọng nhất xung quanh bạn.</w:t>
      </w:r>
    </w:p>
    <w:p>
      <w:pPr>
        <w:pStyle w:val="Normal"/>
      </w:pPr>
      <w:r>
        <w:t xml:space="preserve">Đạt được chiến thắng bốn chiều bắt đầu bằng việc nhìn nhận rõ ràng điều bạn muốn từ và có thể đóng góp cho từng lĩnh vực của cuộc sống, hiện tại và tương lai, với sự cân nhắc thấu đáo về những người quan trọng nhất với bạn và những kỳ vọng mà các bạn dành cho nhau. Tiếp theo là thiết kế và thực hiện một cách có hệ thống những thử nghiệm được chuẩn bị kỹ lưỡng—làm điều gì đó mới mẻ trong một khoảng thời gian ngắn để xem nó ảnh hưởng thế nào đến cả bốn lĩnh vực. Nếu một thử nghiệm không hiệu quả, bạn dừng lại hoặc điều chỉnh, và chẳng mất mát gì nhiều. Nếu nó hiệu quả, đó là một chiến thắng nhỏ; theo thời gian, những điều này tích lũy lại để nỗ lực tổng thể của bạn ngày càng tập trung vào những điều và những người quan trọng nhất. Dù thế nào đi nữa, bạn cũng học được thêm về cách lãnh đạo trong mọi phần của cuộc sống.</w:t>
        <w:bookmarkStart w:id="127" w:name="how"/>
        <w:t/>
        <w:bookmarkEnd w:id="127"/>
        <w:t xml:space="preserve"/>
      </w:r>
    </w:p>
    <w:p>
      <w:pPr>
        <w:pStyle w:val="Normal"/>
      </w:pPr>
      <w:r>
        <w:t>Quá trình này không đòi hỏi rủi ro quá mức. Ngược lại, nó hiệu quả vì nó bao gồm những kỳ vọng thực tế, những thay đổi ngắn hạn nằm trong tầm kiểm soát của bạn, và sự ủng hộ rõ ràng từ những người xung quanh. Lấy ví dụ, Kenneth Chen, một quản lý mà tôi gặp tại một hội thảo năm 2005. (Tất cả tên trong bài viết này đều là tên giả.) Mục tiêu nghề nghiệp của anh là trở thành CEO, nhưng anh cũng có những mục tiêu khác, mà nhìn bề ngoài có vẻ mâu thuẫn nhau. Anh vừa chuyển đến Philadelphia và muốn gắn bó hơn với cộng đồng của mình. Anh cũng muốn thắt chặt mối quan hệ với gia đình. Để thúc đẩy tất cả những mục tiêu này, anh quyết định tham gia một ban cộng đồng của thành phố, điều này không chỉ cho phép anh mài giũa kỹ năng lãnh đạo (hỗ trợ cho mục tiêu nghề nghiệp) mà còn mang lại lợi ích trong lĩnh vực gia đình. Nó sẽ giúp anh có thêm điểm chung với chị gái, một giáo viên ngày ngày cống hiến cho cộng đồng, và anh hy vọng vị hôn thê của mình cũng sẽ tham gia, để họ có thể cùng nhau làm điều gì đó vì lợi ích chung. Anh sẽ cảm thấy tinh thần sống động hơn và điều này, đến lượt nó, sẽ làm tăng sự tự tin của anh trong công việc.</w:t>
      </w:r>
    </w:p>
    <w:p>
      <w:pPr>
        <w:pStyle w:val="Normal"/>
      </w:pPr>
      <w:r>
        <w:t>Bây giờ, khoảng ba năm sau, anh cho biết mình không chỉ tham gia một ban cộng đồng cùng vị hôn thê mà còn đang trên lộ trình chính thức để kế nhiệm vị trí CEO. Anh là một nhà lãnh đạo tốt hơn trong mọi khía cạnh của cuộc sống vì anh đang hành động theo những cách nhất quán hơn với các giá trị của mình. Anh đang nâng cao hiệu suất của mình một cách sáng tạo trong mọi lĩnh vực của cuộc sống và dẫn dắt người khác cải thiện hiệu suất của họ bằng cách khuyến khích họ cũng tích hợp tốt hơn các phần khác nhau của cuộc sống.</w:t>
      </w:r>
    </w:p>
    <w:p>
      <w:pPr>
        <w:pStyle w:val="Normal"/>
      </w:pPr>
      <w:r>
        <w:t xml:space="preserve">Kenneth không phải là trường hợp duy nhất. Những người tham gia hội thảo tự đánh giá bản thân ở đầu và cuối chương trình, và họ liên tục báo cáo sự cải thiện về hiệu quả, cũng như cảm giác hài hòa hơn giữa các lĩnh vực từng cạnh tranh nhau trong cuộc sống của họ. Trong một nghiên cứu kéo dài bốn tháng với hơn 300 chuyên gia kinh doanh (độ tuổi trung bình khoảng 35), mức độ hài lòng của họ tăng trung bình 20% trong đời sống công việc, 28% trong đời sống gia đình, và 31% trong đời sống cộng đồng. Có lẽ đáng kể nhất, mức độ hài lòng của họ trong lĩnh vực bản thân—sức khỏe thể chất và cảm xúc cùng sự phát triển trí tuệ và tinh thần—tăng 39%. Nhưng họ cũng báo cáo rằng hiệu suất của họ được cải thiện: trong công việc (9%), ở nhà (15%), trong cộng đồng (12%), và cá nhân (25%). Nghịch lý thay, những tiến bộ này đạt được ngay cả khi những người tham gia dành ít thời gian hơn cho công việc và nhiều hơn cho các khía cạnh khác của cuộc sống. Họ đang làm việc thông minh hơn—và họ tập trung, đam mê, và tận tâm hơn với những gì họ đang làm.</w:t>
        <w:bookmarkStart w:id="128" w:name="_3"/>
        <w:t/>
        <w:bookmarkEnd w:id="128"/>
        <w:t xml:space="preserve"/>
      </w:r>
      <w:r>
        <w:rPr>
          <w:rStyle w:val="Text0"/>
        </w:rPr>
        <w:t/>
      </w:r>
      <w:r>
        <w:t xml:space="preserve"/>
      </w:r>
      <w:r>
        <w:rPr>
          <w:rStyle w:val="Text0"/>
        </w:rPr>
        <w:t/>
      </w:r>
      <w:r>
        <w:t xml:space="preserve"/>
      </w:r>
    </w:p>
    <w:p>
      <w:pPr>
        <w:pStyle w:val="Para 025"/>
      </w:pPr>
      <w:r>
        <w:t>Ý tưởng ngắn gọn</w:t>
      </w:r>
    </w:p>
    <w:p>
      <w:pPr>
        <w:pStyle w:val="Para 005"/>
      </w:pPr>
      <w:r>
        <w:t>Cuộc sống là một trò chơi có tổng bằng không, đúng không? Bạn càng cố gắng giành chiến thắng ở một chiều kích (ví dụ: công việc), thì ba chiều kích còn lại (bản thân, gia đình, và cộng đồng) càng phải thua. Không phải theo Friedman. Bạn không cần phải đánh đổi giữa các lĩnh vực của cuộc sống. Và bạn cũng không nên làm vậy: việc đánh đổi có thể khiến bạn cảm thấy kiệt sức, bất mãn, hoặc cô lập. Và nó làm tổn thương những người bạn quan tâm nhất.</w:t>
      </w:r>
    </w:p>
    <w:p>
      <w:pPr>
        <w:pStyle w:val="Para 005"/>
      </w:pPr>
      <w:r>
        <w:t xml:space="preserve">Để xuất sắc trong mọi chiều kích của cuộc sống, hãy sử dụng quy trình Lãnh đạo Toàn diện của Friedman. Đầu tiên, hãy xác định rõ ai và điều gì quan trọng nhất trong cuộc sống của bạn. Sau đó thử nghiệm với những thay đổi nhỏ giúp tăng cường sự hài lòng và hiệu suất của bạn trong cả bốn lĩnh vực. Ví dụ, tập thể dục ba buổi sáng mỗi tuần cho bạn nhiều năng lượng hơn cho công việc và cải thiện lòng tự trọng và sức khỏe của bạn, điều này khiến bạn trở thành cha mẹ và bạn bè tốt hơn.</w:t>
      </w:r>
      <w:r>
        <w:rPr>
          <w:rStyle w:val="Text2"/>
        </w:rPr>
        <w:t/>
      </w:r>
      <w:r>
        <w:t xml:space="preserve"/>
      </w:r>
      <w:r>
        <w:rPr>
          <w:rStyle w:val="Text0"/>
        </w:rPr>
        <w:t/>
      </w:r>
      <w:r>
        <w:t/>
      </w:r>
    </w:p>
    <w:p>
      <w:pPr>
        <w:pStyle w:val="Para 005"/>
      </w:pPr>
      <w:r>
        <w:t>Nghiên cứu của Friedman cho thấy những người tập trung vào khái niệm Lãnh đạo Toàn diện có mức tăng 20%–39% về sự hài lòng trong mọi lĩnh vực của cuộc sống, và cải thiện 9% về hiệu suất công việc—ngay cả khi làm việc với số giờ ngắn hơn mỗi tuần.</w:t>
      </w:r>
    </w:p>
    <w:p>
      <w:pPr>
        <w:pStyle w:val="Normal"/>
      </w:pPr>
      <w:r>
        <w:t>Trong khi hàng trăm nhà lãnh đạo ở mọi cấp độ trải qua chương trình này mỗi năm, bạn không cần một hội thảo để xác định những thử nghiệm đáng giá. Quy trình khá đơn giản, mặc dù không dễ dàng. Trong các phần tiếp theo, tôi sẽ cho bạn một cái nhìn tổng quan về quy trình và hướng dẫn bạn những điều cơ bản trong việc thiết kế và thực hiện các thử nghiệm để tạo ra chiến thắng bốn chiều.</w:t>
      </w:r>
    </w:p>
    <w:p>
      <w:pPr>
        <w:pStyle w:val="Para 025"/>
      </w:pPr>
      <w:r>
        <w:t>Ý tưởng trong thực hành</w:t>
      </w:r>
    </w:p>
    <w:p>
      <w:pPr>
        <w:pStyle w:val="Para 005"/>
      </w:pPr>
      <w:r>
        <w:t>Lãnh đạo Toàn diện giúp bạn giảm thiểu một loạt vấn đề bắt nguồn từ việc đánh đổi giữa các chiều kích khác nhau của cuộc sống:</w:t>
      </w:r>
    </w:p>
    <w:p>
      <w:pPr>
        <w:pStyle w:val="Para 010"/>
      </w:pPr>
      <w:r>
        <w:t xml:space="preserve">• Cảm thấy bất mãn vì bạn không làm điều mình yêu thích</w:t>
      </w:r>
      <w:r>
        <w:rPr>
          <w:rStyle w:val="Text2"/>
        </w:rPr>
        <w:t/>
      </w:r>
      <w:r>
        <w:t xml:space="preserve"/>
      </w:r>
    </w:p>
    <w:p>
      <w:pPr>
        <w:pStyle w:val="Para 010"/>
      </w:pPr>
      <w:r>
        <w:t xml:space="preserve">• Cảm thấy không chân thật vì bạn không hành động theo các giá trị của mình</w:t>
      </w:r>
      <w:r>
        <w:rPr>
          <w:rStyle w:val="Text2"/>
        </w:rPr>
        <w:t/>
      </w:r>
      <w:r>
        <w:t xml:space="preserve"/>
      </w:r>
    </w:p>
    <w:p>
      <w:pPr>
        <w:pStyle w:val="Para 010"/>
      </w:pPr>
      <w:r>
        <w:t xml:space="preserve">• Cảm thấy mất kết nối với những người quan trọng với bạn</w:t>
      </w:r>
      <w:r>
        <w:rPr>
          <w:rStyle w:val="Text2"/>
        </w:rPr>
        <w:t/>
      </w:r>
      <w:r>
        <w:t xml:space="preserve"/>
      </w:r>
    </w:p>
    <w:p>
      <w:pPr>
        <w:pStyle w:val="Para 010"/>
      </w:pPr>
      <w:r>
        <w:t xml:space="preserve">• Cảm thấy kiệt sức vì cố gắng theo kịp tất cả</w:t>
      </w:r>
      <w:r>
        <w:rPr>
          <w:rStyle w:val="Text2"/>
        </w:rPr>
        <w:t/>
      </w:r>
      <w:r>
        <w:t xml:space="preserve"/>
      </w:r>
    </w:p>
    <w:p>
      <w:pPr>
        <w:pStyle w:val="Para 005"/>
      </w:pPr>
      <w:r>
        <w:t>Để giải quyết những vấn đề như vậy bằng Lãnh đạo Toàn diện, hãy thực hiện các bước sau.</w:t>
      </w:r>
    </w:p>
    <w:p>
      <w:pPr>
        <w:pStyle w:val="Para 017"/>
      </w:pPr>
      <w:r>
        <w:t>1. Suy ngẫm</w:t>
      </w:r>
    </w:p>
    <w:p>
      <w:pPr>
        <w:pStyle w:val="Para 005"/>
      </w:pPr>
      <w:r>
        <w:t>Đối với mỗi lĩnh vực trong bốn lĩnh vực của cuộc sống—công việc, gia đình, cộng đồng, và bản thân, hãy suy ngẫm về mức độ quan trọng của từng lĩnh vực đối với bạn, bạn dành bao nhiêu thời gian và năng lượng cho mỗi lĩnh vực, và bạn hài lòng đến mức nào trong mỗi lĩnh vực. Có sự khác biệt nào giữa điều quan trọng với bạn và cách bạn sử dụng thời gian và năng lượng không? Mức độ hài lòng tổng thể của bạn với cuộc sống là gì?</w:t>
      </w:r>
    </w:p>
    <w:p>
      <w:pPr>
        <w:pStyle w:val="Para 017"/>
      </w:pPr>
      <w:r>
        <w:t>2. Động não các khả năng</w:t>
      </w:r>
    </w:p>
    <w:p>
      <w:pPr>
        <w:pStyle w:val="Para 005"/>
      </w:pPr>
      <w:r>
        <w:t>Dựa trên những hiểu biết bạn đạt được trong quá trình suy ngẫm bốn chiều, hãy động não một danh sách dài các thử nghiệm nhỏ có thể giúp bạn tiến gần hơn đến sự hài lòng lớn hơn trong cả bốn lĩnh vực. Đây là những cách làm mới mang lại rủi ro tối thiểu và cho phép bạn thấy kết quả nhanh chóng. Ví dụ:</w:t>
      </w:r>
    </w:p>
    <w:p>
      <w:pPr>
        <w:pStyle w:val="Para 010"/>
      </w:pPr>
      <w:r>
        <w:t>• Tắt điện thoại di động trong các bữa tối gia đình có thể giúp bạn tập trung hơn vào những người quan trọng nhất với bạn.</w:t>
      </w:r>
    </w:p>
    <w:p>
      <w:pPr>
        <w:pStyle w:val="Para 010"/>
      </w:pPr>
      <w:r>
        <w:t>• Tập thể dục vài lần một tuần có thể cho bạn nhiều năng lượng hơn.</w:t>
      </w:r>
    </w:p>
    <w:p>
      <w:pPr>
        <w:pStyle w:val="Para 010"/>
      </w:pPr>
      <w:r>
        <w:t>• Tham gia một câu lạc bộ với đồng nghiệp có thể giúp bạn xây dựng tình bạn thân thiết hơn với họ.</w:t>
      </w:r>
    </w:p>
    <w:p>
      <w:pPr>
        <w:pStyle w:val="Para 010"/>
      </w:pPr>
      <w:r>
        <w:t>• Chuẩn bị cho tuần tới vào tối Chủ nhật có thể giúp bạn ngủ ngon hơn và bước vào tuần mới với tinh thần sảng khoái.</w:t>
      </w:r>
    </w:p>
    <w:p>
      <w:pPr>
        <w:pStyle w:val="Para 017"/>
      </w:pPr>
      <w:r>
        <w:t>3. Chọn thử nghiệm</w:t>
      </w:r>
    </w:p>
    <w:p>
      <w:pPr>
        <w:pStyle w:val="Para 005"/>
      </w:pPr>
      <w:r>
        <w:t>Thu hẹp danh sách các thử nghiệm bạn đã động não xuống còn ba thử nghiệm hứa hẹn nhất. Chúng nên:</w:t>
      </w:r>
    </w:p>
    <w:p>
      <w:pPr>
        <w:pStyle w:val="Para 010"/>
      </w:pPr>
      <w:r>
        <w:bookmarkStart w:id="129" w:name="_4"/>
        <w:t>• Cải thiện sự hài lòng và hiệu suất của bạn trong cả bốn khía cạnh của cuộc sống.</w:t>
        <w:bookmarkEnd w:id="129"/>
        <w:t xml:space="preserve"/>
      </w:r>
    </w:p>
    <w:p>
      <w:pPr>
        <w:pStyle w:val="Para 010"/>
      </w:pPr>
      <w:r>
        <w:t>• Tạo ra những ảnh hưởng được những người quan trọng với bạn trong mọi khía cạnh cuộc sống đánh giá là tích cực.</w:t>
      </w:r>
    </w:p>
    <w:p>
      <w:pPr>
        <w:pStyle w:val="Para 010"/>
      </w:pPr>
      <w:r>
        <w:t xml:space="preserve">• Là những điều khiến bạn phải trả giá đắt nhất—bằng sự hối tiếc và những cơ hội bị bỏ lỡ—nếu bạn không thực hiện chúng.</w:t>
      </w:r>
      <w:r>
        <w:rPr>
          <w:rStyle w:val="Text0"/>
        </w:rPr>
        <w:t/>
      </w:r>
      <w:r>
        <w:t xml:space="preserve"/>
      </w:r>
    </w:p>
    <w:p>
      <w:pPr>
        <w:pStyle w:val="Para 010"/>
      </w:pPr>
      <w:r>
        <w:t xml:space="preserve">• Đặt bạn vào vị trí để rèn luyện những kỹ năng bạn muốn phát triển nhất và làm nhiều hơn những gì bạn muốn làm.</w:t>
      </w:r>
      <w:r>
        <w:rPr>
          <w:rStyle w:val="Text0"/>
        </w:rPr>
        <w:t/>
      </w:r>
      <w:r>
        <w:t xml:space="preserve"/>
      </w:r>
    </w:p>
    <w:p>
      <w:pPr>
        <w:pStyle w:val="Para 017"/>
      </w:pPr>
      <w:r>
        <w:t>4. Đo lường tiến độ</w:t>
      </w:r>
    </w:p>
    <w:p>
      <w:pPr>
        <w:pStyle w:val="Para 005"/>
      </w:pPr>
      <w:r>
        <w:t>Hãy xây dựng một bảng điểm cho mỗi thử nghiệm bạn đã chọn. Ví dụ:</w:t>
      </w:r>
    </w:p>
    <w:p>
      <w:pPr>
        <w:pStyle w:val="Para 005"/>
      </w:pPr>
      <w:r>
        <w:rPr>
          <w:rStyle w:val="Text2"/>
        </w:rPr>
        <w:t>Thử nghiệm: Tập thể dục ba buổi sáng mỗi tuần cùng vợ/chồng.</w:t>
      </w:r>
      <w:r>
        <w:t xml:space="preserve"/>
      </w:r>
    </w:p>
    <w:p>
      <w:pPr>
        <w:pStyle w:val="Para 061"/>
      </w:pPr>
      <w:r>
        <w:drawing>
          <wp:anchor distL="0" distR="0" distT="0" distB="0" simplePos="0" relativeHeight="1" behindDoc="0" locked="0" layoutInCell="1" allowOverlap="1">
            <wp:simplePos x="0" y="0"/>
            <wp:positionH relativeFrom="margin">
              <wp:align>center</wp:align>
            </wp:positionH>
            <wp:positionV relativeFrom="line">
              <wp:align>top</wp:align>
            </wp:positionV>
            <wp:extent cx="5041900" cy="3238500"/>
            <wp:effectExtent l="0" r="0" t="0" b="0"/>
            <wp:wrapTopAndBottom/>
            <wp:docPr id="4" name="109_1.png" descr="109_1.png"/>
            <wp:cNvGraphicFramePr>
              <a:graphicFrameLocks noChangeAspect="1"/>
            </wp:cNvGraphicFramePr>
            <a:graphic>
              <a:graphicData uri="http://schemas.openxmlformats.org/drawingml/2006/picture">
                <pic:pic>
                  <pic:nvPicPr>
                    <pic:cNvPr id="0" name="109_1.png" descr="109_1.png"/>
                    <pic:cNvPicPr/>
                  </pic:nvPicPr>
                  <pic:blipFill>
                    <a:blip r:embed="rId8"/>
                    <a:stretch>
                      <a:fillRect/>
                    </a:stretch>
                  </pic:blipFill>
                  <pic:spPr>
                    <a:xfrm>
                      <a:off x="0" y="0"/>
                      <a:ext cx="5041900" cy="3238500"/>
                    </a:xfrm>
                    <a:prstGeom prst="rect">
                      <a:avLst/>
                    </a:prstGeom>
                  </pic:spPr>
                </pic:pic>
              </a:graphicData>
            </a:graphic>
          </wp:anchor>
        </w:drawing>
      </w:r>
    </w:p>
    <w:p>
      <w:pPr>
        <w:pStyle w:val="Heading 1"/>
      </w:pPr>
      <w:r>
        <w:bookmarkStart w:id="130" w:name="The_1"/>
        <w:t>Quy trình Lãnh đạo Toàn diện</w:t>
        <w:bookmarkEnd w:id="130"/>
        <w:t xml:space="preserve"/>
      </w:r>
    </w:p>
    <w:p>
      <w:pPr>
        <w:pStyle w:val="Normal"/>
      </w:pPr>
      <w:r>
        <w:t>Khái niệm Lãnh đạo Toàn diện dựa trên ba nguyên tắc:</w:t>
      </w:r>
    </w:p>
    <w:p>
      <w:pPr>
        <w:pStyle w:val="Para 036"/>
      </w:pPr>
      <w:r>
        <w:t>• Sống thật: Hành động chân thực bằng cách làm rõ điều gì là quan trọng.</w:t>
      </w:r>
    </w:p>
    <w:p>
      <w:pPr>
        <w:pStyle w:val="Para 036"/>
      </w:pPr>
      <w:r>
        <w:t>• Sống trọn vẹn: Hành động nhất quán bằng cách tôn trọng con người toàn diện.</w:t>
      </w:r>
    </w:p>
    <w:p>
      <w:pPr>
        <w:pStyle w:val="Para 036"/>
      </w:pPr>
      <w:r>
        <w:t>• Sống sáng tạo: Hành động đổi mới bằng cách thử nghiệm cách thức thực hiện công việc.</w:t>
      </w:r>
    </w:p>
    <w:p>
      <w:pPr>
        <w:pStyle w:val="Normal"/>
      </w:pPr>
      <w:r>
        <w:t xml:space="preserve">Bạn bắt đầu quá trình bằng cách suy nghĩ, viết ra và trao đổi với các bạn đồng hành cố vấn (peer coaches) để xác định các giá trị cốt lõi, tầm nhìn lãnh đạo và mức độ phù hợp hiện tại giữa hành động và giá trị của bạn—làm rõ điều gì là quan trọng. Việc cố vấn đồng đẳng (peer coaching) vô cùng quý giá, ở giai đoạn này và trong suốt quá trình, bởi vì góc nhìn từ bên ngoài cung cấp một tấm gương phản chiếu cho ý tưởng của bạn, thách thức bạn, cho bạn một cách nhìn mới mẻ về các khả năng đổi mới, và giúp bạn có trách nhiệm với những cam kết của mình.</w:t>
        <w:bookmarkStart w:id="131" w:name="important"/>
        <w:t/>
        <w:bookmarkEnd w:id="131"/>
        <w:t xml:space="preserve"/>
      </w:r>
    </w:p>
    <w:p>
      <w:pPr>
        <w:pStyle w:val="Normal"/>
      </w:pPr>
      <w:r>
        <w:t>Sau đó, bạn xác định những người quan trọng nhất—"các bên liên quan chủ chốt" (key stakeholders)—trong mọi lĩnh vực và những kỳ vọng về hiệu suất mà hai bên dành cho nhau. Rồi bạn trò chuyện với họ: Nếu bạn giống như hầu hết những người tham gia, bạn sẽ ngạc nhiên khi nhận ra rằng điều mà các bên liên quan chủ chốt thực sự cần từ bạn, và mức độ cần, khác với—và ít hơn—những gì bạn nghĩ trước đó.</w:t>
      </w:r>
    </w:p>
    <w:p>
      <w:pPr>
        <w:pStyle w:val="Normal"/>
      </w:pPr>
      <w:r>
        <w:t>Những hiểu biết sâu sắc này tạo ra cơ hội để bạn tập trung sự chú ý một cách thông minh hơn, thúc đẩy hành động đổi mới. Giờ đây, với nền tảng vững chắc hơn về điều gì là quan trọng nhất, và một bức tranh đầy đủ hơn về vòng tròn thân cận của mình, bạn bắt đầu nhìn thấy những cách mới để làm cho cuộc sống tốt đẹp hơn, không chỉ cho bạn mà còn cho những người xung quanh bạn.</w:t>
      </w:r>
    </w:p>
    <w:p>
      <w:pPr>
        <w:pStyle w:val="Normal"/>
      </w:pPr>
      <w:r>
        <w:t>Bước tiếp theo là thiết kế các thử nghiệm và sau đó thử chúng trong một khoảng thời gian có kiểm soát. Những thử nghiệm tốt nhất là những thay đổi mà các bên liên quan của bạn mong muốn nhiều như bạn, nếu không muốn nói là nhiều hơn.</w:t>
      </w:r>
    </w:p>
    <w:p>
      <w:pPr>
        <w:pStyle w:val="Heading 1"/>
      </w:pPr>
      <w:r>
        <w:t>Thiết kế thử nghiệm</w:t>
      </w:r>
    </w:p>
    <w:p>
      <w:pPr>
        <w:pStyle w:val="Normal"/>
      </w:pPr>
      <w:r>
        <w:t>Theo đuổi một chiến thắng bốn chiều (four-way win) có nghĩa là tạo ra một thay đổi nhằm đáp ứng nhiều mục tiêu mang lại lợi ích cho từng lĩnh vực trong cuộc sống của bạn. Trong lĩnh vực công việc, các mục tiêu điển hình cho một thử nghiệm có thể được gom lại dưới những tiêu đề rộng sau: tận dụng các cơ hội mới để tăng năng suất, giảm chi phí ẩn và cải thiện môi trường làm việc. Các mục tiêu cho gia đình và cộng đồng thường xoay quanh việc cải thiện các mối quan hệ và đóng góp nhiều hơn cho xã hội. Đối với bản thân, thường là về việc cải thiện sức khỏe và tìm kiếm ý nghĩa lớn hơn trong cuộc sống.</w:t>
      </w:r>
    </w:p>
    <w:p>
      <w:pPr>
        <w:pStyle w:val="Normal"/>
      </w:pPr>
      <w:r>
        <w:t xml:space="preserve">Khi bạn suy nghĩ về các mục tiêu cho thử nghiệm của mình, hãy ghi nhớ lợi ích và ý kiến của các bên liên quan chủ chốt và bất kỳ ai khác có thể bị ảnh hưởng bởi những thay đổi bạn đang hình dung. Ví dụ, khi khám phá ý tưởng tham gia một hội đồng cộng đồng, Kenneth Chen đã xin lời khuyên từ sếp của anh, người đã từng phục vụ trong nhiều hội đồng, và cũng từ giám đốc từ thiện của công ty và phó chủ tịch phụ trách nhân tài. Bằng cách này, anh đã nhận được sự ủng hộ của họ. Các nhà tuyển dụng của anh có thể thấy việc anh tham gia vào một hội đồng sẽ mang lại lợi ích cho công ty như thế nào bằng cách phát triển các kỹ năng lãnh đạo và mạng lưới xã hội của Kenneth.</w:t>
        <w:bookmarkStart w:id="132" w:name="and_3"/>
        <w:t/>
        <w:bookmarkEnd w:id="132"/>
        <w:t xml:space="preserve"/>
      </w:r>
    </w:p>
    <w:p>
      <w:pPr>
        <w:pStyle w:val="Normal"/>
      </w:pPr>
      <w:r>
        <w:t>Một số thử nghiệm chỉ mang lại lợi ích trực tiếp cho một lĩnh vực duy nhất trong khi có lợi ích gián tiếp ở những lĩnh vực khác. Ví dụ, dành ra ba buổi sáng mỗi tuần để tập thể dục cải thiện trực tiếp sức khỏe của bạn nhưng có thể gián tiếp cho bạn nhiều năng lượng hơn cho công việc và nâng cao lòng tự trọng, điều này đến lượt nó có thể khiến bạn trở thành một người cha và người bạn tốt hơn. Các hoạt động khác—chẳng hạn như chạy bán marathon cùng con cái để gây quỹ cho một tổ chức từ thiện do công ty bạn tài trợ—diễn ra trong, và mang lại lợi ích trực tiếp cho, cả bốn lĩnh vực cùng một lúc. Dù lợi ích là trực tiếp hay gián tiếp, đạt được chiến thắng bốn chiều là mục tiêu. Đó là điều làm cho những thay đổi trở nên bền vững: Mọi người đều được hưởng lợi. Những lợi ích kỳ vọng không cần phải tích lũy cho đến một thời điểm nào đó trong tương lai, vì vậy hãy nhớ rằng một số lợi ích có thể không rõ ràng—chẳng hạn như những bước tiến xa trong sự nghiệp, hoặc một mối quan hệ mà cuối cùng có thể mang lại những kết nối quý giá.</w:t>
      </w:r>
    </w:p>
    <w:p>
      <w:pPr>
        <w:pStyle w:val="Heading 2"/>
      </w:pPr>
      <w:r>
        <w:t>Xác định các khả năng</w:t>
      </w:r>
    </w:p>
    <w:p>
      <w:pPr>
        <w:pStyle w:val="Normal"/>
      </w:pPr>
      <w:r>
        <w:t>Hãy mở rộng tâm trí với những gì có thể và cố gắng nghĩ ra càng nhiều thử nghiệm tiềm năng càng tốt, mô tả trong một hoặc hai câu những gì bạn sẽ làm trong mỗi thử nghiệm. Đây là lúc để trí tưởng tượng của bạn bay bổng tự do. Đừng lo lắng về tất cả những trở ngại tiềm ẩn vào lúc này.</w:t>
      </w:r>
    </w:p>
    <w:p>
      <w:pPr>
        <w:pStyle w:val="Normal"/>
      </w:pPr>
      <w:r>
        <w:t>Thoạt nhìn, việc hình dung ra những thử nghiệm mang lại lợi ích cho tất cả các lĩnh vực khác nhau có vẻ là một nhiệm vụ khó khăn. Suy cho cùng, nếu nó dễ dàng, mọi người đã không cảm thấy quá nhiều căng thẳng giữa công việc và phần còn lại của cuộc sống. Nhưng tôi nhận thấy rằng hầu hết mọi người nhận ra nó không khó đến vậy một khi họ tiếp cận thách thức một cách có hệ thống. Và, giống như một trò chơi xếp hình, nó có thể thú vị, đặc biệt nếu bạn nhớ rằng các thử nghiệm phải phù hợp với hoàn cảnh cụ thể của bạn. Các thử nghiệm có thể và thực sự có vô số hình thức. Nhưng sau khi sàng lọc hàng trăm thiết kế thử nghiệm, nhóm nghiên cứu của tôi và tôi nhận thấy rằng chúng có xu hướng rơi vào chín loại chung. Hãy sử dụng chín phạm trù được mô tả trong bảng "Làm thế nào tôi có thể thiết kế một thử nghiệm để cải thiện tất cả các lĩnh vực trong cuộc sống của mình?" để sắp xếp suy nghĩ của bạn.</w:t>
      </w:r>
      <w:hyperlink w:anchor="How_3">
        <w:r>
          <w:rPr>
            <w:rStyle w:val="Text1"/>
          </w:rPr>
          <w:t/>
        </w:r>
      </w:hyperlink>
      <w:r>
        <w:t/>
      </w:r>
    </w:p>
    <w:p>
      <w:pPr>
        <w:pStyle w:val="Para 053"/>
      </w:pPr>
      <w:r>
        <w:bookmarkStart w:id="133" w:name="How_3"/>
        <w:t>Làm thế nào tôi có thể thiết kế một thử nghiệm để cải thiện tất cả các lĩnh vực trong cuộc sống của mình?</w:t>
        <w:bookmarkEnd w:id="133"/>
        <w:t xml:space="preserve"/>
      </w:r>
    </w:p>
    <w:p>
      <w:pPr>
        <w:pStyle w:val="Para 065"/>
      </w:pPr>
      <w:r>
        <w:t>Nghiên cứu của chúng tôi đã tiết lộ rằng hầu hết các thử nghiệm thành công đều kết hợp các thành phần của chín phạm trù chung. Suy nghĩ về các khả năng theo cách này sẽ giúp bạn dễ dàng hình dung ra những thay đổi nhỏ mà bạn có thể thực hiện để mang lại lợi ích chung cho công việc, gia đình, cộng đồng và bản thân. Hầu hết các thử nghiệm là sự lai ghép của một số kết hợp giữa các phạm trù này.</w:t>
      </w:r>
      <w:r>
        <w:rPr>
          <w:rStyle w:val="Text0"/>
        </w:rPr>
        <w:t/>
      </w:r>
    </w:p>
    <w:p>
      <w:pPr>
        <w:pStyle w:val="Para 021"/>
      </w:pPr>
      <w:r>
        <w:t>Theo dõi và suy ngẫm</w:t>
      </w:r>
    </w:p>
    <w:p>
      <w:pPr>
        <w:pStyle w:val="Para 007"/>
      </w:pPr>
      <w:r>
        <w:t>Ghi lại các hoạt động, suy nghĩ và cảm xúc (và có lẽ chia sẻ nó với bạn bè, gia đình và đồng nghiệp) để đánh giá tiến độ đạt được các mục tiêu cá nhân và nghề nghiệp, từ đó tăng cường sự tự nhận thức và duy trì các ưu tiên.</w:t>
      </w:r>
    </w:p>
    <w:p>
      <w:pPr>
        <w:pStyle w:val="Para 021"/>
      </w:pPr>
      <w:r>
        <w:t>Ví dụ</w:t>
      </w:r>
    </w:p>
    <w:p>
      <w:pPr>
        <w:pStyle w:val="Para 022"/>
      </w:pPr>
      <w:r>
        <w:t>• Ghi lại các lần đến phòng tập cùng với những thay đổi về mức năng lượng</w:t>
      </w:r>
    </w:p>
    <w:p>
      <w:pPr>
        <w:pStyle w:val="Para 022"/>
      </w:pPr>
      <w:r>
        <w:t>• Theo dõi những thời điểm trong ngày khi bạn cảm thấy tập trung nhất hoặc uể oải nhất</w:t>
      </w:r>
    </w:p>
    <w:p>
      <w:pPr>
        <w:pStyle w:val="Para 021"/>
      </w:pPr>
      <w:r>
        <w:t>Lập kế hoạch và tổ chức</w:t>
      </w:r>
    </w:p>
    <w:p>
      <w:pPr>
        <w:pStyle w:val="Para 007"/>
      </w:pPr>
      <w:r>
        <w:t>Thực hiện các hành động nhằm sử dụng thời gian tốt hơn, chuẩn bị và lên kế hoạch cho tương lai.</w:t>
      </w:r>
    </w:p>
    <w:p>
      <w:pPr>
        <w:pStyle w:val="Para 021"/>
      </w:pPr>
      <w:r>
        <w:t>Ví dụ</w:t>
      </w:r>
    </w:p>
    <w:p>
      <w:pPr>
        <w:pStyle w:val="Para 022"/>
      </w:pPr>
      <w:r>
        <w:t>• Dùng PDA cho mọi hoạt động, không chỉ công việc</w:t>
      </w:r>
    </w:p>
    <w:p>
      <w:pPr>
        <w:pStyle w:val="Para 022"/>
      </w:pPr>
      <w:r>
        <w:t>• Chia sẻ lịch trình của bạn với người khác</w:t>
      </w:r>
    </w:p>
    <w:p>
      <w:pPr>
        <w:pStyle w:val="Para 022"/>
      </w:pPr>
      <w:r>
        <w:t>• Chuẩn bị cho tuần mới vào tối Chủ nhật</w:t>
      </w:r>
    </w:p>
    <w:p>
      <w:pPr>
        <w:pStyle w:val="Para 021"/>
      </w:pPr>
      <w:r>
        <w:t>Tái tạo và phục hồi năng lượng</w:t>
      </w:r>
    </w:p>
    <w:p>
      <w:pPr>
        <w:pStyle w:val="Para 007"/>
      </w:pPr>
      <w:r>
        <w:t>Chăm sóc thể chất, tinh thần và tâm hồn để các công việc hằng ngày trong cuộc sống và công việc được thực hiện với nguồn năng lượng, sự tập trung và cam kết mới mẻ.</w:t>
      </w:r>
    </w:p>
    <w:p>
      <w:pPr>
        <w:pStyle w:val="Para 021"/>
      </w:pPr>
      <w:r>
        <w:t>Ví dụ</w:t>
      </w:r>
    </w:p>
    <w:p>
      <w:pPr>
        <w:pStyle w:val="Para 022"/>
      </w:pPr>
      <w:r>
        <w:t>• Bỏ các thói quen có hại cho sức khỏe (hút thuốc, uống rượu)</w:t>
      </w:r>
    </w:p>
    <w:p>
      <w:pPr>
        <w:pStyle w:val="Para 022"/>
      </w:pPr>
      <w:r>
        <w:t>• Dành thời gian đọc tiểu thuyết</w:t>
      </w:r>
    </w:p>
    <w:p>
      <w:pPr>
        <w:pStyle w:val="Para 022"/>
      </w:pPr>
      <w:r>
        <w:t>• Tham gia các hoạt động cải thiện sức khỏe cảm xúc và tinh thần (yoga, thiền, v.v.)</w:t>
      </w:r>
    </w:p>
    <w:p>
      <w:pPr>
        <w:pStyle w:val="Para 021"/>
      </w:pPr>
      <w:r>
        <w:t>Trân trọng và quan tâm</w:t>
      </w:r>
    </w:p>
    <w:p>
      <w:pPr>
        <w:pStyle w:val="Para 007"/>
      </w:pPr>
      <w:r>
        <w:t>Vui vẻ với mọi người (thường là làm gì đó cùng đồng nghiệp ngoài giờ làm), quan tâm đến người khác và trân trọng các mối quan hệ như một cách gắn kết ở cấp độ con người cơ bản để tôn trọng con người toàn diện, từ đó làm tăng sự tin tưởng.</w:t>
      </w:r>
    </w:p>
    <w:p>
      <w:pPr>
        <w:pStyle w:val="Para 021"/>
      </w:pPr>
      <w:r>
        <w:bookmarkStart w:id="134" w:name="Examples"/>
        <w:t>Ví dụ</w:t>
        <w:bookmarkEnd w:id="134"/>
      </w:r>
    </w:p>
    <w:p>
      <w:pPr>
        <w:pStyle w:val="Para 022"/>
      </w:pPr>
      <w:r>
        <w:t>• Tham gia câu lạc bộ sách hoặc câu lạc bộ thể dục cùng đồng nghiệp</w:t>
      </w:r>
    </w:p>
    <w:p>
      <w:pPr>
        <w:pStyle w:val="Para 022"/>
      </w:pPr>
      <w:r>
        <w:t>• Giúp con trai bạn hoàn thành bài tập về nhà</w:t>
      </w:r>
    </w:p>
    <w:p>
      <w:pPr>
        <w:pStyle w:val="Para 022"/>
      </w:pPr>
      <w:r>
        <w:t>• Dành một ngày mỗi tháng cho hoạt động phục vụ cộng đồng</w:t>
      </w:r>
    </w:p>
    <w:p>
      <w:pPr>
        <w:pStyle w:val="Para 021"/>
      </w:pPr>
      <w:r>
        <w:t>Tập trung và chú tâm</w:t>
      </w:r>
    </w:p>
    <w:p>
      <w:pPr>
        <w:pStyle w:val="Para 007"/>
      </w:pPr>
      <w:r>
        <w:t>Hiện diện về mặt thể chất, tâm lý, hoặc cả hai khi cần để chú ý đến những bên liên quan quan trọng nhất. Đôi khi điều này có nghĩa là nói không với các cơ hội hoặc nghĩa vụ. Bao gồm nỗ lực thể hiện sự tôn trọng nhiều hơn với những người quan trọng gặp gỡ trong các lĩnh vực khác nhau và nhu cầu sẵn sàng tiếp cận họ.</w:t>
      </w:r>
    </w:p>
    <w:p>
      <w:pPr>
        <w:pStyle w:val="Para 021"/>
      </w:pPr>
      <w:r>
        <w:t>Ví dụ</w:t>
      </w:r>
    </w:p>
    <w:p>
      <w:pPr>
        <w:pStyle w:val="Para 022"/>
      </w:pPr>
      <w:r>
        <w:t>• Tắt các thiết bị liên lạc kỹ thuật số vào một giờ cố định</w:t>
      </w:r>
    </w:p>
    <w:p>
      <w:pPr>
        <w:pStyle w:val="Para 022"/>
      </w:pPr>
      <w:r>
        <w:t>• Dành riêng một khoảng thời gian cụ thể để tập trung vào một việc hoặc một người</w:t>
      </w:r>
    </w:p>
    <w:p>
      <w:pPr>
        <w:pStyle w:val="Para 022"/>
      </w:pPr>
      <w:r>
        <w:t>• Kiểm tra e-mail vào những khung giờ đã định sẵn trong ngày</w:t>
      </w:r>
    </w:p>
    <w:p>
      <w:pPr>
        <w:pStyle w:val="Para 021"/>
      </w:pPr>
      <w:r>
        <w:t>Bộc lộ và gắn kết</w:t>
      </w:r>
    </w:p>
    <w:p>
      <w:pPr>
        <w:pStyle w:val="Para 022"/>
      </w:pPr>
      <w:r>
        <w:t>Chia sẻ nhiều hơn về bản thân với người khác—và lắng nghe—để họ có thể ủng hộ tốt hơn các giá trị của bạn và những bước bạn muốn thực hiện hướng tới tầm nhìn lãnh đạo của mình. Bằng cách tăng cường giao tiếp về các khía cạnh khác nhau của cuộc sống, bạn thể hiện sự tôn trọng đối với con người toàn diện.</w:t>
      </w:r>
    </w:p>
    <w:p>
      <w:pPr>
        <w:pStyle w:val="Para 021"/>
      </w:pPr>
      <w:r>
        <w:t>Ví dụ</w:t>
      </w:r>
    </w:p>
    <w:p>
      <w:pPr>
        <w:pStyle w:val="Para 022"/>
      </w:pPr>
      <w:r>
        <w:t>• Trò chuyện hằng tuần về tôn giáo với vợ/chồng</w:t>
      </w:r>
    </w:p>
    <w:p>
      <w:pPr>
        <w:pStyle w:val="Para 022"/>
      </w:pPr>
      <w:r>
        <w:t>• Mô tả tầm nhìn của bạn cho người khác</w:t>
      </w:r>
    </w:p>
    <w:p>
      <w:pPr>
        <w:pStyle w:val="Para 022"/>
      </w:pPr>
      <w:r>
        <w:t>• Kèm cặp một nhân viên mới</w:t>
      </w:r>
    </w:p>
    <w:p>
      <w:pPr>
        <w:pStyle w:val="Para 021"/>
      </w:pPr>
      <w:r>
        <w:t>Dịch chuyển thời gian và “thay đổi địa điểm”</w:t>
      </w:r>
    </w:p>
    <w:p>
      <w:pPr>
        <w:pStyle w:val="Para 007"/>
      </w:pPr>
      <w:r>
        <w:t>Làm việc từ xa hoặc vào những khung giờ khác để tăng tính linh hoạt, nhờ đó dễ hòa hợp hơn với các hoạt động cộng đồng, gia đình và cá nhân trong khi vẫn tăng hiệu quả; đặt câu hỏi về những giả định truyền thống và thử những cách mới để hoàn thành công việc.</w:t>
      </w:r>
    </w:p>
    <w:p>
      <w:pPr>
        <w:pStyle w:val="Para 021"/>
      </w:pPr>
      <w:r>
        <w:t>Ví dụ</w:t>
      </w:r>
    </w:p>
    <w:p>
      <w:pPr>
        <w:pStyle w:val="Para 022"/>
      </w:pPr>
      <w:r>
        <w:t>• Làm việc tại nhà</w:t>
      </w:r>
    </w:p>
    <w:p>
      <w:pPr>
        <w:pStyle w:val="Para 022"/>
      </w:pPr>
      <w:r>
        <w:t>• Học nhạc vào giờ nghỉ trưa</w:t>
      </w:r>
    </w:p>
    <w:p>
      <w:pPr>
        <w:pStyle w:val="Para 022"/>
      </w:pPr>
      <w:r>
        <w:t>• Làm việc trong lúc di chuyển</w:t>
      </w:r>
    </w:p>
    <w:p>
      <w:pPr>
        <w:pStyle w:val="Para 021"/>
      </w:pPr>
      <w:r>
        <w:t>Ủy quyền và phát triển</w:t>
      </w:r>
    </w:p>
    <w:p>
      <w:pPr>
        <w:pStyle w:val="Para 007"/>
      </w:pPr>
      <w:r>
        <w:t>Phân bổ lại nhiệm vụ theo cách gia tăng niềm tin, giải phóng thời gian và phát triển kỹ năng cho chính bạn và người khác; làm việc thông minh hơn bằng cách giảm bớt hoặc loại bỏ những hoạt động ít ưu tiên.</w:t>
      </w:r>
    </w:p>
    <w:p>
      <w:pPr>
        <w:pStyle w:val="Para 021"/>
      </w:pPr>
      <w:r>
        <w:bookmarkStart w:id="135" w:name="Examples_1"/>
        <w:t>Ví dụ</w:t>
        <w:bookmarkEnd w:id="135"/>
      </w:r>
    </w:p>
    <w:p>
      <w:pPr>
        <w:pStyle w:val="Para 022"/>
      </w:pPr>
      <w:r>
        <w:t>• Thuê một trợ lý cá nhân</w:t>
      </w:r>
    </w:p>
    <w:p>
      <w:pPr>
        <w:pStyle w:val="Para 022"/>
      </w:pPr>
      <w:r>
        <w:t>• Giao một số trách nhiệm của bạn cho cấp dưới</w:t>
      </w:r>
    </w:p>
    <w:p>
      <w:pPr>
        <w:pStyle w:val="Para 021"/>
      </w:pPr>
      <w:r>
        <w:t>Khám phá và dấn thân</w:t>
      </w:r>
    </w:p>
    <w:p>
      <w:pPr>
        <w:pStyle w:val="Para 007"/>
      </w:pPr>
      <w:r>
        <w:t>Thực hiện những bước tiến tới một công việc, sự nghiệp hoặc hoạt động mới giúp gắn kết công việc, gia đình, cộng đồng và bản thân bạn tốt hơn với những giá trị cốt lõi và khát vọng của mình.</w:t>
      </w:r>
    </w:p>
    <w:p>
      <w:pPr>
        <w:pStyle w:val="Para 021"/>
      </w:pPr>
      <w:r>
        <w:t>Ví dụ</w:t>
      </w:r>
    </w:p>
    <w:p>
      <w:pPr>
        <w:pStyle w:val="Para 022"/>
      </w:pPr>
      <w:r>
        <w:t>• Đảm nhận vai trò mới ở công ty, chẳng hạn như một nhiệm vụ liên phòng ban</w:t>
      </w:r>
    </w:p>
    <w:p>
      <w:pPr>
        <w:pStyle w:val="Para 022"/>
      </w:pPr>
      <w:r>
        <w:t>• Thử một phong cách huấn luyện mới</w:t>
      </w:r>
    </w:p>
    <w:p>
      <w:pPr>
        <w:pStyle w:val="Para 022"/>
      </w:pPr>
      <w:r>
        <w:t>• Tham gia ban quản trị của trung tâm giữ trẻ nơi con bạn theo học</w:t>
      </w:r>
    </w:p>
    <w:p>
      <w:pPr>
        <w:pStyle w:val="Normal"/>
      </w:pPr>
      <w:r>
        <w:t>Một nhóm thử nghiệm liên quan đến việc thay đổi địa điểm và thời gian làm việc. Một học viên tham gia hội thảo, giám đốc bán hàng của một nhà sản xuất xi măng toàn cầu, đã thử làm việc trực tuyến tại thư viện công cộng địa phương một ngày mỗi tuần để thoát khỏi quãng đường đi làm rất dài. Điều này phá vỡ văn hóa công ty vốn không ủng hộ nhân viên làm việc từ xa, nhưng sự thay đổi này mang lại lợi ích cho tất cả mọi người. Anh có thêm thời gian cho các sở thích bên ngoài, đồng thời gắn bó và làm việc hiệu quả hơn.</w:t>
      </w:r>
    </w:p>
    <w:p>
      <w:pPr>
        <w:pStyle w:val="Normal"/>
      </w:pPr>
      <w:r>
        <w:t>Một nhóm khác liên quan đến việc thường xuyên tự nhìn lại bản thân. Ví dụ, bạn có thể ghi chép lại các hoạt động, suy nghĩ và cảm xúc của mình trong suốt một tháng để xem những hành động khác nhau ảnh hưởng thế nào đến hiệu suất và chất lượng cuộc sống của bạn. Một nhóm nữa tập trung vào việc lập kế hoạch và sắp xếp thời gian—chẳng hạn như thử một công nghệ mới giúp đồng bộ các cam kết ở công ty với những cam kết ở các lĩnh vực khác.</w:t>
      </w:r>
    </w:p>
    <w:p>
      <w:pPr>
        <w:pStyle w:val="Normal"/>
      </w:pPr>
      <w:r>
        <w:t xml:space="preserve">Những cuộc trò chuyện về công việc và phần còn lại của cuộc sống thường nhấn mạnh vào sự tách biệt: Làm sao để gạt bỏ công việc khi ở bên gia đình? Làm sao để loại bỏ phiền nhiễu và tập trung hoàn toàn vào công việc? Nhưng trong một số trường hợp, tốt hơn có thể là làm cho ranh giới giữa các lĩnh vực trở nên linh hoạt hơn, chứ không phải dày hơn. Chính những công nghệ khiến chúng ta khó duy trì ranh giới lành mạnh giữa các lĩnh vực cũng cho phép chúng ta hòa trộn chúng theo những cách—không thể tưởng tượng nổi chỉ một thập kỷ trước—giúp chúng ta làm việc hiệu quả hơn và mãn nguyện hơn. Những công cụ này trao cho chúng ta nhiều lựa chọn. Thách thức mà tất cả chúng ta phải đối mặt là học cách sử dụng chúng một cách khôn ngoan, và những thử nghiệm thông minh cho bạn cơ hội nâng cao kỹ năng làm điều đó. Điểm mấu chốt là xác định những khả năng phù hợp với hoàn cảnh riêng của bạn.</w:t>
        <w:bookmarkStart w:id="136" w:name="a"/>
        <w:t/>
        <w:bookmarkEnd w:id="136"/>
        <w:t xml:space="preserve"/>
      </w:r>
    </w:p>
    <w:p>
      <w:pPr>
        <w:pStyle w:val="Normal"/>
      </w:pPr>
      <w:r>
        <w:t>Mọi thử nghiệm hiệu quả đều đòi hỏi bạn đặt câu hỏi về những giả định truyền thống về cách hoàn thành công việc, như vị giám đốc bán hàng đã làm. Bạn sẽ dễ cảm thấy tự do để làm điều này và hành động một cách sáng tạo hơn khi biết rằng mục tiêu của mình là cải thiện hiệu suất trong mọi lĩnh vực và bạn sẽ thu thập dữ liệu về tác động của thử nghiệm để xác định xem nó có thực sự hiệu quả hay không—cho những bên liên quan chính và cho chính bạn.</w:t>
      </w:r>
    </w:p>
    <w:p>
      <w:pPr>
        <w:pStyle w:val="Normal"/>
      </w:pPr>
      <w:r>
        <w:t xml:space="preserve">Dù bạn chọn loại nào, những thử nghiệm hữu ích nhất thường mang lại cảm giác hơi thử thách: không quá dễ, không quá nản chí. Với người khác, điều đó có thể khá bình thường, nhưng không quan trọng. Điều cốt yếu là bạn xem nó như một thử thách có độ khó vừa phải.</w:t>
      </w:r>
      <w:r>
        <w:rPr>
          <w:rStyle w:val="Text0"/>
        </w:rPr>
        <w:t/>
      </w:r>
      <w:r>
        <w:t xml:space="preserve"/>
      </w:r>
    </w:p>
    <w:p>
      <w:pPr>
        <w:pStyle w:val="Heading 2"/>
      </w:pPr>
      <w:r>
        <w:t>Chọn một vài thử nghiệm, bắt đầu và thích nghi</w:t>
      </w:r>
    </w:p>
    <w:p>
      <w:pPr>
        <w:pStyle w:val="Normal"/>
      </w:pPr>
      <w:r>
        <w:t>Nghĩ ra các khả năng là một bài tập về trí tưởng tượng không giới hạn. Nhưng khi đến lúc hành động, sẽ không thực tế nếu thử quá ba thử nghiệm cùng một lúc. Thông thường, hai thử nghiệm sẽ tương đối thành công và một thử nghiệm sẽ trục trặc, vì vậy bạn sẽ gặt hái được một số chiến thắng nhỏ và học được điều gì đó hữu ích về khả năng lãnh đạo mà không ôm đồm quá sức. Giờ đây, ưu tiên là thu hẹp danh sách xuống còn ba ứng viên triển vọng nhất bằng cách xem xét thử nghiệm nào sẽ:</w:t>
      </w:r>
    </w:p>
    <w:p>
      <w:pPr>
        <w:pStyle w:val="Para 036"/>
      </w:pPr>
      <w:r>
        <w:t>• Mang lại cho bạn lợi tức tổng thể tốt nhất cho khoản đầu tư của mình</w:t>
      </w:r>
    </w:p>
    <w:p>
      <w:pPr>
        <w:pStyle w:val="Para 036"/>
      </w:pPr>
      <w:r>
        <w:t>• Khiến bạn hối tiếc và bỏ lỡ cơ hội nhiều nhất nếu không thực hiện</w:t>
      </w:r>
    </w:p>
    <w:p>
      <w:pPr>
        <w:pStyle w:val="Para 036"/>
      </w:pPr>
      <w:r>
        <w:t>• Cho phép bạn rèn luyện những kỹ năng lãnh đạo mà bạn muốn phát triển nhất</w:t>
      </w:r>
    </w:p>
    <w:p>
      <w:pPr>
        <w:pStyle w:val="Para 036"/>
      </w:pPr>
      <w:r>
        <w:t>• Vui nhất vì bao gồm nhiều điều bạn muốn làm hơn</w:t>
      </w:r>
    </w:p>
    <w:p>
      <w:pPr>
        <w:pStyle w:val="Para 036"/>
      </w:pPr>
      <w:r>
        <w:t>• Đưa bạn tiến xa nhất tới tầm nhìn về cách bạn muốn dẫn dắt cuộc đời mình</w:t>
      </w:r>
    </w:p>
    <w:p>
      <w:pPr>
        <w:pStyle w:val="Normal"/>
      </w:pPr>
      <w:r>
        <w:bookmarkStart w:id="137" w:name="Once"/>
        <w:t>Tuy nhiên, một khi đã chọn và bắt đầu tiến hành thử nghiệm, hãy sẵn sàng thích nghi với những điều không lường trước. Đừng quá bám chặt vào chi tiết kế hoạch của bất kỳ thử nghiệm nào, vì đến một lúc nào đó bạn sẽ bất ngờ và cần điều chỉnh. Ví dụ, một nhà điều hành mà tôi tạm gọi là Lim đã chọn chạy Chicago Marathon làm một thử nghiệm. Anh cảm thấy mình xuống sức, điều này làm giảm năng lượng và sự tập trung của anh cả ở công ty lẫn ở nhà. Vợ anh, Joanne, đang mang thai đứa con đầu lòng và ban đầu ủng hộ kế hoạch này vì cô tin rằng sự tập trung mà việc luyện tập đòi hỏi cùng với việc giải phóng thể chất sẽ giúp Lim trở thành một người cha tốt hơn. Gia đình anh cũng có truyền thống thể thao mạnh mẽ, và bản thân Joanne là một vận động viên cừ khôi. Lim đã luyện tập cùng sếp và các đồng nghiệp, và mọi người đều đồng ý rằng đây sẽ là một nỗ lực lành mạnh giúp cải thiện giao tiếp chuyên môn (vì họ nghĩ sẽ có nhiều thời gian để gắn kết trong quá trình luyện tập).</w:t>
        <w:bookmarkEnd w:id="137"/>
        <w:t xml:space="preserve"/>
      </w:r>
    </w:p>
    <w:p>
      <w:pPr>
        <w:pStyle w:val="Normal"/>
      </w:pPr>
      <w:r>
        <w:t>Nhưng khi ngày sinh đến gần, Joanne trở nên lo lắng, và cô chia sẻ với Lim rằng cô sợ anh có thể bị chấn thương. Tuy nhiên, mối lo thực sự của cô là anh đang dành quá nhiều thời gian cho một hoạt động có thể rút cạn năng lượng của anh vào đúng thời điểm gia đình cần anh nhất. Một điều chỉnh mà Lim thực hiện để trấn an Joanne về cam kết của anh với gia đình là khởi xướng một thử nghiệm khác, trong đó anh thực hiện các bước cần thiết để có thể làm việc tại nhà vào các chiều thứ Năm. Anh phải thiết lập một số công nghệ mới và đồng ý gửi bản ghi nhớ hàng tháng cho sếp để tóm tắt những gì anh đang hoàn thành vào những buổi chiều đó. Anh cũng mua một chiếc địu em bé, cho phép anh giữ con trai mới sinh bên mình khi ở nhà.</w:t>
      </w:r>
    </w:p>
    <w:p>
      <w:pPr>
        <w:pStyle w:val="Normal"/>
      </w:pPr>
      <w:r>
        <w:t xml:space="preserve">Cuối cùng, không chỉ Joanne và em bé có mặt để cổ vũ Lim khi anh chạy marathon, mà cô còn tham gia cùng anh ở nửa sau của cuộc đua để tiếp thêm động lực khi cô thấy năng lượng của anh suy giảm. Các con số của đơn vị kinh doanh của anh được cải thiện trong giai đoạn anh tập luyện và làm việc tại nhà. Tinh thần của đơn vị cũng vậy—mọi người bắt đầu thấy công ty linh hoạt hơn, và họ được khuyến khích sáng tạo hơn trong cách hoàn thành công việc của mình—và tin tức lan truyền khắp nơi. Các nhà điều hành khắp công ty bắt đầu nảy ra ý tưởng riêng về cách quan tâm nhiều hơn đến các khía cạnh khác trong cuộc sống của nhân viên, từ đó xây dựng cảm giác cộng đồng mạnh mẽ hơn tại nơi làm việc.</w:t>
        <w:bookmarkStart w:id="138" w:name="other"/>
        <w:t/>
        <w:bookmarkEnd w:id="138"/>
        <w:t xml:space="preserve"/>
      </w:r>
    </w:p>
    <w:p>
      <w:pPr>
        <w:pStyle w:val="Normal"/>
      </w:pPr>
      <w:r>
        <w:t>Khoản đầu tư vào một thử nghiệm được thiết kế tốt hầu như luôn được đền đáp vì bạn học được cách lãnh đạo theo những cách mới và sáng tạo trong mọi phần của cuộc sống. Và nếu các thử nghiệm của bạn diễn ra tốt đẹp—như thường lệ, dù không phải lúc nào cũng vậy—nó sẽ mang lại lợi ích cho tất cả mọi người: bạn, doanh nghiệp của bạn, gia đình bạn và cộng đồng của bạn.</w:t>
      </w:r>
    </w:p>
    <w:p>
      <w:pPr>
        <w:pStyle w:val="Heading 1"/>
      </w:pPr>
      <w:r>
        <w:t>Đo lường tiến bộ</w:t>
      </w:r>
    </w:p>
    <w:p>
      <w:pPr>
        <w:pStyle w:val="Normal"/>
      </w:pPr>
      <w:r>
        <w:t>Cách duy nhất để thất bại với một thử nghiệm là không học được gì từ nó, và điều này khiến các thước đo hữu ích trở nên thiết yếu. Không nghi ngờ gì, đạt được kết quả bạn mong muốn vẫn tốt hơn là không đạt được, nhưng việc đạt mục tiêu tự nó không giúp bạn tiến tới việc trở thành nhà lãnh đạo mà bạn muốn trở thành. Các thử nghiệm thất bại cung cấp cho bạn và những người xung quanh thông tin giúp tạo ra những thử nghiệm tốt hơn trong tương lai.</w:t>
      </w:r>
    </w:p>
    <w:p>
      <w:pPr>
        <w:pStyle w:val="Normal"/>
      </w:pPr>
      <w:r>
        <w:t>Bảng “Làm sao tôi biết thử nghiệm của mình có hiệu quả?” cho thấy cách Kenneth Chen đo lường tiến bộ của mình. Anh dùng biểu đồ đơn giản này để trình bày rõ những lợi ích dự kiến của thử nghiệm trong từng lĩnh vực trong bốn lĩnh vực và cách anh sẽ đánh giá liệu mình có đạt được những lợi ích đó hay không. Để thiết lập bảng điểm của riêng bạn, hãy dùng một tờ giấy riêng cho mỗi thử nghiệm; ở đầu trang, viết mô tả ngắn gọn về thử nghiệm đó. Sau đó ghi mục tiêu của bạn cho từng lĩnh vực vào cột đầu tiên. Ở cột giữa, mô tả các thước đo kết quả: cách bạn sẽ đo lường liệu các mục tiêu cho từng lĩnh vực có đạt được hay không. Ở cột thứ ba, mô tả các thước đo hành động—kế hoạch cho các bước bạn sẽ thực hiện để triển khai thử nghiệm. Khi bạn bắt đầu thực hiện kế hoạch, bạn có thể thấy các chỉ số ban đầu của mình quá rộng hoặc quá mơ hồ, vì vậy hãy tinh chỉnh bảng điểm khi bạn tiến hành để nó hữu ích hơn cho bạn. Điểm mấu chốt là có những cách thực tế để đo lường kết quả và tiến bộ của bạn hướng tới chúng, và cách tiếp cận bạn chọn chỉ cần hiệu quả với bạn và các bên liên quan của bạn.</w:t>
      </w:r>
      <w:hyperlink w:anchor="How_4">
        <w:r>
          <w:rPr>
            <w:rStyle w:val="Text1"/>
          </w:rPr>
          <w:t/>
        </w:r>
      </w:hyperlink>
      <w:r>
        <w:t/>
      </w:r>
    </w:p>
    <w:p>
      <w:pPr>
        <w:pStyle w:val="Normal"/>
      </w:pPr>
      <w:r>
        <w:t xml:space="preserve">Những người tham gia hội thảo đã sử dụng đủ loại thước đo: tiết kiệm chi phí từ việc giảm đi lại, số hiểu lầm qua email được ngăn chặn, mức độ hài lòng với thời gian dành cho gia đình, số giờ làm tình nguyện tại trung tâm thanh thiếu niên, v.v. Các thước đo có thể khách quan hoặc chủ quan, định tính hoặc định lượng, do bạn hoặc người khác báo cáo, và được quan sát thường xuyên hoặc gián đoạn. Ví dụ, khi nói đến tần suất, sẽ hữu ích nếu cân nhắc bạn có thể nhớ những gì mình đã làm trong bao lâu. Chẳng hạn, nếu bạn ăn kiêng để khỏe mạnh hơn, tăng năng lượng và cải thiện các mối quan hệ quan trọng, lượng thức ăn nạp vào sẽ là một thước đo quan trọng. Nhưng liệu bạn có thể nhớ mình đã ăn gì hai ngày trước không?</w:t>
        <w:bookmarkStart w:id="139" w:name="teen"/>
        <w:t/>
        <w:bookmarkEnd w:id="139"/>
        <w:t xml:space="preserve"/>
      </w:r>
    </w:p>
    <w:p>
      <w:pPr>
        <w:pStyle w:val="Para 053"/>
      </w:pPr>
      <w:r>
        <w:bookmarkStart w:id="140" w:name="How_4"/>
        <w:t>Làm sao tôi biết thử nghiệm của mình có hiệu quả?</w:t>
        <w:bookmarkEnd w:id="140"/>
        <w:t xml:space="preserve"/>
      </w:r>
    </w:p>
    <w:p>
      <w:pPr>
        <w:pStyle w:val="Para 007"/>
      </w:pPr>
      <w:r>
        <w:t>Dùng công cụ này, một nhà điều hành mà tôi sẽ gọi là Kenneth Chen đã trình bày chi tiết một cách có hệ thống các mục tiêu khác nhau của mình, các thước đo anh sẽ dùng để đo lường tiến bộ, và các bước anh sẽ thực hiện khi tiến hành một thử nghiệm nhằm thúc đẩy các mục tiêu đó—tham gia hội đồng quản trị của một tổ chức phi lợi nhuận. Bảng tính của Kenneth chỉ là một ví dụ: Thử nghiệm, mục tiêu và thước đo của mỗi người là độc nhất.</w:t>
      </w:r>
    </w:p>
    <w:p>
      <w:pPr>
        <w:pStyle w:val="Para 050"/>
        <w:keepLines w:val="on"/>
      </w:pPr>
      <w:r>
        <w:drawing>
          <wp:anchor distL="0" distR="0" distT="0" distB="0" simplePos="0" relativeHeight="1" behindDoc="0" locked="0" layoutInCell="1" allowOverlap="1">
            <wp:simplePos x="0" y="0"/>
            <wp:positionH relativeFrom="margin">
              <wp:align>center</wp:align>
            </wp:positionH>
            <wp:positionV relativeFrom="line">
              <wp:align>top</wp:align>
            </wp:positionV>
            <wp:extent cx="3657600" cy="1689100"/>
            <wp:effectExtent l="0" r="0" t="0" b="0"/>
            <wp:wrapTopAndBottom/>
            <wp:docPr id="5" name="118_1.png" descr="118_1.png"/>
            <wp:cNvGraphicFramePr>
              <a:graphicFrameLocks noChangeAspect="1"/>
            </wp:cNvGraphicFramePr>
            <a:graphic>
              <a:graphicData uri="http://schemas.openxmlformats.org/drawingml/2006/picture">
                <pic:pic>
                  <pic:nvPicPr>
                    <pic:cNvPr id="0" name="118_1.png" descr="118_1.png"/>
                    <pic:cNvPicPr/>
                  </pic:nvPicPr>
                  <pic:blipFill>
                    <a:blip r:embed="rId9"/>
                    <a:stretch>
                      <a:fillRect/>
                    </a:stretch>
                  </pic:blipFill>
                  <pic:spPr>
                    <a:xfrm>
                      <a:off x="0" y="0"/>
                      <a:ext cx="3657600" cy="1689100"/>
                    </a:xfrm>
                    <a:prstGeom prst="rect">
                      <a:avLst/>
                    </a:prstGeom>
                  </pic:spPr>
                </pic:pic>
              </a:graphicData>
            </a:graphic>
          </wp:anchor>
        </w:drawing>
      </w:r>
    </w:p>
    <w:p>
      <w:pPr>
        <w:pStyle w:val="Para 050"/>
        <w:keepLines w:val="on"/>
      </w:pPr>
      <w:r>
        <w:bookmarkStart w:id="141" w:name="page_111"/>
        <w:t/>
        <w:bookmarkEnd w:id="141"/>
        <w:drawing>
          <wp:inline>
            <wp:extent cx="3657600" cy="1092200"/>
            <wp:effectExtent l="0" r="0" t="0" b="0"/>
            <wp:docPr id="6" name="119_1.png" descr="119_1.png"/>
            <wp:cNvGraphicFramePr>
              <a:graphicFrameLocks noChangeAspect="1"/>
            </wp:cNvGraphicFramePr>
            <a:graphic>
              <a:graphicData uri="http://schemas.openxmlformats.org/drawingml/2006/picture">
                <pic:pic>
                  <pic:nvPicPr>
                    <pic:cNvPr id="0" name="119_1.png" descr="119_1.png"/>
                    <pic:cNvPicPr/>
                  </pic:nvPicPr>
                  <pic:blipFill>
                    <a:blip r:embed="rId10"/>
                    <a:stretch>
                      <a:fillRect/>
                    </a:stretch>
                  </pic:blipFill>
                  <pic:spPr>
                    <a:xfrm>
                      <a:off x="0" y="0"/>
                      <a:ext cx="3657600" cy="1092200"/>
                    </a:xfrm>
                    <a:prstGeom prst="rect">
                      <a:avLst/>
                    </a:prstGeom>
                  </pic:spPr>
                </pic:pic>
              </a:graphicData>
            </a:graphic>
          </wp:inline>
        </w:drawing>
      </w:r>
    </w:p>
    <w:p>
      <w:pPr>
        <w:pStyle w:val="Heading 1"/>
      </w:pPr>
      <w:r>
        <w:t>Những chiến thắng nhỏ cho thay đổi lớn</w:t>
      </w:r>
    </w:p>
    <w:p>
      <w:pPr>
        <w:pStyle w:val="Normal"/>
      </w:pPr>
      <w:r>
        <w:t>Các thử nghiệm không nên là những thay đổi lớn lao, bao trùm toàn bộ cách bạn sống. Những thiết kế quá tham vọng thường thất bại vì chúng quá sức để xử lý. Các thử nghiệm tốt nhất cho phép bạn thử điều gì đó mới mẻ trong khi giảm thiểu những rủi ro không thể tránh khỏi đi kèm với thay đổi. Khi rủi ro nhỏ hơn, việc vượt qua nỗi sợ thất bại vốn kìm hãm sự đổi mới sẽ dễ dàng hơn. Bạn bắt đầu thấy kết quả, và những người khác chú ý đến, điều này vừa truyền cảm hứng để bạn tiến xa hơn vừa xây dựng sự ủng hộ từ các bên liên quan chính của bạn.</w:t>
      </w:r>
    </w:p>
    <w:p>
      <w:pPr>
        <w:pStyle w:val="Normal"/>
      </w:pPr>
      <w:r>
        <w:t xml:space="preserve">Một lợi ích khác của cách tiếp cận chiến thắng nhỏ đối với các thử nghiệm là nó mở ra những cánh cửa mà nếu không thì sẽ đóng kín. Bạn có thể nói với những người có liên quan đến quyết định: “Hãy cứ thử cái này. Nếu không hiệu quả, chúng ta sẽ quay lại cách cũ hoặc thử cách khác.” Bằng cách định hình một thử nghiệm như một phép thử, bạn giảm bớt sự phản kháng vì mọi người có xu hướng sẵn sàng thử điều mới hơn nếu họ biết nó không phải là vĩnh viễn và nếu họ có quyền kiểm soát trong việc quyết định liệu thử nghiệm có hiệu quả theo kỳ vọng về hiệu suất của họ hay không.</w:t>
      </w:r>
      <w:r>
        <w:rPr>
          <w:rStyle w:val="Text0"/>
        </w:rPr>
        <w:t/>
      </w:r>
      <w:r>
        <w:t xml:space="preserve"/>
      </w:r>
    </w:p>
    <w:p>
      <w:pPr>
        <w:pStyle w:val="Normal"/>
      </w:pPr>
      <w:r>
        <w:t>Nhưng “nhỏ” là một thuật ngữ tương đối—điều có vẻ như một bước nhỏ đối với bạn có thể giống như một bước nhảy khổng lồ đối với tôi, và ngược lại. Vì vậy đừng quá bận tâm về từ ngữ. Hơn nữa, điều này không liên quan đến phạm vi hay tầm quan trọng của những thay đổi mà cuối cùng bạn thực hiện. Thay đổi quy mô lớn được xây dựng từ những bước nhỏ hướng tới một ý tưởng lớn. Vì vậy, trong khi các bước trong một thử nghiệm có thể nhỏ, các mục tiêu thì không. Ismail, một doanh nhân 50 tuổi thành đạt và là CEO của một công ty dịch vụ kỹ thuật, đã mô tả mục tiêu cho thử nghiệm đầu tiên của mình như sau: “Tái cấu trúc công ty của tôi và vai trò của tôi trong đó.” Chẳng có gì nhỏ bé về điều đó. Anh cảm thấy mình đang thiếu một cảm giác về mục đích.</w:t>
      </w:r>
    </w:p>
    <w:p>
      <w:pPr>
        <w:pStyle w:val="Normal"/>
      </w:pPr>
      <w:r>
        <w:bookmarkStart w:id="142" w:name="Ismail"/>
        <w:t>Ismail đã thiết kế các bước thực tế cho phép anh tiến tới mục tiêu lớn của mình theo thời gian. Các thử nghiệm đầu tiên của anh nhỏ và có thể đạt được. Anh giới thiệu một phương pháp mới mà cả đồng nghiệp và vợ anh đều có thể dùng để liên lạc với anh. Anh bắt đầu dành thời gian bất khả xâm phạm cho gia đình và nhà thờ. Khi tìm cách giải phóng thêm thời gian, anh khởi xướng các thử nghiệm ủy quyền có tác dụng làm phẳng cấu trúc tổ chức của công ty. Những chiến thắng nhỏ này lan tỏa qua nhiều lĩnh vực, và cuối cùng anh thực sự đã chuyển đổi công ty và vai trò của chính mình trong đó. Khi tôi nói chuyện với anh 18 tháng sau khi anh bắt đầu, anh thừa nhận rằng anh đã gặp khó khăn trong việc đối phó với việc mất quyền kiểm soát các vấn đề kinh doanh mang tính chiến thuật, nhưng anh mô tả các thử nghiệm của mình là “một minh chứng cho ý tưởng thắng các trận nhỏ và để cuộc chiến được thắng nhờ kết quả đó.” Cả anh và đội ngũ lãnh đạo của anh đều cảm thấy tự tin hơn về cấu trúc tổ chức mới của công ty.</w:t>
        <w:bookmarkEnd w:id="142"/>
        <w:t xml:space="preserve"/>
      </w:r>
    </w:p>
    <w:p>
      <w:pPr>
        <w:pStyle w:val="Para 055"/>
      </w:pPr>
      <w:r>
        <w:t>_____________________</w:t>
      </w:r>
    </w:p>
    <w:p>
      <w:pPr>
        <w:pStyle w:val="Normal"/>
      </w:pPr>
      <w:r>
        <w:t>Mọi người thử chương trình Total Leadership vì nhiều lý do khác nhau. Một số cảm thấy không trọn vẹn vì họ không làm điều mình yêu thích. Một số không cảm thấy chân thật vì họ không hành động theo các giá trị của mình. Những người khác cảm thấy mất kết nối, bị cô lập khỏi những người quan trọng với họ. Họ khao khát những mối quan hệ bền chặt hơn, được xây dựng trên sự tin tưởng, và mong mỏi những mạng lưới xã hội phong phú hơn. Một số khác chỉ đơn giản là đang mắc kẹt trong lối mòn. Họ muốn khai thác năng lượng sáng tạo của mình nhưng không biết cách (và đôi khi thiếu can đảm) để làm điều đó. Họ cảm thấy mất kiểm soát và không thể sắp xếp tất cả những gì quan trọng với họ.</w:t>
      </w:r>
    </w:p>
    <w:p>
      <w:pPr>
        <w:pStyle w:val="Normal"/>
      </w:pPr>
      <w:r>
        <w:t xml:space="preserve">Linh cảm của tôi là có nhiều chiến thắng bốn chiều dành cho bạn hơn bạn nghĩ. Chúng ở đó để bạn nắm lấy. Bạn phải biết cách tìm kiếm chúng và sau đó tìm sự hỗ trợ và nhiệt huyết để theo đuổi chúng. Bằng cách cung cấp một bản thiết kế cho cách bạn có thể sống thật, sống trọn vẹn và sáng tạo với tư cách là một nhà lãnh đạo trong mọi phần của cuộc sống, chương trình này giúp bạn thể hiện tốt hơn theo tiêu chuẩn của những người quan trọng nhất trong cuộc đời bạn; cảm thấy tốt hơn trong mọi lĩnh vực của cuộc sống; và thúc đẩy sự hài hòa lớn hơn giữa các lĩnh vực bằng cách tăng cường các nguồn lực sẵn có để bạn ghép tất cả các phần của cuộc sống lại với nhau. Bất kể bạn đang ở giai đoạn sự nghiệp hay vị trí hiện tại nào, bạn đều có thể trở thành một nhà lãnh đạo tốt hơn và có một cuộc sống phong phú hơn—nếu bạn sẵn sàng và mong muốn đón nhận thử thách.</w:t>
        <w:bookmarkStart w:id="143" w:name="and_4"/>
        <w:t/>
        <w:bookmarkEnd w:id="143"/>
        <w:t xml:space="preserve"/>
      </w:r>
    </w:p>
    <w:p>
      <w:pPr>
        <w:pStyle w:val="Para 046"/>
      </w:pPr>
      <w:r>
        <w:t>Xuất bản lần đầu vào tháng 4 năm 2008. Tái bản R0804H</w:t>
      </w:r>
      <w:r>
        <w:rPr>
          <w:rStyle w:val="Text2"/>
        </w:rPr>
        <w:t xml:space="preserve"/>
      </w:r>
      <w:r>
        <w:rPr>
          <w:rStyle w:val="Text9"/>
        </w:rPr>
        <w:t/>
      </w:r>
    </w:p>
    <w:p>
      <w:bookmarkStart w:id="144" w:name="Top_of_12_Reclaim_xhtml"/>
      <w:bookmarkStart w:id="145" w:name="Reclaim_Your_Job_by_Sumantra_Gho"/>
      <w:pPr>
        <w:pStyle w:val="Para 043"/>
        <w:pageBreakBefore w:val="on"/>
      </w:pPr>
      <w:r>
        <w:bookmarkStart w:id="146" w:name="Reclaim"/>
        <w:t>Giành lại công việc của bạn</w:t>
        <w:bookmarkEnd w:id="146"/>
        <w:t xml:space="preserve"/>
      </w:r>
      <w:bookmarkEnd w:id="144"/>
      <w:bookmarkEnd w:id="145"/>
    </w:p>
    <w:p>
      <w:pPr>
        <w:pStyle w:val="Para 045"/>
      </w:pPr>
      <w:r>
        <w:t>bởi Sumantra Ghoshal và Heike Bruch</w:t>
      </w:r>
    </w:p>
    <w:p>
      <w:pPr>
        <w:pStyle w:val="Normal"/>
      </w:pPr>
      <w:r>
        <w:rPr>
          <w:rStyle w:val="Text4"/>
        </w:rPr>
        <w:t>HỎI HẦU HẾT CÁC NHÀ QUẢN LÝ điều gì cản trở thành công trong công việc, và bạn sẽ nghe một loạt than phiền quen thuộc: Không đủ thời gian. Nguồn lực bị thu hẹp. Thiếu cơ hội. Khi nhìn kỹ hơn, bạn bắt đầu thấy rằng phần lớn đây chỉ là những lời bào chữa. Điều cản trở thành công của các nhà quản lý là một điều mang tính cá nhân hơn nhiều—một sự bất an sâu sắc về việc hành động theo phán đoán tốt nhất của chính họ. Thay vì làm những gì họ thực sự cần làm để thúc đẩy vận mệnh của công ty—và sự nghiệp của chính họ—họ lại mất thời gian làm những gì họ cho rằng mọi người khác muốn họ làm.</w:t>
      </w:r>
      <w:r>
        <w:t xml:space="preserve"/>
      </w:r>
    </w:p>
    <w:p>
      <w:pPr>
        <w:pStyle w:val="Normal"/>
      </w:pPr>
      <w:r>
        <w:t>Trong năm năm qua, chúng tôi đã nghiên cứu hàng trăm nhà quản lý khi họ thực hiện công việc hàng ngày trong nhiều bối cảnh khác nhau, bao gồm một hãng hàng không toàn cầu và một công ty dầu khí lớn của Hoa Kỳ. Như chúng tôi đã chứng minh trong “Hãy coi chừng nhà quản lý bận rộn” (HBR tháng 2 năm 2002), có tới 90% các nhà quản lý mà chúng tôi quan sát đã lãng phí thời gian và làm hao mòn năng suất của họ, dù có các dự án, mục tiêu được xác định rõ ràng và kiến thức cần thiết để hoàn thành công việc. Những nhà quản lý như vậy vẫn mắc kẹt trong sự kém hiệu quả vì họ đơn giản cho rằng họ không có đủ quyền tự quyết hoặc quyền kiểm soát cá nhân. Khả năng nắm bắt sáng kiến là phẩm chất thiết yếu nhất của bất kỳ nhà quản lý thực sự thành công nào.</w:t>
      </w:r>
    </w:p>
    <w:p>
      <w:pPr>
        <w:pStyle w:val="Normal"/>
      </w:pPr>
      <w:r>
        <w:t xml:space="preserve">Trong hầu hết các trường hợp, những yêu cầu mà các nhà quản lý chấp nhận như điều hiển nhiên thực ra có tính chất tùy ý. Chúng tôi đã nhiều lần đối mặt trong nghiên cứu của mình với một thực tế kỳ lạ nhưng phổ biến của đời sống doanh nghiệp: Hầu hết các nhà quản lý than phiền về việc có quá ít tự do trong công việc, trong khi sếp của họ than phiền về việc các nhà quản lý không nắm bắt cơ hội. Những nhà quản lý thực sự hiệu quả mà chúng tôi quan sát được là những người có mục đích rõ ràng, tin tưởng vào phán đoán của chính mình, và áp dụng tầm nhìn dài hạn, bao quát để hoàn thành các mục tiêu cá nhân phù hợp với mục tiêu của tổ chức nói chung. Họ thoát ra khỏi những chiếc hộp mà họ tự nhận thức, kiểm soát công việc của mình, và trở nên năng suất hơn bằng cách học cách làm những điều sau:</w:t>
        <w:bookmarkStart w:id="147" w:name="their"/>
        <w:t/>
        <w:bookmarkEnd w:id="147"/>
        <w:t xml:space="preserve"/>
      </w:r>
    </w:p>
    <w:p>
      <w:pPr>
        <w:pStyle w:val="Heading 2"/>
      </w:pPr>
      <w:r>
        <w:t>Quản lý các yêu cầu</w:t>
      </w:r>
    </w:p>
    <w:p>
      <w:pPr>
        <w:pStyle w:val="Normal"/>
      </w:pPr>
      <w:r>
        <w:t>Hầu hết các nhà quản lý cảm thấy bị choáng ngợp bởi các yêu cầu. Họ cho rằng doanh nghiệp sẽ ngừng hoạt động nếu không có họ và vì vậy để những yêu cầu công việc hàng ngày, dù thực hay tưởng tượng, lấn át phán đoán của chính họ. Các nhà quản lý hiệu quả chủ động kiểm soát nhiệm vụ của mình và kỳ vọng của các bên liên quan chính, điều này cho phép họ đạt được các mục tiêu chiến lược thay vì chỉ chữa cháy.</w:t>
      </w:r>
    </w:p>
    <w:p>
      <w:pPr>
        <w:pStyle w:val="Heading 2"/>
      </w:pPr>
      <w:r>
        <w:t>Tạo ra nguồn lực</w:t>
      </w:r>
    </w:p>
    <w:p>
      <w:pPr>
        <w:pStyle w:val="Normal"/>
      </w:pPr>
      <w:r>
        <w:t>Bằng cách tuân theo những gì họ tin là mệnh lệnh nghiêm ngặt từ cấp trên, nhiều nhà quản lý điển hình có xu hướng tập trung vào việc làm việc trong giới hạn ngân sách và nguồn lực—từ đó hình thành một tư duy bó hẹp, “không thể làm được”. Ngược lại, các nhà quản lý hiệu quả phát triển các chiến lược sáng tạo để vượt qua những giới hạn thực hoặc tưởng tượng. Họ vạch ra các con đường xung quanh ràng buộc bằng cách phát triển và hành động theo các chiến lược dài hạn, thực hiện các sự đánh đổi, và đôi khi phá vỡ quy tắc để đạt được mục tiêu của mình.</w:t>
      </w:r>
    </w:p>
    <w:p>
      <w:pPr>
        <w:pStyle w:val="Heading 2"/>
      </w:pPr>
      <w:r>
        <w:t>Nhận diện và khai thác các lựa chọn thay thế</w:t>
      </w:r>
    </w:p>
    <w:p>
      <w:pPr>
        <w:pStyle w:val="Normal"/>
      </w:pPr>
      <w:r>
        <w:t>Các nhà quản lý trung bình không có đủ tầm nhìn về chiến lược kinh doanh tổng thể của công ty để đưa ra một quan điểm thay thế. Ngược lại, các nhà quản lý hiệu quả phát triển và sử dụng chuyên môn sâu về một lĩnh vực riêng lẻ ăn khớp với chiến lược của công ty. Chiến thuật này cho phép họ nghĩ ra nhiều cách tiếp cận sáng tạo khác nhau cho một tình huống nhất định.1</w:t>
      </w:r>
      <w:hyperlink w:anchor="1_3">
        <w:r>
          <w:rPr>
            <w:rStyle w:val="Text14"/>
          </w:rPr>
          <w:bookmarkStart w:id="148" w:name="1_2"/>
          <w:t/>
          <w:bookmarkEnd w:id="148"/>
        </w:r>
      </w:hyperlink>
    </w:p>
    <w:p>
      <w:pPr>
        <w:pStyle w:val="Normal"/>
      </w:pPr>
      <w:r>
        <w:t xml:space="preserve">Nói tóm lại, các nhà quản lý thực sự hiệu quả không hoạt động trong bối cảnh của các nhiệm vụ hay công việc riêng lẻ mà trong bối cảnh rộng lớn hơn nhiều của tổ chức và sự nghiệp của họ. Cách tiếp cận đó nghe có vẻ đơn giản, nhưng đôi khi khó thực hiện vì một số văn hóa tổ chức vốn đề cao “trao quyền” thực ra lại ngăn cản ý chí tự chủ của các nhà quản lý. Ví dụ, các công ty công nghệ cao trẻ tuổi đôi khi giữ các nhà quản lý của họ làm con tin cho sự hối hả điên cuồng, do đó cản trở việc theo đuổi các mục tiêu dài hạn một cách suy ngẫm và kiên trì. Các nền văn hóa khác—đặc biệt là của các tập đoàn lâu đời với hệ thống phân cấp chỉ huy và kiểm soát—có thể khuyến khích mọi người chấp nhận hiện trạng, bất kể mức độ rối loạn chức năng của tổ chức. Trong cả hai loại môi trường này, các nhà quản lý có xu hướng rơi vào trạng thái tâm lý phản ứng, cho rằng bất kỳ sáng kiến nào họ thể hiện sẽ bị phớt lờ hoặc không được khuyến khích.</w:t>
        <w:bookmarkStart w:id="149" w:name="tout"/>
        <w:t/>
        <w:bookmarkEnd w:id="149"/>
        <w:t xml:space="preserve"/>
      </w:r>
    </w:p>
    <w:p>
      <w:pPr>
        <w:pStyle w:val="Para 025"/>
      </w:pPr>
      <w:r>
        <w:t>Ý tưởng ngắn gọn</w:t>
      </w:r>
    </w:p>
    <w:p>
      <w:pPr>
        <w:pStyle w:val="Para 005"/>
      </w:pPr>
      <w:r>
        <w:t xml:space="preserve">90% các nhà quản lý lãng phí thời gian và làm hao mòn năng suất của mình vì phải vật lộn với danh sách dài vô tận những yêu cầu từ người khác. Tại sao? Chúng ta lầm tưởng rằng những yêu cầu đó là bắt buộc, và rằng chúng ta không có quyền tự quyết hay kiểm soát công việc của mình. Hậu quả? Chúng ta cứ mắc kẹt trong sự kém hiệu quả.</w:t>
      </w:r>
      <w:r>
        <w:rPr>
          <w:rStyle w:val="Text0"/>
        </w:rPr>
        <w:t/>
      </w:r>
      <w:r>
        <w:t/>
      </w:r>
    </w:p>
    <w:p>
      <w:pPr>
        <w:pStyle w:val="Para 005"/>
      </w:pPr>
      <w:r>
        <w:t>Nhưng chúng ta có thể thoát khỏi cái bẫy này—nếu chúng ta học cách nắm bắt cơ hội, tin vào phán đoán của chính mình, và hoàn thành một cách có phương pháp những mục tiêu cá nhân phù hợp với mục tiêu của tổ chức. Chìa khóa là gì? Đặt ra thứ tự ưu tiên—rồi bám sát chúng, tập trung vào những nỗ lực hỗ trợ cho các ưu tiên đó. Vượt qua những hạn chế về nguồn lực bằng cách tấn công mục tiêu một cách có chiến lược, chứng minh thành công ở từng bước. Và phát triển một loạt phương án thay thế để dùng khi kế hoạch A thất bại.</w:t>
      </w:r>
    </w:p>
    <w:p>
      <w:pPr>
        <w:pStyle w:val="Para 005"/>
      </w:pPr>
      <w:r>
        <w:t>Tất cả chúng ta đều muốn tạo ra sự khác biệt trong tổ chức của mình, cũng như xây dựng sự nghiệp thỏa mãn. Bằng cách hiểu cách chúng ta tự kìm hãm bản thân và hành động có chủ đích, có chiến lược, chúng ta có thể giành quyền kiểm soát công việc của mình—thay vì để công việc điều khiển chúng ta. Phần thưởng? Kết quả ấn tượng cho công ty và cuộc sống công việc đáng giá cho chính chúng ta.</w:t>
      </w:r>
    </w:p>
    <w:p>
      <w:pPr>
        <w:pStyle w:val="Normal"/>
      </w:pPr>
      <w:r>
        <w:t>Tuy nhiên, trong hầu hết các trường hợp, không phải môi trường ngăn cản các nhà quản lý hành động có chủ đích. Mà chính là bản thân các nhà quản lý. Chúng tôi nhận thấy rằng các nhà quản lý có thể học cách phát huy tiềm năng của chính mình và tạo ra sự khác biệt. Đây là cách làm.</w:t>
      </w:r>
    </w:p>
    <w:p>
      <w:pPr>
        <w:pStyle w:val="Heading 1"/>
      </w:pPr>
      <w:r>
        <w:t>Đối phó với các yêu cầu</w:t>
      </w:r>
    </w:p>
    <w:p>
      <w:pPr>
        <w:pStyle w:val="Normal"/>
      </w:pPr>
      <w:r>
        <w:t>Hầu như ai cũng than phiền về việc không có đủ thời gian để xử lý mọi yêu cầu dồn lên mình, nhưng thực ra, một ngày bị chia cắt quá mức</w:t>
      </w:r>
    </w:p>
    <w:p>
      <w:pPr>
        <w:pStyle w:val="Normal"/>
      </w:pPr>
      <w:r>
        <w:bookmarkStart w:id="150" w:name="day"/>
        <w:t>cũng là một ngày rất lười biếng. Có vẻ dễ hơn khi chạy đi dập lửa thay vì đặt ra ưu tiên và bám sát chúng. Sự thật là những nhà quản lý biết đặt ranh giới và ưu tiên rõ ràng đạt được nhiều hơn hẳn những người chỉ biết bận rộn.</w:t>
        <w:bookmarkEnd w:id="150"/>
        <w:t xml:space="preserve"/>
      </w:r>
    </w:p>
    <w:p>
      <w:pPr>
        <w:pStyle w:val="Normal"/>
      </w:pPr>
      <w:r>
        <w:t xml:space="preserve">Để bỏ thói quen bận rộn, các nhà quản lý phải vượt qua ham muốn tâm lý muốn mình trở nên không thể thiếu. Vì công việc của họ mang tính tương tác và phụ thuộc lẫn nhau, hầu hết các nhà quản lý cảm thấy thăng hoa nhờ cảm giác mình quan trọng với người khác. Khi không lo lắng về việc đáp ứng kỳ vọng của cấp trên (hay khách hàng), họ lại băn khoăn về cấp dưới trực tiếp, thường trở thành nạn nhân của ngụy biện phổ biến rằng sếp giỏi luôn sẵn sàng phục vụ mọi lúc. Ban đầu, các nhà quản lý—đặc biệt là người mới—dường như thăng hoa nhờ tất cả sự đòi hỏi thời gian này; càng bận rộn, họ càng cảm thấy mình có giá trị. Nhưng chắc chắn rồi, mọi thứ bắt đầu tuột dốc. Cuối cùng, nhiều nhà quản lý đơn giản là kiệt sức và thất bại, không chỉ vì họ có ít thời gian để theo đuổi chương trình nghị sự của riêng mình mà còn vì khi cố làm hài lòng tất cả mọi người, họ thường kết thúc bằng việc chẳng làm ai hài lòng.</w:t>
        <w:bookmarkStart w:id="151" w:name="always"/>
        <w:t/>
        <w:bookmarkEnd w:id="151"/>
        <w:t xml:space="preserve"/>
      </w:r>
    </w:p>
    <w:p>
      <w:pPr>
        <w:pStyle w:val="Para 025"/>
      </w:pPr>
      <w:r>
        <w:t>Ý tưởng trong thực hành</w:t>
      </w:r>
    </w:p>
    <w:p>
      <w:pPr>
        <w:pStyle w:val="Para 005"/>
      </w:pPr>
      <w:r>
        <w:t>Để giành lại công việc của bạn và hỗ trợ tốt hơn cho các ưu tiên của công ty, hãy áp dụng ba chiến lược.</w:t>
      </w:r>
    </w:p>
    <w:p>
      <w:pPr>
        <w:pStyle w:val="Para 017"/>
      </w:pPr>
      <w:r>
        <w:t>Ưu tiên hóa các yêu cầu</w:t>
      </w:r>
    </w:p>
    <w:p>
      <w:pPr>
        <w:pStyle w:val="Para 005"/>
      </w:pPr>
      <w:r>
        <w:t xml:space="preserve">Để đạt được mục tiêu cá nhân và tổ chức một cách nhanh chóng, hãy chậm lại và tập trung thời gian cùng sự chú ý của bạn.</w:t>
      </w:r>
      <w:r>
        <w:rPr>
          <w:rStyle w:val="Text0"/>
        </w:rPr>
        <w:t/>
      </w:r>
      <w:r>
        <w:t xml:space="preserve"/>
      </w:r>
    </w:p>
    <w:p>
      <w:pPr>
        <w:pStyle w:val="Para 030"/>
      </w:pPr>
      <w:r>
        <w:rPr>
          <w:rStyle w:val="Text8"/>
        </w:rPr>
        <w:t>Ví dụ: Jessica Spungin, phó giám đốc cấp cao (associate principal) tại McKinsey, đã nhận quá nhiều dự án ít liên quan đến kỹ năng và sở thích của mình. Kết quả? Các nhóm dự án của cô đánh giá cô đứng thứ hai từ dưới lên trong số các đồng nghiệp.</w:t>
      </w:r>
      <w:r>
        <w:t xml:space="preserve"/>
      </w:r>
    </w:p>
    <w:p>
      <w:pPr>
        <w:pStyle w:val="Para 030"/>
      </w:pPr>
      <w:r>
        <w:t>Nhận ra rằng ham muốn trở nên không thể thiếu của mình bắt nguồn từ sự thiếu tự tin, Spungin đã thực hiện các bước để quản lý các yêu cầu. Cô làm rõ mục tiêu của mình: trở thành đối tác (partner). Sau đó, cô đặt ra các ưu tiên dài hạn hỗ trợ mục tiêu đó. Cô bắt đầu tự quản lý sự phát triển của mình; ví dụ, chọn những nhiệm vụ khiến cô hứng thú nhất. Và cô bắt đầu sắp xếp thời gian của mình, chỉ gặp gỡ những người thực sự cần cô và làm các dự án dài hạn vào những tháng cô ít đi công tác.</w:t>
      </w:r>
    </w:p>
    <w:p>
      <w:pPr>
        <w:pStyle w:val="Para 030"/>
      </w:pPr>
      <w:r>
        <w:t>Phần thưởng của cô? Cô đứng thứ hai từ trên xuống trong nhóm đồng cấp—và được bổ nhiệm làm đối tác của McKinsey.</w:t>
      </w:r>
    </w:p>
    <w:p>
      <w:pPr>
        <w:pStyle w:val="Para 017"/>
      </w:pPr>
      <w:r>
        <w:t>Giải phóng nguồn lực</w:t>
      </w:r>
    </w:p>
    <w:p>
      <w:pPr>
        <w:pStyle w:val="Para 005"/>
      </w:pPr>
      <w:r>
        <w:t>Để nới lỏng các hạn chế về nguồn lực và giành được sự ủng hộ bạn muốn, hãy tấn công mục tiêu một cách có chiến lược. Hãy kiên nhẫn. Quá trình này có thể mất nhiều năm.</w:t>
      </w:r>
    </w:p>
    <w:p>
      <w:pPr>
        <w:pStyle w:val="Para 030"/>
      </w:pPr>
      <w:r>
        <w:rPr>
          <w:rStyle w:val="Text8"/>
        </w:rPr>
        <w:t>Ví dụ: Với tư cách là người đứng đầu mới của bộ phận phát triển nhân sự tại hãng hàng không Lufthansa, Thomas Sattelberger mơ ước thành lập trường kinh doanh doanh nghiệp đầu tiên của Đức. Biết rằng mình cần vài năm để xây dựng uy tín, trước tiên ông cải tổ các quy trình nhân sự kém hiệu quả. Sau đó, ông phát triển các sáng kiến hỗ trợ cho trường, gây quỹ cho các dự án này bằng cách trình bày các dữ kiện và lập luận thuyết phục trước các đồng cấp và CEO.</w:t>
      </w:r>
      <w:r>
        <w:t xml:space="preserve"/>
      </w:r>
    </w:p>
    <w:p>
      <w:pPr>
        <w:pStyle w:val="Para 030"/>
      </w:pPr>
      <w:r>
        <w:t>Sau bốn năm làm việc có phương pháp của Sattelberger, CEO và hội đồng quản trị của Lufthansa đã hiểu cách các chương trình của ông kết hợp với nhau. Khi ông viết một bản ghi nhớ cho các giám đốc yêu cầu thành lập trường trước khi Daimler-Benz có thể vượt mặt Lufthansa, hội đồng quản trị đã nhanh chóng phê duyệt yêu cầu.</w:t>
      </w:r>
    </w:p>
    <w:p>
      <w:pPr>
        <w:pStyle w:val="Para 017"/>
      </w:pPr>
      <w:r>
        <w:t>Khai thác các phương án thay thế</w:t>
      </w:r>
    </w:p>
    <w:p>
      <w:pPr>
        <w:pStyle w:val="Para 005"/>
      </w:pPr>
      <w:r>
        <w:t xml:space="preserve">Hãy dùng chuyên môn của bạn để dự đoán—và vượt qua—những trở ngại có thể xảy ra đối với mục tiêu của bạn. Bạn sẽ mở rộng phạm vi cơ hội cho công ty và chính mình.</w:t>
      </w:r>
      <w:r>
        <w:rPr>
          <w:rStyle w:val="Text0"/>
        </w:rPr>
        <w:t/>
      </w:r>
      <w:r>
        <w:t xml:space="preserve"/>
      </w:r>
    </w:p>
    <w:p>
      <w:pPr>
        <w:pStyle w:val="Para 030"/>
      </w:pPr>
      <w:r>
        <w:rPr>
          <w:rStyle w:val="Text8"/>
        </w:rPr>
        <w:t>Ví dụ: Dan Andersson, một nhà quản lý tại công ty lọc dầu Conoco-Phillips, là thành viên của một nhóm khảo sát việc Conoco thâm nhập thị trường Phần Lan. Conoco quyết định lưu trữ xăng trong các bồn chứa ở Phần Lan mà Shell đã bỏ hoang. Nhưng Andersson đã phát triển các kế hoạch dự phòng. Ví dụ, kế hoạch B liên quan đến việc xây dựng một cơ sở mới.</w:t>
      </w:r>
      <w:r>
        <w:t xml:space="preserve"/>
      </w:r>
    </w:p>
    <w:p>
      <w:pPr>
        <w:pStyle w:val="Para 030"/>
      </w:pPr>
      <w:r>
        <w:t>Những nỗ lực của anh đã được đền đáp. Khi nghiên cứu cho thấy các bồn chứa bỏ hoang không phù hợp để lưu trữ xăng, Andersson đã kích hoạt kế hoạch B. Dù địa điểm mục tiêu cho cơ sở mới bị ô nhiễm, Andersson phát hiện ra rằng Shell chịu trách nhiệm làm sạch địa điểm đó. Sau khi việc dọn dẹp kết thúc, Conoco đã xây dựng các bồn chứa.</w:t>
      </w:r>
    </w:p>
    <w:p>
      <w:pPr>
        <w:pStyle w:val="Para 030"/>
      </w:pPr>
      <w:r>
        <w:t>Conoco trở thành nhà vận hành hiệu quả nhất các trạm xăng tự phục vụ tự động tại Phần Lan. Andersson hiện đứng đầu bộ phận phát triển bán lẻ của Conoco tại châu Âu.</w:t>
      </w:r>
    </w:p>
    <w:p>
      <w:pPr>
        <w:pStyle w:val="Normal"/>
      </w:pPr>
      <w:r>
        <w:t xml:space="preserve">Jessica Spungin thấy mình mắc vào cái bẫy này khi được thăng chức lên phó giám đốc cấp cao tại văn phòng London của McKinsey. Ở vị trí AP, một nhà tư vấn được kỳ vọng đảm nhận nhiều trách nhiệm hơn của nhóm đối tác, xoay xở nhiều dự án cùng lúc, làm trưởng nhóm, và đóng vai trò tích cực trong đời sống văn phòng. Spungin lao đầu vào tất cả các nhiệm vụ này. Trong khi đang xử lý hai dự án khách hàng lớn, cô được yêu cầu đồng lãnh đạo tuyển dụng cho các trường đại học và trường kinh doanh ở Anh, tham gia một sáng kiến nghiên cứu nội bộ, làm huấn luyện viên cấp cao cho sáu nhà phân tích kinh doanh, tổ chức một bữa tiệc văn phòng cho 750 người, tham gia đào tạo nội bộ, và hỗ trợ một dự án mới cho một công ty chăm sóc sức khỏe.</w:t>
        <w:bookmarkStart w:id="152" w:name="partnership"/>
        <w:t/>
        <w:bookmarkEnd w:id="152"/>
        <w:t xml:space="preserve"/>
      </w:r>
    </w:p>
    <w:p>
      <w:pPr>
        <w:pStyle w:val="Normal"/>
      </w:pPr>
      <w:r>
        <w:t>Trong vòng phản hồi đầu tiên từ ba nhóm dự án mà cô giám sát, cô bị đánh giá đứng thứ hai từ dưới lên trong số các đồng nghiệp. Spungin nhận ra rằng ham muốn trở nên không thể thiếu của mình bắt nguồn từ sự thiếu tự tin. “Tôi chưa bao giờ nói không với mọi người vì sợ họ nghĩ tôi không thể đảm đương nổi. Tôi chưa bao giờ nói không với khách hàng muốn tôi có mặt tại một cuộc họp,” cô nói với chúng tôi. “Tôi làm những gì tôi nghĩ là được kỳ vọng—bất kể điều tôi giỏi, điều gì quan trọng, hay điều tôi có thể làm được về mặt thể chất.”</w:t>
      </w:r>
    </w:p>
    <w:p>
      <w:pPr>
        <w:pStyle w:val="Normal"/>
      </w:pPr>
      <w:r>
        <w:t>Bước đầu tiên trong quá trình chuyển đổi của Spungin từ một nhà quản lý bận rộn thành một nhà quản lý hiệu quả là phát triển một tầm nhìn về điều cô thực sự muốn đạt được tại McKinsey: được bổ nhiệm làm đối tác. Khi xây dựng một hình ảnh tinh thần rõ ràng về bản thân trong vai trò đó, cô đã từ bỏ thói quen suy nghĩ trong khoảng thời gian ngắn từ ba đến sáu tháng để chuyển sang suy nghĩ trong khoảng thời gian chiến lược từ một đến năm năm.</w:t>
      </w:r>
    </w:p>
    <w:p>
      <w:pPr>
        <w:pStyle w:val="Normal"/>
      </w:pPr>
      <w:r>
        <w:t>Việc lập kế hoạch dài hạn hơn này cho phép Spungin phát triển một bộ mục tiêu và ưu tiên dài hạn. Chẳng bao lâu, cô đã kiểm soát được sự phát triển của chính mình. Ví dụ, Spungin thấy rõ rằng ngân hàng doanh nghiệp—lĩnh vực mà các đồng nghiệp tin là chuyên môn của cô dựa trên kinh nghiệm quá khứ—không thực sự khiến cô hứng thú, dù cô đã nhận hết dự án ngân hàng này đến dự án ngân hàng khác. Thay vào đó, cô quyết định chuyển trọng tâm sang mảng thực hành tổ chức, thứ cô thực sự yêu thích. (McKinsey, giống như nhiều công ty, cho phép các nhà tư vấn của mình sự linh hoạt đáng kể trong việc chọn nhiệm vụ, nhưng hầu hết các nhà quản lý không tận dụng cơ hội này.) Bằng cách xác lập một chương trình nghị sự cá nhân và tích hợp các trách nhiệm ngắn hạn, trung hạn và dài hạn vào kế hoạch tổng thể rộng lớn hơn của mình, Spungin cảm thấy có động lực và hứng thú với công việc hơn nhiều so với khi cô chỉ đơn thuần phản ứng với các yêu cầu hàng ngày.</w:t>
      </w:r>
    </w:p>
    <w:p>
      <w:pPr>
        <w:pStyle w:val="Normal"/>
      </w:pPr>
      <w:r>
        <w:bookmarkStart w:id="153" w:name="Finally"/>
        <w:t>Cuối cùng, Spungin làm chủ thời gian của mình. Cô nhận ra rằng cố gắng sẵn sàng cho tất cả mọi người khiến cô không thể tiếp cận được với những người thực sự cần cô. Cô bắt đầu ưu tiên thời gian dành cho khách hàng và các thành viên trong nhóm. Với sự giúp đỡ của trợ lý cá nhân, cô tinh gọn công việc của mình. Trước đây, trợ lý của cô sắp xếp các cuộc họp một cách tùy tiện. Giờ đây, Spungin chủ động điều khiển lịch, để cô có thể quyết định cuộc họp nào cô cần tham dự. Cô bắt đầu nhận ra các mô hình cường độ công việc theo thời điểm trong năm; ví dụ, cô ít đi công tác vào mùa thu, nên Spungin dành ra nửa ngày mỗi tuần để làm các dự án dài hạn vào thời điểm đó. Cuối cùng, Spungin nhận ra sự nghịch lý của quản lý hiệu quả: Để nhanh chóng đạt được các mục tiêu quan trọng, cô phải chậm lại và nắm quyền kiểm soát. Trước sự ngạc nhiên của cô, những người báo cáo cho cô, cũng như cấp trên và khách hàng của cô, đều phản hồi tích cực khi cô nói không.</w:t>
        <w:bookmarkEnd w:id="153"/>
        <w:t xml:space="preserve"/>
      </w:r>
    </w:p>
    <w:p>
      <w:pPr>
        <w:pStyle w:val="Normal"/>
      </w:pPr>
      <w:r>
        <w:t>Spungin đã phản hồi và định hình các yêu cầu mà cô chọn đáp ứng tốt hơn nhiều khi cô ngừng cố làm hài lòng tất cả mọi người. Cô trở nên chủ động hơn—đưa ra các mục tiêu và ý tưởng của riêng mình để tác động đến những gì người khác kỳ vọng ở cô. Bằng cách tập trung vào những yêu cầu quan trọng nhất, cô đã vượt xa kỳ vọng. Một năm sau khi bị xếp hạng gần cuối trong nhóm đồng cấp, cô đã vươn lên vị trí gần đầu. Tháng 6 năm 2003, Spungin được bổ nhiệm làm cộng sự (partner) của McKinsey.</w:t>
      </w:r>
    </w:p>
    <w:p>
      <w:pPr>
        <w:pStyle w:val="Heading 1"/>
      </w:pPr>
      <w:r>
        <w:t>Phát triển nguồn lực</w:t>
      </w:r>
    </w:p>
    <w:p>
      <w:pPr>
        <w:pStyle w:val="Normal"/>
      </w:pPr>
      <w:r>
        <w:t>Ngoài việc thiếu thời gian, nhiều nhà quản lý còn than phiền về việc thiếu người, thiếu tiền, thiếu thiết bị, và thừa mứa các quy tắc, quy định. Họ phải vật lộn với nguồn lực hạn chế. Trong khi một số người cảm thấy bế tắc và cứ đâm đầu vào tường một cách vô ích, những người khác thì bỏ cuộc. Ngược lại, những nhà quản lý xây dựng được chiến lược dài hạn và theo đuổi mục tiêu một cách chậm rãi, kiên định và có tính toán có thể cuối cùng giành được sự hậu thuẫn mà họ mong muốn.</w:t>
      </w:r>
    </w:p>
    <w:p>
      <w:pPr>
        <w:pStyle w:val="Normal"/>
      </w:pPr>
      <w:r>
        <w:t xml:space="preserve">Thomas Sattelberger đã đối mặt với đủ loại ràng buộc bất khả thi vào năm 1994 khi ông rời Daimler-Benz để gia nhập Lufthansa với vị trí trưởng bộ phận quản trị doanh nghiệp và phát triển nguồn nhân lực. Vào thời điểm đó, Lufthansa đang ở giữa một chương trình cắt giảm chi phí chiến lược, yêu cầu mỗi đơn vị phải giảm tổng chi tiêu 4% mỗi năm trong năm năm tiếp theo. Nhân viên thường diễn giải chỉ thị cắt giảm chi phí này có nghĩa là việc đầu tư vào bất cứ thứ gì ngoài những thứ cần thiết để duy trì hoạt động cơ bản đều bị cấm. Thêm vào đó, các quy trình nhân sự của Lufthansa là một mớ hỗn độn; phản hồi cho các yêu cầu thường lệ đôi khi mất hàng tháng trời, và các hợp đồng thường xuyên có lỗi đánh máy. Những vấn đề vận hành kiểu này đã tồn tại trong bộ phận nhiều năm.</w:t>
        <w:bookmarkStart w:id="154" w:name="for"/>
        <w:t/>
        <w:bookmarkEnd w:id="154"/>
        <w:t xml:space="preserve"/>
      </w:r>
    </w:p>
    <w:p>
      <w:pPr>
        <w:pStyle w:val="Normal"/>
      </w:pPr>
      <w:r>
        <w:t>Đối với hầu hết các nhà quản lý ở vị trí của Sattelberger, các mục tiêu hẳn sẽ rất đơn giản: Đưa bộ phận nhân sự hoạt động ở mức chấp nhận được mà không tăng chi phí, đảm bảo nó không tụt hậu, và nhận lương đều đặn. Nhưng Sattelberger có khát vọng cao hơn nhiều. Ông đến Lufthansa với giấc mơ xây dựng tổ chức nhân sự doanh nghiệp tiến bộ nhất nước Đức, tổ chức sẽ giúp chuyển đổi công ty từng do nhà nước vận hành này thành một hãng hàng không đẳng cấp thế giới. Cụ thể, ông hình dung việc thành lập trường đại học doanh nghiệp đầu tiên của Đức, Lufthansa School of Business, một mô hình vượt xa các cách tiếp cận đào tạo và phát triển truyền thống. Trường đại học này sẽ thắt chặt mối liên kết giữa chiến lược với sự phát triển của tổ chức và cá nhân. Chương trình giảng dạy của trường, bao gồm các chương trình quản lý cấp bằng thạc sĩ và không cấp bằng, sẽ được thiết kế, vận hành và đánh giá bởi các học giả và lãnh đạo từ các công ty toàn cầu, để các nhà quản lý của Lufthansa có thể học hỏi từ những người giỏi nhất.</w:t>
      </w:r>
    </w:p>
    <w:p>
      <w:pPr>
        <w:pStyle w:val="Normal"/>
      </w:pPr>
      <w:r>
        <w:t>Khi theo đuổi giấc mơ của mình, Sattelberger đã chọn một cách tấn công có phương pháp, khôn khéo và kiên nhẫn. Đầu tiên, ông tạo ra một bản thiết kế tưởng tượng mô tả trường đại học của mình như một ngôi đền phát triển khả năng lãnh đạo. Ý tưởng kiến trúc này—ngôi đền được xây từng viên gạch và từng cây cột—đã giúp Sattelberger phát triển một kế hoạch triển khai chiến lược dài hạn. Ông lập luận rằng việc dọn dẹp các quy trình nhân sự cơ bản cũng giống như việc đặt nền móng. Khi hoàn thành điều đó, ông sẽ dựng lên một loạt các chương trình phát triển, mỗi chương trình đóng vai trò như một cây cột nâng đỡ “mái nhà” là chiến lược doanh nghiệp tổng thể của Lufthansa. Việc xem kế hoạch của mình như một bản thiết kế cũng giúp Sattelberger tách biệt những thứ “bắt buộc phải có” khỏi những thứ “nên có” và những thứ “có thể sống thiếu”, nhờ đó ông có thể tập trung vào những yếu tố quan trọng và khả thi nhất.</w:t>
      </w:r>
    </w:p>
    <w:p>
      <w:pPr>
        <w:pStyle w:val="Normal"/>
      </w:pPr>
      <w:r>
        <w:t xml:space="preserve">Sattelberger hiểu rằng ông phải linh hoạt và việc xây dựng ngôi đền của mình sẽ đòi hỏi nhiều năm làm việc có phương pháp. Ông không bao giờ nói về tầm nhìn của mình một cách tổng thể vì tổng chi phí của nó có thể sẽ khiến hầu hết các bên liên quan hoảng sợ. Thay vào đó, ông nhận được sự cam kết của họ cho từng dự án và chương trình riêng lẻ, rồi triển khai các sáng kiến theo trình tự.</w:t>
        <w:bookmarkStart w:id="155" w:name="spoke"/>
        <w:t/>
        <w:bookmarkEnd w:id="155"/>
        <w:t xml:space="preserve"/>
      </w:r>
    </w:p>
    <w:p>
      <w:pPr>
        <w:pStyle w:val="Normal"/>
      </w:pPr>
      <w:r>
        <w:t>Bước thứ hai là đặt nền móng mà ông đã hình dung. Trong vòng hai năm, Sattelberger đã tái cấu trúc các quy trình nhân sự để các yêu cầu được đáp ứng kịp thời và hoạt động trở nên hiệu quả hơn. Với tình trạng ảm đạm của các hệ thống nhân sự của Lufthansa, không ai nghĩ rằng Sattelberger có thể đáp ứng được kỳ vọng, chứ đừng nói đến việc vượt qua chúng. Ông đã khiến họ phải ngạc nhiên.</w:t>
      </w:r>
    </w:p>
    <w:p>
      <w:pPr>
        <w:pStyle w:val="Normal"/>
      </w:pPr>
      <w:r>
        <w:t>Tận dụng uy tín mới có được, ông tiếp tục bắt tay vào bước thứ ba: xây dựng từng cây cột riêng lẻ. Một dự án, Explorer 21, là một sáng kiến phát triển toàn diện trong đó các nhà quản lý sẽ học hỏi lẫn nhau. Một chương trình riêng biệt, ProTeam, được thiết kế cho các học viên quản lý. Và một chương trình quy mô lớn khác tập trung vào việc mô phỏng các thông lệ tốt nhất từ các công ty như General Electric, Citibank, Deutsche Bank, Daimler-Benz và SAS.</w:t>
      </w:r>
    </w:p>
    <w:p>
      <w:pPr>
        <w:pStyle w:val="Normal"/>
      </w:pPr>
      <w:r>
        <w:t>Giới hạn chi tiêu là một rào cản đáng kể. Sattelberger đã thuyết phục ban lãnh đạo cấp cao cho phép ông cho các công ty khác thuê một số phòng đào tạo để gây quỹ cho các dự án này, nhưng ông cần nhiều hơn thế. Ông hiểu rằng có giới hạn cho việc mình có thể thúc đẩy bao xa và nhanh đến mức nào: Nếu gây áp lực quá mạnh, phản ứng dữ dội sẽ xảy ra. Vì vậy, khi xin cấp vốn, Sattelberger đảm bảo mình chuẩn bị kỹ lưỡng hơn các đồng nghiệp về lập luận và dữ kiện. Khi người kiểm soát tài chính không bật đèn xanh cho ông, ông đã trình bày trực tiếp với Jürgen Weber, CEO. Weber đồng ý về nguyên tắc rằng dự án trường đại học doanh nghiệp là đáng giá, mặc dù cuộc trò chuyện không hề dễ dàng. “Vì Chúa, hãy làm đi,” cuối cùng ông nói với Sattelberger, “nhưng hãy làm cho đúng và bám sát ngân sách của anh.”</w:t>
      </w:r>
    </w:p>
    <w:p>
      <w:pPr>
        <w:pStyle w:val="Normal"/>
      </w:pPr>
      <w:r>
        <w:t xml:space="preserve">Weber và hội đồng quản trị cuối cùng bắt đầu thấy các chương trình phát triển của Sattelberger khớp với nhau như thế nào. Rồi vào tháng 3 năm 1998—khi biết rằng Daimler-Benz sắp vượt mặt Lufthansa với một trường đại học doanh nghiệp của riêng họ—Sattelberger đã thực hiện bước đi cuối cùng. Quyết tâm không để Daimler thắng thế, ông viết một bản ghi nhớ đề nghị thành lập Lufthansa School of Business gửi hội đồng quản trị. Họ phê duyệt yêu cầu ngay lập tức mà không chút do dự hay tranh luận, và Lufthansa đã khai trương trường đại học doanh nghiệp đầu tiên của châu Âu vào tháng sau đó.</w:t>
        <w:bookmarkStart w:id="156" w:name="hesitation"/>
        <w:t/>
        <w:bookmarkEnd w:id="156"/>
        <w:t xml:space="preserve"/>
      </w:r>
    </w:p>
    <w:p>
      <w:pPr>
        <w:pStyle w:val="Normal"/>
      </w:pPr>
      <w:r>
        <w:t>Toàn bộ quá trình cần có thời gian, thứ mà những nhà quản lý có mục đích, như chúng tôi đã trình bày trước đây, tự tạo ra cho mình. Sattelberger đã đương đầu với nhiều trở ngại và chấp nhận những sự trì hoãn đáng kể, thậm chí cả việc hủy bỏ các khía cạnh khác nhau trong sáng kiến của mình. Ông đã trì hoãn kế hoạch xây dựng trường đại học doanh nghiệp trong hai năm đầu để có thể tập trung hoàn toàn vào việc sắp xếp lại bộ phận nhân sự. Sau đó, một cách chậm rãi và từng bước, ông nỗ lực nới lỏng các ràng buộc về nguồn lực. Mặc dù khởi đầu với ít hơn nhiều so với kỳ vọng, ông không bao giờ để quyết tâm của mình phai nhạt. Lufthansa chưa bao giờ đo lường chính xác khoản hoàn vốn từ trường kinh doanh của mình, nhưng đánh giá chủ quan của ban lãnh đạo cấp cao là lợi nhuận thu được cao hơn nhiều so với khoản đầu tư.</w:t>
      </w:r>
    </w:p>
    <w:p>
      <w:pPr>
        <w:pStyle w:val="Heading 1"/>
      </w:pPr>
      <w:r>
        <w:t>Khai thác các phương án thay thế</w:t>
      </w:r>
    </w:p>
    <w:p>
      <w:pPr>
        <w:pStyle w:val="Normal"/>
      </w:pPr>
      <w:r>
        <w:t>Khi đưa ra quyết định hoặc theo đuổi các sáng kiến, các nhà quản lý cũng trở thành nạn nhân của cái bẫy lựa chọn chưa được khám phá. Cụ thể, họ hoặc không nhận ra rằng mình có các lựa chọn, hoặc không tận dụng những lựa chọn mà họ biết mình có. Vì các nhà quản lý phớt lờ quyền tự do hành động của mình, họ đã từ bỏ các lựa chọn của mình. Ngược lại, những người khởi xướng có mục đích lại mài giũa chuyên môn cá nhân, điều mang lại sự tự tin, tầm nhìn rộng về một lĩnh vực cụ thể và uy tín lớn hơn. Những nhà quản lý này phát triển khả năng nhìn thấy, nắm bắt và đấu tranh cho các cơ hội khi chúng xuất hiện.</w:t>
      </w:r>
    </w:p>
    <w:p>
      <w:pPr>
        <w:pStyle w:val="Normal"/>
      </w:pPr>
      <w:r>
        <w:t xml:space="preserve">Dan Andersson là một nhà quản lý cấp trung làm việc cho công ty lọc dầu ConocoPhillips tại Stockholm. Là người gốc Phần Lan, ông mang đến cho Conoco một tài sản quản lý quý giá: hiểu biết sâu sắc về thị trường Phần Lan. Kiến thức này cho phép ông truyền đạt thông tin về các điều kiện khu vực cụ thể cho các nhà quản lý cấp cao, những người không nói được ngôn ngữ địa phương hay hiểu các vấn đề kinh doanh của Phần Lan. Vì được giám đốc điều hành khu vực Bắc Âu của Conoco cố vấn, Andersson nhanh chóng nắm bắt được cách mà những yếu tố quản lý vô hình (managerial invisibles)—các quy tắc và chuẩn mực không chính thức, quy trình ra quyết định, mối quan hệ giữa các cá nhân và động lực xã hội—ảnh hưởng đến việc tiếp nhận các ý tưởng mới. Ông cảm nhận một cách trực giác cách trình bày một đề xuất sao cho đúng và mức độ mà mình có thể thúc đẩy tại một thời điểm cụ thể.</w:t>
        <w:bookmarkStart w:id="157" w:name="way"/>
        <w:t/>
        <w:bookmarkEnd w:id="157"/>
        <w:t xml:space="preserve"/>
      </w:r>
    </w:p>
    <w:p>
      <w:pPr>
        <w:pStyle w:val="Normal"/>
      </w:pPr>
      <w:r>
        <w:t>Andersson được phân công vào một nhóm có nhiệm vụ khám phá khả năng Conoco thâm nhập thị trường Phần Lan, điều này đồng nghĩa với việc phá vỡ thế độc quyền 50 năm trong khu vực. Nhiệm vụ đầu tiên là thiết lập các cơ sở lưu trữ tại Phần Lan, một dự án ước tính trị giá 1 triệu đô la cho phép Conoco nhập khẩu xăng dầu của chính mình. Sau nhiều tháng tìm kiếm ráo riết, nhóm cuối cùng đã tìm thấy một bến cảng chứa dầu hiện có, nằm ở thành phố Turku, mà Shell đã bỏ hoang từ nhiều thập kỷ trước. Được xây dựng vào những năm 1920, các bồn chứa cũ có vẻ sạch sẽ và sử dụng được. Nhóm Conoco nghĩ rằng đã tìm ra giải pháp. Tuy nhiên, trong thâm tâm, Andersson đã bắt đầu lên các kế hoạch dự phòng. Kế hoạch B là xây một cơ sở mới, kế hoạch C là thành lập liên doanh với một đối thủ cạnh tranh, và kế hoạch D là tìm một nhà đầu tư cho các bồn chứa.</w:t>
      </w:r>
    </w:p>
    <w:p>
      <w:pPr>
        <w:pStyle w:val="Normal"/>
      </w:pPr>
      <w:r>
        <w:t>Sau nhiều tháng đàm phán, các quan chức Turku đã phê duyệt việc Conoco thuê các bồn chứa cũ. Rồi cú điện thoại định mệnh từ phòng thí nghiệm của Conoco đến: Có quá nhiều carbon trong thép; các bồn chứa không phù hợp để lưu trữ xăng. Nếu không có cơ sở lưu trữ riêng, Conoco không thể thâm nhập thị trường Phần Lan. Không có cơ sở nào khác trong nước mà Conoco có thể mua. Từ bỏ dự án dường như là lựa chọn duy nhất. Mọi người trong nhóm đều bỏ cuộc, ngoại trừ Andersson, người đề xuất triển khai kế hoạch B.</w:t>
      </w:r>
    </w:p>
    <w:p>
      <w:pPr>
        <w:pStyle w:val="Normal"/>
      </w:pPr>
      <w:r>
        <w:t xml:space="preserve">Với sự hỗ trợ của chính quyền địa phương, ông đã thuyết phục nhóm lãnh đạo cấp cao của Conoco đến Phần Lan để thảo luận trực tiếp về khả năng Conoco tự xây bồn chứa tại địa điểm đó. Khi sếp của Andersson nhìn thấy khu đất và cảm nhận được cơ hội, ông trở nên hào hứng với cách tiếp cận xây mới hoàn toàn. Tuy nhiên, hóa ra khu đất lại bị ô nhiễm; việc làm sạch sẽ tốn hàng chục triệu euro. Dù vậy, Andersson vẫn kiên trì. Làm việc với các quan chức thành phố, ông phát hiện ra các hợp đồng gốc cho thấy rõ ràng Shell chịu trách nhiệm làm sạch khu đất. Sau khi việc làm sạch hoàn tất, Conoco bắt đầu xây dựng các bồn chứa mới. Khi con tàu Conoco đầu tiên cập cảng, ba năm sau khi dự án bắt đầu, đại diện thành phố, hàng trăm người xem, các đội truyền hình Phần Lan và ban lãnh đạo cấp cao của Conoco đã có mặt để ăn mừng. Ngày nay, Conoco là nhà vận hành hiệu quả nhất các trạm xăng tự phục vụ tự động tại Phần Lan.</w:t>
        <w:bookmarkStart w:id="158" w:name="celebrate"/>
        <w:t/>
        <w:bookmarkEnd w:id="158"/>
        <w:t xml:space="preserve"/>
      </w:r>
    </w:p>
    <w:p>
      <w:pPr>
        <w:pStyle w:val="Normal"/>
      </w:pPr>
      <w:r>
        <w:t>Là một nhà quản lý, lòng trung thành của Andersson không chỉ dành cho một công việc mà còn dành cho việc hoàn thành, bằng cách này hay cách khác, các mục tiêu chiến lược của công ty. Bằng cách quét môi trường để tìm các chướng ngại vật có thể xảy ra và tìm cách vượt qua chúng, ông đã có thể mở rộng phạm vi cơ hội của công ty mình và của chính mình. Ngày nay, ông chịu trách nhiệm phát triển mảng bán lẻ của ConocoPhillips tại châu Âu.</w:t>
      </w:r>
    </w:p>
    <w:p>
      <w:pPr>
        <w:pStyle w:val="Para 055"/>
      </w:pPr>
      <w:r>
        <w:t>_____________________</w:t>
      </w:r>
    </w:p>
    <w:p>
      <w:pPr>
        <w:pStyle w:val="Normal"/>
      </w:pPr>
      <w:r>
        <w:t>Thiên hướng hành động không phải là món quà đặc biệt của một số ít người. Hầu hết các nhà quản lý đều có thể phát triển năng lực này. Câu chuyện của Spungin cho thấy việc tập trung vào một mục tiêu dài hạn rõ ràng đã mở rộng tầm nhìn của cô như thế nào. Sattelberger và Andersson đã chống lại các giới hạn bằng những kế hoạch của riêng mình và cho công ty của họ thấy điều gì là khả thi.</w:t>
      </w:r>
    </w:p>
    <w:p>
      <w:pPr>
        <w:pStyle w:val="Normal"/>
      </w:pPr>
      <w:r>
        <w:t>Trong các nghiên cứu về các nhà quản lý, chúng tôi nhận thấy rằng sự khác biệt giữa những người chủ động hành động và những người không chủ động trở nên đặc biệt rõ ràng trong các giai đoạn thay đổi lớn, khi công việc quản lý trở nên tương đối hỗn loạn và phi cấu trúc. Những nhà quản lý lo lắng về việc tuân theo các kỳ vọng rõ ràng hoặc tưởng tượng của người khác sẽ phản ứng với sự thiếu cấu trúc bằng cách trở nên mất phương hướng và tê liệt. Ngược lại, những nhà quản lý hiệu quả nắm bắt cơ hội để mở rộng phạm vi công việc, mở rộng các lựa chọn và theo đuổi các mục tiêu đầy tham vọng.</w:t>
      </w:r>
    </w:p>
    <w:p>
      <w:pPr>
        <w:pStyle w:val="Normal"/>
      </w:pPr>
      <w:r>
        <w:t>Một khi các nhà quản lý làm chủ chương trình nghị sự của mình và cảm nhận được quyền tự do lựa chọn của bản thân, họ bắt đầu tận hưởng vai trò của mình. Họ bắt đầu tìm kiếm những tình huống vượt ra ngoài phạm vi của mình và thích thú nắm bắt các cơ hội khi chúng xuất hiện. Trên hết, những nhà quản lý hiệu quả có thiên hướng hành động không bị công việc điều khiển; mà ngược lại mới đúng.</w:t>
      </w:r>
    </w:p>
    <w:p>
      <w:pPr>
        <w:pStyle w:val="Para 046"/>
      </w:pPr>
      <w:r>
        <w:t>Xuất bản lần đầu tháng 3 năm 2004. Tái bản R0403B</w:t>
      </w:r>
      <w:r>
        <w:rPr>
          <w:rStyle w:val="Text2"/>
        </w:rPr>
        <w:t xml:space="preserve"/>
      </w:r>
      <w:r>
        <w:rPr>
          <w:rStyle w:val="Text9"/>
        </w:rPr>
        <w:t/>
      </w:r>
    </w:p>
    <w:p>
      <w:pPr>
        <w:pStyle w:val="Heading 2"/>
      </w:pPr>
      <w:r>
        <w:t>Ghi chú</w:t>
      </w:r>
    </w:p>
    <w:p>
      <w:pPr>
        <w:pStyle w:val="Para 078"/>
      </w:pPr>
      <w:hyperlink w:anchor="1_2">
        <w:r>
          <w:rPr>
            <w:rStyle w:val="Text1"/>
          </w:rPr>
          <w:bookmarkStart w:id="159" w:name="1_3"/>
          <w:t>1. Khung yêu cầu, ràng buộc và lựa chọn như một cách để suy nghĩ về công việc quản lý lần đầu tiên được đề xuất bởi Rosemary Stewart trong cuốn sách Managers and Their Jobs (Macmillan, 1967). Xem thêm Rosemary Stewart, Choices for the Manager (Prentice Hall, 1982).</w:t>
          <w:bookmarkEnd w:id="159"/>
        </w:r>
      </w:hyperlink>
      <w:r>
        <w:t xml:space="preserve"/>
      </w:r>
      <w:r>
        <w:rPr>
          <w:rStyle w:val="Text0"/>
        </w:rPr>
        <w:t/>
      </w:r>
      <w:r>
        <w:t xml:space="preserve"/>
      </w:r>
      <w:r>
        <w:rPr>
          <w:rStyle w:val="Text0"/>
        </w:rPr>
        <w:t/>
      </w:r>
      <w:r>
        <w:t xml:space="preserve"/>
      </w:r>
    </w:p>
    <w:p>
      <w:bookmarkStart w:id="160" w:name="Moments_of_Greatness_Entering_th"/>
      <w:bookmarkStart w:id="161" w:name="Top_of_13_Moments_xhtml"/>
      <w:pPr>
        <w:pStyle w:val="Para 043"/>
        <w:pageBreakBefore w:val="on"/>
      </w:pPr>
      <w:r>
        <w:bookmarkStart w:id="162" w:name="Moments"/>
        <w:t>Những khoảnh khắc xuất thần</w:t>
        <w:bookmarkEnd w:id="162"/>
        <w:t xml:space="preserve"/>
      </w:r>
      <w:bookmarkEnd w:id="160"/>
      <w:bookmarkEnd w:id="161"/>
    </w:p>
    <w:p>
      <w:pPr>
        <w:pStyle w:val="Para 106"/>
      </w:pPr>
      <w:r>
        <w:t>Bước vào trạng thái lãnh đạo cốt lõi. bởi Robert E. Quinn</w:t>
      </w:r>
      <w:r>
        <w:rPr>
          <w:rStyle w:val="Text13"/>
        </w:rPr>
        <w:t xml:space="preserve"/>
      </w:r>
    </w:p>
    <w:p>
      <w:pPr>
        <w:pStyle w:val="Normal"/>
      </w:pPr>
      <w:r>
        <w:rPr>
          <w:rStyle w:val="Text4"/>
        </w:rPr>
        <w:t>LÀ NHỮNG NHÀ LÃNH ĐẠO, đôi khi chúng ta thực sự “thăng hoa”, và đôi khi thì không. Tại sao lại như vậy? Điều gì tách biệt những giai đoạn xuất sắc khỏi những giai đoạn chỉ đơn thuần là đủ năng lực? Khi cố gắng nghiêng cán cân về phía sự xuất sắc, chúng ta cố gắng xác định các phẩm chất và hành vi của những nhà lãnh đạo vĩ đại để có thể tự phát triển chúng. Gần như tất cả các chương trình đào tạo doanh nghiệp và sách về lãnh đạo đều dựa trên giả định rằng chúng ta nên nghiên cứu hành vi của những người đã thành công và dạy mọi người noi theo họ.</w:t>
      </w:r>
      <w:r>
        <w:t xml:space="preserve"/>
      </w:r>
    </w:p>
    <w:p>
      <w:pPr>
        <w:pStyle w:val="Normal"/>
      </w:pPr>
      <w:r>
        <w:t xml:space="preserve">Nhưng các đồng nghiệp của tôi và tôi nhận thấy rằng khi các nhà lãnh đạo làm việc tốt nhất, họ không sao chép bất kỳ ai. Thay vào đó, họ dựa trên các giá trị và năng lực cốt lõi của chính mình—hoạt động trong một khung tâm trí đúng với bản thân họ nhưng, nghịch lý thay, lại không phải là trạng thái tồn tại bình thường của họ. Tôi gọi đó là trạng thái lãnh đạo cốt lõi (fundamental state of leadership). Đó là cách chúng ta lãnh đạo khi đối mặt với khủng hoảng và cuối cùng chọn cách tiến về phía trước. Hãy nghĩ lại một thời điểm bạn đối mặt với một thách thức lớn trong đời: một cơ hội thăng tiến, nguy cơ thất bại trong sự nghiệp, một căn bệnh nghiêm trọng, một cuộc ly hôn, cái chết của người thân, hay bất kỳ cú sốc lớn nào khác. Rất có thể, nếu bạn đưa ra quyết định không phải để đáp ứng kỳ vọng của người khác mà để phù hợp với điều bạn hiểu theo bản năng là đúng—nói cách khác, nếu bạn ở trạng thái tốt nhất của mình—bạn đã vươn lên đối mặt với thử thách vì bạn đang bị thử thách.</w:t>
      </w:r>
      <w:r>
        <w:rPr>
          <w:rStyle w:val="Text0"/>
        </w:rPr>
        <w:t/>
      </w:r>
      <w:r>
        <w:t/>
      </w:r>
    </w:p>
    <w:p>
      <w:pPr>
        <w:pStyle w:val="Normal"/>
      </w:pPr>
      <w:r>
        <w:bookmarkStart w:id="163" w:name="Is"/>
        <w:t>Liệu có thể bước vào trạng thái lãnh đạo cốt lõi (fundamental state of leadership) mà không cần khủng hoảng không? Trong quá trình huấn luyện các nhà điều hành doanh nghiệp, tôi nhận ra rằng chỉ cần tự hỏi—và trả lời một cách trung thực—bốn câu hỏi, chúng ta có thể chuyển mình bất cứ lúc nào. Đó là một trạng thái tạm thời. Mệt mỏi và sự phản kháng từ bên ngoài sẽ kéo chúng ta ra khỏi nó. Nhưng mỗi lần chạm tới trạng thái ấy, chúng ta quay về với con người thường ngày của mình với năng lực nhỉnh hơn một chút, và thường thì chúng ta cũng nâng tầm hiệu suất của những người xung quanh. Theo thời gian, tất cả chúng ta đều có thể trở thành những nhà lãnh đạo hiệu quả hơn bằng cách chủ động chọn bước vào trạng thái lãnh đạo cốt lõi thay vì chờ khủng hoảng ép mình vào đó.</w:t>
        <w:bookmarkEnd w:id="163"/>
        <w:t xml:space="preserve"/>
      </w:r>
    </w:p>
    <w:p>
      <w:pPr>
        <w:pStyle w:val="Heading 1"/>
      </w:pPr>
      <w:r>
        <w:t>Định nghĩa trạng thái cốt lõi</w:t>
      </w:r>
    </w:p>
    <w:p>
      <w:pPr>
        <w:pStyle w:val="Normal"/>
      </w:pPr>
      <w:r>
        <w:t>Ngay cả những người được nhiều người ngưỡng mộ vì kỹ năng lãnh đạo có vẻ nhẹ nhàng và tự nhiên—tổng thống, thủ tướng, CEO—cũng không thường xuyên hoạt động trong trạng thái lãnh đạo cốt lõi. Phần lớn thời gian, họ ở trạng thái bình thường—một điều kiện lành mạnh và thậm chí cần thiết trong nhiều hoàn cảnh, nhưng không phải là điều kiện thuận lợi để đối phó với khủng hoảng. Ở trạng thái bình thường, người ta có xu hướng ở trong vùng an toàn của mình và để các lực lượng bên ngoài chi phối hành vi và quyết định. Họ đánh mất ảnh hưởng về mặt đạo đức và thường dựa vào lập luận lý trí cùng việc sử dụng quyền lực để tạo ra thay đổi. Người khác tuân theo những gì các nhà lãnh đạo này yêu cầu vì sợ hãi, nhưng kết quả thường thiếu sáng tạo và chỉ là những bước tiến nhỏ giọt—và phần lớn chỉ tái tạo những gì đã tồn tại.</w:t>
      </w:r>
    </w:p>
    <w:p>
      <w:pPr>
        <w:pStyle w:val="Normal"/>
      </w:pPr>
      <w:r>
        <w:t>Để nâng tầm hiệu suất của người khác, chúng ta phải nâng chính mình lên trạng thái lãnh đạo cốt lõi. Để đạt được điều đó cần có sự dịch chuyển trên bốn khía cạnh. (Xem hình minh họa “Có trạng thái bình thường, và có trạng thái cốt lõi.”)</w:t>
      </w:r>
      <w:hyperlink w:anchor="There_s">
        <w:r>
          <w:rPr>
            <w:rStyle w:val="Text1"/>
          </w:rPr>
          <w:t/>
        </w:r>
      </w:hyperlink>
      <w:r>
        <w:t/>
      </w:r>
    </w:p>
    <w:p>
      <w:pPr>
        <w:pStyle w:val="Normal"/>
      </w:pPr>
      <w:r>
        <w:t xml:space="preserve">Thứ nhất, chúng ta chuyển từ việc lấy sự thoải mái làm trung tâm sang lấy kết quả làm trung tâm. Cái trước mang lại cảm giác an toàn nhưng cuối cùng dẫn đến cảm giác mòn mỏi và vô nghĩa. Trong cuốn sách The Path of Least Resistance, Robert Fritz đã giải thích cặn kẽ cách mà một câu hỏi duy nhất có thể đưa chúng ta từ trạng thái phản ứng thông thường sang một điều kiện sáng tạo hơn nhiều. Câu hỏi đó là: Tôi muốn tạo ra kết quả gì? Việc đưa ra một câu trả lời trung thực sẽ đẩy chúng ta ra khỏi con đường ít kháng cự nhất của tự nhiên. Nó dẫn chúng ta từ việc giải quyết vấn đề sang việc tìm kiếm mục đích.</w:t>
      </w:r>
      <w:r>
        <w:rPr>
          <w:rStyle w:val="Text0"/>
        </w:rPr>
        <w:t/>
      </w:r>
      <w:r>
        <w:t xml:space="preserve"/>
        <w:bookmarkStart w:id="164" w:name="create"/>
        <w:t/>
        <w:bookmarkEnd w:id="164"/>
        <w:t xml:space="preserve"/>
      </w:r>
    </w:p>
    <w:p>
      <w:pPr>
        <w:pStyle w:val="Para 025"/>
      </w:pPr>
      <w:r>
        <w:t>Ý tưởng tóm tắt</w:t>
      </w:r>
    </w:p>
    <w:p>
      <w:pPr>
        <w:pStyle w:val="Para 005"/>
      </w:pPr>
      <w:r>
        <w:t xml:space="preserve">Giống như mọi nhà lãnh đạo, đôi khi bạn “vào phom”, và đôi khi thì không. Làm thế nào để nghiêng cán cân về phía xuất sắc và tránh xa năng lực tầm tầm? Đừng dựa vào việc bắt chước các nhà lãnh đạo khác hay mải mê nghiền ngẫm các cẩm nang lãnh đạo. Thay vào đó, hãy bước vào trạng thái lãnh đạo cốt lõi: cách bạn lãnh đạo khi một cuộc khủng hoảng buộc bạn phải chạm tới những giá trị và bản năng sâu thẳm nhất của mình. Trong trạng thái này, bạn biết theo bản năng mình phải làm gì: Bạn vươn mình đối mặt với thử thách và thể hiện tốt nhất khả năng của mình.</w:t>
      </w:r>
      <w:r>
        <w:rPr>
          <w:rStyle w:val="Text2"/>
        </w:rPr>
        <w:t/>
      </w:r>
      <w:r>
        <w:t/>
      </w:r>
    </w:p>
    <w:p>
      <w:pPr>
        <w:pStyle w:val="Para 005"/>
      </w:pPr>
      <w:r>
        <w:t>May mắn thay, bạn không cần một cuộc khủng hoảng để chuyển sang trạng thái lãnh đạo cốt lõi. Bạn có thể làm điều đó bất cứ lúc nào (trước một cuộc trò chuyện quan trọng, trong một cuộc họp then chốt) bằng cách tự hỏi bốn câu hỏi:</w:t>
      </w:r>
    </w:p>
    <w:p>
      <w:pPr>
        <w:pStyle w:val="Para 010"/>
      </w:pPr>
      <w:r>
        <w:t xml:space="preserve">• “Tôi có đang lấy kết quả làm trung tâm không?” Bạn đã xác định rõ kết quả mình muốn tạo ra chưa?</w:t>
      </w:r>
      <w:r>
        <w:rPr>
          <w:rStyle w:val="Text2"/>
        </w:rPr>
        <w:t/>
      </w:r>
      <w:r>
        <w:t xml:space="preserve"/>
      </w:r>
    </w:p>
    <w:p>
      <w:pPr>
        <w:pStyle w:val="Para 010"/>
      </w:pPr>
      <w:r>
        <w:t xml:space="preserve">• “Tôi có đang được dẫn dắt từ bên trong không?” Bạn có sẵn sàng thách thức kỳ vọng của người khác không?</w:t>
      </w:r>
      <w:r>
        <w:rPr>
          <w:rStyle w:val="Text2"/>
        </w:rPr>
        <w:t/>
      </w:r>
      <w:r>
        <w:t xml:space="preserve"/>
      </w:r>
    </w:p>
    <w:p>
      <w:pPr>
        <w:pStyle w:val="Para 010"/>
      </w:pPr>
      <w:r>
        <w:t xml:space="preserve">• “Tôi có đang tập trung vào người khác không?” Bạn đã đặt nhu cầu của tổ chức lên trên nhu cầu của chính mình chưa?</w:t>
      </w:r>
      <w:r>
        <w:rPr>
          <w:rStyle w:val="Text2"/>
        </w:rPr>
        <w:t/>
      </w:r>
      <w:r>
        <w:t xml:space="preserve"/>
      </w:r>
    </w:p>
    <w:p>
      <w:pPr>
        <w:pStyle w:val="Para 010"/>
      </w:pPr>
      <w:r>
        <w:t xml:space="preserve">• “Tôi có đang cởi mở với bên ngoài không?” Bạn có nhận ra những tín hiệu cho thấy cần phải thay đổi không?</w:t>
      </w:r>
      <w:r>
        <w:rPr>
          <w:rStyle w:val="Text2"/>
        </w:rPr>
        <w:t/>
      </w:r>
      <w:r>
        <w:t xml:space="preserve"/>
      </w:r>
    </w:p>
    <w:p>
      <w:pPr>
        <w:pStyle w:val="Para 005"/>
      </w:pPr>
      <w:r>
        <w:t>Không ai có thể vận hành ở đỉnh cao phong độ 24/7. Nhưng mỗi lần bạn bước vào trạng thái lãnh đạo cốt lõi, bạn lại khiến việc quay trở lại trạng thái đó dễ dàng hơn. Và bạn truyền cảm hứng cho những người xung quanh vươn tới những tầm mức xuất sắc cao hơn.</w:t>
      </w:r>
    </w:p>
    <w:p>
      <w:pPr>
        <w:pStyle w:val="Normal"/>
      </w:pPr>
      <w:r>
        <w:t>Thứ hai, chúng ta chuyển từ việc bị dẫn dắt từ bên ngoài sang được dẫn dắt từ bên trong nhiều hơn. Điều đó có nghĩa là chúng ta ngừng việc chỉ tuân theo kỳ vọng của người khác và chiều theo văn hóa hiện tại. Trở nên được dẫn dắt từ bên trong nhiều hơn là làm rõ các giá trị cốt lõi của mình và gia tăng sự chính trực, tự tin và tính chân thực. Khi trở nên tự tin và chân thực hơn, chúng ta hành xử khác đi. Người khác phải tìm cách hiểu hành vi mới của chúng ta. Một số người sẽ bị thu hút bởi điều đó, và một số người sẽ cảm thấy khó chịu vì nó. Tuy nhiên, điều đó không phải là rào cản: Khi sống thật với các giá trị của mình, chúng ta sẵn sàng khơi mào những xung đột như vậy.</w:t>
      </w:r>
    </w:p>
    <w:p>
      <w:pPr>
        <w:pStyle w:val="Normal"/>
      </w:pPr>
      <w:r>
        <w:t xml:space="preserve">Thứ ba, chúng ta trở nên ít tập trung vào bản thân hơn và tập trung vào người khác nhiều hơn. Chúng ta đặt nhu cầu của toàn bộ tổ chức lên trên nhu cầu của chính mình. Ít ai trong chúng ta thừa nhận rằng nhu cầu cá nhân lấn át lợi ích tập thể, nhưng sự thôi thúc kiểm soát các mối quan hệ theo hướng nuôi dưỡng lợi ích riêng là điều tự nhiên và bình thường. Dù vậy, việc tập trung vào bản thân theo thời gian sẽ dẫn đến cảm giác cô lập. Khi chúng ta đặt lợi ích tập thể lên trước, người khác sẽ đền đáp bằng sự tin tưởng và tôn trọng. Chúng ta hình thành những mối liên kết chặt chẽ và tinh tế hơn. Sự đồng cảm tăng lên, và sự gắn kết theo sau. Chúng ta tạo ra một cảm giác cộng đồng phong phú hơn, và điều đó giúp chúng ta vượt qua những xung đột vốn là yếu tố cần thiết trong các tổ chức có hiệu suất cao.</w:t>
        <w:bookmarkStart w:id="165" w:name="good"/>
        <w:t/>
        <w:bookmarkEnd w:id="165"/>
        <w:t xml:space="preserve"/>
      </w:r>
    </w:p>
    <w:p>
      <w:pPr>
        <w:pStyle w:val="Para 025"/>
      </w:pPr>
      <w:r>
        <w:t>Áp dụng ý tưởng vào thực tiễn</w:t>
      </w:r>
    </w:p>
    <w:p>
      <w:pPr>
        <w:pStyle w:val="Para 005"/>
      </w:pPr>
      <w:r>
        <w:t>Để bước vào trạng thái lãnh đạo cốt lõi, hãy áp dụng các bước sau:</w:t>
      </w:r>
    </w:p>
    <w:p>
      <w:pPr>
        <w:pStyle w:val="Para 010"/>
      </w:pPr>
      <w:r>
        <w:rPr>
          <w:rStyle w:val="Text2"/>
        </w:rPr>
        <w:t>1. Nhận ra rằng bạn đã từng ở đó. Bạn đã từng đối mặt với những thử thách lớn trước đây và khi vượt qua chúng, bạn đã bước vào trạng thái cốt lõi. Bằng cách nhớ lại những bài học từ những khoảnh khắc đó, bạn giải phóng những cảm xúc tích cực và nhìn thấy những khả năng mới cho tình huống hiện tại của mình.</w:t>
      </w:r>
      <w:r>
        <w:t xml:space="preserve"/>
      </w:r>
    </w:p>
    <w:p>
      <w:pPr>
        <w:pStyle w:val="Para 010"/>
      </w:pPr>
      <w:r>
        <w:rPr>
          <w:rStyle w:val="Text2"/>
        </w:rPr>
        <w:t>2. Phân tích trạng thái hiện tại của bạn. So sánh hiệu suất bình thường của bạn với những gì bạn đã làm khi ở phong độ tốt nhất. Bạn sẽ tiếp thêm khát khao nâng tầm những gì mình đang làm và củng cố niềm tin rằng bạn có thể tái nhập trạng thái cốt lõi.</w:t>
      </w:r>
      <w:r>
        <w:t xml:space="preserve"/>
      </w:r>
    </w:p>
    <w:p>
      <w:pPr>
        <w:pStyle w:val="Para 107"/>
      </w:pPr>
      <w:r>
        <w:t>3. Tự hỏi bốn câu hỏi trong biểu đồ sau.</w:t>
      </w:r>
    </w:p>
    <w:p>
      <w:pPr>
        <w:pStyle w:val="Para 061"/>
      </w:pPr>
      <w:r>
        <w:drawing>
          <wp:anchor distL="0" distR="0" distT="0" distB="0" simplePos="0" relativeHeight="1" behindDoc="0" locked="0" layoutInCell="1" allowOverlap="1">
            <wp:simplePos x="0" y="0"/>
            <wp:positionH relativeFrom="margin">
              <wp:align>center</wp:align>
            </wp:positionH>
            <wp:positionV relativeFrom="line">
              <wp:align>top</wp:align>
            </wp:positionV>
            <wp:extent cx="5041900" cy="2844800"/>
            <wp:effectExtent l="0" r="0" t="0" b="0"/>
            <wp:wrapTopAndBottom/>
            <wp:docPr id="7" name="138_1.png" descr="138_1.png"/>
            <wp:cNvGraphicFramePr>
              <a:graphicFrameLocks noChangeAspect="1"/>
            </wp:cNvGraphicFramePr>
            <a:graphic>
              <a:graphicData uri="http://schemas.openxmlformats.org/drawingml/2006/picture">
                <pic:pic>
                  <pic:nvPicPr>
                    <pic:cNvPr id="0" name="138_1.png" descr="138_1.png"/>
                    <pic:cNvPicPr/>
                  </pic:nvPicPr>
                  <pic:blipFill>
                    <a:blip r:embed="rId11"/>
                    <a:stretch>
                      <a:fillRect/>
                    </a:stretch>
                  </pic:blipFill>
                  <pic:spPr>
                    <a:xfrm>
                      <a:off x="0" y="0"/>
                      <a:ext cx="5041900" cy="2844800"/>
                    </a:xfrm>
                    <a:prstGeom prst="rect">
                      <a:avLst/>
                    </a:prstGeom>
                  </pic:spPr>
                </pic:pic>
              </a:graphicData>
            </a:graphic>
          </wp:anchor>
        </w:drawing>
      </w:r>
    </w:p>
    <w:p>
      <w:pPr>
        <w:pStyle w:val="Para 061"/>
      </w:pPr>
      <w:r>
        <w:bookmarkStart w:id="166" w:name="page_131"/>
        <w:t/>
        <w:bookmarkEnd w:id="166"/>
        <w:drawing>
          <wp:inline>
            <wp:extent cx="5041900" cy="901700"/>
            <wp:effectExtent l="0" r="0" t="0" b="0"/>
            <wp:docPr id="8" name="139_1.png" descr="139_1.png"/>
            <wp:cNvGraphicFramePr>
              <a:graphicFrameLocks noChangeAspect="1"/>
            </wp:cNvGraphicFramePr>
            <a:graphic>
              <a:graphicData uri="http://schemas.openxmlformats.org/drawingml/2006/picture">
                <pic:pic>
                  <pic:nvPicPr>
                    <pic:cNvPr id="0" name="139_1.png" descr="139_1.png"/>
                    <pic:cNvPicPr/>
                  </pic:nvPicPr>
                  <pic:blipFill>
                    <a:blip r:embed="rId12"/>
                    <a:stretch>
                      <a:fillRect/>
                    </a:stretch>
                  </pic:blipFill>
                  <pic:spPr>
                    <a:xfrm>
                      <a:off x="0" y="0"/>
                      <a:ext cx="5041900" cy="901700"/>
                    </a:xfrm>
                    <a:prstGeom prst="rect">
                      <a:avLst/>
                    </a:prstGeom>
                  </pic:spPr>
                </pic:pic>
              </a:graphicData>
            </a:graphic>
          </wp:inline>
        </w:drawing>
      </w:r>
    </w:p>
    <w:p>
      <w:pPr>
        <w:pStyle w:val="Para 030"/>
      </w:pPr>
      <w:r>
        <w:rPr>
          <w:rStyle w:val="Text8"/>
        </w:rPr>
        <w:t>Ví dụ: John Jones, một nhà lãnh đạo thay đổi thành công, đã vực dậy hai bộ phận đang gặp khó khăn trong tập đoàn của mình. Được hứa hẹn vị trí chủ tịch của bộ phận lớn nhất khi người đương nhiệm nghỉ hưu, trong lúc chờ đợi, ông được bảo hãy tạm thời lo việc “đám tang” cho một bộ phận đang hấp hối. Ông quyết tâm vực dậy bộ phận đó. Tuy nhiên, sau chín tháng, ông thấy rất ít cải thiện. Nhân viên không thực sự gắn kết.</w:t>
      </w:r>
      <w:r>
        <w:t xml:space="preserve"/>
      </w:r>
    </w:p>
    <w:p>
      <w:pPr>
        <w:pStyle w:val="Para 005"/>
      </w:pPr>
      <w:r>
        <w:t>Để bước vào trạng thái cốt lõi, John đã tự hỏi:</w:t>
      </w:r>
    </w:p>
    <w:p>
      <w:pPr>
        <w:pStyle w:val="Para 010"/>
      </w:pPr>
      <w:r>
        <w:t xml:space="preserve">• “Tôi có đang hướng tới kết quả không?” Ông bất ngờ hình dung ra một chiến lược mới cho bộ phận đang gặp khó khăn của mình, cùng với một kế hoạch (bao gồm cả việc điều chuyển nhân sự) để thực thi nó. Với một chiến lược rõ ràng và thuyết phục trong đầu, năng lượng của ông tăng vọt.</w:t>
      </w:r>
      <w:r>
        <w:rPr>
          <w:rStyle w:val="Text2"/>
        </w:rPr>
        <w:t/>
      </w:r>
      <w:r>
        <w:t xml:space="preserve"/>
      </w:r>
    </w:p>
    <w:p>
      <w:pPr>
        <w:pStyle w:val="Para 010"/>
      </w:pPr>
      <w:r>
        <w:t xml:space="preserve">• “Tôi có đang được dẫn dắt từ bên trong không?” Ông nhận ra rằng việc quá tập trung vào vị trí tốt đã được hứa hẹn đã ngăn cản ông làm những việc khó nhọc cần thiết để thúc đẩy nhân viên của bộ phận mình cống hiến nhiều hơn.</w:t>
      </w:r>
      <w:r>
        <w:rPr>
          <w:rStyle w:val="Text2"/>
        </w:rPr>
        <w:t/>
      </w:r>
      <w:r>
        <w:t xml:space="preserve"/>
      </w:r>
    </w:p>
    <w:p>
      <w:pPr>
        <w:pStyle w:val="Para 010"/>
      </w:pPr>
      <w:r>
        <w:t xml:space="preserve">• “Tôi có đang tập trung vào người khác không?” Ông quyết định từ chối vị trí chủ tịch để cứu bộ phận đang thất bại của mình—một hướng đi đúng hơn với các giá trị lãnh đạo của ông. Nhờ đó, ông đánh đổi sự an toàn cá nhân để lấy một điều tốt đẹp lớn hơn.</w:t>
      </w:r>
      <w:r>
        <w:rPr>
          <w:rStyle w:val="Text2"/>
        </w:rPr>
        <w:t/>
      </w:r>
      <w:r>
        <w:t xml:space="preserve"/>
      </w:r>
    </w:p>
    <w:p>
      <w:pPr>
        <w:pStyle w:val="Para 010"/>
      </w:pPr>
      <w:r>
        <w:t xml:space="preserve">• “Tôi có đang cởi mở với bên ngoài không?” Ông ngừng tự lừa dối bản thân rằng mình đã làm tất cả những gì có thể cho bộ phận đang thất bại và nhận ra mình có khả năng cải thiện mọi thứ.</w:t>
      </w:r>
      <w:r>
        <w:rPr>
          <w:rStyle w:val="Text2"/>
        </w:rPr>
        <w:t/>
      </w:r>
      <w:r>
        <w:t xml:space="preserve"/>
      </w:r>
    </w:p>
    <w:p>
      <w:pPr>
        <w:pStyle w:val="Normal"/>
      </w:pPr>
      <w:r>
        <w:t xml:space="preserve">Thứ tư, chúng ta trở nên cởi mở hơn với các tín hiệu hoặc kích thích từ bên ngoài, bao gồm cả những tín hiệu đòi hỏi chúng ta làm những việc mà mình không thoải mái. Ở trạng thái bình thường, chúng ta chỉ chú ý đến những tín hiệu mà mình biết là có liên quan. Nếu chúng gợi ý những điều chỉnh nhỏ, chúng ta phản hồi. Tuy nhiên, nếu chúng đòi hỏi những thay đổi mạnh mẽ hơn, chúng ta có thể áp dụng tư thế phòng thủ và phủ nhận; kiểu tự bảo vệ và tự lừa dối này tách chúng ta khỏi thế giới bên ngoài luôn biến đổi. Chúng ta sống theo một hình ảnh lỗi thời, kém chính xác hơn về những gì là thực. Nhưng trong trạng thái lãnh đạo cốt lõi, chúng ta nhận thức rõ hơn về những gì đang diễn ra, và chúng ta liên tục tạo ra những hình ảnh mới. Chúng ta thích nghi, đáng tin cậy và độc đáo. Trong trạng thái cởi mở với bên ngoài này, không có hai người nào giống nhau.</w:t>
        <w:bookmarkStart w:id="167" w:name="real"/>
        <w:t/>
        <w:bookmarkEnd w:id="167"/>
        <w:t xml:space="preserve"/>
      </w:r>
    </w:p>
    <w:p>
      <w:pPr>
        <w:pStyle w:val="Para 053"/>
      </w:pPr>
      <w:r>
        <w:bookmarkStart w:id="168" w:name="There_s"/>
        <w:t>Có trạng thái bình thường, và có trạng thái cốt lõi</w:t>
        <w:bookmarkEnd w:id="168"/>
        <w:t xml:space="preserve"/>
      </w:r>
    </w:p>
    <w:p>
      <w:pPr>
        <w:pStyle w:val="Para 065"/>
      </w:pPr>
      <w:r>
        <w:t>Trong những hoàn cảnh thường ngày, các nhà lãnh đạo có thể ở trong trạng thái tồn tại bình thường và làm những gì họ cần làm. Nhưng một số thử thách đòi hỏi một tầm nhìn cao hơn—cái có thể gọi là trạng thái lãnh đạo cốt lõi. Đây là cách hai trạng thái khác nhau.</w:t>
      </w:r>
      <w:r>
        <w:rPr>
          <w:rStyle w:val="Text0"/>
        </w:rPr>
        <w:t/>
      </w:r>
    </w:p>
    <w:p>
      <w:pPr>
        <w:pStyle w:val="Para 050"/>
      </w:pPr>
      <w:r>
        <w:drawing>
          <wp:anchor distL="0" distR="0" distT="0" distB="0" simplePos="0" relativeHeight="1" behindDoc="0" locked="0" layoutInCell="1" allowOverlap="1">
            <wp:simplePos x="0" y="0"/>
            <wp:positionH relativeFrom="margin">
              <wp:align>center</wp:align>
            </wp:positionH>
            <wp:positionV relativeFrom="line">
              <wp:align>top</wp:align>
            </wp:positionV>
            <wp:extent cx="5041900" cy="2806700"/>
            <wp:effectExtent l="0" r="0" t="0" b="0"/>
            <wp:wrapTopAndBottom/>
            <wp:docPr id="9" name="140_1.png" descr="140_1.png"/>
            <wp:cNvGraphicFramePr>
              <a:graphicFrameLocks noChangeAspect="1"/>
            </wp:cNvGraphicFramePr>
            <a:graphic>
              <a:graphicData uri="http://schemas.openxmlformats.org/drawingml/2006/picture">
                <pic:pic>
                  <pic:nvPicPr>
                    <pic:cNvPr id="0" name="140_1.png" descr="140_1.png"/>
                    <pic:cNvPicPr/>
                  </pic:nvPicPr>
                  <pic:blipFill>
                    <a:blip r:embed="rId13"/>
                    <a:stretch>
                      <a:fillRect/>
                    </a:stretch>
                  </pic:blipFill>
                  <pic:spPr>
                    <a:xfrm>
                      <a:off x="0" y="0"/>
                      <a:ext cx="5041900" cy="2806700"/>
                    </a:xfrm>
                    <a:prstGeom prst="rect">
                      <a:avLst/>
                    </a:prstGeom>
                  </pic:spPr>
                </pic:pic>
              </a:graphicData>
            </a:graphic>
          </wp:anchor>
        </w:drawing>
      </w:r>
    </w:p>
    <w:p>
      <w:pPr>
        <w:pStyle w:val="Normal"/>
      </w:pPr>
      <w:r>
        <w:t>Bốn phẩm chất này—lấy kết quả làm trung tâm, được dẫn dắt từ bên trong, tập trung vào người khác và cởi mở với bên ngoài—là trái tim của ảnh hưởng tích cực giữa con người, thứ có tính sáng tạo và thu hút. Một người không có bốn đặc điểm này cũng có thể có sức ảnh hưởng lớn, nhưng ảnh hưởng của họ có xu hướng dựa trên một dạng kiểm soát hoặc ép buộc nào đó, thứ thường không tạo ra những người đi theo tận tâm. Bằng cách bước vào trạng thái lãnh đạo cốt lõi, chúng ta tăng khả năng thu hút người khác đến một tầm mức cộng đồng cao hơn, một trạng thái hiệu suất cao có thể tiếp tục ngay cả khi chúng ta không có mặt.</w:t>
      </w:r>
    </w:p>
    <w:p>
      <w:pPr>
        <w:pStyle w:val="Heading 1"/>
      </w:pPr>
      <w:r>
        <w:bookmarkStart w:id="169" w:name="Preparing"/>
        <w:t>Chuẩn bị cho Trạng thái Cốt lõi</w:t>
        <w:bookmarkEnd w:id="169"/>
        <w:t xml:space="preserve"/>
      </w:r>
    </w:p>
    <w:p>
      <w:pPr>
        <w:pStyle w:val="Normal"/>
      </w:pPr>
      <w:r>
        <w:t>Vì mọi người thường không rời khỏi vùng an toàn trừ khi bị ép buộc, nhiều người thấy hữu ích khi làm theo một quy trình khi họ chọn bước vào trạng thái lãnh đạo cốt lõi. Tôi dạy một kỹ thuật cho các nhà điều hành và cũng dùng nó trong công việc của mình. Nó đơn giản chỉ bao gồm việc đặt ra bốn câu hỏi nâng cao nhận thức được thiết kế để giúp chúng ta vượt qua các cơ chế phủ nhận tự nhiên. Khi mọi người nhận thức được sự giả dối của chính mình, họ có nhiều khả năng thay đổi hơn. Tuy nhiên, những người mới làm quen với khái niệm "trạng thái cốt lõi" cần thực hiện hai bước sơ bộ trước khi có thể hiểu và áp dụng nó.</w:t>
      </w:r>
    </w:p>
    <w:p>
      <w:pPr>
        <w:pStyle w:val="Heading 2"/>
      </w:pPr>
      <w:r>
        <w:t>Bước 1: Nhận ra rằng bạn đã từng bước vào trạng thái lãnh đạo cốt lõi</w:t>
      </w:r>
    </w:p>
    <w:p>
      <w:pPr>
        <w:pStyle w:val="Normal"/>
      </w:pPr>
      <w:r>
        <w:t>Mỗi độc giả của ấn phẩm này đều đã từng, vào lúc này hay lúc khác, chạm tới trạng thái lãnh đạo cốt lõi. Tất cả chúng ta đều từng đối mặt với một thử thách lớn trong đời tư hay sự nghiệp và trải qua những đêm tối của tâm hồn. Khi vượt qua thành công những giai đoạn như vậy, chúng ta chắc chắn bước vào trạng thái lãnh đạo cốt lõi.</w:t>
      </w:r>
    </w:p>
    <w:p>
      <w:pPr>
        <w:pStyle w:val="Normal"/>
      </w:pPr>
      <w:r>
        <w:t>Khi tôi giới thiệu khái niệm này với mọi người, tôi yêu cầu họ xác định hai trải nghiệm thử thách từ quá khứ và suy ngẫm về những gì đã xảy ra xét theo ý định, sự chính trực, lòng tin và khả năng thích ứng. Lúc đầu, họ chống lại bài tập này vì tôi đang yêu cầu họ quay lại những thời điểm đau đớn tột cùng. Nhưng khi kể lại trải nghiệm của mình, họ bắt đầu thấy rằng họ cũng đang trở về với những khoảnh khắc vĩ đại. Những trải nghiệm đau đớn thường làm bộc lộ phần tốt đẹp nhất trong con người chúng ta. Nhớ lại bài học từ những khoảnh khắc đó giải phóng cảm xúc tích cực và giúp ta dễ dàng nhìn thấy điều có thể trong hiện tại. Trong bài tập này, tôi yêu cầu mọi người xem xét hành vi của họ trong những giai đoạn đó liên quan đến các đặc điểm của trạng thái lãnh đạo cốt lõi. (Xem bảng "Bạn Đã Từng Ở Đó" để phân tích hai tình huống thực tế.)</w:t>
      </w:r>
      <w:hyperlink w:anchor="page_134">
        <w:r>
          <w:rPr>
            <w:rStyle w:val="Text1"/>
          </w:rPr>
          <w:t/>
        </w:r>
      </w:hyperlink>
      <w:r>
        <w:t/>
      </w:r>
    </w:p>
    <w:p>
      <w:pPr>
        <w:pStyle w:val="Normal"/>
      </w:pPr>
      <w:r>
        <w:t xml:space="preserve">Đôi khi tôi cũng yêu cầu những người tham gia hội thảo chia sẻ câu chuyện của họ với nhau. Đương nhiên, họ ngại nói về những khoảnh khắc đen tối như vậy. Để giúp mọi người cởi mở, tôi chia sẻ những khoảnh khắc thử thách lớn của chính mình, những điều mà bình thường tôi giữ kín. Bằng cách thể hiện sự dễ bị tổn thương, tôi có thể giành được lòng tin của nhóm và khích lệ người khác thể hiện sự can đảm tương tự. Gần đây tôi đã điều hành một hội thảo với một nhóm các nhà điều hành hoài nghi. Sau khi tôi phá vỡ bầu không khí ngại ngùng, một người tham gia kể cho chúng tôi về lần anh ta nhận một công việc mới đòi hỏi phải chuyển cả gia đình đi. Ngay trước khi bắt đầu, sếp mới của anh gọi điện trong hoảng loạn, yêu cầu anh cắt ngắn kỳ nghỉ và bắt đầu làm việc ngay lập tức. Toàn bộ đội ngũ kỹ sư New England đã nghỉ việc; khách hàng trong khu vực không có bất kỳ sự hỗ trợ nào. Vị điều hành này bắt đầu công việc sớm, và gia đình anh phải tự xoay xở việc chuyển nhà mà không có sự giúp đỡ của anh. Anh mô tả vài tháng sau đó là "trải nghiệm tồi tệ nhất và tuyệt vời nhất" trong đời mình.</w:t>
        <w:bookmarkStart w:id="170" w:name="vulnerability"/>
        <w:t/>
        <w:bookmarkEnd w:id="170"/>
        <w:t xml:space="preserve"/>
      </w:r>
    </w:p>
    <w:p>
      <w:pPr>
        <w:pStyle w:val="Para 053"/>
      </w:pPr>
      <w:r>
        <w:t>Bạn đã từng ở đó</w:t>
      </w:r>
    </w:p>
    <w:p>
      <w:pPr>
        <w:pStyle w:val="Para 007"/>
      </w:pPr>
      <w:r>
        <w:t>Hai người tham gia một hội thảo về lãnh đạo tại Trường Kinh doanh Ross thuộc Đại học Michigan đã dùng công cụ tự đánh giá này để tìm ra cách họ vượt qua những thử thách lớn nhất trong đời bằng cách bước vào trạng thái lãnh đạo cốt lõi. Bạn có thể dùng cách tiếp cận tương tự để phân tích cách bạn đã chinh phục những thử thách quan trọng nhất của mình.</w:t>
      </w:r>
    </w:p>
    <w:p>
      <w:pPr>
        <w:pStyle w:val="Para 050"/>
      </w:pPr>
      <w:r>
        <w:bookmarkStart w:id="171" w:name="page_134"/>
        <w:t/>
        <w:bookmarkEnd w:id="171"/>
        <w:drawing>
          <wp:inline>
            <wp:extent cx="3657600" cy="1803400"/>
            <wp:effectExtent l="0" r="0" t="0" b="0"/>
            <wp:docPr id="10" name="142_1.png" descr="142_1.png"/>
            <wp:cNvGraphicFramePr>
              <a:graphicFrameLocks noChangeAspect="1"/>
            </wp:cNvGraphicFramePr>
            <a:graphic>
              <a:graphicData uri="http://schemas.openxmlformats.org/drawingml/2006/picture">
                <pic:pic>
                  <pic:nvPicPr>
                    <pic:cNvPr id="0" name="142_1.png" descr="142_1.png"/>
                    <pic:cNvPicPr/>
                  </pic:nvPicPr>
                  <pic:blipFill>
                    <a:blip r:embed="rId14"/>
                    <a:stretch>
                      <a:fillRect/>
                    </a:stretch>
                  </pic:blipFill>
                  <pic:spPr>
                    <a:xfrm>
                      <a:off x="0" y="0"/>
                      <a:ext cx="3657600" cy="1803400"/>
                    </a:xfrm>
                    <a:prstGeom prst="rect">
                      <a:avLst/>
                    </a:prstGeom>
                  </pic:spPr>
                </pic:pic>
              </a:graphicData>
            </a:graphic>
          </wp:inline>
        </w:drawing>
      </w:r>
    </w:p>
    <w:p>
      <w:pPr>
        <w:pStyle w:val="Normal"/>
      </w:pPr>
      <w:r>
        <w:t>Một nhà điều hành khác chia sẻ rằng anh phát hiện mình bị ung thư cùng tuần anh được thăng chức và chuyển đến Paris, không biết nói tiếng Pháp. Giọng anh nghẹn lại khi nhớ lại những sự kiện căng thẳng đó. Nhưng rồi anh kể cho chúng tôi về những điều tốt đẹp nảy sinh từ chúng—cách anh chinh phục cả căn bệnh lẫn công việc trong khi trở thành một nhà lãnh đạo chân thực và có ảnh hưởng hơn.</w:t>
      </w:r>
    </w:p>
    <w:p>
      <w:pPr>
        <w:pStyle w:val="Normal"/>
      </w:pPr>
      <w:r>
        <w:t>Những người khác tiến lên chia sẻ câu chuyện của riêng họ, và tôi thấy một sự thay đổi lớn trong nhóm. Sự kháng cự và hoài nghi ban đầu bắt đầu biến mất, và những người tham gia bắt đầu khám phá trạng thái lãnh đạo cốt lõi một cách nghiêm túc. Họ thấy sức mạnh trong khái niệm này và nhận ra rằng núp sau lòng kiêu hãnh hay danh tiếng của mình chỉ cản trở sự tiến bộ trong tương lai. Khi kể lại trải nghiệm của mình, họ nhận ra rằng họ đã trở nên có mục đích, chân thực, giàu lòng trắc ẩn và phản ứng nhanh nhạy hơn.</w:t>
      </w:r>
    </w:p>
    <w:p>
      <w:pPr>
        <w:pStyle w:val="Heading 2"/>
      </w:pPr>
      <w:r>
        <w:t>Bước 2: Phân tích trạng thái hiện tại của bạn</w:t>
      </w:r>
    </w:p>
    <w:p>
      <w:pPr>
        <w:pStyle w:val="Normal"/>
      </w:pPr>
      <w:r>
        <w:t>Khi ở trong trạng thái cốt lõi, chúng ta mang nhiều đặc điểm tích cực, chẳng hạn như tầm nhìn rõ ràng, tự trao quyền, đồng cảm và tư duy sáng tạo. (Xem bảng "Bạn Có Đang Ở Trạng Thái Lãnh Đạo Cốt Lõi Không?" để có danh sách kiểm tra được sắp xếp theo bốn chiều.) Hầu hết chúng ta muốn nói rằng mình luôn thể hiện những đặc điểm này, nhưng thực ra chúng ta chỉ thể hiện chúng một cách rời rạc.</w:t>
      </w:r>
      <w:hyperlink w:anchor="Are_1">
        <w:r>
          <w:rPr>
            <w:rStyle w:val="Text1"/>
          </w:rPr>
          <w:t/>
        </w:r>
      </w:hyperlink>
      <w:r>
        <w:t/>
      </w:r>
    </w:p>
    <w:p>
      <w:pPr>
        <w:pStyle w:val="Normal"/>
      </w:pPr>
      <w:r>
        <w:t xml:space="preserve">So sánh hiệu suất bình thường của chúng ta với những gì chúng ta đã làm khi ở trạng thái tốt nhất thường tạo ra mong muốn nâng cao những gì chúng ta đang làm hiện tại. Biết rằng chúng ta đã từng hoạt động ở mức cao hơn trong quá khứ tạo niềm tin rằng chúng ta có thể làm lại điều đó; nó dập tắt nỗi sợ bước vào vùng đất chưa biết và đầy rủi ro.</w:t>
        <w:bookmarkStart w:id="172" w:name="confidence"/>
        <w:t/>
        <w:bookmarkEnd w:id="172"/>
        <w:t xml:space="preserve"/>
      </w:r>
    </w:p>
    <w:p>
      <w:pPr>
        <w:pStyle w:val="Para 053"/>
      </w:pPr>
      <w:r>
        <w:bookmarkStart w:id="173" w:name="Are_1"/>
        <w:t>Bạn có đang ở trạng thái lãnh đạo cốt lõi không?</w:t>
        <w:bookmarkEnd w:id="173"/>
        <w:t xml:space="preserve"/>
      </w:r>
    </w:p>
    <w:p>
      <w:pPr>
        <w:pStyle w:val="Para 065"/>
      </w:pPr>
      <w:r>
        <w:t>Hãy nghĩ về một lần bạn đạt đến trạng thái lãnh đạo cốt lõi—tức là khi bạn ở trạng thái tốt nhất với tư cách một nhà lãnh đạo—và dùng danh sách kiểm tra này để xác định những phẩm chất bạn đã thể hiện. Sau đó đánh dấu những mục mô tả hành vi của bạn ngày hôm nay. So sánh quá khứ và hiện tại. Nếu có sự khác biệt đáng kể, bạn cần thực hiện những thay đổi nào để trở lại trạng thái cốt lõi?</w:t>
      </w:r>
    </w:p>
    <w:p>
      <w:pPr>
        <w:pStyle w:val="Para 050"/>
        <w:keepLines w:val="on"/>
      </w:pPr>
      <w:r>
        <w:drawing>
          <wp:anchor distL="0" distR="0" distT="0" distB="0" simplePos="0" relativeHeight="1" behindDoc="0" locked="0" layoutInCell="1" allowOverlap="1">
            <wp:simplePos x="0" y="0"/>
            <wp:positionH relativeFrom="margin">
              <wp:align>center</wp:align>
            </wp:positionH>
            <wp:positionV relativeFrom="line">
              <wp:align>top</wp:align>
            </wp:positionV>
            <wp:extent cx="4267200" cy="5930900"/>
            <wp:effectExtent l="0" r="0" t="0" b="0"/>
            <wp:wrapTopAndBottom/>
            <wp:docPr id="11" name="144_1.png" descr="144_1.png"/>
            <wp:cNvGraphicFramePr>
              <a:graphicFrameLocks noChangeAspect="1"/>
            </wp:cNvGraphicFramePr>
            <a:graphic>
              <a:graphicData uri="http://schemas.openxmlformats.org/drawingml/2006/picture">
                <pic:pic>
                  <pic:nvPicPr>
                    <pic:cNvPr id="0" name="144_1.png" descr="144_1.png"/>
                    <pic:cNvPicPr/>
                  </pic:nvPicPr>
                  <pic:blipFill>
                    <a:blip r:embed="rId15"/>
                    <a:stretch>
                      <a:fillRect/>
                    </a:stretch>
                  </pic:blipFill>
                  <pic:spPr>
                    <a:xfrm>
                      <a:off x="0" y="0"/>
                      <a:ext cx="4267200" cy="5930900"/>
                    </a:xfrm>
                    <a:prstGeom prst="rect">
                      <a:avLst/>
                    </a:prstGeom>
                  </pic:spPr>
                </pic:pic>
              </a:graphicData>
            </a:graphic>
          </wp:anchor>
        </w:drawing>
      </w:r>
    </w:p>
    <w:p>
      <w:pPr>
        <w:pStyle w:val="Para 050"/>
        <w:keepLines w:val="on"/>
      </w:pPr>
      <w:r>
        <w:drawing>
          <wp:anchor distL="0" distR="0" distT="0" distB="0" simplePos="0" relativeHeight="1" behindDoc="0" locked="0" layoutInCell="1" allowOverlap="1">
            <wp:simplePos x="0" y="0"/>
            <wp:positionH relativeFrom="margin">
              <wp:align>center</wp:align>
            </wp:positionH>
            <wp:positionV relativeFrom="line">
              <wp:align>top</wp:align>
            </wp:positionV>
            <wp:extent cx="4267200" cy="1841500"/>
            <wp:effectExtent l="0" r="0" t="0" b="0"/>
            <wp:wrapTopAndBottom/>
            <wp:docPr id="12" name="145_1.png" descr="145_1.png"/>
            <wp:cNvGraphicFramePr>
              <a:graphicFrameLocks noChangeAspect="1"/>
            </wp:cNvGraphicFramePr>
            <a:graphic>
              <a:graphicData uri="http://schemas.openxmlformats.org/drawingml/2006/picture">
                <pic:pic>
                  <pic:nvPicPr>
                    <pic:cNvPr id="0" name="145_1.png" descr="145_1.png"/>
                    <pic:cNvPicPr/>
                  </pic:nvPicPr>
                  <pic:blipFill>
                    <a:blip r:embed="rId16"/>
                    <a:stretch>
                      <a:fillRect/>
                    </a:stretch>
                  </pic:blipFill>
                  <pic:spPr>
                    <a:xfrm>
                      <a:off x="0" y="0"/>
                      <a:ext cx="4267200" cy="1841500"/>
                    </a:xfrm>
                    <a:prstGeom prst="rect">
                      <a:avLst/>
                    </a:prstGeom>
                  </pic:spPr>
                </pic:pic>
              </a:graphicData>
            </a:graphic>
          </wp:anchor>
        </w:drawing>
      </w:r>
    </w:p>
    <w:p>
      <w:pPr>
        <w:pStyle w:val="Heading 1"/>
      </w:pPr>
      <w:r>
        <w:t>Đặt Bốn Câu Hỏi Chuyển Hóa</w:t>
      </w:r>
    </w:p>
    <w:p>
      <w:pPr>
        <w:pStyle w:val="Normal"/>
      </w:pPr>
      <w:r>
        <w:t>Tất nhiên, hiểu trạng thái lãnh đạo cốt lõi và nhận ra sức mạnh của nó không giống với việc đang ở trong trạng thái đó. Bước vào trạng thái đó mới là nơi công việc thực sự bắt đầu. Để bắt đầu, chúng ta có thể tự hỏi bốn câu hỏi tương ứng với bốn phẩm chất của trạng thái cốt lõi.</w:t>
      </w:r>
    </w:p>
    <w:p>
      <w:pPr>
        <w:pStyle w:val="Normal"/>
      </w:pPr>
      <w:r>
        <w:t>Để cho thấy mỗi phẩm chất này ảnh hưởng đến hành vi của chúng ta như thế nào khi ở trong trạng thái lãnh đạo cốt lõi, tôi sẽ kể câu chuyện của hai nhà điều hành. Một người là chủ tịch công ty; chúng ta sẽ gọi ông là John Jones. Người kia, Robert Yamamoto, là giám đốc điều hành của Phòng Thương mại Thiếu niên Los Angeles. Cả hai đều từng vật lộn với những thử thách lớn làm thay đổi cách họ nghĩ về công việc và cuộc sống của mình.</w:t>
      </w:r>
    </w:p>
    <w:p>
      <w:pPr>
        <w:pStyle w:val="Normal"/>
      </w:pPr>
      <w:r>
        <w:t xml:space="preserve">Tôi gặp John trong một khóa học điều hành mà tôi đang giảng dạy. Ông là một nhà lãnh đạo thay đổi thành công, đã vực dậy hai công ty trong tập đoàn của mình. Nhưng ông thấy bực bội. Ông đã được hứa rằng sẽ trở thành chủ tịch của công ty lớn nhất trong tập đoàn ngay khi chủ tịch hiện tại nghỉ hưu, điều này sẽ xảy ra trong tương lai gần. Trong lúc chờ đợi, ông được bảo hãy tạm thời làm việc với một công ty mà mọi người coi như đã chết. Nhiệm vụ của ông chỉ đơn giản là trông coi đám tang, nhưng ông coi đó là thử thách cá nhân để vực dậy công ty. Tuy nhiên, sau chín tháng ở đó, có rất ít cải thiện, và mọi người vẫn chưa thực sự gắn kết.</w:t>
        <w:bookmarkStart w:id="174" w:name="around"/>
        <w:t/>
        <w:bookmarkEnd w:id="174"/>
        <w:t xml:space="preserve"/>
      </w:r>
    </w:p>
    <w:p>
      <w:pPr>
        <w:pStyle w:val="Normal"/>
      </w:pPr>
      <w:r>
        <w:t>Còn Robert, ông đã đạt được những kết quả mà ông coi là chấp nhận được (nếu không muốn nói là xuất sắc) trong công ty của mình. Vì vậy, khi chủ tịch hội đồng quản trị mới yêu cầu ông chuẩn bị đơn từ chức, Robert đã bị sốc. Ông trải qua một giai đoạn tự vấn đau khổ, trong đó ông bắt đầu mất lòng tin vào người khác và nghi ngờ kỹ năng quản lý cũng như năng lực lãnh đạo của chính mình. Lo lắng cho gia đình và tương lai, ông bắt đầu tìm công việc khác và viết lá đơn được yêu cầu.</w:t>
      </w:r>
    </w:p>
    <w:p>
      <w:pPr>
        <w:pStyle w:val="Normal"/>
      </w:pPr>
      <w:r>
        <w:t>Tuy nhiên, như bạn sẽ thấy, mặc dù mọi thứ trông ảm đạm đối với cả Robert và John, họ đang ở ngưỡng cửa của sự thay đổi tích cực.</w:t>
      </w:r>
    </w:p>
    <w:p>
      <w:pPr>
        <w:pStyle w:val="Heading 2"/>
      </w:pPr>
      <w:r>
        <w:t>Tôi có tập trung vào kết quả không?</w:t>
      </w:r>
    </w:p>
    <w:p>
      <w:pPr>
        <w:pStyle w:val="Normal"/>
      </w:pPr>
      <w:r>
        <w:t>Hầu hết thời gian, chúng ta tập trung vào sự thoải mái. Chúng ta cố gắng tiếp tục làm những gì mình biết cách làm. Chúng ta có thể nghĩ rằng mình đang theo đuổi những kết quả mới, nhưng nếu đạt được chúng đồng nghĩa với việc rời khỏi vùng an toàn, chúng ta sẽ tinh vi—thậm chí vô thức—tìm cách tránh làm điều đó. Chúng ta thường đề xuất những kết quả đầy tham vọng trong khi thiết kế công việc để thuận tiện hành chính tối đa, điều này cho phép chúng ta tránh xung đột nhưng thường kết thúc bằng việc tái tạo những gì đã tồn tại. Thường thì người khác cũng đồng lõa với chúng ta để diễn trò lừa dối này. Tập trung vào sự thoải mái là giả dối, tự lừa mình và bình thường.</w:t>
      </w:r>
    </w:p>
    <w:p>
      <w:pPr>
        <w:pStyle w:val="Normal"/>
      </w:pPr>
      <w:r>
        <w:t>Làm rõ kết quả chúng ta muốn tạo ra đòi hỏi chúng ta phải tổ chức lại cuộc sống của mình. Thay vì tránh xa một vấn đề, chúng ta tiến về một khả năng chưa tồn tại. Chúng ta trở nên chủ động, có chủ đích, lạc quan, đầu tư và kiên trì hơn. Chúng ta cũng có xu hướng trở nên tràn đầy năng lượng hơn, và tác động của chúng ta lên người khác cũng trở nên tiếp thêm năng lượng.</w:t>
      </w:r>
    </w:p>
    <w:p>
      <w:pPr>
        <w:pStyle w:val="Normal"/>
      </w:pPr>
      <w:r>
        <w:t>Hãy xem điều gì đã xảy ra với John. Khi tôi nói chuyện lần đầu với ông, ông phác thảo chiến lược của mình với rất ít nhiệt huyết. Cảm nhận được sự thiếu đam mê đó, tôi hỏi ông một câu hỏi được thiết kế để kiểm tra cam kết của ông đối với mục tiêu mà ông tuyên bố muốn đạt được:</w:t>
      </w:r>
    </w:p>
    <w:p>
      <w:pPr>
        <w:pStyle w:val="Para 071"/>
      </w:pPr>
      <w:r>
        <w:t xml:space="preserve">Sẽ thế nào nếu ông nói với nhân viên của mình sự thật? Giả sử ông nói với họ rằng không ai thực sự kỳ vọng ông thành công, rằng ông được giao nhiệm vụ trông coi trong 18 tháng, và rằng ông đã được hứa một công việc ngon lành sau khi nhiệm vụ kết thúc. Và rồi ông nói với họ rằng thay vào đó ông đã chọn từ bỏ công việc ngon lành đó và đặt cược sự nghiệp của mình vào những người có mặt. Sau đó, từ lập trường lạc quan mới có được về triển vọng của công ty, ông đưa ra một số thử thách vượt quá năng lực bình thường của nhân viên.</w:t>
        <w:bookmarkStart w:id="175" w:name="have"/>
        <w:t/>
        <w:bookmarkEnd w:id="175"/>
        <w:t xml:space="preserve"/>
      </w:r>
    </w:p>
    <w:p>
      <w:pPr>
        <w:pStyle w:val="Normal"/>
      </w:pPr>
      <w:r>
        <w:t>Trước sự ngạc nhiên của tôi, John trả lời rằng ông đang bắt đầu nghĩ theo hướng tương tự. Ông chộp lấy một chiếc khăn ăn và nhanh chóng phác thảo một chiến lược mới cùng với kế hoạch thực hiện nó, bao gồm cả việc phân công lại nhân sự. Nó rõ ràng và thuyết phục, và ông đột nhiên tràn đầy năng lượng.</w:t>
      </w:r>
    </w:p>
    <w:p>
      <w:pPr>
        <w:pStyle w:val="Normal"/>
      </w:pPr>
      <w:r>
        <w:t xml:space="preserve">Điều gì đã xảy ra ở đây? John là chủ tịch công ty của mình và do đó có quyền lực. Và ông đã vực dậy hai công ty khác—bằng chứng cho thấy ông có kiến thức và năng lực của một nhà lãnh đạo thay đổi. Nhưng ông đang thất bại với tư cách một nhà lãnh đạo thay đổi. Đó là vì ông đã trượt vào vùng an toàn của mình. Ông đang làm theo quán tính, làm những gì đã hiệu quả ở nơi khác. Ông đang bắt chước một nhà lãnh đạo vĩ đại—trong trường hợp này là chính John. Nhưng bắt chước không phải là cách để bước vào trạng thái lãnh đạo cốt lõi. Nếu tôi buộc tội John không cam kết với một tầm nhìn thực sự, ông đã nổi giận. Ông sẽ tranh cãi gay gắt để phủ nhận sự thật. Tuy nhiên, tất cả những gì tôi phải làm chỉ là đẩy ông đi đúng hướng. Ngay khi ông hình dung ra kết quả mình muốn tạo ra và cam kết với nó, một chiến lược mới xuất hiện và ông được tiếp thêm năng lượng.</w:t>
      </w:r>
      <w:r>
        <w:rPr>
          <w:rStyle w:val="Text0"/>
        </w:rPr>
        <w:t/>
      </w:r>
      <w:r>
        <w:t xml:space="preserve"/>
      </w:r>
    </w:p>
    <w:p>
      <w:pPr>
        <w:pStyle w:val="Normal"/>
      </w:pPr>
      <w:r>
        <w:t xml:space="preserve">Rồi có Robert, người đã đến buổi họp hội đồng quản trị mà ông cho là cuối cùng của mình và phát hiện ra rằng ông có nhiều sự ủng hộ hơn những gì ông được nghe. Đáng kinh ngạc, vào cuối buổi họp, ông vẫn còn công việc của mình. Dù vậy, bước ngoặt may mắn này lại dẫn đến sự tự vấn sâu sắc hơn. Robert bắt đầu chú ý hơn đến những gì mình đang làm; ông bắt đầu thấy xu hướng của mình là thiên về chiến thuật và bị cuốn vào các công việc thường nhật. Ông kết luận rằng mình đang quản lý, chứ không phải lãnh đạo. Ông đang đóng một vai diễn và nhường quyền lãnh đạo cho chủ tịch hội đồng quản trị—không phải vì người đó có kiến thức và tầm nhìn để lãnh đạo mà vì vị trí đó đi kèm với quyền lãnh đạo theo luật định. "Tôi đột nhiên quyết định thực sự lãnh đạo tổ chức của mình," Robert nói. "Cứ như thể một con người mới xuất hiện. Quyết định đó không phải vì tôi. Tôi cần làm điều đó vì lợi ích của tổ chức."</w:t>
        <w:bookmarkStart w:id="176" w:name="_5"/>
        <w:t/>
        <w:bookmarkEnd w:id="176"/>
        <w:t/>
      </w:r>
    </w:p>
    <w:p>
      <w:pPr>
        <w:pStyle w:val="Normal"/>
      </w:pPr>
      <w:r>
        <w:t>Khi quyết định "thực sự lãnh đạo", Robert bắt đầu xác định những kết quả chiến lược mà ông muốn tạo ra. Khi làm điều này, ông thấy mình rời khỏi vùng an toàn—hành xử theo những cách mới và tạo ra những kết quả mới.</w:t>
      </w:r>
    </w:p>
    <w:p>
      <w:pPr>
        <w:pStyle w:val="Heading 2"/>
      </w:pPr>
      <w:r>
        <w:t>Tôi có đang tự định hướng từ bên trong không?</w:t>
      </w:r>
    </w:p>
    <w:p>
      <w:pPr>
        <w:pStyle w:val="Normal"/>
      </w:pPr>
      <w:r>
        <w:t xml:space="preserve">Ở trạng thái bình thường, chúng ta tuân theo các áp lực xã hội để tránh xung đột và giữ kết nối với đồng nghiệp. Tuy nhiên, cuối cùng chúng ta lại cảm thấy ít kết nối hơn vì việc né tránh xung đột dẫn đến thỏa hiệp chính trị. Chúng ta bắt đầu đánh mất sự độc đáo và cảm giác về sự chính trực của mình. Chương trình nghị sự dần chuyển từ việc tạo ra kết quả bên ngoài sang việc giữ gìn hòa bình chính trị. Khi vấn đề này trở nên nghiêm trọng, chúng ta bắt đầu mất hy vọng và năng lượng.</w:t>
      </w:r>
      <w:r>
        <w:rPr>
          <w:rStyle w:val="Text0"/>
        </w:rPr>
        <w:t/>
      </w:r>
      <w:r>
        <w:t xml:space="preserve"/>
      </w:r>
    </w:p>
    <w:p>
      <w:pPr>
        <w:pStyle w:val="Normal"/>
      </w:pPr>
      <w:r>
        <w:t>Sự mất mát này thể hiện rõ ràng trong trường hợp của John. Anh ấy là ngôi sao sáng của tập đoàn. Nhưng vì ít nhất một phần anh ấy tập trung vào phần thưởng tương lai—công việc hấp dẫn—anh ấy đã không hoàn toàn tập trung vào việc làm những công việc khó khăn mà anh ấy cần làm vào lúc đó. Vì vậy, anh ấy đã không yêu cầu đủ nhiều từ những người mà anh ấy đang lãnh đạo. Để nhận được nhiều hơn từ họ, John cần phải tự định hướng từ bên trong nhiều hơn.</w:t>
      </w:r>
    </w:p>
    <w:p>
      <w:pPr>
        <w:pStyle w:val="Heading 2"/>
      </w:pPr>
      <w:r>
        <w:t>Tôi có đang hướng đến người khác không?</w:t>
      </w:r>
    </w:p>
    <w:p>
      <w:pPr>
        <w:pStyle w:val="Normal"/>
      </w:pPr>
      <w:r>
        <w:t>Thật khó để thừa nhận, nhưng hầu hết chúng ta, trong hầu hết thời gian, đặt nhu cầu của bản thân lên trên nhu cầu của tập thể. Thực ra, làm như vậy là lành mạnh; đó là một cơ chế sinh tồn. Nhưng khi việc theo đuổi lợi ích riêng chi phối các mối quan hệ của chúng ta, chúng ta làm xói mòn lòng tin của người khác dành cho mình. Mặc dù mọi người có thể tuân theo mong muốn của chúng ta, họ không còn nhận được năng lượng từ mối quan hệ với chúng ta nữa. Theo thời gian, chúng ta xua đuổi chính sự hỗ trợ xã hội mà mình tìm kiếm.</w:t>
      </w:r>
    </w:p>
    <w:p>
      <w:pPr>
        <w:pStyle w:val="Normal"/>
      </w:pPr>
      <w:r>
        <w:t xml:space="preserve">Trở nên tập trung vào người khác hơn là cam kết vì lợi ích chung trong các mối quan hệ, nhóm hoặc tổ chức, ngay cả khi điều đó đồng nghĩa với việc phải chịu thiệt thòi cá nhân. Khi John chuyển sang trạng thái lãnh đạo cơ bản (fundamental state of leadership), anh ấy đã cam kết với một tương lai bất định cho chính mình. Anh ấy đã được hứa hẹn một công việc đáng thèm muốn. Tất cả những gì anh ấy phải làm là chờ vài tháng. Tuy nhiên, anh ấy không vui, vì vậy anh ấy đã chọn từ chối cơ hội để theo đuổi một con đường đúng với các giá trị lãnh đạo của mình hơn. Khi chuyển hướng, anh ấy đã hy sinh sự an toàn cá nhân vì một lợi ích lớn hơn.</w:t>
        <w:bookmarkStart w:id="177" w:name="the_1"/>
        <w:t/>
        <w:bookmarkEnd w:id="177"/>
        <w:t xml:space="preserve"/>
      </w:r>
    </w:p>
    <w:p>
      <w:pPr>
        <w:pStyle w:val="Normal"/>
      </w:pPr>
      <w:r>
        <w:t>Hãy nhớ lời của Robert: “Quyết định đó không phải vì tôi. Tôi cần làm điều đó vì lợi ích của tổ chức.” Sau khi bước vào trạng thái lãnh đạo cơ bản, ông ấy đã đề xuất một định hướng chiến lược mới cho chủ tịch hội đồng quản trị và nói rằng nếu hội đồng quản trị không thích, ông ấy sẽ ra đi không hối tiếc. Ông ấy biết rằng chiến lược đó sẽ mang lại lợi ích cho tổ chức, bất kể nó ảnh hưởng đến cá nhân ông ấy như thế nào. Robert đặt lợi ích của tổ chức lên hàng đầu. Khi một nhà lãnh đạo làm điều này, mọi người sẽ nhận ra, và nhà lãnh đạo nhận được sự tôn trọng và tin tưởng. Đến lượt mình, các thành viên trong nhóm trở nên có xu hướng đặt lợi ích chung lên hàng đầu hơn. Khi họ làm vậy, những nhiệm vụ trước đây tưởng chừng bất khả thi trở nên có thể thực hiện được.</w:t>
      </w:r>
    </w:p>
    <w:p>
      <w:pPr>
        <w:pStyle w:val="Heading 2"/>
      </w:pPr>
      <w:r>
        <w:t>Tôi có đang cởi mở với bên ngoài không?</w:t>
      </w:r>
    </w:p>
    <w:p>
      <w:pPr>
        <w:pStyle w:val="Normal"/>
      </w:pPr>
      <w:r>
        <w:t>Việc khép kín với các kích thích bên ngoài có lợi ích là giúp chúng ta tập trung vào nhiệm vụ, nhưng nó cũng cho phép chúng ta phớt lờ những tín hiệu cho thấy cần phải thay đổi. Những tín hiệu như vậy sẽ buộc chúng ta phải từ bỏ quyền kiểm soát và đối mặt với rủi ro, vì vậy phủ nhận chúng là tự bảo vệ mình, nhưng đó cũng là tự lừa dối mình. John đã tự thuyết phục rằng anh ấy đã làm tất cả những gì có thể cho công ty đang gặp khó khăn của mình, trong khi sâu thẳm bên trong, anh ấy biết mình có khả năng cải thiện tình hình. Robert cũng đã tự lừa dối mình, cho đến khi khủng hoảng và cơ hội mới khiến ông ấy cởi mở và khám phá ra sự thật rằng ông ấy đang đóng một vai trò được giao phó nhưng không sử dụng kiến thức và năng lực cảm xúc của mình để vượt ra khỏi vai trò đó và thực sự lãnh đạo mọi người.</w:t>
      </w:r>
    </w:p>
    <w:p>
      <w:pPr>
        <w:pStyle w:val="Normal"/>
      </w:pPr>
      <w:r>
        <w:t xml:space="preserve">Việc tự hỏi bản thân liệu chúng ta có cởi mở với bên ngoài hay không sẽ chuyển trọng tâm của chúng ta từ việc kiểm soát môi trường sang học hỏi từ nó và giúp chúng ta nhận ra nhu cầu thay đổi. Kết quả là có hai điều xảy ra. Thứ nhất, chúng ta buộc phải ứng biến để đáp lại những tín hiệu chưa từng được nhận ra trước đây—nghĩa là rời khỏi những thói quen đã được thiết lập. Và thứ hai, vì sự sống còn qua thử nghiệm và sai lầm đòi hỏi một bức tranh chính xác về kết quả chúng ta đang tạo ra, chúng ta chủ động và thực sự tìm kiếm phản hồi trung thực. Vì mọi người tin tưởng chúng ta hơn khi chúng ta ở trạng thái này, họ có xu hướng đưa ra phản hồi chính xác hơn, hiểu rằng chúng ta có khả năng học hỏi từ thông điệp hơn là trừng phạt người đưa tin. Một chu trình học hỏi và trao quyền được tạo ra, cho phép chúng ta nhìn thấy những điều mà mọi người thường không thể thấy và hình thành các chiến lược mang tính chuyển đổi.</w:t>
        <w:bookmarkStart w:id="178" w:name="A"/>
        <w:t/>
        <w:bookmarkEnd w:id="178"/>
        <w:t xml:space="preserve"/>
      </w:r>
    </w:p>
    <w:p>
      <w:pPr>
        <w:pStyle w:val="Heading 1"/>
      </w:pPr>
      <w:r>
        <w:t>Áp dụng các Nguyên tắc Cơ bản</w:t>
      </w:r>
    </w:p>
    <w:p>
      <w:pPr>
        <w:pStyle w:val="Normal"/>
      </w:pPr>
      <w:r>
        <w:t>Cũng như tôi dạy người khác về trạng thái lãnh đạo cơ bản, tôi cũng cố gắng áp dụng khái niệm này trong cuộc sống của chính mình. Tôi là trưởng nhóm cho một dự án tại Trung tâm Giáo dục Điều hành của Đại học Michigan. Thông thường, trung tâm tổ chức các khóa học kéo dài một tuần thu hút 30 đến 40 nhà điều hành. Có đề xuất rằng chúng tôi phát triển một sản phẩm mới, một tuần tích hợp các góc nhìn về lãnh đạo. C. K. Prahalad sẽ bắt đầu với góc nhìn chiến lược, sau đó Noel Tichy, Dave Ulrich, Karl Weick và tôi sẽ tiếp nối với các bài thuyết trình của riêng mình. Mục tiêu là lấp đầy một khán phòng 400 chỗ ngồi. Vì mỗi diễn giả đều có một lượng người theo dõi khá lớn trong một lĩnh vực nào đó của thế giới điều hành, chúng tôi tự tin rằng mình có thể lấp đầy chỗ ngồi, vì vậy chúng tôi đã lên lịch chương trình vào tháng Bảy, thời điểm cơ sở vật chất của chúng tôi thường ít được sử dụng.</w:t>
      </w:r>
    </w:p>
    <w:p>
      <w:pPr>
        <w:pStyle w:val="Normal"/>
      </w:pPr>
      <w:r>
        <w:t>Trong những tháng đầu lập kế hoạch và tổ chức, mọi thứ diễn ra hoàn hảo. Một chuyên gia tư vấn tiếp thị đã nói rằng chúng tôi có thể kỳ vọng đạt được một nửa số người đăng ký ba tuần trước sự kiện. Khi thời điểm đó đến, chỉ chưa đầy một nửa đối tượng mục tiêu đã đăng ký, vì vậy chúng tôi nghĩ mọi thứ vẫn ổn. Nhưng sau đó một chuyên gia tư vấn khác chỉ ra rằng đối với loại sự kiện của chúng tôi, sẽ có rất ít người đăng ký thêm trong ba tuần cuối cùng. Dự đoán đáng kinh ngạc này có nghĩa là số người tham dự sẽ chỉ bằng một nửa so với kỳ vọng và chúng tôi may mắn lắm mới hòa vốn.</w:t>
      </w:r>
    </w:p>
    <w:p>
      <w:pPr>
        <w:pStyle w:val="Normal"/>
      </w:pPr>
      <w:r>
        <w:t xml:space="preserve">Với tư cách là trưởng nhóm, tôi có thể hình dung ra hậu quả. Các giảng viên của chúng tôi, vốn quen với việc thu hút đông đảo người tham dự, sẽ cảm thấy bị xúc phạm bởi một căn phòng trống một nửa; trưởng khoa sẽ muốn biết điều gì đã xảy ra; và nhân viên của trung tâm có thể sẽ chỉ ra trưởng nhóm là vấn đề. Đêm đó, tôi đã dành vài giờ đi đi lại lại trên sàn nhà. Tôi tràn ngập nỗi sợ hãi và xấu hổ. Cuối cùng, tôi tự nhủ rằng hành vi kiểu này thật vô ích. Tôi đến bàn làm việc và viết ra bốn câu hỏi. Khi xem xét chúng, tôi kết luận rằng mình đang lấy sự thoải mái làm trung tâm, bị định hướng từ bên ngoài, tập trung vào bản thân và khép kín với bên trong.</w:t>
        <w:bookmarkStart w:id="179" w:name="comfort"/>
        <w:t/>
        <w:bookmarkEnd w:id="179"/>
        <w:t xml:space="preserve"/>
      </w:r>
    </w:p>
    <w:p>
      <w:pPr>
        <w:pStyle w:val="Normal"/>
      </w:pPr>
      <w:r>
        <w:t>Vì vậy, tôi tự hỏi: “Tôi muốn tạo ra kết quả gì?” Tôi viết rằng tôi muốn trung tâm học cách cung cấp một sản phẩm mới, đẳng cấp thế giới và sẽ có nhu cầu theo thời gian. Với sự làm rõ đó, tôi có một nhận thức giải phóng: Vì đây là lần đầu tiên chúng tôi cung cấp sản phẩm này, việc tạo ra lợi nhuận lớn không phải là điều thiết yếu. Tất nhiên, điều đó sẽ rất tuyệt, nhưng chúng tôi sẽ vui khi học cách tổ chức một sự kiện như vậy một cách đúng đắn, hòa vốn và đặt nền móng cho việc tạo ra lợi nhuận trong tương lai.</w:t>
      </w:r>
    </w:p>
    <w:p>
      <w:pPr>
        <w:pStyle w:val="Normal"/>
      </w:pPr>
      <w:r>
        <w:t>Sau đó, tôi tự hỏi: “Làm thế nào tôi có thể trở nên hướng đến người khác?” Vào lúc đó, tôi hoàn toàn tập trung vào bản thân—tôi lo lắng về danh tiếng của mình—và khuynh hướng đầu tiên của tôi là tức giận với nhân viên. Nhưng khi chuyển sự tập trung sang những gì họ có thể đang nghĩ vào đêm đó, tôi nhận ra rằng rất có thể họ đang lo lắng rằng sáng mai tôi đến làm việc với tâm thế sẵn sàng đổ lỗi. Đột nhiên, tôi thấy cần phải vừa thách thức vừa hỗ trợ họ.</w:t>
      </w:r>
    </w:p>
    <w:p>
      <w:pPr>
        <w:pStyle w:val="Normal"/>
      </w:pPr>
      <w:r>
        <w:t>Cuối cùng, tôi nghĩ về cách mình có thể trở nên cởi mở với bên ngoài. Điều đó có nghĩa là tiến về phía trước và học hỏi điều gì đó mới mẻ, ngay cả khi điều đó khiến tôi không thoải mái. Tôi cần tham gia vào một cuộc đối thoại mang tính khám phá thay vì chủ trì như một chuyên gia phụ trách.</w:t>
      </w:r>
    </w:p>
    <w:p>
      <w:pPr>
        <w:pStyle w:val="Normal"/>
      </w:pPr>
      <w:r>
        <w:t>Tôi ngay lập tức bắt đầu lập danh sách các chiến lược tiếp thị, mặc dù tôi kỳ vọng nhiều chiến lược trong số đó sẽ tỏ ra ngớ ngẩn vì tôi chẳng biết gì về tiếp thị. Ngày hôm sau, tôi tập hợp nhân viên lại—và họ, một cách tự nhiên, tỏ ra phòng thủ. Tôi hỏi họ chúng tôi muốn tạo ra kết quả gì. Điều xảy ra tiếp theo là một ví dụ điển hình về việc trạng thái lãnh đạo cơ bản có thể lan truyền như thế nào.</w:t>
      </w:r>
    </w:p>
    <w:p>
      <w:pPr>
        <w:pStyle w:val="Normal"/>
      </w:pPr>
      <w:r>
        <w:t xml:space="preserve">Chúng tôi đã thảo luận về các chiến lược để tăng số người tham dự, và sau một lúc, tôi nói với nhân viên rằng tôi có một số ý tưởng tiếp thị ngớ ngẩn và ngại chia sẻ chúng nhưng sẵn sàng làm bất cứ điều gì để giúp đỡ. Họ đã cười vào nhiều suy nghĩ ngây thơ của tôi về cách tăng cường quảng bá và tạo ra các ưu đãi về giá. Tuy nhiên, các đề xuất của tôi cũng khơi mào cho cuộc thảo luận nghiêm túc, và cả nhóm bắt đầu động não để tạo ra một chiến lược tập thể. Bởi vì tôi cởi mở với bên ngoài, có không gian và thời gian để mọi người dẫn dắt. Mọi người nghĩ ra những cách tốt hơn để tiếp cận các phương tiện truyền thông và tạo ra các ưu đãi. Trong cuộc họp đó, cả nhóm đã phát triển một cảm thức chung về mục đích, thực tế, bản sắc và sự đóng góp. Họ ra về với sự lạc quan hợp lý và tiến lên như một đội ngũ tận tâm.</w:t>
        <w:bookmarkStart w:id="180" w:name="identity"/>
        <w:t/>
        <w:bookmarkEnd w:id="180"/>
        <w:t xml:space="preserve"/>
      </w:r>
    </w:p>
    <w:p>
      <w:pPr>
        <w:pStyle w:val="Normal"/>
      </w:pPr>
      <w:r>
        <w:t>Cuối cùng, chúng tôi đã không có được 400 người tham dự, nhưng chúng tôi đã lấp đầy quá đủ chỗ ngồi để có một sự kiện thành công. Chúng tôi không chỉ hòa vốn mà còn phát triển các kỹ năng cần thiết để tổ chức một sự kiện như vậy tốt hơn trong tương lai. Chương trình đã thành công vì một điều gì đó mang tính chuyển đổi đã xảy ra trong đội ngũ nhân viên. Tuy nhiên, sự chuyển đổi không bắt nguồn từ cuộc họp. Nó bắt đầu vào đêm hôm trước, khi tôi tự hỏi mình bốn câu hỏi và chuyển từ trạng thái bình thường, phản ứng sang trạng thái lãnh đạo cơ bản. Và việc tôi bước vào trạng thái cơ bản đã khuyến khích nhân viên cũng bước vào.</w:t>
      </w:r>
    </w:p>
    <w:p>
      <w:pPr>
        <w:pStyle w:val="Normal"/>
      </w:pPr>
      <w:r>
        <w:t>Mặc dù trạng thái cơ bản tỏ ra hữu ích trong thời kỳ khủng hoảng, nó cũng có thể giúp chúng ta đối phó với những thách thức thường nhật hơn. Nếu tôi sắp có một cuộc trò chuyện quan trọng, tham dự một cuộc họp then chốt, tham gia một sự kiện quan trọng hoặc dạy một lớp học, một phần trong sự chuẩn bị của tôi là cố gắng đạt đến trạng thái lãnh đạo cơ bản. Cho dù tôi đang làm việc với một cá nhân, một nhóm hay một tổ chức, tôi đều hỏi bốn câu hỏi giống nhau. Chúng thường dẫn đến những kết quả hiệu suất cao, và việc lặp lại những kết quả hiệu suất cao cuối cùng có thể tạo ra một văn hóa hiệu suất cao.</w:t>
      </w:r>
    </w:p>
    <w:p>
      <w:pPr>
        <w:pStyle w:val="Heading 1"/>
      </w:pPr>
      <w:r>
        <w:t>Truyền cảm hứng cho người khác đạt hiệu suất cao</w:t>
      </w:r>
    </w:p>
    <w:p>
      <w:pPr>
        <w:pStyle w:val="Normal"/>
      </w:pPr>
      <w:r>
        <w:t>Khi chúng ta bước vào trạng thái lãnh đạo cơ bản, chúng ta ngay lập tức có những suy nghĩ mới và thực hiện những hành vi mới. Chúng ta không thể ở trong trạng thái này mãi mãi. Nó có thể kéo dài hàng giờ, hàng ngày hoặc đôi khi hàng tháng, nhưng cuối cùng chúng ta trở lại khung suy nghĩ bình thường của mình. Mặc dù trạng thái cơ bản chỉ là tạm thời, mỗi lần ở trong trạng thái đó, chúng ta học hỏi thêm về con người và môi trường của mình, đồng thời tăng khả năng có thể quay trở lại trạng thái đó. Hơn nữa, chúng ta truyền cảm hứng cho những người xung quanh đạt đến mức hiệu suất cao hơn.</w:t>
      </w:r>
    </w:p>
    <w:p>
      <w:pPr>
        <w:pStyle w:val="Normal"/>
      </w:pPr>
      <w:r>
        <w:t xml:space="preserve">Cho đến ngày nay, Robert vẫn kinh ngạc trước sự tương phản giữa quá khứ và hiện tại của tổ chức mình. Sự chuyển đổi của ông thành một nhà lãnh đạo với năng lượng tích cực cùng sự sẵn sàng và khả năng giải quyết các thách thức theo những cách mới đã giúp định hình L.A. Junior Chamber of Commerce thành một doanh nghiệp sáng tạo và hoạt động hiệu quả cao. Lần cuối cùng tôi nói chuyện với Robert, đây là những gì ông ấy nói:</w:t>
        <w:bookmarkStart w:id="181" w:name="high"/>
        <w:t/>
        <w:bookmarkEnd w:id="181"/>
        <w:t/>
      </w:r>
    </w:p>
    <w:p>
      <w:pPr>
        <w:pStyle w:val="Para 071"/>
      </w:pPr>
      <w:r>
        <w:t>Tôi có một khối lượng tới hạn các cá nhân trong cả đội ngũ nhân viên và hội đồng quản trị sẵn sàng nhìn nhận các thách thức của chúng tôi theo một cách mới và cùng nhau tìm giải pháp. Tại các cuộc họp của chúng tôi, năng lượng mới hiện diện. Những gì trước đây dường như không thể tưởng tượng được giờ đây dường như diễn ra một cách dễ dàng.</w:t>
      </w:r>
    </w:p>
    <w:p>
      <w:pPr>
        <w:pStyle w:val="Normal"/>
      </w:pPr>
      <w:r>
        <w:t>Bất kỳ CEO nào cũng sẽ vui mừng khi có thể nói những điều này. Nhưng sự thật là, đó không phải là một tình huống điển hình. Khi Robert chuyển sang trạng thái lãnh đạo cơ bản, nhóm của ông (khởi đầu ở trạng thái bình thường) đã trở nên sống động, được truyền năng lượng và tầm nhìn mới của ông. Ngay cả sau khi ông rời khỏi trạng thái cơ bản, nhóm vẫn duy trì một mức hiệu suất cao hơn. Nhóm tiếp tục phát triển mạnh mẽ, không có thay đổi nhân sự đáng kể hay tái cấu trúc.</w:t>
      </w:r>
    </w:p>
    <w:p>
      <w:pPr>
        <w:pStyle w:val="Normal"/>
      </w:pPr>
      <w:r>
        <w:t>Tất cả những điều này không xảy ra vì Robert đọc một cuốn sách hay một bài báo về các phương pháp hay nhất của một nhà lãnh đạo vĩ đại nào đó. Nó không xảy ra vì ông ấy bắt chước người khác. Nó xảy ra vì ông ấy bị đẩy ra khỏi vùng an toàn và buộc phải bước vào trạng thái lãnh đạo cơ bản. Ông ấy được thúc đẩy để làm rõ kết quả mình muốn tạo ra, hành động dũng cảm theo các giá trị cốt lõi của mình, từ bỏ lợi ích cá nhân vì lợi ích chung và cởi mở với việc học hỏi theo thời gian thực. Từ Robert và những người khác giống như ông, chúng ta có thể học được giá trị của việc thách thức bản thân theo cách này—một quá trình đau đớn nhưng có tiềm năng lớn để tạo ra tác động tích cực đến cuộc sống của chính chúng ta và những người xung quanh.</w:t>
      </w:r>
    </w:p>
    <w:p>
      <w:pPr>
        <w:pStyle w:val="Para 046"/>
      </w:pPr>
      <w:r>
        <w:t>Xuất bản lần đầu vào tháng 7 năm 2005. Tái bản R0507F</w:t>
      </w:r>
      <w:r>
        <w:rPr>
          <w:rStyle w:val="Text2"/>
        </w:rPr>
        <w:t xml:space="preserve"/>
      </w:r>
      <w:r>
        <w:rPr>
          <w:rStyle w:val="Text9"/>
        </w:rPr>
        <w:t/>
      </w:r>
    </w:p>
    <w:p>
      <w:bookmarkStart w:id="182" w:name="What_to_Ask_the_Person_in_the_Mi"/>
      <w:bookmarkStart w:id="183" w:name="Top_of_14_What_to_xhtml"/>
      <w:pPr>
        <w:pStyle w:val="Para 043"/>
        <w:pageBreakBefore w:val="on"/>
      </w:pPr>
      <w:r>
        <w:bookmarkStart w:id="184" w:name="What"/>
        <w:t>Nên hỏi gì người trong gương</w:t>
        <w:bookmarkEnd w:id="184"/>
        <w:t xml:space="preserve"/>
      </w:r>
      <w:bookmarkEnd w:id="182"/>
      <w:bookmarkEnd w:id="183"/>
    </w:p>
    <w:p>
      <w:pPr>
        <w:pStyle w:val="Para 045"/>
      </w:pPr>
      <w:r>
        <w:t>bởi Robert S. Kaplan</w:t>
      </w:r>
    </w:p>
    <w:p>
      <w:pPr>
        <w:pStyle w:val="Normal"/>
      </w:pPr>
      <w:r>
        <w:rPr>
          <w:rStyle w:val="Text4"/>
        </w:rPr>
        <w:t>NẾU BẠN GIỐNG như hầu hết các nhà lãnh đạo thành công, thì trong giai đoạn đầu sự nghiệp, bạn đã nhận được rất nhiều sự hướng dẫn và hỗ trợ. Bạn được theo dõi sát sao, được kèm cặp và cố vấn. Nhưng khi bạn thăng tiến trên nấc thang sự nghiệp, những nguồn phản hồi trung thực và hữu ích ngày càng ít đi, và sau một thời điểm nhất định, bạn gần như phải tự xoay xở một mình. Giờ đây, sếp của bạn—nếu bạn còn có sếp—không còn quan tâm nhiều đến những hành động hàng ngày của bạn nữa. Đến khi bất kỳ sai lầm nào lộ ra, có lẽ đã quá muộn để sửa chữa—hoặc sửa chữa nhận thức của sếp về bạn. Và đến khi những bước đi sai lầm trong quản lý ảnh hưởng tiêu cực đến kết quả kinh doanh, thì thường đã quá muộn để điều chỉnh nhằm đưa bạn trở lại đúng hướng.</w:t>
      </w:r>
      <w:r>
        <w:t xml:space="preserve"/>
      </w:r>
    </w:p>
    <w:p>
      <w:pPr>
        <w:pStyle w:val="Normal"/>
      </w:pPr>
      <w:r>
        <w:t>Dù bạn có tài năng và thành công đến đâu, bạn vẫn sẽ phạm sai lầm. Bạn sẽ hình thành những thói quen xấu. Thế giới sẽ thay đổi một cách tinh vi mà bạn không hề nhận ra, và những hành vi từng hiệu quả sẽ trở nên vô dụng. Trong suốt 22 năm sự nghiệp tại Goldman Sachs, tôi có cơ hội điều hành nhiều mảng kinh doanh khác nhau và làm việc hoặc kèm cặp nhiều nhà lãnh đạo doanh nghiệp. Tôi chủ trì các nỗ lực đào tạo lãnh đạo cấp cao của công ty và đồng chủ trì ủy ban đối tác, nơi tập trung vào việc đánh giá, thăng chức và phát triển các giám đốc điều hành. Qua trải nghiệm này và các cuộc phỏng vấn sau đó với rất nhiều nhà điều hành trong nhiều ngành nghề khác nhau, tôi nhận thấy rằng ngay cả những nhà lãnh đạo xuất sắc nhất cũng luôn phải vật lộn với những giai đoạn chệch hướng trong sự nghiệp của họ.</w:t>
      </w:r>
    </w:p>
    <w:p>
      <w:pPr>
        <w:pStyle w:val="Normal"/>
      </w:pPr>
      <w:r>
        <w:bookmarkStart w:id="185" w:name="It_s"/>
        <w:t>Thật khó để nhận ra điều đó khi bạn đang ở giữa cuộc chơi; những thay đổi trong môi trường, đối thủ cạnh tranh, hay thậm chí hoàn cảnh cá nhân có thể âm thầm khiến bạn mất phong độ. Tôi học được rằng một đặc điểm then chốt của những nhà lãnh đạo cực kỳ thành công không phải là họ tìm ra cách để luôn đi đúng hướng, mà là họ phát triển các kỹ thuật giúp họ nhận ra tình huống đang xấu đi và quay lại đúng quỹ đạo càng nhanh càng tốt. Theo kinh nghiệm của tôi, cách tốt nhất để làm điều đó là thường xuyên lùi lại, chẳng hạn ba đến sáu tháng một lần (và chắc chắn là bất cứ khi nào mọi thứ có vẻ không ổn), và thành thật tự hỏi bản thân một số câu hỏi về việc bạn đang làm như thế nào và bạn có thể cần làm gì khác đi. Nghe có vẻ đơn giản, nhưng mọi người thường bị sốc bởi chính câu trả lời của mình cho những câu hỏi cơ bản về quản lý và lãnh đạo.</w:t>
        <w:bookmarkEnd w:id="185"/>
        <w:t xml:space="preserve"/>
      </w:r>
    </w:p>
    <w:p>
      <w:pPr>
        <w:pStyle w:val="Normal"/>
      </w:pPr>
      <w:r>
        <w:t xml:space="preserve">Một quản lý tại một công ty dịch vụ tài chính lớn từng bị bỏ lỡ cơ hội thăng chức đã nói với tôi rằng anh ta khá bất ngờ với bản đánh giá cuối năm của mình, trong đó nêu bật một số vấn đề quản lý mà trước đây chưa từng được đề cập. Sếp của anh ta đọc một số nhận xét từ bản đánh giá chỉ trích anh ta giao tiếp kém, không thể trình bày rõ ràng chiến lược kinh doanh, và có xu hướng cô lập bản thân khỏi nhóm của mình. Anh ta tin rằng bản đánh giá đó là không công bằng. Sau 15 năm làm việc tại công ty, anh ta bắt đầu cảm thấy bối rối và bị hiểu lầm, và tự hỏi liệu mình còn tương lai ở đó hay không. Anh ta quyết định trực tiếp tìm kiếm phản hồi từ năm cộng sự chủ chốt và những người cộng tác lâu năm. Trong các cuộc gặp riêng, anh ta yêu cầu họ đưa ra phản hồi và lời khuyên thẳng thắn. Anh ta đã bị sốc khi nghe rằng họ rất chỉ trích một số hành động gần đây của anh ta, bối rối về định hướng anh ta muốn đưa doanh nghiệp đi theo, và cảm thấy anh ta không còn coi trọng ý kiến của họ nữa. Phản hồi của họ giúp anh ta nhận ra rằng mình đã quá đắm chìm vào công việc kinh doanh hàng ngày đến mức không lùi lại và suy nghĩ về những gì mình đang làm. Đây là một hồi chuông cảnh tỉnh nghiêm túc. Anh ta ngay lập tức thực hiện các bước để thay đổi hành vi và giải quyết những vấn đề này. Bản đánh giá năm sau của anh ta tốt hơn đáng kể, cuối cùng anh ta được thăng chức, và hiệu suất kinh doanh của bộ phận anh ta được cải thiện. Người quản lý này đã may mắn nhận được phản hồi kịp thời để đưa sự nghiệp trở lại đúng hướng, mặc dù anh ta hối tiếc rằng mình đã chờ đợi một bản đánh giá tiêu cực mới hỏi những câu hỏi cơ bản về hoạt động lãnh đạo của mình. Anh ta tự hứa sẽ không phạm sai lầm đó nữa.</w:t>
        <w:bookmarkStart w:id="186" w:name="basic"/>
        <w:t/>
        <w:bookmarkEnd w:id="186"/>
        <w:t xml:space="preserve"/>
      </w:r>
    </w:p>
    <w:p>
      <w:pPr>
        <w:pStyle w:val="Para 025"/>
      </w:pPr>
      <w:r>
        <w:t>Ý tưởng ngắn gọn</w:t>
      </w:r>
    </w:p>
    <w:p>
      <w:pPr>
        <w:pStyle w:val="Para 005"/>
      </w:pPr>
      <w:r>
        <w:t>Nếu bạn giống như hầu hết các nhà quản lý, thì càng lên cao trên nấc thang doanh nghiệp, bạn càng khó nhận được phản hồi thẳng thắn về hiệu suất của mình. Và nếu thiếu đi những ý kiến đóng góp quan trọng từ sếp và đồng nghiệp, bạn có thể phạm phải những sai lầm gây tổn hại không thể khắc phục cho tổ chức của mình—và danh tiếng của bạn.</w:t>
      </w:r>
    </w:p>
    <w:p>
      <w:pPr>
        <w:pStyle w:val="Para 005"/>
      </w:pPr>
      <w:r>
        <w:t xml:space="preserve">Làm thế nào để bạn biết mình thực sự đang làm việc như thế nào và tránh được những thảm họa kinh doanh? Kaplan khuyên bạn nên tự tìm câu trả lời. Hãy thường xuyên tự hỏi mình những câu hỏi như: “Tôi có truyền đạt tầm nhìn cho doanh nghiệp của mình tới nhân viên không?” “Tôi có đang sử dụng thời gian theo những cách giúp tôi đạt được các ưu tiên của mình không?” “Tôi có đưa ra phản hồi kịp thời và trực tiếp để mọi người có thể hành động không?” “Tôi cư xử thế nào dưới áp lực?”</w:t>
      </w:r>
      <w:r>
        <w:rPr>
          <w:rStyle w:val="Text0"/>
        </w:rPr>
        <w:t/>
      </w:r>
      <w:r>
        <w:t xml:space="preserve"/>
      </w:r>
      <w:r>
        <w:rPr>
          <w:rStyle w:val="Text0"/>
        </w:rPr>
        <w:t/>
      </w:r>
      <w:r>
        <w:t xml:space="preserve"/>
      </w:r>
    </w:p>
    <w:p>
      <w:pPr>
        <w:pStyle w:val="Para 005"/>
      </w:pPr>
      <w:r>
        <w:t xml:space="preserve">Việc đặt đúng câu hỏi quan trọng hơn nhiều so với việc có tất cả câu trả lời. Bằng cách áp dụng quy trình này, bạn giải quyết những thách thức lãnh đạo chắc chắn sẽ nảy sinh trong suốt sự nghiệp của mình—và tạo ra những kế hoạch mới để duy trì phong độ.</w:t>
      </w:r>
      <w:r>
        <w:rPr>
          <w:rStyle w:val="Text0"/>
        </w:rPr>
        <w:t/>
      </w:r>
      <w:r>
        <w:t xml:space="preserve"/>
      </w:r>
    </w:p>
    <w:p>
      <w:pPr>
        <w:pStyle w:val="Normal"/>
      </w:pPr>
      <w:r>
        <w:t>Trong bài viết này, tôi phác thảo bảy loại câu hỏi mà các nhà lãnh đạo nên tự hỏi mình một cách định kỳ. Tôi không cho rằng có một câu trả lời “đúng” cho bất kỳ câu hỏi nào trong số đó, hay tất cả chúng đều phù hợp với một nhà điều hành cụ thể tại bất kỳ thời điểm nào. Tôi chỉ gợi ý rằng các nhà điều hành thành công có thể thường xuyên cải thiện hiệu suất của mình và ngăn chặn các vấn đề kinh doanh nghiêm trọng bằng cách lùi lại và dành thời gian tự hỏi mình một số câu hỏi then chốt.</w:t>
      </w:r>
    </w:p>
    <w:p>
      <w:pPr>
        <w:pStyle w:val="Heading 1"/>
      </w:pPr>
      <w:r>
        <w:t>Tầm nhìn và Ưu tiên</w:t>
      </w:r>
    </w:p>
    <w:p>
      <w:pPr>
        <w:pStyle w:val="Normal"/>
      </w:pPr>
      <w:r>
        <w:t xml:space="preserve">Thật ngạc nhiên khi các nhà lãnh đạo doanh nghiệp thường không tự hỏi: Tôi có thường xuyên truyền đạt tầm nhìn và các ưu tiên cho doanh nghiệp của mình không? Nhân viên của tôi, nếu được hỏi, có thể trình bày rõ ràng tầm nhìn và các ưu tiên đó không? Nhiều nhà lãnh đạo, trên lý thuyết, có rất nhiều tài năng lãnh đạo: kỹ năng giao tiếp, chiến lược và phân tích; khả năng xây dựng đội nhóm; và chắc chắn là khả năng phát triển tầm nhìn. Thật không may, trong guồng quay của các hoạt động hàng ngày, họ thường không truyền đạt đầy đủ tầm nhìn cho tổ chức, và đặc biệt, họ không truyền đạt theo cách giúp nhân viên hiểu họ cần phải làm gì để thúc đẩy doanh nghiệp. Rất khó để lãnh đạo mọi người nếu họ không nắm chắc họ đang hướng tới đâu và điều gì được kỳ vọng ở họ.</w:t>
      </w:r>
      <w:r>
        <w:rPr>
          <w:rStyle w:val="Text0"/>
        </w:rPr>
        <w:t/>
      </w:r>
      <w:r>
        <w:t xml:space="preserve"/>
        <w:bookmarkStart w:id="187" w:name="don_t"/>
        <w:t/>
        <w:bookmarkEnd w:id="187"/>
        <w:t xml:space="preserve"/>
      </w:r>
    </w:p>
    <w:p>
      <w:pPr>
        <w:pStyle w:val="Para 025"/>
      </w:pPr>
      <w:r>
        <w:t>Ý tưởng trong thực hành</w:t>
      </w:r>
    </w:p>
    <w:p>
      <w:pPr>
        <w:pStyle w:val="Para 005"/>
      </w:pPr>
      <w:r>
        <w:t>Kaplan gợi ý bạn nên định kỳ tự hỏi mình những câu hỏi liên quan đến bảy thách thức lãnh đạo.</w:t>
      </w:r>
    </w:p>
    <w:p>
      <w:pPr>
        <w:pStyle w:val="Para 061"/>
      </w:pPr>
      <w:r>
        <w:drawing>
          <wp:anchor distL="0" distR="0" distT="0" distB="0" simplePos="0" relativeHeight="1" behindDoc="0" locked="0" layoutInCell="1" allowOverlap="1">
            <wp:simplePos x="0" y="0"/>
            <wp:positionH relativeFrom="margin">
              <wp:align>center</wp:align>
            </wp:positionH>
            <wp:positionV relativeFrom="line">
              <wp:align>top</wp:align>
            </wp:positionV>
            <wp:extent cx="5041900" cy="4318000"/>
            <wp:effectExtent l="0" r="0" t="0" b="0"/>
            <wp:wrapTopAndBottom/>
            <wp:docPr id="13" name="158_1.png" descr="158_1.png"/>
            <wp:cNvGraphicFramePr>
              <a:graphicFrameLocks noChangeAspect="1"/>
            </wp:cNvGraphicFramePr>
            <a:graphic>
              <a:graphicData uri="http://schemas.openxmlformats.org/drawingml/2006/picture">
                <pic:pic>
                  <pic:nvPicPr>
                    <pic:cNvPr id="0" name="158_1.png" descr="158_1.png"/>
                    <pic:cNvPicPr/>
                  </pic:nvPicPr>
                  <pic:blipFill>
                    <a:blip r:embed="rId17"/>
                    <a:stretch>
                      <a:fillRect/>
                    </a:stretch>
                  </pic:blipFill>
                  <pic:spPr>
                    <a:xfrm>
                      <a:off x="0" y="0"/>
                      <a:ext cx="5041900" cy="4318000"/>
                    </a:xfrm>
                    <a:prstGeom prst="rect">
                      <a:avLst/>
                    </a:prstGeom>
                  </pic:spPr>
                </pic:pic>
              </a:graphicData>
            </a:graphic>
          </wp:anchor>
        </w:drawing>
      </w:r>
    </w:p>
    <w:p>
      <w:pPr>
        <w:pStyle w:val="Para 061"/>
      </w:pPr>
      <w:r>
        <w:bookmarkStart w:id="188" w:name="page_151"/>
        <w:t/>
        <w:bookmarkEnd w:id="188"/>
        <w:drawing>
          <wp:inline>
            <wp:extent cx="5041900" cy="5168900"/>
            <wp:effectExtent l="0" r="0" t="0" b="0"/>
            <wp:docPr id="14" name="159_1.png" descr="159_1.png"/>
            <wp:cNvGraphicFramePr>
              <a:graphicFrameLocks noChangeAspect="1"/>
            </wp:cNvGraphicFramePr>
            <a:graphic>
              <a:graphicData uri="http://schemas.openxmlformats.org/drawingml/2006/picture">
                <pic:pic>
                  <pic:nvPicPr>
                    <pic:cNvPr id="0" name="159_1.png" descr="159_1.png"/>
                    <pic:cNvPicPr/>
                  </pic:nvPicPr>
                  <pic:blipFill>
                    <a:blip r:embed="rId18"/>
                    <a:stretch>
                      <a:fillRect/>
                    </a:stretch>
                  </pic:blipFill>
                  <pic:spPr>
                    <a:xfrm>
                      <a:off x="0" y="0"/>
                      <a:ext cx="5041900" cy="5168900"/>
                    </a:xfrm>
                    <a:prstGeom prst="rect">
                      <a:avLst/>
                    </a:prstGeom>
                  </pic:spPr>
                </pic:pic>
              </a:graphicData>
            </a:graphic>
          </wp:inline>
        </w:drawing>
      </w:r>
    </w:p>
    <w:p>
      <w:pPr>
        <w:pStyle w:val="Normal"/>
      </w:pPr>
      <w:r>
        <w:t xml:space="preserve">Đây là vấn đề tại một công ty lớn thuộc Fortune 200 đã quyết định đầu tư vào 1.000 nhà quản lý hàng đầu của mình bằng cách cho họ tham gia một chương trình đào tạo quản lý chuyên sâu kéo dài hai ngày, mỗi đợt 100 người. Trước mỗi khóa học, những người tham gia trải qua một bài đánh giá 360 độ không mang tính đánh giá, trong đó các yếu tố quan trọng trong hiệu suất cá nhân của họ được xếp hạng bởi mười cấp dưới. Ban quản lý cấp cao của công ty xem xét kết quả, tập trung vào năm đặc điểm hàng đầu và năm đặc điểm kém nhất của mỗi nhóm. Mặc dù đây là một công ty được quản lý cực kỳ tốt, khả năng trình bày rõ ràng tầm nhìn vẫn xếp ở nhóm năm đặc điểm kém nhất đối với hầu hết mọi nhóm. Các nhà quản lý tại công ty đó có trình bày rõ tầm nhìn, nhưng phản hồi từ cấp dưới của họ cho thấy rõ ràng rằng họ không truyền đạt tầm nhìn đó thường xuyên hoặc đủ rõ ràng để đáp ứng nhu cầu hướng dẫn to lớn của nhân viên.</w:t>
      </w:r>
      <w:r>
        <w:rPr>
          <w:rStyle w:val="Text0"/>
        </w:rPr>
        <w:t/>
      </w:r>
      <w:r>
        <w:t xml:space="preserve"/>
      </w:r>
    </w:p>
    <w:p>
      <w:pPr>
        <w:pStyle w:val="Normal"/>
      </w:pPr>
      <w:r>
        <w:t xml:space="preserve">Nhân viên muốn biết doanh nghiệp đang đi về đâu và họ cần tập trung vào điều gì. Khi thế giới thay đổi, họ muốn biết tầm nhìn và các ưu tiên kinh doanh có thể thay đổi theo đó như thế nào. Mặc dù các nhà quản lý được dạy phải chủ động giao tiếp, nhiều người hoặc vô tình giao tiếp chưa đủ hoặc không trình bày rõ các ưu tiên cụ thể để tạo ý nghĩa cho tầm nhìn của họ. Dù bạn có nghĩ mình thảo luận về tầm nhìn và chiến lược thường xuyên đến đâu, bạn có thể vẫn chưa làm điều đó đủ thường xuyên hoặc đủ chi tiết để đáp ứng nhu cầu của nhân viên. Hãy nhìn vào CEO của một công ty công nghệ sinh học mới nổi, người khá thất vọng với những gì ông coi là sự thiếu đồng thuận trong đội ngũ quản lý cấp cao của mình. Ông tin tưởng mạnh mẽ rằng công ty cần thực hiện một đợt huy động vốn cổ phần đáng kể trong vòng 18 tháng tới, nhưng các quản lý cấp cao của ông muốn chờ vài năm cho đến khi hai hoặc ba loại thuốc chủ chốt của công ty tiến xa hơn trong quy trình phê duyệt của FDA. Họ muốn kể câu chuyện của mình với các nhà đầu tư khi công ty gần tạo ra doanh thu hơn. Khi tôi hỏi ông về tầm nhìn cho công ty, vị CEO ngượng ngùng nhận ra rằng ông chưa bao giờ thực sự viết ra một bản tuyên bố tầm nhìn. Ông có một kế hoạch chiến thuật được trình bày rõ ràng liên quan đến từng nỗ lực sản phẩm cụ thể của công ty nhưng không có tầm nhìn hoàn chỉnh để cung cấp bối cảnh sâu hơn cho những nỗ lực này. Ông quyết định tổ chức một cuộc họp ngoài công ty cho đội ngũ quản lý cấp cao của mình để thảo luận và trình bày rõ ràng một tầm nhìn cho công ty.</w:t>
        <w:bookmarkStart w:id="189" w:name="the_2"/>
        <w:t/>
        <w:bookmarkEnd w:id="189"/>
        <w:t xml:space="preserve"/>
      </w:r>
    </w:p>
    <w:p>
      <w:pPr>
        <w:pStyle w:val="Normal"/>
      </w:pPr>
      <w:r>
        <w:t>Sau một cuộc tranh luận sôi nổi, nhóm nhanh chóng thống nhất về tầm nhìn và các ưu tiên chiến lược. Họ nhận ra rằng để đạt được các mục tiêu chung, doanh nghiệp thực sự sẽ cần nguồn tài chính đáng kể sớm hơn là muộn hơn—hoặc họ sẽ cần cắt giảm một số sáng kiến vốn là trọng tâm trong tầm nhìn của họ cho công ty. Một khi họ hoàn toàn hiểu được sự đánh đổi này, họ hiểu những gì CEO đang cố gắng đạt được và rời cuộc họp với sự thống nhất về chiến lược tài chính của mình. Vị CEO khá ngạc nhiên về việc dễ dàng tập hợp các thành viên trong đội ngũ lãnh đạo của mình đến vậy. Bởi vì họ đồng ý về hướng đi của công ty, các vấn đề cụ thể trở nên dễ giải quyết hơn nhiều.</w:t>
      </w:r>
    </w:p>
    <w:p>
      <w:pPr>
        <w:pStyle w:val="Normal"/>
      </w:pPr>
      <w:r>
        <w:t xml:space="preserve">Một cạm bẫy phổ biến khi trình bày tầm nhìn là không thể cô đọng nó thành một danh sách các sáng kiến có thể quản lý được. Việc chọn lọc danh sách đòi hỏi phải suy nghĩ thấu đáo và sau đó đưa ra những lựa chọn khó khăn và quyết định đánh đổi. Những lựa chọn này truyền đạt rất nhiều điều tới nhân viên của bạn về cách họ nên sử dụng thời gian của mình. Tôi đã nói chuyện với người quản lý của một lực lượng bán hàng toàn quốc, người cảm thấy thất vọng vì các báo cáo trực tiếp của mình không tập trung vào các nhiệm vụ cần thiết để đạt được mục tiêu bán hàng khu vực tương ứng của họ. Kết quả là, doanh số tăng trưởng chậm hơn so với ngân sách đặt ra vào đầu năm. Khi tôi yêu cầu anh ta liệt kê ba đến năm ưu tiên chính mà anh ta mong đợi nhân viên bán hàng của mình tập trung vào, anh ta dừng lại và sau đó giải thích rằng có 15 ưu tiên và sẽ rất khó để thu hẹp danh sách xuống còn năm.</w:t>
        <w:bookmarkStart w:id="190" w:name="national"/>
        <w:t/>
        <w:bookmarkEnd w:id="190"/>
        <w:t xml:space="preserve"/>
      </w:r>
    </w:p>
    <w:p>
      <w:pPr>
        <w:pStyle w:val="Normal"/>
      </w:pPr>
      <w:r>
        <w:t>Ngay khi anh ta nói, một tia sáng lóe lên trong đầu anh ta. Anh ta nhận ra lý do tại sao có thể có sự lệch pha giữa anh ta và nhân viên của mình: Họ không biết chính xác anh ta muốn gì vì anh ta đã không nói cho họ biết theo cách được ưu tiên hóa, và do đó có thể hành động được. Anh ta suy ngẫm về vấn đề này trong hai tuần tiếp theo, suy nghĩ rất lâu về kinh nghiệm của chính mình khi còn là quản lý khu vực và tham khảo ý kiến của nhiều đồng nghiệp khác nhau. Sau đó, anh ta chọn ra ba ưu tiên mà anh ta cảm thấy quan trọng để đạt được tăng trưởng doanh số. Quan trọng nhất trong số này liên quan đến một hoạt động nhắm mục tiêu kinh doanh mới lớn, tiếp theo là một nỗ lực gọi điện chào hàng khách hàng tiềm năng đáng kể. Các quản lý khu vực ngay lập tức hiểu ra và bắt đầu tập trung vào các sáng kiến này. Thực tế là có 15 ưu tiên cũng giống như không có ưu tiên nào cả. Các nhà quản lý có trách nhiệm chuyển tầm nhìn của họ thành một số lượng ưu tiên có thể quản lý được mà cấp dưới của họ có thể hiểu và hành động.</w:t>
      </w:r>
    </w:p>
    <w:p>
      <w:pPr>
        <w:pStyle w:val="Normal"/>
      </w:pPr>
      <w:r>
        <w:t>Việc không truyền đạt tầm nhìn và các ưu tiên của bạn gây ra những chi phí trực tiếp cho bạn về mặt thời gian và hiệu quả kinh doanh. Thật khó để ủy quyền nếu nhân viên của bạn không có cảm nhận tốt về bức tranh toàn cảnh; do đó, cuối cùng bạn phải tự mình làm nhiều việc hơn. Vấn đề này có thể lan rộng khắp tổ chức nếu các báo cáo trực tiếp của bạn, đến lượt họ, không thể truyền đạt tầm nhìn và tận dụng hiệu quả cấp dưới của chính họ.</w:t>
      </w:r>
    </w:p>
    <w:p>
      <w:pPr>
        <w:pStyle w:val="Heading 1"/>
      </w:pPr>
      <w:r>
        <w:t>Quản lý Thời gian</w:t>
      </w:r>
    </w:p>
    <w:p>
      <w:pPr>
        <w:pStyle w:val="Normal"/>
      </w:pPr>
      <w:r>
        <w:t xml:space="preserve">Lĩnh vực thứ hai cần tự vấn đơn giản một cách đau đớn và liên quan chặt chẽ đến lĩnh vực thứ nhất: Tôi đang sử dụng thời gian của mình như thế nào? Một khi bạn biết các ưu tiên của mình, bạn cần xác định liệu bạn có đang sử dụng thời gian—tài sản quý giá nhất của bạn—theo cách cho phép bạn đạt được chúng hay không. Ví dụ, nếu hai ưu tiên hàng đầu của bạn là phát triển nhân tài cấp cao và mở rộng toàn cầu, nhưng bạn lại dành phần lớn thời gian cho các vấn đề hành chính và vận hành trong nước mà lẽ ra có thể ủy quyền, thì bạn cần nhận ra có sự lệch pha và tốt hơn hết là thực hiện một số thay đổi.</w:t>
      </w:r>
      <w:r>
        <w:rPr>
          <w:rStyle w:val="Text0"/>
        </w:rPr>
        <w:t/>
      </w:r>
      <w:r>
        <w:t xml:space="preserve"/>
        <w:bookmarkStart w:id="191" w:name="time"/>
        <w:t/>
        <w:bookmarkEnd w:id="191"/>
        <w:t xml:space="preserve"/>
      </w:r>
    </w:p>
    <w:p>
      <w:pPr>
        <w:pStyle w:val="Para 049"/>
      </w:pPr>
      <w:r>
        <w:bookmarkStart w:id="192" w:name="Testing"/>
        <w:t>Tự kiểm tra bản thân</w:t>
        <w:bookmarkEnd w:id="192"/>
        <w:t xml:space="preserve"/>
      </w:r>
    </w:p>
    <w:p>
      <w:pPr>
        <w:pStyle w:val="Para 007"/>
      </w:pPr>
      <w:r>
        <w:t>Để đánh giá hiệu suất của bạn và đi đúng hướng, bạn nên lùi lại và tự hỏi mình một số câu hỏi then chốt.</w:t>
      </w:r>
    </w:p>
    <w:p>
      <w:pPr>
        <w:pStyle w:val="Para 051"/>
      </w:pPr>
      <w:r>
        <w:t>Tầm nhìn và Ưu tiên</w:t>
      </w:r>
    </w:p>
    <w:p>
      <w:pPr>
        <w:pStyle w:val="Para 007"/>
      </w:pPr>
      <w:r>
        <w:t>Trong guồng quay của các hoạt động hàng ngày, các nhà lãnh đạo thường không truyền đạt đầy đủ tầm nhìn của họ cho tổ chức, và đặc biệt, họ không truyền đạt theo cách giúp cấp dưới xác định nơi cần tập trung nỗ lực của chính họ.</w:t>
      </w:r>
    </w:p>
    <w:p>
      <w:pPr>
        <w:pStyle w:val="Para 028"/>
      </w:pPr>
      <w:r>
        <w:t>Tôi có thường xuyên truyền đạt tầm nhìn cho doanh nghiệp của mình không?</w:t>
      </w:r>
    </w:p>
    <w:p>
      <w:pPr>
        <w:pStyle w:val="Para 028"/>
      </w:pPr>
      <w:r>
        <w:t>Tôi đã xác định và truyền đạt ba đến năm ưu tiên chính để đạt được tầm nhìn đó chưa?</w:t>
      </w:r>
    </w:p>
    <w:p>
      <w:pPr>
        <w:pStyle w:val="Para 028"/>
      </w:pPr>
      <w:r>
        <w:t>Nếu được hỏi, nhân viên của tôi có thể trình bày rõ ràng tầm nhìn và các ưu tiên không?</w:t>
      </w:r>
    </w:p>
    <w:p>
      <w:pPr>
        <w:pStyle w:val="Para 051"/>
      </w:pPr>
      <w:r>
        <w:t>Quản lý Thời gian</w:t>
      </w:r>
    </w:p>
    <w:p>
      <w:pPr>
        <w:pStyle w:val="Para 007"/>
      </w:pPr>
      <w:r>
        <w:t>Các nhà lãnh đạo cần biết họ đang sử dụng thời gian của mình như thế nào. Họ cũng cần đảm bảo rằng việc phân bổ thời gian của họ (và của cấp dưới) phù hợp với các ưu tiên chính của họ.</w:t>
      </w:r>
    </w:p>
    <w:p>
      <w:pPr>
        <w:pStyle w:val="Para 028"/>
      </w:pPr>
      <w:r>
        <w:t>Tôi đang sử dụng thời gian của mình như thế nào? Việc đó có khớp với những ưu tiên chính của tôi không?</w:t>
      </w:r>
    </w:p>
    <w:p>
      <w:pPr>
        <w:pStyle w:val="Para 028"/>
      </w:pPr>
      <w:r>
        <w:t>Cấp dưới của tôi đang sử dụng thời gian ra sao? Điều đó có khớp với những ưu tiên chính của doanh nghiệp không?</w:t>
      </w:r>
    </w:p>
    <w:p>
      <w:pPr>
        <w:pStyle w:val="Para 051"/>
      </w:pPr>
      <w:r>
        <w:t>Phản hồi</w:t>
      </w:r>
    </w:p>
    <w:p>
      <w:pPr>
        <w:pStyle w:val="Para 007"/>
      </w:pPr>
      <w:r>
        <w:t>Các nhà lãnh đạo thường không huấn luyện nhân viên một cách trực tiếp và kịp thời, thay vào đó lại chờ đến kỳ đánh giá cuối năm. Cách tiếp cận này có thể dẫn đến những bất ngờ khó chịu và làm suy yếu sự phát triển chuyên môn hiệu quả. Quan trọng không kém, các nhà lãnh đạo cần xây dựng đội ngũ cấp dưới có thể cho họ lời khuyên và phản hồi trong suốt cả năm.</w:t>
      </w:r>
    </w:p>
    <w:p>
      <w:pPr>
        <w:pStyle w:val="Para 028"/>
      </w:pPr>
      <w:r>
        <w:t>Tôi có đưa ra phản hồi kịp thời và trực tiếp để mọi người có thể hành động không?</w:t>
      </w:r>
    </w:p>
    <w:p>
      <w:pPr>
        <w:pStyle w:val="Para 028"/>
      </w:pPr>
      <w:r>
        <w:t>Tôi có năm hoặc sáu cấp dưới trẻ sẵn sàng nói với tôi những điều tôi có thể không muốn nghe nhưng cần phải nghe không?</w:t>
      </w:r>
    </w:p>
    <w:p>
      <w:pPr>
        <w:pStyle w:val="Para 051"/>
      </w:pPr>
      <w:r>
        <w:t>Lập kế hoạch kế nhiệm</w:t>
      </w:r>
    </w:p>
    <w:p>
      <w:pPr>
        <w:pStyle w:val="Para 007"/>
      </w:pPr>
      <w:r>
        <w:t>Khi các nhà lãnh đạo không chủ động lập kế hoạch cho người kế nhiệm, họ không giao quyền đầy đủ và có thể trở thành nút thắt trong việc ra quyết định. Những nhân viên chủ chốt có thể rời đi nếu họ không được chủ động bồi dưỡng và thử thách.</w:t>
      </w:r>
    </w:p>
    <w:p>
      <w:pPr>
        <w:pStyle w:val="Para 028"/>
      </w:pPr>
      <w:r>
        <w:bookmarkStart w:id="193" w:name="Have"/>
        <w:t>Ít nhất trong suy nghĩ của mình, tôi đã chọn được một hoặc nhiều người kế nhiệm tiềm năng chưa?</w:t>
        <w:bookmarkEnd w:id="193"/>
        <w:t xml:space="preserve"/>
      </w:r>
    </w:p>
    <w:p>
      <w:pPr>
        <w:pStyle w:val="Para 028"/>
      </w:pPr>
      <w:r>
        <w:t>Tôi có đang huấn luyện họ và giao cho họ những nhiệm vụ đầy thử thách không?</w:t>
      </w:r>
    </w:p>
    <w:p>
      <w:pPr>
        <w:pStyle w:val="Para 028"/>
      </w:pPr>
      <w:r>
        <w:t>Tôi có đang giao quyền đầy đủ không? Tôi có trở thành nút thắt trong việc ra quyết định không?</w:t>
      </w:r>
    </w:p>
    <w:p>
      <w:pPr>
        <w:pStyle w:val="Para 051"/>
      </w:pPr>
      <w:r>
        <w:t>Đánh giá và điều chỉnh cho phù hợp</w:t>
      </w:r>
    </w:p>
    <w:p>
      <w:pPr>
        <w:pStyle w:val="Para 007"/>
      </w:pPr>
      <w:r>
        <w:t>Thế giới luôn thay đổi, và các nhà lãnh đạo cần có khả năng điều chỉnh doanh nghiệp của mình cho phù hợp.</w:t>
      </w:r>
    </w:p>
    <w:p>
      <w:pPr>
        <w:pStyle w:val="Para 028"/>
      </w:pPr>
      <w:r>
        <w:t>Thiết kế của công ty tôi có còn phù hợp với những yếu tố thành công then chốt của doanh nghiệp không?</w:t>
      </w:r>
    </w:p>
    <w:p>
      <w:pPr>
        <w:pStyle w:val="Para 028"/>
      </w:pPr>
      <w:r>
        <w:t>Nếu tôi phải thiết kế lại doanh nghiệp của mình từ đầu, tôi sẽ thiết kế nó như thế nào? Nó sẽ khác gì so với thiết kế hiện tại?</w:t>
      </w:r>
    </w:p>
    <w:p>
      <w:pPr>
        <w:pStyle w:val="Para 028"/>
      </w:pPr>
      <w:r>
        <w:t>Tôi có nên thành lập một nhóm đặc nhiệm gồm các cấp dưới để trả lời những câu hỏi này và đưa ra khuyến nghị cho tôi không?</w:t>
      </w:r>
    </w:p>
    <w:p>
      <w:pPr>
        <w:pStyle w:val="Para 051"/>
      </w:pPr>
      <w:r>
        <w:t>Lãnh đạo dưới áp lực</w:t>
      </w:r>
    </w:p>
    <w:p>
      <w:pPr>
        <w:pStyle w:val="Para 007"/>
      </w:pPr>
      <w:r>
        <w:t>Hành động của nhà lãnh đạo trong những lúc căng thẳng được cấp dưới quan sát chặt chẽ và có tác động sâu sắc đến văn hóa của công ty cũng như hành vi của nhân viên. Những nhà lãnh đạo thành công cần nhận thức được các yếu tố gây căng thẳng của chính mình và chủ động điều chỉnh hành vi trong những giai đoạn này để đảm bảo họ hành động theo cách nhất quán với niềm tin và giá trị cốt lõi của mình.</w:t>
      </w:r>
    </w:p>
    <w:p>
      <w:pPr>
        <w:pStyle w:val="Para 028"/>
      </w:pPr>
      <w:r>
        <w:t>Những loại sự kiện nào tạo áp lực cho tôi?</w:t>
      </w:r>
    </w:p>
    <w:p>
      <w:pPr>
        <w:pStyle w:val="Para 028"/>
      </w:pPr>
      <w:r>
        <w:t>Tôi cư xử thế nào dưới áp lực?</w:t>
      </w:r>
    </w:p>
    <w:p>
      <w:pPr>
        <w:pStyle w:val="Para 028"/>
      </w:pPr>
      <w:r>
        <w:t>Tôi đang gửi tín hiệu gì cho cấp dưới? Những tín hiệu này có hữu ích không, hay chúng đang làm suy yếu sự thành công của doanh nghiệp tôi?</w:t>
      </w:r>
    </w:p>
    <w:p>
      <w:pPr>
        <w:pStyle w:val="Para 051"/>
      </w:pPr>
      <w:r>
        <w:t>Sống thật với chính mình</w:t>
      </w:r>
    </w:p>
    <w:p>
      <w:pPr>
        <w:pStyle w:val="Para 007"/>
      </w:pPr>
      <w:r>
        <w:t>Các nhà điều hành thành công phát triển phong cách lãnh đạo phù hợp với nhu cầu của doanh nghiệp nhưng cũng phù hợp với niềm tin và tính cách của chính họ.</w:t>
      </w:r>
    </w:p>
    <w:p>
      <w:pPr>
        <w:pStyle w:val="Para 028"/>
      </w:pPr>
      <w:r>
        <w:t>Phong cách lãnh đạo của tôi có thoải mái không? Nó có phản ánh con người thật của tôi không?</w:t>
      </w:r>
    </w:p>
    <w:p>
      <w:pPr>
        <w:pStyle w:val="Para 028"/>
      </w:pPr>
      <w:r>
        <w:t>Tôi có đủ quyết đoán không, hay tôi đã trở nên do dự?</w:t>
      </w:r>
    </w:p>
    <w:p>
      <w:pPr>
        <w:pStyle w:val="Para 028"/>
      </w:pPr>
      <w:r>
        <w:t>Tôi có quá cẩn trọng về mặt chính trị không?</w:t>
      </w:r>
    </w:p>
    <w:p>
      <w:pPr>
        <w:pStyle w:val="Para 028"/>
      </w:pPr>
      <w:r>
        <w:t>Việc lo lắng về thăng tiến hay tiền thưởng sắp tới có khiến tôi nương tay hoặc ngần ngại bày tỏ quan điểm của mình không?</w:t>
      </w:r>
    </w:p>
    <w:p>
      <w:pPr>
        <w:pStyle w:val="Normal"/>
      </w:pPr>
      <w:r>
        <w:t>Đó là một câu hỏi rất đơn giản, nhưng nhiều nhà lãnh đạo, kể cả tôi, đôi khi không thể trả lời chính xác. Khi các nhà lãnh đạo cuối cùng cũng theo dõi thời gian của mình, họ thường ngạc nhiên với những gì họ phát hiện ra. Hầu hết chúng ta đều trải qua những giai đoạn mà các sự kiện bất ngờ và sự hỗn loạn hàng ngày khiến chúng ta phản ứng thay vì hành động theo một kế hoạch đã định. Khủng hoảng, bất ngờ, vấn đề nhân sự và những gián đoạn khiến tuần làm việc trở nên mờ nhạt. Tôi đã khuyên nhiều nhà lãnh đạo theo dõi cách họ sử dụng từng giờ mỗi ngày trong một tuần, sau đó phân loại số giờ thành các loại hoạt động: phát triển kinh doanh, quản lý con người và hoạch định chiến lược chẳng hạn. Đối với hầu hết các nhà điều hành, kết quả của bài tập này rất đáng kinh ngạc—thậm chí là đáng sợ—với sự chênh lệch rõ ràng giữa những ưu tiên hàng đầu của họ và cách họ đang sử dụng thời gian.</w:t>
      </w:r>
    </w:p>
    <w:p>
      <w:pPr>
        <w:pStyle w:val="Normal"/>
      </w:pPr>
      <w:r>
        <w:t>Ví dụ, CEO của một công ty sản xuất quy mô vừa rất bực bội vì ông làm việc 70 giờ một tuần và dường như không bao giờ theo kịp. Cuộc sống gia đình của ông bị ảnh hưởng, và tại nơi làm việc, ông liên tục không có mặt cho nhân viên và khách hàng lớn của mình. Tôi đề nghị ông lùi lại và xem xét cách ông quản lý thời gian của mình theo từng giờ trong suốt một tuần. Chúng tôi ngồi lại để xem xét kết quả và nhận thấy ông đang dành một lượng thời gian đáng kể để phê duyệt chi tiêu của công ty, một số chỉ khoảng 500 đô la—trong khi đây là một doanh nghiệp có doanh thu 500 triệu đô la. Ngồi trong văn phòng của tôi, ông cố gắng giải thích tại sao ông chưa giao bớt phần trách nhiệm này; hóa ra hoạt động này là tàn dư từ thời công ty còn nhỏ hơn nhiều. Bằng cách giao quyền phê duyệt các chi phí hoạt động định kỳ dưới 25.000 đô la, ông nhận ra mình có thể tiết kiệm tới 15 giờ mỗi tuần. Ông đã rất ngạc nhiên vì mình không nhận ra vấn đề này và thực hiện thay đổi đơn giản này sớm hơn nhiều.</w:t>
      </w:r>
    </w:p>
    <w:p>
      <w:pPr>
        <w:pStyle w:val="Normal"/>
      </w:pPr>
      <w:r>
        <w:t xml:space="preserve">Cách bạn sử dụng thời gian là một câu hỏi quan trọng không chỉ cho bạn mà còn cho cả nhóm của bạn. Mọi người có xu hướng học theo nhà lãnh đạo khi nói đến quản lý thời gian—do đó, bạn muốn đảm bảo có sự khớp nhau giữa hành động của bạn, các ưu tiên kinh doanh của bạn và các hoạt động của nhóm bạn. CEO của một công ty dịch vụ chuyên nghiệp 300 người đang phát triển nhanh chóng cảm thấy rằng, để xây dựng doanh nghiệp, các nhà quản lý cấp cao cần phát triển mối quan hệ mạnh mẽ và thực chất hơn với khách hàng. Điều này có nghĩa là các chuyên gia cấp cao sẽ cần dành nhiều thời gian hơn đáng kể ra khỏi văn phòng để gặp gỡ khách hàng. Khi được hỏi thời gian của chính ông được sử dụng như thế nào, vị CEO không thể trả lời. Sau khi theo dõi trong một tuần, ông đã bị sốc khi phát hiện ra mình đang dành một lượng thời gian khổng lồ cho các hoạt động hành chính liên quan đến việc quản lý công ty. Ông nhận ra rằng mức độ chú ý mà ông dành cho những việc này không phản ánh các ưu tiên của doanh nghiệp và đang gửi một thông điệp gây bối rối cho nhân viên của mình. Ông ngay lập tức bắt đầu thúc đẩy bản thân giao bớt một số nhiệm vụ hành chính này và tăng thời gian đi gặp khách hàng, tạo ra một tấm gương mạnh mẽ cho nhân viên của mình. Ông yêu cầu từng nhà quản lý cấp cao của mình thực hiện một bài tập phân bổ thời gian tương tự để đảm bảo họ dành đủ thời gian cho khách hàng.</w:t>
        <w:bookmarkStart w:id="194" w:name="professional"/>
        <w:t/>
        <w:bookmarkEnd w:id="194"/>
        <w:t xml:space="preserve"/>
      </w:r>
    </w:p>
    <w:p>
      <w:pPr>
        <w:pStyle w:val="Normal"/>
      </w:pPr>
      <w:r>
        <w:t>Tất nhiên, cách một nhà lãnh đạo sử dụng thời gian của mình phải được điều chỉnh cho phù hợp với nhu cầu của doanh nghiệp, vốn có thể thay đổi tùy theo thời điểm trong năm, biến động nhân sự và các yếu tố bên ngoài. Điểm mấu chốt ở đây là, dù bạn quyết định thế nào, việc phân bổ thời gian cần phải là một quyết định có ý thức, phù hợp với tầm nhìn và các ưu tiên của bạn cho doanh nghiệp. Với áp lực điều hành doanh nghiệp, rất dễ mất tập trung, vì vậy điều quan trọng là bạn phải tự hỏi mình câu hỏi này một cách định kỳ. Cũng giống như việc bạn lùi lại để xem xét một quyết định đầu tư lớn, bạn cần phải xem xét một cách khách quan cách bạn đầu tư thời gian của mình.</w:t>
      </w:r>
    </w:p>
    <w:p>
      <w:pPr>
        <w:pStyle w:val="Heading 1"/>
      </w:pPr>
      <w:r>
        <w:t>Phản hồi</w:t>
      </w:r>
    </w:p>
    <w:p>
      <w:pPr>
        <w:pStyle w:val="Para 108"/>
      </w:pPr>
      <w:r>
        <w:rPr>
          <w:rStyle w:val="Text0"/>
        </w:rPr>
        <w:t xml:space="preserve">Khi nghĩ về cách bạn tiếp cận việc phản hồi, trước tiên bạn nên tự hỏi: Tôi có đưa ra phản hồi kịp thời, trực tiếp và mang tính xây dựng cho mọi người không? Và thứ hai: Tôi có năm hoặc sáu nhân viên cấp dưới sẵn sàng nói với tôi những điều tôi không muốn nghe nhưng cần phải nghe không?</w:t>
      </w:r>
      <w:r>
        <w:t/>
      </w:r>
      <w:r>
        <w:rPr>
          <w:rStyle w:val="Text0"/>
        </w:rPr>
        <w:t xml:space="preserve"/>
      </w:r>
      <w:r>
        <w:t/>
      </w:r>
    </w:p>
    <w:p>
      <w:pPr>
        <w:pStyle w:val="Normal"/>
      </w:pPr>
      <w:r>
        <w:t xml:space="preserve">Nếu họ giống như hầu hết những nhân viên đầy tham vọng, cấp dưới của bạn muốn được huấn luyện và phát triển một cách trung thực và trực tiếp. Họ muốn nhận được phản hồi khi vẫn còn cơ hội để hành động; nếu bạn đợi đến buổi đánh giá cuối năm thì thường là đã quá muộn. Theo kinh nghiệm của tôi, những nhà quản lý có thiện chí thường không đưa ra phản hồi thẳng thắn, trực tiếp và kịp thời cho cấp dưới của mình.</w:t>
        <w:bookmarkStart w:id="195" w:name="experience"/>
        <w:t/>
        <w:bookmarkEnd w:id="195"/>
        <w:t xml:space="preserve"/>
      </w:r>
    </w:p>
    <w:p>
      <w:pPr>
        <w:pStyle w:val="Normal"/>
      </w:pPr>
      <w:r>
        <w:t>Một lý do cho sự thất bại này là các nhà quản lý thường sợ rằng phản hồi mang tính xây dựng và những lời phê bình sẽ làm nhân viên của họ mất tinh thần. Ngoài ra, việc phê bình một chuyên gia một cách thẳng thắn và kịp thời có thể bị coi là quá đối đầu. Cuối cùng, nhiều nhà quản lý sợ rằng kiểu phản hồi này sẽ khiến nhân viên không thích họ. Hậu quả là, các nhà lãnh đạo thường chờ đến các buổi đánh giá hiệu suất cuối năm. Buổi đánh giá cuối năm mang tính đánh giá (tức là phán quyết cho cả năm) và do đó không có lợi cho việc huấn luyện mang tính xây dựng. Cấp dưới thường ở thế phòng thủ và không cởi mở với những lời phê bình. Cách tiếp cận này tạo ra những bất ngờ, thường là khó chịu, làm xói mòn lòng tin và giảm đáng kể sự tự tin của cấp dưới vào người quản lý.</w:t>
      </w:r>
    </w:p>
    <w:p>
      <w:pPr>
        <w:pStyle w:val="Normal"/>
      </w:pPr>
      <w:r>
        <w:t>Thực tế là những nhà quản lý không đưa ra phản hồi ngay lập tức và trực tiếp thường được “yêu thích” cho đến cuối năm—vào thời điểm đó họ lại trở nên cực kỳ bị ghét. Nếu nhân viên không đạt được kỳ vọng, sự thất bại đó sẽ được phản ánh vào tiền thưởng, mức tăng lương và sự thăng tiến. Cảm giác bất công có thể rất lớn. Tệ hơn nữa là việc biết rằng nếu nhân viên đã nhận được phản hồi sớm hơn trong năm, rất có thể họ đã nỗ lực một cách có ý nghĩa để cải thiện và giải quyết các vấn đề.</w:t>
      </w:r>
    </w:p>
    <w:p>
      <w:pPr>
        <w:pStyle w:val="Normal"/>
      </w:pPr>
      <w:r>
        <w:t>Mặc dù mọi người thích nghe phản hồi tích cực, nhưng cuối cùng, họ vô cùng muốn biết sự thật, và tôi hiếm khi thấy ai đó nghỉ việc chỉ vì nghe sự thật hoặc bị thách thức để làm tốt hơn—trừ khi đã quá muộn. Ngược lại, tôi cho rằng mọi người có nhiều khả năng ở lại hơn nếu họ hiểu những vấn đề mình cần giải quyết và tin tưởng rằng bạn sẽ đưa những vấn đề đó đến sự chú ý của họ một cách thẳng thắn và nhanh chóng. Họ có được sự tự tin rằng bạn sẽ làm việc cùng họ để phát triển kỹ năng của họ và họ sẽ không bị bất ngờ vào cuối năm. Những nhân viên không đạt được sự thăng tiến mà họ mong đợi sẽ có nhiều khả năng tha thứ cho bạn hơn nếu bạn đã nói với họ suốt thời gian qua những gì họ cần làm tốt hơn, ngay cả khi họ chưa đạt được điều đó. Họ có thể sẽ nỗ lực gấp đôi để chứng minh với bạn rằng họ có thể vượt qua những vấn đề này.</w:t>
      </w:r>
    </w:p>
    <w:p>
      <w:pPr>
        <w:pStyle w:val="Normal"/>
      </w:pPr>
      <w:r>
        <w:bookmarkStart w:id="196" w:name="During"/>
        <w:t>Trong sự nghiệp của tôi tại Goldman Sachs, tôi liên tục nhận thấy rằng việc phát triển chuyên môn hiệu quả hơn nhiều khi việc huấn luyện và phản hồi trực tiếp được đưa ra cho nhân viên trong suốt cả năm—trước rất lâu so với quy trình đánh giá hiệu suất hàng năm. Các cuộc khảo sát nội bộ đối với các giám đốc điều hành cho thấy, trong những trường hợp phản hồi chỉ giới hạn ở buổi đánh giá cuối năm, mức độ hài lòng với sự phát triển nghề nghiệp thấp hơn đáng kể so với khi phản hồi được đưa ra trong suốt cả năm.</w:t>
        <w:bookmarkEnd w:id="196"/>
        <w:t xml:space="preserve"/>
      </w:r>
    </w:p>
    <w:p>
      <w:pPr>
        <w:pStyle w:val="Normal"/>
      </w:pPr>
      <w:r>
        <w:t>Việc đưa ra phản hồi hiệu quả và kịp thời đã khó, nhưng nhiều nhà lãnh đạo còn thấy việc nhận phản hồi từ nhân viên của mình còn thách thức hơn nhiều. Một khi bạn đạt đến một giai đoạn nhất định trong sự nghiệp, những nhân viên cấp dưới ở vị trí tốt hơn nhiều so với sếp của bạn để nói cho bạn biết bạn đang làm việc như thế nào. Họ nhìn thấy bạn trong các hoạt động hàng ngày và họ trực tiếp trải nghiệm các quyết định của bạn. Ở giai đoạn này, sếp của bạn thường ở xa hơn nhiều và do đó, thường cần nói chuyện với cấp dưới của bạn để đánh giá hiệu suất của bạn vào cuối năm. Để tránh những bất ngờ vào cuối năm của chính mình, bạn cần phát triển một mạng lưới các chuyên gia cấp dưới sẵn sàng đưa ra phản hồi mang tính xây dựng cho bạn. Vấn đề là, trong khi các báo cáo trực tiếp của bạn biết bạn đang làm gì sai, hầu hết họ không nóng lòng muốn nói với bạn. Với lý do chính đáng—có rất ít lợi ích và rất nhiều rủi ro. Bạn càng thâm niên và càng quan trọng, cấp dưới của bạn càng ít nói cho bạn biết “sự thật khủng khiếp”—những điều khó nghe nhưng bạn cần phải biết.</w:t>
      </w:r>
    </w:p>
    <w:p>
      <w:pPr>
        <w:pStyle w:val="Normal"/>
      </w:pPr>
      <w:r>
        <w:t>Cần có một nỗ lực phối hợp để vun đắp những cấp dưới sẽ tư vấn và huấn luyện cho bạn. Điều đó cũng đòi hỏi sự kiên nhẫn và một chút quyết liệt. Khi tôi hỏi cấp dưới về phản hồi mang tính xây dựng, họ thường và có thể đoán trước được sẽ nói với tôi rằng tôi đang làm “rất tốt”. Khi tôi hỏi tiếp “Tôi nên làm gì khác đi?”, họ trả lời: “Tôi không nghĩ ra điều gì cả”. Nếu tôi thách thức họ bằng cách nói: “Chắc chắn phải có điều gì đó!”, họ vẫn nói: “Không có gì xuất hiện trong đầu tôi cả”. Sau đó tôi yêu cầu họ ngồi lại và suy nghĩ—chúng ta có nhiều thời gian. Lúc này, những giọt mồ hôi bắt đầu hiện rõ trên trán họ. Sau một khoảng im lặng ngượng ngùng, cuối cùng họ cũng sẽ nghĩ ra điều gì đó—và điều đó thường rất khó nghe. Nó khó nghe vì đó là một lời chỉ trích gay gắt và vì bạn biết điều đó là đúng.</w:t>
      </w:r>
    </w:p>
    <w:p>
      <w:pPr>
        <w:pStyle w:val="Normal"/>
      </w:pPr>
      <w:r>
        <w:bookmarkStart w:id="197" w:name="What_1"/>
        <w:t>Điều bạn làm với phản hồi này là rất quan trọng. Nếu bạn hành động theo nó, bạn sẽ cải thiện hiệu suất của mình. Quan trọng không kém, bạn sẽ tiến một bước lớn trong việc xây dựng lòng tin và đặt nền móng cho một kênh phản hồi trung thực. Khi cấp dưới thấy rằng bạn phản hồi tích cực với các đề xuất, họ thường sẽ cảm thấy có trách nhiệm hơn với doanh nghiệp và với thành công của bạn. Họ sẽ học cách chủ động đưa ra những lời phê bình cho bạn vì họ biết bạn thực sự trân trọng điều đó và sẽ làm điều gì đó với nó. Phát triển một mạng lưới cấp dưới “huấn luyện” sẽ giúp bạn hành động để xác định các vấn đề lãnh đạo của chính mình và cải thiện hiệu suất một cách có ý nghĩa.</w:t>
        <w:bookmarkEnd w:id="197"/>
        <w:t xml:space="preserve"/>
      </w:r>
    </w:p>
    <w:p>
      <w:pPr>
        <w:pStyle w:val="Heading 1"/>
      </w:pPr>
      <w:r>
        <w:t>Lập kế hoạch kế nhiệm</w:t>
      </w:r>
    </w:p>
    <w:p>
      <w:pPr>
        <w:pStyle w:val="Normal"/>
      </w:pPr>
      <w:r>
        <w:t xml:space="preserve">Một câu hỏi khác mà các nhà quản lý biết là quan trọng nhưng lại khó trả lời một cách khẳng định là: Ít nhất trong suy nghĩ của mình, tôi đã chọn ra một hoặc nhiều người kế nhiệm tiềm năng chưa? Vấn đề này rất quan trọng vì nếu bạn không xác định những người kế nhiệm tiềm năng, có lẽ bạn đang không ủy quyền rộng rãi như bạn nên làm và bạn có thể đang trở thành nút thắt cổ chai trong việc ra quyết định. Trở thành nút thắt cổ chai luôn có nghĩa là bạn không dành đủ thời gian cho các ưu tiên lãnh đạo quan trọng và đang thất bại trong việc phát triển các cấp dưới chủ chốt của mình. Trớ trêu thay, khi các nhà lãnh đạo tin rằng họ tài năng đến mức có thể thực hiện các nhiệm vụ tốt hơn nhiều so với bất kỳ cấp dưới nào của họ và do đó khăng khăng tự mình làm các nhiệm vụ đó, họ thường sẽ khiến doanh nghiệp của mình hoạt động kém hiệu quả, và cuối cùng, sự nghiệp của họ cũng sẽ bị ảnh hưởng.</w:t>
      </w:r>
      <w:r>
        <w:rPr>
          <w:rStyle w:val="Text0"/>
        </w:rPr>
        <w:t/>
      </w:r>
      <w:r>
        <w:t xml:space="preserve"/>
      </w:r>
    </w:p>
    <w:p>
      <w:pPr>
        <w:pStyle w:val="Normal"/>
      </w:pPr>
      <w:r>
        <w:t>Câu hỏi về sự kế nhiệm cũng có những tác động đáng kể lan tỏa khắp tổ chức: Nếu các nhà lãnh đạo không phát triển người kế nhiệm, thì tổ chức có thể thiếu đủ số lượng lãnh đạo để phát triển doanh nghiệp thành công. Tệ hơn, nếu các nhân viên cấp dưới không được phát triển, họ có thể rời công ty để tìm kiếm cơ hội tốt hơn ở nơi khác. Vì những lý do này, nhiều công ty được quản lý tốt sẽ ngần ngại thăng chức cho những giám đốc điều hành không phát triển được người kế nhiệm.</w:t>
      </w:r>
    </w:p>
    <w:p>
      <w:pPr>
        <w:pStyle w:val="Normal"/>
      </w:pPr>
      <w:r>
        <w:t xml:space="preserve">Chỉ cần xác định những người kế nhiệm khả dĩ mà không thực sự nói với họ rằng bạn đã làm như vậy là đủ—miễn là sự xác định này khiến bạn quản lý họ theo cách khác. Đặc biệt, bạn sẽ muốn ủy quyền nhiều trách nhiệm chính của mình hơn cho những chuyên gia này. Điều này sẽ đẩy nhanh sự trưởng thành của họ và chuẩn bị cho họ bước lên cấp độ tiếp theo. Bằng cách giao những nhiệm vụ đòi hỏi cao cho những cấp dưới này, bạn phát đi tín hiệu mạnh mẽ về sự quan tâm đến sự phát triển và thăng tiến nghề nghiệp của họ—điều này sẽ khuyến khích họ từ chối các lời mời từ đối thủ cạnh tranh. Những nhà lãnh đạo làm điều này có khả năng giữ chân đội ngũ của mình tốt hơn nhiều và tránh mất những ngôi sao đang lên vào tay đối thủ cạnh tranh.</w:t>
        <w:bookmarkStart w:id="198" w:name="speed"/>
        <w:t/>
        <w:bookmarkEnd w:id="198"/>
        <w:t xml:space="preserve"/>
      </w:r>
    </w:p>
    <w:p>
      <w:pPr>
        <w:pStyle w:val="Normal"/>
      </w:pPr>
      <w:r>
        <w:t>Việc mất nhân tài gây tổn hại lớn cho một công ty. Điều đó đặc biệt đau đớn nếu bạn có thể giữ chân những nhân viên chủ chốt chỉ bằng cách thách thức họ nhiều hơn. Tôi đã nói chuyện với một trưởng bộ phận của một công ty lớn, người lo ngại về điều mà ông cho là sự thiếu hụt nhân tài trong tổ chức của mình. Ông cảm thấy mình không thể sử dụng thời gian một cách tối đa vì ông coi các báo cáo trực tiếp của mình không có khả năng đảm nhận một số trách nhiệm chính của ông. Ông tin rằng sự thiếu hụt nhân tài này đang ngăn cản ông triển khai một số sáng kiến sản phẩm và thị trường mới. Giữa lúc đó, ông đã mất hai cấp dưới thiết yếu trong vòng sáu tháng—mỗi người đều rời đi để đảm nhận trách nhiệm lớn hơn tại các đối thủ cạnh tranh lớn. Ông đã cố gắng thuyết phục họ ở lại, nhấn mạnh rằng ông đang tích cực xem xét họ cho các nhiệm vụ lãnh đạo mới quan trọng. Vì trước đây họ chưa từng thấy bằng chứng nào về điều này, họ đã nghi ngờ và vẫn rời đi. Tôi hỏi ông liệu trước khi họ rời đi, ông đã xác định họ (hoặc bất kỳ ai khác) là người kế nhiệm tiềm năng, giao thêm trách nhiệm cho họ, hay tích cực tăng cường huấn luyện những chuyên gia này chưa. Ông trả lời rằng, trong sự hỗn loạn của các sự kiện hàng ngày và nỗ lực theo kịp công việc kinh doanh, ông đã không làm như vậy. Ông cũng thừa nhận rằng ông đã đánh giá thấp tiềm năng của hai nhân viên này và nhận ra mình có lẽ đang đánh giá thấp khả năng của một số người khác trong công ty. Ông ngay lập tức ngồi xuống và lập một danh sách các ngôi sao tiềm năng và bên cạnh mỗi cái tên viết ra một kế hoạch nghề nghiệp và trách nhiệm. Ông ngay lập tức bắt tay vào thực hiện kế hoạch kế nhiệm mang tính định hình này, mặc dù ông nghi ngờ rằng mình có lẽ đã chờ đợi quá lâu rồi.</w:t>
      </w:r>
    </w:p>
    <w:p>
      <w:pPr>
        <w:pStyle w:val="Normal"/>
      </w:pPr>
      <w:r>
        <w:t>Khi bạn thách thức và thử thách mọi người, bạn ủy quyền cho họ thường xuyên hơn, điều này giải phóng bạn để tập trung vào các vấn đề chiến lược quan trọng nhất mà doanh nghiệp đang đối mặt. Điều này sẽ khiến bạn thành công hơn và trở thành ứng viên hấp dẫn hơn cho sự thăng tiến trong tương lai của chính bạn.</w:t>
      </w:r>
    </w:p>
    <w:p>
      <w:pPr>
        <w:pStyle w:val="Heading 1"/>
      </w:pPr>
      <w:r>
        <w:bookmarkStart w:id="199" w:name="Evaluation"/>
        <w:t>Đánh giá và sự liên kết</w:t>
        <w:bookmarkEnd w:id="199"/>
        <w:t xml:space="preserve"/>
      </w:r>
    </w:p>
    <w:p>
      <w:pPr>
        <w:pStyle w:val="Normal"/>
      </w:pPr>
      <w:r>
        <w:t xml:space="preserve">Thế giới luôn thay đổi. Nhu cầu của khách hàng thay đổi; doanh nghiệp của bạn phát triển (ví dụ, từ tăng trưởng cao sang trưởng thành); các sản phẩm và phương thức phân phối mới xuất hiện như những mối đe dọa. Khi những thay đổi này xảy ra, nếu bạn không thay đổi theo, bạn có thể trở nên lệch pha nghiêm trọng. Loại người bạn tuyển dụng, cách bạn tổ chức họ, các ưu đãi kinh tế bạn đưa ra cho họ, và thậm chí bản chất của các nhiệm vụ bạn ủy quyền không còn tạo ra văn hóa và kết quả quan trọng cho sự thành công của doanh nghiệp bạn nữa. Công việc của bạn là đảm bảo rằng thiết kế tổ chức của bạn phù hợp với các yếu tố thành công then chốt của doanh nghiệp. Hãy tự hỏi: Tôi có nhạy bén với những thay đổi trong môi trường kinh doanh đòi hỏi sự thay đổi trong cách chúng ta tổ chức và điều hành doanh nghiệp không?</w:t>
      </w:r>
      <w:r>
        <w:rPr>
          <w:rStyle w:val="Text0"/>
        </w:rPr>
        <w:t/>
      </w:r>
    </w:p>
    <w:p>
      <w:pPr>
        <w:pStyle w:val="Normal"/>
      </w:pPr>
      <w:r>
        <w:t>Sự sáng suốt như vậy, tất nhiên, rất khó đạt được. Là một nhà lãnh đạo, bạn có thể quá gần gũi với doanh nghiệp để nhìn thấy những thay đổi tinh tế đang liên tục diễn ra. Bởi vì bạn có lẽ đã đóng vai trò trung tâm trong việc xây dựng và thiết kế doanh nghiệp, nên về mặt cảm xúc có thể rất khó để thực hiện những thay đổi có ý nghĩa. Bạn có thể phải sa thải một số nhân viên—những người bạn đã tuyển dụng và thuê. Bạn cũng có thể phải thừa nhận rằng mình đã phạm một số sai lầm và cởi mở thay đổi phong cách điều hành của chính mình theo cách không thoải mái trong một khoảng thời gian.</w:t>
      </w:r>
    </w:p>
    <w:p>
      <w:pPr>
        <w:pStyle w:val="Normal"/>
      </w:pPr>
      <w:r>
        <w:t>Vì khó khăn trong việc đối mặt với những vấn đề này, đôi khi khôn ngoan là nhờ đến những cấp dưới có tiềm năng cao để có một cái nhìn mới mẻ về doanh nghiệp. Cách tiếp cận này có thể khá hiệu quả vì các nhân viên cấp dưới thường không gắn bó về mặt cảm xúc nhiều như bạn và có thể nhìn nhận khách quan hơn những gì cần phải làm. Cách tiếp cận này cũng là một cách tốt để thách thức các nhà lãnh đạo tương lai của bạn và cho họ một trải nghiệm phát triển quý giá. Bạn sẽ cho họ cơ hội rèn luyện các kỹ năng chiến lược; bạn sẽ có cái nhìn thoáng qua về tiềm năng của họ (liên quan đến cuộc thảo luận trước đó về lập kế hoạch kế nhiệm), và bạn có thể nhận được một số ý tưởng mới tuyệt vời về cách điều hành doanh nghiệp.</w:t>
      </w:r>
    </w:p>
    <w:p>
      <w:pPr>
        <w:pStyle w:val="Normal"/>
      </w:pPr>
      <w:r>
        <w:t xml:space="preserve">Cách tiếp cận này đã hiệu quả với CEO của một doanh nghiệp công nghệ cao ở Bắc California, công ty từng là một trong những người tiên phong trong lĩnh vực sản phẩm của mình nhưng trong những năm gần đây đã bắt đầu chững lại và mất thị phần. Trong những ngày đầu, các yếu tố thành công chính của công ty là đổi mới sản phẩm và đáp ứng nhu cầu khách hàng. Công ty đã tích cực tuyển dụng các kỹ sư sáng tạo và nhân viên tiếp thị. Khi các đối thủ cạnh tranh mới xuất hiện, khách hàng bắt đầu tập trung nhiều hơn vào chi phí và dịch vụ (dưới hình thức phát triển ứng dụng tinh vi hơn). Lùi lại một bước, CEO cảm nhận được rằng ông cần thiết kế lại công ty với một sự kết hợp nhân sự khác, một tổ chức mới và một cơ cấu ưu đãi được điều chỉnh. Thay vì cố gắng tự mình nghĩ ra một mô hình mới, ông đã yêu cầu một nhóm giám đốc điều hành cấp dưới xây dựng một thiết kế công ty mới như thể họ có một “tờ giấy trắng”. Nghiên cứu của họ mất vài tuần, nhưng sau khi hoàn thành, nó đã dẫn đến một số khuyến nghị mà CEO ngay lập tức bắt đầu thực hiện. Ví dụ, họ đề xuất đặt bộ phận kỹ thuật và bán hàng ở cùng một địa điểm và tạo ra các nhóm phụ trách khách hàng tích hợp. Họ cũng khuyến nghị công ty thúc đẩy nhiều kỹ sư hơn tương tác với khách hàng và tập trung vào kỹ năng này trong tuyển dụng. CEO hối tiếc rằng ông đã không đặt câu hỏi—và thực hiện nhiệm vụ này—sớm hơn 12 tháng.</w:t>
        <w:bookmarkStart w:id="200" w:name="and_5"/>
        <w:t/>
        <w:bookmarkEnd w:id="200"/>
        <w:t xml:space="preserve"/>
      </w:r>
    </w:p>
    <w:p>
      <w:pPr>
        <w:pStyle w:val="Normal"/>
      </w:pPr>
      <w:r>
        <w:t>Ngay cả doanh nghiệp thành công nhất cũng dễ bị tổn thương trước những thách thức mới do một thế giới đang thay đổi đặt ra. Những nhà điều hành hiệu quả thường xuyên nhìn nhận doanh nghiệp của mình với một trang giấy trắng—tìm kiếm lời khuyên và góc nhìn khác từ những người ít gắn bó cảm xúc với doanh nghiệp hơn—để xác định xem những khía cạnh then chốt trong cách họ điều hành tổ chức có còn phù hợp hay không.</w:t>
      </w:r>
    </w:p>
    <w:p>
      <w:pPr>
        <w:pStyle w:val="Heading 1"/>
      </w:pPr>
      <w:r>
        <w:t>Lãnh đạo dưới áp lực</w:t>
      </w:r>
    </w:p>
    <w:p>
      <w:pPr>
        <w:pStyle w:val="Normal"/>
      </w:pPr>
      <w:r>
        <w:t>Áp lực là một phần của kinh doanh. Những thay đổi trong điều kiện kinh doanh tạo ra các vấn đề cấp bách. Những đối thủ mới gia nhập thị trường đòi hỏi phản ứng cạnh tranh. Nhân viên giỏi nghỉ việc, thường vào những thời điểm bất tiện nhất. Các nhà lãnh đạo và đội ngũ của họ, dù thông minh đến đâu, cũng mắc sai lầm.</w:t>
      </w:r>
    </w:p>
    <w:p>
      <w:pPr>
        <w:pStyle w:val="Normal"/>
      </w:pPr>
      <w:r>
        <w:t xml:space="preserve">Điều thú vị về các sự kiện căng thẳng là chúng ảnh hưởng đến mỗi người một khác—điều khiến bạn lo lắng có thể chẳng làm phiền người khác, và ngược lại. Với một số người, lo lắng tột độ có thể bị kích hoạt bởi viễn cảnh thăng chức; với người khác, là do mắc sai lầm nghiêm trọng; với người khác nữa, là do mất một hợp đồng vào tay đối thủ. Bất kể nguồn cơn căng thẳng là gì, mọi nhà lãnh đạo đều trải qua nó, vậy nên một câu hỏi hay để tự hỏi bản thân là: Tôi cư xử thế nào dưới áp lực, và tôi đang gửi tín hiệu gì đến nhân viên của mình?</w:t>
        <w:bookmarkStart w:id="201" w:name="triggered"/>
        <w:t/>
        <w:bookmarkEnd w:id="201"/>
        <w:t xml:space="preserve"/>
      </w:r>
      <w:r>
        <w:rPr>
          <w:rStyle w:val="Text0"/>
        </w:rPr>
        <w:t/>
      </w:r>
    </w:p>
    <w:p>
      <w:pPr>
        <w:pStyle w:val="Normal"/>
      </w:pPr>
      <w:r>
        <w:t>Là một nhà lãnh đạo, bạn bị quan sát rất kỹ. Trong khủng hoảng, nhân viên của bạn nhìn bạn bằng kính hiển vi, chú ý từng động thái bạn làm. Trong những lúc như vậy, cấp dưới của bạn học được rất nhiều về con người bạn và những gì bạn thực sự tin tưởng, trái ngược với những gì bạn nói. Bạn có nhận trách nhiệm về sai lầm không, hay tìm người để đổ lỗi? Bạn có hỗ trợ nhân viên của mình không, hay quay lưng lại với họ? Bạn có điềm tĩnh và bình thản không, hay mất bình tĩnh? Bạn có đứng lên bảo vệ điều mình tin tưởng không, hay chọn con đường dễ dàng và nói những gì bạn nghĩ cấp trên muốn nghe? Bạn cần đủ tự nhận thức để nhận ra những tình huống gây lo lắng nghiêm trọng cho mình và quản lý hành vi của bản thân để tránh gửi những thông điệp phản tác dụng đến nhân viên.</w:t>
      </w:r>
    </w:p>
    <w:p>
      <w:pPr>
        <w:pStyle w:val="Normal"/>
      </w:pPr>
      <w:r>
        <w:t>Tôi đã gặp nhiều nhà lãnh đạo cư xử rất điềm đạm và chu đáo trong phần lớn thời gian. Đáng tiếc là khi chịu căng thẳng nặng nề, họ phản ứng theo cách tạo ra bầu không khí rất tiêu cực. Họ vô tình huấn luyện nhân viên của mình bắt chước hành vi đó và cư xử theo cách tương tự. Nếu bản năng của bạn là che chắn bản thân khỏi bị đổ lỗi, nhận công lao thay vì chia sẻ với cấp dưới, hoặc tránh thừa nhận khi mình mắc sai lầm, bạn sẽ cho phép nhân viên của mình làm điều tương tự.</w:t>
      </w:r>
    </w:p>
    <w:p>
      <w:pPr>
        <w:pStyle w:val="Normal"/>
      </w:pPr>
      <w:r>
        <w:t xml:space="preserve">CEO của một công ty quản lý tài sản lớn đã rất bực bội vì ông không thể xây dựng văn hóa trách nhiệm và tinh thần đồng đội trong doanh nghiệp đang phát triển của mình. Theo yêu cầu của ông, tôi đã nói chuyện với một số thành viên trong đội ngũ của ông. Tôi hỏi cụ thể về hành động của CEO khi các khoản đầu tư mà họ đề xuất bị giảm giá trị. Họ kể lại những cơn thịnh nộ thường xuyên và những bài diễn thuyết buộc tội của ông, dẫn đến bầu không khí đổ lỗi và chỉ tay lẫn nhau ngột ngạt. Thực tế, các quyết định đầu tư được đưa ra chung thông qua một quy trình được xây dựng cẩn thận bao gồm các nhà quản lý danh mục, nhà phân tích ngành và CEO. Kết quả của những sự việc này là nhân viên học được rằng khi đầu tư thất bại, tốt nhất là cố tìm người khác để đổ lỗi. Nghe những câu chuyện này, CEO nhận ra hành động của mình dưới áp lực có sức thuyết phục với nhân viên hơn nhiều so với những bài phát biểu về tinh thần đồng đội và văn hóa. Ông hiểu rằng mình phải học cách tiết chế hành vi khi căng thẳng và sau đó đã thực hiện các bước để tránh phản ứng giận dữ với kết quả đầu tư tiêu cực. Ông cũng nhận thức rõ hơn rằng cấp dưới thường cảm thấy khá hối tiếc và mất tinh thần khi khoản đầu tư của họ giảm giá trị, và họ có nhiều khả năng cần một cái vỗ vai động viên và sự hướng dẫn hơn là một cú đá vào mông.</w:t>
        <w:bookmarkStart w:id="202" w:name="to_1"/>
        <w:t/>
        <w:bookmarkEnd w:id="202"/>
        <w:t xml:space="preserve"/>
      </w:r>
    </w:p>
    <w:p>
      <w:pPr>
        <w:pStyle w:val="Normal"/>
      </w:pPr>
      <w:r>
        <w:t>Rất khó để kỳ vọng nhân viên cảnh báo bạn về những vấn đề sắp xảy ra khi họ sợ phản ứng của bạn—và càng khó hơn khi họ nghĩ rằng tốt hơn là nên tránh xa các vấn đề tiềm ẩn. Điều này có thể tạo ra bầu không khí mà ở đó những bất ngờ thực chất dễ xảy ra hơn vì hệ thống cảnh báo sớm tự nhiên của công ty đã vô tình bị vô hiệu hóa. Nếu bạn đã tạo ra loại văn hóa này, rất khó có khả năng bạn sẽ được cấp dưới tự nguyện báo cho biết về các vấn đề—trừ khi họ muốn tự sát sự nghiệp của mình.</w:t>
      </w:r>
    </w:p>
    <w:p>
      <w:pPr>
        <w:pStyle w:val="Normal"/>
      </w:pPr>
      <w:r>
        <w:t>Một phần của quá trình trưởng thành như một nhà lãnh đạo là học cách lùi lại và suy nghĩ về điều gì tạo ra áp lực cho bạn, tự nhận thức trong những tình huống này, và kỷ luật hành vi của mình để đảm bảo bạn hành động theo cách nhất quán với các giá trị cốt lõi của mình.</w:t>
      </w:r>
    </w:p>
    <w:p>
      <w:pPr>
        <w:pStyle w:val="Heading 1"/>
      </w:pPr>
      <w:r>
        <w:t>Luôn đúng với chính mình</w:t>
      </w:r>
    </w:p>
    <w:p>
      <w:pPr>
        <w:pStyle w:val="Normal"/>
      </w:pPr>
      <w:r>
        <w:t xml:space="preserve">Hầu hết các nhà lãnh đạo doanh nghiệp đều tự hỏi liệu phong cách lãnh đạo của họ có phù hợp với nhu cầu của doanh nghiệp hay không. Ít nhà quản lý hơn tự hỏi liệu phong cách của họ có phù hợp với niềm tin và tính cách của chính họ hay không. Câu hỏi ở đây là: Phong cách lãnh đạo của tôi có phản ánh con người thật của tôi không?</w:t>
      </w:r>
      <w:r>
        <w:rPr>
          <w:rStyle w:val="Text0"/>
        </w:rPr>
        <w:t/>
      </w:r>
    </w:p>
    <w:p>
      <w:pPr>
        <w:pStyle w:val="Normal"/>
      </w:pPr>
      <w:r>
        <w:t xml:space="preserve">Sự nghiệp kinh doanh là một cuộc chạy marathon, không phải chạy nước rút, và nếu bạn không thành thật với chính mình, cuối cùng bạn sẽ kiệt sức. Khi bạn đang phát triển trong sự nghiệp, nên quan sát nhiều phong cách lãnh đạo khác nhau, và chọn lọc những yếu tố khiến bạn cảm thấy thoải mái. Tuy nhiên, hãy nhớ rằng việc quan sát và áp dụng các khía cạnh của phong cách khác không có nghĩa là bạn nên cố trở thành một người khác. Trong sự nghiệp của mình, tôi may mắn có được vài người sếp và đồng nghiệp xuất sắc với những kỹ năng lãnh đạo đặc biệt và độc đáo. Mặc dù tôi cố gắng áp dụng một số kỹ thuật của họ, tôi cũng học được rằng mình cần phát triển một phong cách tổng thể phù hợp với kỹ năng và tính cách riêng của mình. Phong cách của bạn cần phù hợp với bạn; ngay cả một phong cách không chính thống cũng có thể cực kỳ hiệu quả nếu nó phản ánh kỹ năng, giá trị và tính cách của bạn.</w:t>
        <w:bookmarkStart w:id="203" w:name="adopt"/>
        <w:t/>
        <w:bookmarkEnd w:id="203"/>
        <w:t xml:space="preserve"/>
      </w:r>
    </w:p>
    <w:p>
      <w:pPr>
        <w:pStyle w:val="Normal"/>
      </w:pPr>
      <w:r>
        <w:t xml:space="preserve">Khi bạn trở nên cấp cao hơn, bạn sẽ cần tự hỏi mình thêm một loạt câu hỏi liên quan đến phong cách: Tôi có thể hiện bản thân đủ mạnh mẽ không, hay tôi đã trở nên do dự? Tôi có quá đúng đắn về mặt chính trị không? Liệu lo lắng về lần thăng chức tiếp theo hay tiền thưởng cuối năm có khiến tôi nương tay hoặc ngần ngại bày tỏ quan điểm của mình một cách rõ ràng không? Ở nhiều công ty, các nhà điều hành đầy tham vọng có thể cố tránh đối đầu với các vấn đề nhạy cảm hoặc gây sóng gió. Tệ hơn nữa, họ có thể dành một lượng năng lượng quá mức để cố đoán xem sếp của họ nghĩ gì và sau đó hành động như thể họ cũng nghĩ điều tương tự. Nếu họ rất giỏi việc này, họ thậm chí có thể có cơ hội phát biểu ý kiến của mình trước khi sếp kịp bày tỏ quan điểm—và cảm nhận được ánh hào quang ấm áp của sự tán thành từ sếp.</w:t>
      </w:r>
      <w:r>
        <w:rPr>
          <w:rStyle w:val="Text0"/>
        </w:rPr>
        <w:t/>
      </w:r>
      <w:r>
        <w:t xml:space="preserve"/>
      </w:r>
    </w:p>
    <w:p>
      <w:pPr>
        <w:pStyle w:val="Normal"/>
      </w:pPr>
      <w:r>
        <w:t>Vấn đề là sự đối đầu và bất đồng quan điểm là yếu tố then chốt để ra quyết định hiệu quả. Một số quyết định tồi tệ nhất mà tôi từng tham gia được đưa ra sau khi một nhóm người thông minh đã nhất trí đồng ý với hướng hành động—mặc dù sau đó, vài người tham gia thừa nhận rằng họ đã có nghi ngại nhưng ngần ngại đi chệch khỏi sự đồng thuận rõ ràng của nhóm. Ngược lại, tôi khó có thể nhớ lại một quyết định tồi nào mà tôi tham gia được đưa ra sau một cuộc tranh luận kỹ lưỡng trong đó các quan điểm đối lập được bày tỏ mạnh mẽ (ngay cả khi tôi không đồng ý với quyết định cuối cùng). Các công ty cần các nhà lãnh đạo của mình bày tỏ quan điểm mạnh mẽ thay vì bắt chước những gì họ tin là quan điểm chính thống. Vì vậy, với tư cách là một nhà lãnh đạo, bạn phải tự hỏi liệu mình có đang bày tỏ quan điểm của mình hay đang kìm nén và quá khéo léo về mặt chính trị. Đồng thời, các nhà lãnh đạo phải khuyến khích cấp dưới của mình bày tỏ ý kiến thẳng thắn, gây sóng gió khi thích hợp, và ngừng rón rén né tránh các vấn đề quan trọng.</w:t>
      </w:r>
    </w:p>
    <w:p>
      <w:pPr>
        <w:pStyle w:val="Para 055"/>
      </w:pPr>
      <w:r>
        <w:t>_____________________</w:t>
      </w:r>
    </w:p>
    <w:p>
      <w:pPr>
        <w:pStyle w:val="Normal"/>
      </w:pPr>
      <w:r>
        <w:t xml:space="preserve">Các nhà lãnh đạo thành công đôi khi cũng gặp khó khăn trong những giai đoạn của sự nghiệp. Để trở lại đúng hướng, họ phải nghĩ ra các kỹ thuật để lùi lại, có được góc nhìn, và phát triển một kế hoạch hành động mới. Trong quá trình này, việc có câu trả lời thường ít quan trọng hơn nhiều so với việc dành thời gian để tự hỏi mình những câu hỏi đúng và thu được những hiểu biết then chốt. Các câu hỏi được đặt ra trong bài viết này nhằm khơi gợi suy nghĩ của bạn. Chỉ một phần trong số này có thể gây tiếng vang với bạn, và bạn có thể thấy hữu ích hơn khi tự tạo ra danh sách của riêng mình. Trong cả hai trường hợp, một quá trình tự vấn được thực hiện định kỳ sẽ giúp bạn vượt qua các thách thức và vấn đề lãnh đạo mà bạn chắc chắn phải giải quyết trong suốt sự nghiệp của mình.</w:t>
        <w:bookmarkStart w:id="204" w:name="process"/>
        <w:t/>
        <w:bookmarkEnd w:id="204"/>
        <w:t xml:space="preserve"/>
      </w:r>
    </w:p>
    <w:p>
      <w:pPr>
        <w:pStyle w:val="Para 046"/>
      </w:pPr>
      <w:r>
        <w:t>Xuất bản lần đầu vào tháng 1 năm 2007. Tái bản R0701H</w:t>
      </w:r>
      <w:r>
        <w:rPr>
          <w:rStyle w:val="Text2"/>
        </w:rPr>
        <w:t xml:space="preserve"/>
      </w:r>
      <w:r>
        <w:rPr>
          <w:rStyle w:val="Text9"/>
        </w:rPr>
        <w:t/>
      </w:r>
    </w:p>
    <w:p>
      <w:bookmarkStart w:id="205" w:name="Primal_Leadership_The_Hidden_Dri"/>
      <w:bookmarkStart w:id="206" w:name="Top_of_15_Primal_L_xhtml"/>
      <w:pPr>
        <w:pStyle w:val="Para 043"/>
        <w:pageBreakBefore w:val="on"/>
      </w:pPr>
      <w:r>
        <w:bookmarkStart w:id="207" w:name="Primal"/>
        <w:t>Lãnh đạo bằng cảm xúc (Primal Leadership)</w:t>
        <w:bookmarkEnd w:id="207"/>
        <w:t xml:space="preserve"/>
      </w:r>
      <w:bookmarkEnd w:id="205"/>
      <w:bookmarkEnd w:id="206"/>
    </w:p>
    <w:p>
      <w:pPr>
        <w:pStyle w:val="Para 045"/>
      </w:pPr>
      <w:r>
        <w:rPr>
          <w:rStyle w:val="Text11"/>
        </w:rPr>
        <w:t>Động lực ẩn giấu đằng sau hiệu suất vượt trội. bởi Daniel Goleman, Richard Boyatzis, và Annie McKee</w:t>
      </w:r>
      <w:r>
        <w:t xml:space="preserve"/>
      </w:r>
    </w:p>
    <w:p>
      <w:pPr>
        <w:pStyle w:val="Normal"/>
      </w:pPr>
      <w:r>
        <w:rPr>
          <w:rStyle w:val="Text4"/>
        </w:rPr>
        <w:t>KHI LÝ THUYẾT VỀ trí tuệ cảm xúc (emotional intelligence) tại nơi làm việc bắt đầu nhận được sự chú ý rộng rãi, chúng tôi thường nghe các nhà điều hành nói—trong cùng một hơi thở, bạn lưu ý nhé—“Thật không thể tin được,” và, “Ừ, tôi biết điều đó từ lâu rồi.” Họ đang phản ứng với nghiên cứu của chúng tôi cho thấy mối liên hệ không thể chối cãi giữa sự trưởng thành về cảm xúc của một nhà điều hành, được minh họa bằng những năng lực như tự nhận thức và đồng cảm, và hiệu suất tài chính của người đó. Nói một cách đơn giản, nghiên cứu cho thấy “người tốt”—tức là những người đàn ông và phụ nữ có trí tuệ cảm xúc cao—về đích trước.</w:t>
      </w:r>
      <w:r>
        <w:t xml:space="preserve"/>
      </w:r>
    </w:p>
    <w:p>
      <w:pPr>
        <w:pStyle w:val="Normal"/>
      </w:pPr>
      <w:r>
        <w:t>Gần đây chúng tôi đã tổng hợp hai năm nghiên cứu mới mà chúng tôi nghi ngờ sẽ gợi ra cùng một kiểu phản ứng. Mọi người trước tiên sẽ thốt lên, “Không thể nào,” rồi nhanh chóng nói thêm, “Nhưng tất nhiên rồi.” Chúng tôi phát hiện ra rằng trong tất cả các yếu tố ảnh hưởng đến hiệu suất lợi nhuận cuối cùng, tầm quan trọng của tâm trạng của nhà lãnh đạo và các hành vi đi kèm của nó là đáng ngạc nhiên nhất. Cặp đôi mạnh mẽ đó tạo ra một phản ứng dây chuyền: Tâm trạng và hành vi của nhà lãnh đạo thúc đẩy tâm trạng và hành vi của mọi người khác. Một ông chủ cáu kỉnh và tàn nhẫn tạo ra một tổ chức độc hại đầy những người kém hiệu quả tiêu cực, bỏ qua các cơ hội; một nhà lãnh đạo truyền cảm hứng, bao dung tạo ra những người đi theo nhiệt thành mà với họ mọi thách thức đều có thể vượt qua. Mắt xích cuối cùng trong chuỗi là hiệu suất: lợi nhuận hay thua lỗ.</w:t>
      </w:r>
    </w:p>
    <w:p>
      <w:pPr>
        <w:pStyle w:val="Normal"/>
      </w:pPr>
      <w:r>
        <w:t xml:space="preserve">Quan sát của chúng tôi về tác động áp đảo của “phong cách cảm xúc” (emotional style) của nhà lãnh đạo, như chúng tôi gọi, không phải là sự rời bỏ hoàn toàn nghiên cứu của chúng tôi về trí tuệ cảm xúc. Tuy nhiên, nó đại diện cho một phân tích sâu hơn về khẳng định trước đây của chúng tôi rằng trí tuệ cảm xúc của một nhà lãnh đạo tạo ra một nền văn hóa hoặc môi trường làm việc nhất định. Nghiên cứu của chúng tôi cho thấy mức độ trí tuệ cảm xúc cao tạo ra bầu không khí nơi việc chia sẻ thông tin, sự tin tưởng, chấp nhận rủi ro lành mạnh và học hỏi phát triển mạnh mẽ. Mức độ trí tuệ cảm xúc thấp tạo ra bầu không khí đầy sợ hãi và lo lắng. Bởi vì những nhân viên căng thẳng hoặc sợ hãi có thể rất năng suất trong ngắn hạn, tổ chức của họ có thể đạt kết quả tốt, nhưng điều đó không bao giờ kéo dài.</w:t>
        <w:bookmarkStart w:id="208" w:name="deeper"/>
        <w:t/>
        <w:bookmarkEnd w:id="208"/>
        <w:t xml:space="preserve"/>
      </w:r>
    </w:p>
    <w:p>
      <w:pPr>
        <w:pStyle w:val="Normal"/>
      </w:pPr>
      <w:r>
        <w:t>Cuộc điều tra của chúng tôi được thiết kế một phần để xem xét cách trí tuệ cảm xúc thúc đẩy hiệu suất—cụ thể là cách nó lan truyền từ nhà lãnh đạo qua tổ chức đến kết quả lợi nhuận cuối cùng. “Cơ chế nào,” chúng tôi hỏi, “gắn kết chuỗi này lại với nhau?” Để trả lời câu hỏi đó, chúng tôi đã tìm đến nghiên cứu mới nhất về thần kinh học và tâm lý học. Chúng tôi cũng dựa trên công việc của mình với các nhà lãnh đạo doanh nghiệp, quan sát của các đồng nghiệp về hàng trăm nhà lãnh đạo, và dữ liệu của Hay Group về phong cách lãnh đạo của hàng nghìn nhà điều hành. Từ khối nghiên cứu này, chúng tôi phát hiện ra rằng trí tuệ cảm xúc được truyền qua một tổ chức giống như điện truyền qua dây dẫn. Cụ thể hơn, tâm trạng của nhà lãnh đạo thực sự có tính lây lan, lan truyền nhanh chóng và không thể ngăn cản khắp doanh nghiệp.</w:t>
      </w:r>
    </w:p>
    <w:p>
      <w:pPr>
        <w:pStyle w:val="Normal"/>
      </w:pPr>
      <w:r>
        <w:t>Chúng tôi sẽ thảo luận sâu hơn về khoa học của sự lây lan tâm trạng sau, nhưng trước tiên hãy xem xét những hàm ý chính của phát hiện của chúng tôi. Nếu tâm trạng của nhà lãnh đạo và các hành vi đi kèm thực sự là những động lực mạnh mẽ của thành công kinh doanh, thì nhiệm vụ hàng đầu của một nhà lãnh đạo—chúng tôi thậm chí có thể nói là nhiệm vụ nguyên thủy của họ—là lãnh đạo bằng cảm xúc (emotional leadership). Một nhà lãnh đạo cần đảm bảo rằng không chỉ bản thân mình thường xuyên ở trong tâm trạng lạc quan, chân thật, tràn đầy năng lượng, mà còn rằng, thông qua các hành động được lựa chọn của mình, những người đi theo cũng cảm nhận và hành động theo cách đó. Quản lý để đạt kết quả tài chính, vậy nên, bắt đầu bằng việc nhà lãnh đạo quản lý đời sống nội tâm của mình để phản ứng dây chuyền cảm xúc và hành vi đúng đắn xảy ra.</w:t>
      </w:r>
    </w:p>
    <w:p>
      <w:pPr>
        <w:pStyle w:val="Normal"/>
      </w:pPr>
      <w:r>
        <w:t xml:space="preserve">Quản lý đời sống nội tâm của mình tất nhiên không dễ dàng. Với nhiều người trong chúng ta, đó là thách thức khó khăn nhất. Và việc đánh giá chính xác cảm xúc của mình ảnh hưởng đến người khác như thế nào cũng khó không kém. Chúng tôi biết một CEO, ví dụ, người chắc chắn rằng mọi người đều thấy ông lạc quan và đáng tin cậy; các báo cáo trực tiếp của ông nói với chúng tôi rằng họ thấy sự vui vẻ của ông gượng gạo, thậm chí giả tạo, và các quyết định của ông thất thường. (Chúng tôi gọi sự mất kết nối phổ biến này là “bệnh CEO.”) Hàm ý là lãnh đạo bằng cảm xúc đòi hỏi nhiều hơn việc đeo mặt nạ vui vẻ mỗi ngày. Nó yêu cầu một nhà điều hành xác định, thông qua phân tích phản tư, cách lãnh đạo cảm xúc của mình thúc đẩy tâm trạng và hành động của tổ chức, và sau đó, với kỷ luật tương đương, điều chỉnh hành vi của mình cho phù hợp.</w:t>
        <w:bookmarkStart w:id="209" w:name="disconnect"/>
        <w:t/>
        <w:bookmarkEnd w:id="209"/>
        <w:t xml:space="preserve"/>
      </w:r>
    </w:p>
    <w:p>
      <w:pPr>
        <w:pStyle w:val="Para 025"/>
      </w:pPr>
      <w:r>
        <w:t>Ý tưởng ngắn gọn</w:t>
      </w:r>
    </w:p>
    <w:p>
      <w:pPr>
        <w:pStyle w:val="Para 005"/>
      </w:pPr>
      <w:r>
        <w:t xml:space="preserve">Điều gì ảnh hưởng nhiều nhất đến hiệu suất lợi nhuận cuối cùng của công ty bạn? Câu trả lời sẽ làm bạn ngạc nhiên—và hoàn toàn hợp lý: Đó là tâm trạng của chính nhà lãnh đạo.</w:t>
      </w:r>
      <w:r>
        <w:rPr>
          <w:rStyle w:val="Text0"/>
        </w:rPr>
        <w:t/>
      </w:r>
      <w:r>
        <w:t xml:space="preserve"/>
      </w:r>
      <w:r>
        <w:rPr>
          <w:rStyle w:val="Text0"/>
        </w:rPr>
        <w:t/>
      </w:r>
      <w:r>
        <w:t xml:space="preserve"/>
      </w:r>
    </w:p>
    <w:p>
      <w:pPr>
        <w:pStyle w:val="Para 005"/>
      </w:pPr>
      <w:r>
        <w:t xml:space="preserve">Trí tuệ cảm xúc của các nhà điều hành—sự tự nhận thức, sự đồng cảm, mối quan hệ tốt với người khác—có mối liên hệ rõ ràng với hiệu suất của chính họ. Nhưng nghiên cứu mới cho thấy phong cách cảm xúc của một nhà lãnh đạo cũng thúc đẩy tâm trạng và hành vi của mọi người khác—thông qua một quá trình thần kinh gọi là sự lây lan tâm trạng (mood contagion). Nó giống như “Hãy mỉm cười và cả thế giới sẽ mỉm cười với bạn.”</w:t>
      </w:r>
      <w:r>
        <w:rPr>
          <w:rStyle w:val="Text0"/>
        </w:rPr>
        <w:t/>
      </w:r>
      <w:r>
        <w:t xml:space="preserve"/>
      </w:r>
      <w:r>
        <w:rPr>
          <w:rStyle w:val="Text2"/>
        </w:rPr>
        <w:t/>
      </w:r>
      <w:r>
        <w:t/>
      </w:r>
    </w:p>
    <w:p>
      <w:pPr>
        <w:pStyle w:val="Para 005"/>
      </w:pPr>
      <w:r>
        <w:t>Trí tuệ cảm xúc lan truyền qua một tổ chức giống như điện truyền qua dây điện thoại. Những ông chủ chán nản, tàn nhẫn tạo ra các tổ chức độc hại đầy những người kém hiệu quả tiêu cực. Nhưng nếu bạn là một nhà lãnh đạo lạc quan, truyền cảm hứng, bạn nuôi dưỡng những nhân viên tích cực, những người đón nhận và vượt qua cả những thách thức khó khăn nhất.</w:t>
      </w:r>
    </w:p>
    <w:p>
      <w:pPr>
        <w:pStyle w:val="Para 005"/>
      </w:pPr>
      <w:r>
        <w:t xml:space="preserve">Lãnh đạo bằng cảm xúc không chỉ là ngày nào cũng đeo một bộ mặt tươi tỉnh. Nó có nghĩa là hiểu được tác động của mình lên người khác—rồi điều chỉnh phong cách cho phù hợp. Đó là một quá trình tự khám phá đầy khó khăn—nhưng rất cần thiết trước khi bạn có thể gánh vác trách nhiệm lãnh đạo của mình.</w:t>
      </w:r>
      <w:r>
        <w:rPr>
          <w:rStyle w:val="Text0"/>
        </w:rPr>
        <w:t/>
      </w:r>
      <w:r>
        <w:t xml:space="preserve"/>
      </w:r>
    </w:p>
    <w:p>
      <w:pPr>
        <w:pStyle w:val="Normal"/>
      </w:pPr>
      <w:r>
        <w:t>Điều đó không có nghĩa là nhà lãnh đạo không được có một ngày hay một tuần tồi tệ: Cuộc sống mà. Và nghiên cứu của chúng tôi cũng không cho rằng tâm trạng tốt phải lúc nào cũng hừng hực hay không ngừng nghỉ—chỉ cần lạc quan, chân thành và thực tế là được. Nhưng không thể trốn tránh kết luận rằng một nhà lãnh đạo trước tiên phải chú ý đến tác động của tâm trạng và hành vi của mình trước khi chuyển sang hàng loạt trách nhiệm quan trọng khác. Trong bài viết này, chúng tôi giới thiệu một quy trình mà các nhà điều hành có thể làm theo để đánh giá cách người khác trải nghiệm sự lãnh đạo của họ, và chúng tôi thảo luận về những cách để điều chỉnh tác động đó. Nhưng trước tiên, chúng ta sẽ xem xét vì sao tâm trạng thường không được bàn đến ở nơi làm việc, bộ não hoạt động thế nào để khiến tâm trạng lây lan, và bạn cần biết gì về “bệnh CEO” (CEO disease).</w:t>
      </w:r>
    </w:p>
    <w:p>
      <w:pPr>
        <w:pStyle w:val="Heading 1"/>
      </w:pPr>
      <w:r>
        <w:bookmarkStart w:id="210" w:name="No"/>
        <w:t>Không thể nào! Có thể chứ</w:t>
        <w:bookmarkEnd w:id="210"/>
        <w:t xml:space="preserve"/>
      </w:r>
    </w:p>
    <w:p>
      <w:pPr>
        <w:pStyle w:val="Normal"/>
      </w:pPr>
      <w:r>
        <w:t xml:space="preserve">Khi chúng tôi nói trước đó rằng mọi người có thể sẽ phản ứng với phát hiện mới của chúng tôi bằng câu “Không thể nào,” chúng tôi không đùa đâu. Sự thật là tác động cảm xúc của một nhà lãnh đạo gần như không bao giờ được bàn đến ở nơi làm việc, chứ đừng nói đến trong các tài liệu về lãnh đạo và hiệu suất. Với hầu hết mọi người, “tâm trạng” cảm giác quá riêng tư. Mặc dù người Mỹ có thể thẳng thắn đến mức gây sốc về các vấn đề cá nhân—hãy xem Jerry Springer Show và những chương trình tương tự—chúng ta cũng là những người bị ràng buộc pháp lý nhiều nhất. Chúng ta thậm chí không thể hỏi tuổi của một ứng viên xin việc. Vì vậy, một cuộc trò chuyện về tâm trạng của một nhà điều hành hay những tâm trạng mà người đó tạo ra ở nhân viên có thể bị coi là xâm phạm quyền riêng tư.</w:t>
      </w:r>
      <w:r>
        <w:rPr>
          <w:rStyle w:val="Text0"/>
        </w:rPr>
        <w:t/>
      </w:r>
      <w:r>
        <w:t xml:space="preserve"/>
      </w:r>
    </w:p>
    <w:p>
      <w:pPr>
        <w:pStyle w:val="Normal"/>
      </w:pPr>
      <w:r>
        <w:t xml:space="preserve">Chúng ta cũng có thể tránh nói về phong cách cảm xúc của một nhà lãnh đạo và tác động của nó bởi vì, nói thẳng ra, chủ đề này nghe có vẻ mềm yếu. Lần cuối cùng bạn đánh giá tâm trạng của cấp dưới như một phần trong đánh giá hiệu suất của cô ấy là khi nào? Bạn có thể đã ám chỉ đến nó—“Công việc của bạn bị cản trở bởi góc nhìn thường xuyên tiêu cực,” hay “Sự nhiệt tình của bạn thật tuyệt vời”—nhưng chắc là bạn không nhắc thẳng đến tâm trạng, chứ đừng nói đến việc thảo luận tác động của nó lên kết quả của tổ chức.</w:t>
        <w:bookmarkStart w:id="211" w:name="appraisal"/>
        <w:t/>
        <w:bookmarkEnd w:id="211"/>
        <w:t xml:space="preserve"/>
      </w:r>
    </w:p>
    <w:p>
      <w:pPr>
        <w:pStyle w:val="Para 025"/>
      </w:pPr>
      <w:r>
        <w:t>Ý tưởng trong thực hành</w:t>
      </w:r>
    </w:p>
    <w:p>
      <w:pPr>
        <w:pStyle w:val="Para 017"/>
      </w:pPr>
      <w:r>
        <w:t>Củng cố khả năng lãnh đạo bằng cảm xúc của bạn</w:t>
      </w:r>
    </w:p>
    <w:p>
      <w:pPr>
        <w:pStyle w:val="Para 005"/>
      </w:pPr>
      <w:r>
        <w:t>Vì hiếm người có đủ can đảm nói cho bạn sự thật về tác động cảm xúc của bạn, bạn phải tự mình khám phá ra nó. Quy trình sau đây có thể giúp ích. Nó dựa trên khoa học não bộ, cũng như nhiều năm nghiên cứu thực địa với các nhà điều hành. Hãy dùng các bước này để “nối lại” bộ não của bạn nhằm có trí tuệ cảm xúc cao hơn.</w:t>
      </w:r>
    </w:p>
    <w:p>
      <w:pPr>
        <w:pStyle w:val="Para 010"/>
      </w:pPr>
      <w:r>
        <w:t xml:space="preserve">1. Bạn muốn trở thành ai? Hãy tưởng tượng mình là một nhà lãnh đạo cực kỳ hiệu quả. Bạn thấy gì?</w:t>
      </w:r>
      <w:r>
        <w:rPr>
          <w:rStyle w:val="Text2"/>
        </w:rPr>
        <w:t/>
      </w:r>
      <w:r>
        <w:t xml:space="preserve"/>
      </w:r>
    </w:p>
    <w:p>
      <w:pPr>
        <w:pStyle w:val="Para 010"/>
      </w:pPr>
      <w:r>
        <w:rPr>
          <w:rStyle w:val="Text8"/>
        </w:rPr>
        <w:t>Ví dụ: Sofia, một quản lý cấp cao, thường quản lý vi mô người khác để đảm bảo công việc được làm “đúng”. Vì vậy, cô tưởng tượng mình trong tương lai là một nhà lãnh đạo hiệu quả của chính công ty mình, tận hưởng những mối quan hệ tin cậy với đồng nghiệp. Cô thấy mình thoải mái, hạnh phúc và trao quyền cho người khác. Bài tập này đã hé lộ những khoảng trống trong phong cách cảm xúc hiện tại của cô.</w:t>
      </w:r>
      <w:r>
        <w:t xml:space="preserve"/>
      </w:r>
      <w:r>
        <w:rPr>
          <w:rStyle w:val="Text0"/>
        </w:rPr>
        <w:t/>
      </w:r>
      <w:r>
        <w:t xml:space="preserve"/>
      </w:r>
    </w:p>
    <w:p>
      <w:pPr>
        <w:pStyle w:val="Para 010"/>
      </w:pPr>
      <w:r>
        <w:t xml:space="preserve">2. Bây giờ bạn là ai? Để nhìn thấy phong cách lãnh đạo của mình như người khác thấy, hãy thu thập phản hồi 360 độ, đặc biệt là từ đồng nghiệp ngang hàng và cấp dưới. Xác định điểm yếu và điểm mạnh của bạn.</w:t>
      </w:r>
      <w:r>
        <w:rPr>
          <w:rStyle w:val="Text2"/>
        </w:rPr>
        <w:t/>
      </w:r>
      <w:r>
        <w:t xml:space="preserve"/>
      </w:r>
      <w:r>
        <w:rPr>
          <w:rStyle w:val="Text0"/>
        </w:rPr>
        <w:t/>
      </w:r>
      <w:r>
        <w:t xml:space="preserve"/>
      </w:r>
    </w:p>
    <w:p>
      <w:pPr>
        <w:pStyle w:val="Para 010"/>
      </w:pPr>
      <w:r>
        <w:t xml:space="preserve">3. Làm thế nào để bạn đi từ đây đến đó? Hãy vạch ra một kế hoạch để thu hẹp khoảng cách giữa con người hiện tại và con người bạn muốn trở thành.</w:t>
      </w:r>
      <w:r>
        <w:rPr>
          <w:rStyle w:val="Text2"/>
        </w:rPr>
        <w:t/>
      </w:r>
      <w:r>
        <w:t xml:space="preserve"/>
      </w:r>
    </w:p>
    <w:p>
      <w:pPr>
        <w:pStyle w:val="Para 030"/>
      </w:pPr>
      <w:r>
        <w:rPr>
          <w:rStyle w:val="Text8"/>
        </w:rPr>
        <w:t>Ví dụ: Juan, một giám đốc marketing, là người đáng sợ, khó lòng làm hài lòng—một kẻ cau có. Được giao nhiệm vụ phát triển công ty, anh cần trở nên động viên, lạc quan—một huấn luyện viên có tầm nhìn. Để bắt đầu thấu hiểu người khác, anh làm huấn luyện viên bóng đá, làm tình nguyện tại một trung tâm xử lý khủng hoảng, và tìm hiểu cấp dưới bằng cách gặp gỡ ngoài giờ làm. Những tình huống mới này kích thích anh phá bỏ thói quen cũ và thử những phản ứng mới.</w:t>
      </w:r>
      <w:r>
        <w:t xml:space="preserve"/>
      </w:r>
      <w:r>
        <w:rPr>
          <w:rStyle w:val="Text0"/>
        </w:rPr>
        <w:t/>
      </w:r>
      <w:r>
        <w:t xml:space="preserve"/>
      </w:r>
    </w:p>
    <w:p>
      <w:pPr>
        <w:pStyle w:val="Para 010"/>
      </w:pPr>
      <w:r>
        <w:t xml:space="preserve">4. Làm thế nào để thay đổi bền vững? Hãy luyện tập lặp đi lặp lại những hành vi mới—cả về thể chất lẫn tinh thần—cho đến khi chúng trở nên tự động.</w:t>
      </w:r>
      <w:r>
        <w:rPr>
          <w:rStyle w:val="Text2"/>
        </w:rPr>
        <w:t/>
      </w:r>
      <w:r>
        <w:t xml:space="preserve"/>
      </w:r>
      <w:r>
        <w:rPr>
          <w:rStyle w:val="Text0"/>
        </w:rPr>
        <w:t/>
      </w:r>
      <w:r>
        <w:t xml:space="preserve"/>
      </w:r>
    </w:p>
    <w:p>
      <w:pPr>
        <w:pStyle w:val="Para 030"/>
      </w:pPr>
      <w:r>
        <w:rPr>
          <w:rStyle w:val="Text8"/>
        </w:rPr>
        <w:t>Ví dụ: Tom, một nhà điều hành, muốn học cách huấn luyện thay vì trừng phạt những nhân viên đang gặp khó khăn. Tận dụng thời gian đi lại để hình dung một cuộc họp khó khăn với một nhân viên, anh tưởng tượng mình đặt câu hỏi và lắng nghe, đồng thời tập dượt trong đầu cách anh sẽ xử lý cảm giác thiếu kiên nhẫn. Bài tập này giúp anh sẵn sàng áp dụng những hành vi mới trong cuộc họp thực tế.</w:t>
      </w:r>
      <w:r>
        <w:t xml:space="preserve"/>
      </w:r>
    </w:p>
    <w:p>
      <w:pPr>
        <w:pStyle w:val="Para 010"/>
      </w:pPr>
      <w:r>
        <w:t xml:space="preserve">5. Ai có thể giúp bạn? Đừng cố xây dựng kỹ năng cảm xúc một mình—hãy xác định những người có thể giúp bạn vượt qua quá trình khó khăn này. Các quản lý tại Unilever đã thành lập các nhóm học tập giúp họ củng cố năng lực lãnh đạo bằng cách trao đổi phản hồi thẳng thắn và xây dựng lòng tin lẫn nhau vững chắc.</w:t>
      </w:r>
      <w:r>
        <w:rPr>
          <w:rStyle w:val="Text2"/>
        </w:rPr>
        <w:t/>
      </w:r>
      <w:r>
        <w:t xml:space="preserve"/>
      </w:r>
    </w:p>
    <w:p>
      <w:pPr>
        <w:pStyle w:val="Normal"/>
      </w:pPr>
      <w:r>
        <w:t>Vậy mà nghiên cứu của chúng tôi chắc chắn cũng sẽ gợi ra phản ứng “Ồ, tất nhiên rồi”. Ai cũng biết tâm trạng của nhà lãnh đạo ảnh hưởng đến hiệu suất nhiều thế nào bởi ai cũng từng, lúc này hay lúc khác, có trải nghiệm đầy cảm hứng khi làm việc cho một quản lý lạc quan, hoặc trải nghiệm nặng nề khi làm việc cho một ông chủ cáu kỉnh. Người trước khiến mọi thứ dường như đều khả thi, và nhờ đó, những mục tiêu đầy thách thức được hoàn thành, đối thủ bị đánh bại, và khách hàng mới được chinh phục. Người sau khiến công việc trở nên khổ sở. Dưới cái bóng tâm trạng u ám của ông chủ, các bộ phận khác trong tổ chức trở thành “kẻ thù”, đồng nghiệp nghi ngờ lẫn nhau, và khách hàng lặng lẽ rời đi.</w:t>
      </w:r>
    </w:p>
    <w:p>
      <w:pPr>
        <w:pStyle w:val="Normal"/>
      </w:pPr>
      <w:r>
        <w:bookmarkStart w:id="212" w:name="Our"/>
        <w:t>Nghiên cứu của chúng tôi, và nghiên cứu của các nhà khoa học xã hội khác, xác nhận tính xác thực của những trải nghiệm này. (Tất nhiên, có những trường hợp hiếm hoi khi một ông chủ tàn bạo tạo ra kết quả tuyệt vời. Chúng tôi khám phá động lực đó trong phần phụ “Những ông chủ khó ưa nhưng chiến thắng”.) Các nghiên cứu nhiều đến mức không thể kể hết ở đây nhưng, nhìn chung, chúng cho thấy khi nhà lãnh đạo có tâm trạng vui vẻ, những người xung quanh nhìn mọi thứ theo hướng tích cực hơn. Điều đó, đến lượt nó, khiến họ lạc quan về việc đạt được mục tiêu, tăng cường sự sáng tạo và hiệu quả ra quyết định, và khiến họ có xu hướng sẵn lòng giúp đỡ. Chẳng hạn, nghiên cứu do Alice Isen tại Cornell thực hiện năm 1999 cho thấy một môi trường phấn chấn thúc đẩy hiệu quả tinh thần, giúp mọi người tiếp nhận và hiểu thông tin tốt hơn, sử dụng các quy tắc quyết định trong những phán đoán phức tạp tốt hơn, và linh hoạt hơn trong suy nghĩ. Nghiên cứu khác liên kết trực tiếp tâm trạng với hiệu suất tài chính. Ví dụ, năm 1986, Martin Seligman và Peter Schulman của Đại học Pennsylvania đã chứng minh rằng các đại lý bảo hiểm có cái nhìn “ly nước đầy một nửa” có khả năng kiên trì trước những lời từ chối cao hơn nhiều so với những đồng nghiệp bi quan hơn, và nhờ đó, họ chốt được nhiều hợp đồng hơn. (Để biết thêm thông tin về các nghiên cứu này và danh sách cơ sở nghiên cứu của chúng tôi, hãy truy cập www.eiconsortium.org.)</w:t>
        <w:bookmarkEnd w:id="212"/>
        <w:t xml:space="preserve"/>
      </w:r>
      <w:hyperlink w:anchor="Those">
        <w:r>
          <w:rPr>
            <w:rStyle w:val="Text1"/>
          </w:rPr>
          <w:t/>
        </w:r>
      </w:hyperlink>
      <w:r>
        <w:t xml:space="preserve"/>
      </w:r>
      <w:hyperlink r:id="rId33">
        <w:r>
          <w:rPr>
            <w:rStyle w:val="Text1"/>
          </w:rPr>
          <w:t/>
        </w:r>
      </w:hyperlink>
      <w:r>
        <w:t/>
      </w:r>
    </w:p>
    <w:p>
      <w:pPr>
        <w:pStyle w:val="Normal"/>
      </w:pPr>
      <w:r>
        <w:t>Nhiều nhà lãnh đạo có phong cách cảm xúc tạo ra môi trường rối loạn chức năng cuối cùng bị sa thải. (Tất nhiên, đó hiếm khi là lý do được nêu ra; kết quả kém mới là lý do.) Nhưng không nhất thiết phải kết thúc như vậy. Cũng như một tâm trạng tồi tệ có thể được xoay chuyển, sự lan truyền cảm xúc độc hại từ một nhà lãnh đạo kém cỏi về cảm xúc cũng có thể được ngăn chặn. Một cái nhìn vào bên trong bộ não sẽ giải thích cả vì sao lẫn bằng cách nào.</w:t>
      </w:r>
    </w:p>
    <w:p>
      <w:pPr>
        <w:pStyle w:val="Heading 1"/>
      </w:pPr>
      <w:r>
        <w:t>Khoa học về tâm trạng</w:t>
      </w:r>
    </w:p>
    <w:p>
      <w:pPr>
        <w:pStyle w:val="Normal"/>
      </w:pPr>
      <w:r>
        <w:t xml:space="preserve">Ngày càng có nhiều nghiên cứu về não bộ con người chứng minh rằng, dù tốt hay xấu, tâm trạng của nhà lãnh đạo ảnh hưởng đến cảm xúc của những người xung quanh họ. Lý do nằm ở cái mà các nhà khoa học gọi là bản chất vòng mở (open-loop) của hệ limbic trong não, trung tâm cảm xúc của chúng ta. Một hệ thống vòng kín có khả năng tự điều chỉnh, trong khi một hệ thống vòng mở phụ thuộc vào các nguồn bên ngoài để tự quản lý. Nói cách khác, chúng ta dựa vào kết nối với người khác để xác định tâm trạng của mình. Hệ limbic vòng mở là một thiết kế chiến thắng trong quá trình tiến hóa vì nó cho phép con người đến giải cứu cảm xúc cho nhau—chẳng hạn, giúp một người mẹ dỗ dành đứa con đang khóc của mình.</w:t>
        <w:bookmarkStart w:id="213" w:name="open"/>
        <w:t/>
        <w:bookmarkEnd w:id="213"/>
        <w:t/>
      </w:r>
    </w:p>
    <w:p>
      <w:pPr>
        <w:pStyle w:val="Para 049"/>
      </w:pPr>
      <w:r>
        <w:bookmarkStart w:id="214" w:name="Those"/>
        <w:t>Những ông chủ khó ưa nhưng chiến thắng</w:t>
        <w:bookmarkEnd w:id="214"/>
        <w:t xml:space="preserve"/>
      </w:r>
    </w:p>
    <w:p>
      <w:pPr>
        <w:pStyle w:val="Para 007"/>
      </w:pPr>
      <w:r>
        <w:t>Ai cũng biết một CEO thô lỗ và cưỡng chế, mà nhìn bề ngoài, là hiện thân của sự phản trí tuệ cảm xúc, nhưng dường như vẫn gặt hái kết quả kinh doanh tuyệt vời. Nếu tâm trạng của nhà lãnh đạo quan trọng đến vậy, làm sao chúng ta giải thích được những kẻ khó chịu nhưng thành công ấy?</w:t>
      </w:r>
    </w:p>
    <w:p>
      <w:pPr>
        <w:pStyle w:val="Para 007"/>
      </w:pPr>
      <w:r>
        <w:t>Trước tiên, hãy nhìn kỹ hơn vào họ. Chỉ vì một nhà điều hành cụ thể nào đó là người dễ thấy nhất, không có nghĩa là người đó thực sự lãnh đạo công ty. Một CEO đứng đầu một tập đoàn có thể chẳng có người đi theo nào đáng kể; chính các trưởng bộ phận của ông ta mới là người tích cực lãnh đạo nhân viên và ảnh hưởng đến lợi nhuận.</w:t>
      </w:r>
    </w:p>
    <w:p>
      <w:pPr>
        <w:pStyle w:val="Para 007"/>
      </w:pPr>
      <w:r>
        <w:t>Thứ hai, đôi khi một nhà lãnh đạo khó ưa có những điểm mạnh bù đắp cho hành vi cay nghiệt của mình, nhưng chúng không thu hút nhiều sự chú ý trên báo chí kinh doanh. Trong những ngày đầu tại GE, Jack Welch đã thể hiện một bàn tay mạnh mẽ khi chèo lái công ty trong lúc ông thực hiện một cuộc tái cấu trúc triệt để. Vào thời điểm đó và trong tình huống đó, phong cách lãnh đạo từ trên xuống cứng rắn của Welch là phù hợp. Điều ít được báo chí nhắc đến là sau đó Welch đã chuyển sang một phong cách lãnh đạo giàu trí tuệ cảm xúc hơn, đặc biệt là khi ông nêu rõ tầm nhìn mới cho công ty và huy động mọi người đi theo tầm nhìn đó.</w:t>
      </w:r>
    </w:p>
    <w:p>
      <w:pPr>
        <w:pStyle w:val="Para 007"/>
      </w:pPr>
      <w:r>
        <w:t>Gạt những lưu ý đó sang một bên, hãy quay lại với những nhà lãnh đạo doanh nghiệp khét tiếng dường như đã đạt được kết quả kinh doanh xuất sắc bất chấp cách tiếp cận lãnh đạo thô bạo của họ. Những người hoài nghi lấy Bill Gates làm ví dụ, như một nhà lãnh đạo thoát tội với phong cách khắc nghiệt mà theo lý thuyết đáng lẽ đã làm tổn hại công ty của ông.</w:t>
      </w:r>
    </w:p>
    <w:p>
      <w:pPr>
        <w:pStyle w:val="Para 007"/>
      </w:pPr>
      <w:r>
        <w:t>Nhưng mô hình lãnh đạo của chúng tôi, vốn cho thấy hiệu quả của các phong cách lãnh đạo cụ thể trong các tình huống cụ thể, đặt những hành vi bị coi là tiêu cực của Gates dưới một ánh sáng khác. (Mô hình của chúng tôi được giải thích chi tiết trong bài viết trên HBR “Leadership That Gets Results,” đăng trên số tháng 3–4 năm 2000.) Gates là nhà lãnh đạo hướng đến thành tích xuất sắc nhất, trong một tổ chức đã tuyển chọn những người cực kỳ tài năng và có động lực. Phong cách lãnh đạo có vẻ khắc nghiệt của ông—thẳng thừng thách thức nhân viên vượt qua thành tích trước đây của họ—có thể khá hiệu quả khi nhân viên có năng lực, có động lực và cần ít sự chỉ đạo—tất cả đều là đặc điểm của các kỹ sư Microsoft.</w:t>
      </w:r>
    </w:p>
    <w:p>
      <w:pPr>
        <w:pStyle w:val="Para 007"/>
      </w:pPr>
      <w:r>
        <w:t>Nói tóm lại, quá dễ dàng để một người hoài nghi phản bác tầm quan trọng của những nhà lãnh đạo biết quản lý tâm trạng bằng cách viện dẫn một nhà lãnh đạo “cộc cằn và cứng rắn” đã đạt được kết quả kinh doanh tốt bất chấp hành vi tồi tệ của mình. Chúng tôi khẳng định rằng, tất nhiên, có những ngoại lệ đối với quy tắc, và trong một số trường hợp kinh doanh cụ thể, một ông chủ khó ưa vẫn có thể tạo được sự cộng hưởng tốt. Nhưng nhìn chung, những nhà lãnh đạo đáng ghét phải thay đổi, nếu không tâm trạng và hành động của họ rồi sẽ bắt kịp họ.</w:t>
      </w:r>
    </w:p>
    <w:p>
      <w:pPr>
        <w:pStyle w:val="Normal"/>
      </w:pPr>
      <w:r>
        <w:t>Thiết kế vòng mở ngày nay phục vụ cùng một mục đích như cách đây hàng nghìn năm. Chẳng hạn, nghiên cứu tại các đơn vị chăm sóc đặc biệt cho thấy sự hiện diện an ủi của một người khác không chỉ làm giảm huyết áp của bệnh nhân mà còn làm chậm quá trình tiết axit béo gây tắc động mạch. Một nghiên cứu khác phát hiện rằng ba sự kiện căng thẳng dữ dội trở lên trong vòng một năm (ví dụ, rắc rối tài chính nghiêm trọng, bị sa thải, hoặc ly hôn) làm tăng gấp ba tỷ lệ tử vong ở những người đàn ông trung niên sống cô lập về mặt xã hội, nhưng không có tác động gì đến tỷ lệ tử vong của những người đàn ông có nhiều mối quan hệ thân thiết.</w:t>
      </w:r>
    </w:p>
    <w:p>
      <w:pPr>
        <w:pStyle w:val="Normal"/>
      </w:pPr>
      <w:r>
        <w:t>Các nhà khoa học mô tả vòng mở như là “sự điều chỉnh limbic giữa các cá nhân” (interpersonal limbic regulation); một người truyền đi những tín hiệu có thể làm thay đổi nồng độ hormone, chức năng tim mạch, nhịp ngủ, thậm chí cả chức năng miễn dịch, bên trong cơ thể của người khác. Đó là cách các cặp đôi có thể kích hoạt sự gia tăng oxytocin trong não của nhau, tạo ra cảm giác dễ chịu, trìu mến. Nhưng trong mọi khía cạnh của đời sống xã hội, sinh lý của chúng ta hòa quyện vào nhau. Thiết kế vòng mở của hệ limbic cho phép người khác thay đổi chính sinh lý của chúng ta, và do đó, cảm xúc của chúng ta.</w:t>
      </w:r>
    </w:p>
    <w:p>
      <w:pPr>
        <w:pStyle w:val="Normal"/>
      </w:pPr>
      <w:r>
        <w:t>Dù vòng lặp mở (open loop) hiện diện rất nhiều trong cuộc sống, chúng ta thường không để ý đến quá trình này. Các nhà khoa học đã ghi lại sự đồng điệu cảm xúc trong phòng thí nghiệm bằng cách đo các chỉ số sinh lý—chẳng hạn như nhịp tim—của hai người đang trò chuyện vui vẻ. Khi cuộc tương tác bắt đầu, cơ thể họ hoạt động theo những nhịp khác nhau. Nhưng sau 15 phút, các chỉ số sinh lý của cơ thể họ trông giống nhau đến đáng kinh ngạc.</w:t>
      </w:r>
    </w:p>
    <w:p>
      <w:pPr>
        <w:pStyle w:val="Normal"/>
      </w:pPr>
      <w:r>
        <w:t>Các nhà nghiên cứu đã hết lần này đến lần khác chứng kiến cảm xúc lan truyền một cách không thể cưỡng lại theo cách này mỗi khi mọi người ở gần nhau. Từ năm 1981, các nhà tâm lý học Howard Friedman và Ronald Riggio đã phát hiện ra rằng ngay cả biểu cảm hoàn toàn phi ngôn ngữ cũng có thể ảnh hưởng đến người khác. Ví dụ, khi ba người lạ ngồi đối diện nhau trong im lặng một hoặc hai phút, người biểu cảm nhất trong ba người sẽ truyền tâm trạng của mình cho hai người còn lại—mà không cần nói một lời nào.</w:t>
      </w:r>
    </w:p>
    <w:p>
      <w:pPr>
        <w:pStyle w:val="Para 049"/>
      </w:pPr>
      <w:r>
        <w:bookmarkStart w:id="215" w:name="Smile"/>
        <w:t>Hãy cười và cả thế giới sẽ cười cùng bạn</w:t>
        <w:bookmarkEnd w:id="215"/>
        <w:t xml:space="preserve"/>
      </w:r>
    </w:p>
    <w:p>
      <w:pPr>
        <w:pStyle w:val="Para 007"/>
      </w:pPr>
      <w:r>
        <w:t>Bạn còn nhớ câu nói sáo rỗng đó không? Nó không xa sự thật lắm đâu. Như chúng tôi đã trình bày, lây lan tâm trạng (mood contagion) là một hiện tượng thần kinh có thật, nhưng không phải mọi cảm xúc đều lan truyền dễ dàng như nhau. Một nghiên cứu năm 1999 do Sigal Barsade thực hiện tại Yale School of Management cho thấy, trong các nhóm làm việc, sự vui vẻ và ấm áp lan truyền dễ dàng, trong khi sự cáu kỉnh ít lây lan hơn, và trầm cảm là ít lây lan nhất.</w:t>
      </w:r>
    </w:p>
    <w:p>
      <w:pPr>
        <w:pStyle w:val="Para 007"/>
      </w:pPr>
      <w:r>
        <w:t>Không có gì ngạc nhiên khi tiếng cười là cảm xúc dễ lây lan nhất. Khi nghe tiếng cười, chúng ta gần như không thể không cười hoặc mỉm cười theo. Đó là vì một số mạch vòng lặp mở trong não chúng ta được thiết kế để phát hiện nụ cười và tiếng cười, khiến chúng ta phản ứng tương tự. Các nhà khoa học đưa ra giả thuyết rằng cơ chế này đã được gắn cứng vào não chúng ta từ rất lâu vì nụ cười và tiếng cười có tác dụng củng cố liên minh, nhờ đó giúp loài người tồn tại.</w:t>
      </w:r>
    </w:p>
    <w:p>
      <w:pPr>
        <w:pStyle w:val="Para 007"/>
      </w:pPr>
      <w:r>
        <w:t>Hàm ý chính ở đây cho các nhà lãnh đạo đang đảm nhận nhiệm vụ cốt lõi là quản lý tâm trạng của mình và của người khác là: Sự hài hước giúp đẩy nhanh sự lan tỏa của bầu không khí tích cực. Nhưng cũng giống như tâm trạng của nhà lãnh đạo nói chung, sự hài hước phải phù hợp với văn hóa và thực tế của tổ chức. Chúng tôi cho rằng nụ cười và tiếng cười chỉ có sức lây lan khi chúng chân thật.</w:t>
      </w:r>
    </w:p>
    <w:p>
      <w:pPr>
        <w:pStyle w:val="Normal"/>
      </w:pPr>
      <w:r>
        <w:t>Điều tương tự cũng đúng trong văn phòng, phòng họp hay xưởng sản xuất; các thành viên trong nhóm chắc chắn sẽ “bắt lây” cảm xúc của nhau. Năm 2000, Caroline Bartel tại New York University và Richard Saavedra tại University of Michigan phát hiện ra rằng trong 70 nhóm làm việc thuộc nhiều ngành nghề khác nhau, những người họp cùng nhau cuối cùng đều chia sẻ tâm trạng—cả tốt lẫn xấu—trong vòng hai giờ. Một nghiên cứu yêu cầu các nhóm y tá và kế toán theo dõi tâm trạng của họ trong nhiều tuần; các nhà nghiên cứu phát hiện ra rằng cảm xúc của họ diễn biến cùng nhau và phần lớn không phụ thuộc vào những phiền toái chung của từng nhóm. Vì vậy, các nhóm cũng giống như cá nhân, trải qua những cung bậc cảm xúc thăng trầm, chia sẻ mọi thứ từ ghen tị, lo âu đến phấn khích tột độ. (Nhân tiện, tâm trạng tốt lan truyền nhanh nhất nhờ sử dụng sự hài hước một cách khéo léo. Để biết thêm, xem phần “Hãy cười và cả thế giới sẽ cười cùng bạn.”)</w:t>
      </w:r>
      <w:hyperlink w:anchor="Smile">
        <w:r>
          <w:rPr>
            <w:rStyle w:val="Text1"/>
          </w:rPr>
          <w:t/>
        </w:r>
      </w:hyperlink>
      <w:r>
        <w:t/>
      </w:r>
    </w:p>
    <w:p>
      <w:pPr>
        <w:pStyle w:val="Normal"/>
      </w:pPr>
      <w:r>
        <w:t xml:space="preserve">Tâm trạng bắt đầu từ cấp cao nhất thường lan truyền nhanh nhất vì mọi người đều quan sát sếp. Họ nhận tín hiệu cảm xúc từ sếp. Ngay cả khi sếp không xuất hiện nhiều—ví dụ, một CEO làm việc sau cánh cửa đóng kín ở tầng trên—thái độ của ông ấy vẫn ảnh hưởng đến tâm trạng của cấp dưới trực tiếp, và hiệu ứng domino lan tỏa khắp công ty.</w:t>
        <w:bookmarkStart w:id="216" w:name="who"/>
        <w:t/>
        <w:bookmarkEnd w:id="216"/>
        <w:t xml:space="preserve"/>
      </w:r>
    </w:p>
    <w:p>
      <w:pPr>
        <w:pStyle w:val="Para 049"/>
      </w:pPr>
      <w:r>
        <w:bookmarkStart w:id="217" w:name="Get"/>
        <w:t>Hãy vui lên, nhưng cẩn thận</w:t>
        <w:bookmarkEnd w:id="217"/>
        <w:t xml:space="preserve"/>
      </w:r>
    </w:p>
    <w:p>
      <w:pPr>
        <w:pStyle w:val="Para 007"/>
      </w:pPr>
      <w:r>
        <w:t>Tâm trạng tốt thúc đẩy hiệu suất tốt, nhưng sẽ không hợp lý nếu một nhà lãnh đạo cứ vui vẻ như chim giẻ cùi xanh lúc bình minh trong khi doanh số đang lao dốc hoặc doanh nghiệp sắp phá sản. Những nhà điều hành hiệu quả nhất thể hiện tâm trạng và hành vi phù hợp với tình huống trước mắt, kèm theo một liều lạc quan lành mạnh. Họ tôn trọng cảm xúc của người khác—dù đó là sự ủ rũ hay chán nản—nhưng họ cũng làm gương về cách tiến về phía trước với hy vọng và sự hài hước.</w:t>
      </w:r>
    </w:p>
    <w:p>
      <w:pPr>
        <w:pStyle w:val="Para 007"/>
      </w:pPr>
      <w:r>
        <w:t>Kiểu thể hiện này, mà chúng tôi gọi là sự cộng hưởng (resonance), về cơ bản chính là bốn thành phần của trí tuệ cảm xúc (emotional intelligence) trong hành động.</w:t>
      </w:r>
    </w:p>
    <w:p>
      <w:pPr>
        <w:pStyle w:val="Para 007"/>
      </w:pPr>
      <w:r>
        <w:rPr>
          <w:rStyle w:val="Text2"/>
        </w:rPr>
        <w:t>Tự nhận thức (self-awareness), có lẽ là năng lực thiết yếu nhất trong các năng lực trí tuệ cảm xúc, là khả năng đọc được cảm xúc của chính mình. Nó cho phép mọi người biết điểm mạnh và giới hạn của mình, đồng thời cảm thấy tự tin về giá trị bản thân. Các nhà lãnh đạo cộng hưởng dùng sự tự nhận thức để đánh giá chính xác tâm trạng của mình, và họ biết một cách trực giác mình đang ảnh hưởng đến người khác như thế nào.</w:t>
      </w:r>
      <w:r>
        <w:t xml:space="preserve"/>
      </w:r>
    </w:p>
    <w:p>
      <w:pPr>
        <w:pStyle w:val="Para 007"/>
      </w:pPr>
      <w:r>
        <w:rPr>
          <w:rStyle w:val="Text2"/>
        </w:rPr>
        <w:t>Tự quản lý (self-management) là khả năng kiểm soát cảm xúc của bạn và hành động một cách trung thực, chính trực theo những cách đáng tin cậy và linh hoạt. Các nhà lãnh đạo cộng hưởng không để những tâm trạng tồi tệ thỉnh thoảng chi phối cả ngày; họ dùng sự tự quản lý để bỏ nó lại ngoài cửa văn phòng hoặc giải thích nguồn cơn của nó cho mọi người một cách hợp lý, để họ biết nó đến từ đâu và có thể kéo dài bao lâu.</w:t>
      </w:r>
      <w:r>
        <w:t xml:space="preserve"/>
      </w:r>
    </w:p>
    <w:p>
      <w:pPr>
        <w:pStyle w:val="Para 007"/>
      </w:pPr>
      <w:r>
        <w:rPr>
          <w:rStyle w:val="Text2"/>
        </w:rPr>
        <w:t>Nhận thức xã hội (social awareness) bao gồm các khả năng then chốt là đồng cảm và trực giác tổ chức. Những nhà điều hành có nhận thức xã hội không chỉ cảm nhận được cảm xúc của người khác, họ còn thể hiện rằng họ quan tâm. Hơn nữa, họ là chuyên gia trong việc đọc các dòng chảy chính trị nơi công sở. Vì vậy, các nhà lãnh đạo cộng hưởng thường hiểu rất rõ lời nói và hành động của mình khiến người khác cảm thấy thế nào, và họ đủ nhạy bén để thay đổi khi tác động đó là tiêu cực.</w:t>
      </w:r>
      <w:r>
        <w:t xml:space="preserve"/>
      </w:r>
    </w:p>
    <w:p>
      <w:pPr>
        <w:pStyle w:val="Para 007"/>
      </w:pPr>
      <w:r>
        <w:rPr>
          <w:rStyle w:val="Text2"/>
        </w:rPr>
        <w:t>Quản lý quan hệ (relationship management), năng lực cuối cùng trong các năng lực trí tuệ cảm xúc, bao gồm khả năng giao tiếp rõ ràng và thuyết phục, hóa giải xung đột và xây dựng các mối quan hệ cá nhân bền chặt. Các nhà lãnh đạo cộng hưởng dùng những kỹ năng này để lan tỏa sự nhiệt tình và giải quyết bất đồng, thường bằng sự hài hước và lòng tốt.</w:t>
      </w:r>
      <w:r>
        <w:t xml:space="preserve"/>
        <w:bookmarkStart w:id="218" w:name="conflicts"/>
        <w:t/>
        <w:bookmarkEnd w:id="218"/>
        <w:t xml:space="preserve"/>
      </w:r>
    </w:p>
    <w:p>
      <w:pPr>
        <w:pStyle w:val="Para 007"/>
      </w:pPr>
      <w:r>
        <w:t>Dù lãnh đạo cộng hưởng hiệu quả đến đâu, nó vẫn rất hiếm gặp. Hầu hết mọi người phải chịu đựng những nhà lãnh đạo bất hòa (dissonant leaders) với tâm trạng độc hại và hành vi gây khó chịu tàn phá mọi thứ trước khi một nhà lãnh đạo đầy hy vọng và thực tế sửa chữa tình hình.</w:t>
      </w:r>
    </w:p>
    <w:p>
      <w:pPr>
        <w:pStyle w:val="Para 007"/>
      </w:pPr>
      <w:r>
        <w:t>Hãy xem điều đã xảy ra gần đây tại một bộ phận thử nghiệm của BBC, gã khổng lồ truyền thông Anh. Dù khoảng 200 phóng viên và biên tập viên của nhóm đã nỗ lực hết sức, ban quản lý vẫn quyết định đóng cửa bộ phận này.</w:t>
      </w:r>
    </w:p>
    <w:p>
      <w:pPr>
        <w:pStyle w:val="Para 007"/>
      </w:pPr>
      <w:r>
        <w:t>Việc đóng cửa tự nó đã đủ tệ, nhưng tâm trạng và cách cư xử cộc cằn, gây gổ của vị điều hành được cử đến để thông báo tin này cho toàn thể nhân viên đã châm ngòi cho điều gì đó vượt xa sự thất vọng thông thường. Mọi người trở nên phẫn nộ—với cả quyết định lẫn người đưa tin. Tâm trạng cáu kỉnh và cách truyền đạt của vị điều hành này đã tạo ra bầu không khí đe dọa đến mức ông ta phải gọi bảo vệ hộ tống ra khỏi phòng.</w:t>
      </w:r>
    </w:p>
    <w:p>
      <w:pPr>
        <w:pStyle w:val="Para 007"/>
      </w:pPr>
      <w:r>
        <w:t>Ngày hôm sau, một vị điều hành khác đến gặp chính những nhân viên đó. Tâm trạng của ông trầm lắng và đầy tôn trọng, và hành vi của ông cũng vậy. Ông nói về tầm quan trọng của báo chí đối với sức sống của một xã hội và về thiên hướng đã đưa tất cả họ đến với nghề này ngay từ đầu. Ông nhắc họ rằng không ai bước vào nghề báo để làm giàu—về mặt tài chính, nghề này luôn ở mức bấp bênh, sự an toàn công việc lên xuống theo những con sóng lớn của nền kinh tế. Ông nhớ lại một thời điểm trong sự nghiệp của mình khi ông bị sa thải và đã vật lộn thế nào để tìm một vị trí mới—nhưng ông vẫn luôn tận tâm với nghề. Cuối cùng, ông chúc họ may mắn trong việc tiếp tục sự nghiệp.</w:t>
      </w:r>
    </w:p>
    <w:p>
      <w:pPr>
        <w:pStyle w:val="Para 007"/>
      </w:pPr>
      <w:r>
        <w:t>Phản ứng của đám đông từng giận dữ ngày hôm trước là gì? Khi nhà lãnh đạo cộng hưởng này nói xong, các nhân viên đã vỗ tay hoan hô.</w:t>
      </w:r>
    </w:p>
    <w:p>
      <w:pPr>
        <w:pStyle w:val="Heading 1"/>
      </w:pPr>
      <w:r>
        <w:t>Hãy gọi vị CEO đó là bác sĩ</w:t>
      </w:r>
    </w:p>
    <w:p>
      <w:pPr>
        <w:pStyle w:val="Normal"/>
      </w:pPr>
      <w:r>
        <w:t xml:space="preserve">Nếu tâm trạng của nhà lãnh đạo quan trọng đến vậy, thì họ nên có một tâm trạng tốt, đúng không? Đúng, nhưng câu trả lời đầy đủ phức tạp hơn thế. Tâm trạng của nhà lãnh đạo có tác động lớn nhất đến hiệu suất khi nó tích cực. Nhưng nó cũng phải hòa hợp với những người xung quanh. Chúng tôi gọi đây là sự cộng hưởng động (dynamic resonance). (Để biết thêm, xem phần “Hãy vui lên, nhưng cẩn thận.”)</w:t>
      </w:r>
      <w:r>
        <w:rPr>
          <w:rStyle w:val="Text0"/>
        </w:rPr>
        <w:t/>
      </w:r>
      <w:r>
        <w:t/>
      </w:r>
      <w:hyperlink w:anchor="Get">
        <w:r>
          <w:rPr>
            <w:rStyle w:val="Text1"/>
          </w:rPr>
          <w:t/>
        </w:r>
      </w:hyperlink>
      <w:r>
        <w:t/>
      </w:r>
    </w:p>
    <w:p>
      <w:pPr>
        <w:pStyle w:val="Normal"/>
      </w:pPr>
      <w:r>
        <w:t xml:space="preserve">Chúng tôi phát hiện ra rằng một số lượng đáng báo động các nhà lãnh đạo không thực sự biết liệu họ có sự cộng hưởng với tổ chức của mình hay không. Thay vào đó, họ mắc phải căn bệnh CEO (CEO disease); một triệu chứng khó chịu của nó là sự thiếu hiểu biết gần như hoàn toàn của người mắc bệnh về việc tâm trạng và hành động của mình trông như thế nào trong mắt tổ chức. Không phải các nhà lãnh đạo không quan tâm đến cách họ được nhìn nhận; hầu hết đều có. Nhưng họ sai lầm khi cho rằng mình có thể tự giải mã thông tin này. Tệ hơn, họ nghĩ rằng nếu mình đang gây ảnh hưởng tiêu cực, sẽ có người nói cho họ biết. Họ đã sai.</w:t>
        <w:bookmarkStart w:id="219" w:name="information"/>
        <w:t/>
        <w:bookmarkEnd w:id="219"/>
        <w:t xml:space="preserve"/>
      </w:r>
    </w:p>
    <w:p>
      <w:pPr>
        <w:pStyle w:val="Normal"/>
      </w:pPr>
      <w:r>
        <w:t>Như một CEO trong nghiên cứu của chúng tôi giải thích: “Tôi thường xuyên cảm thấy mình không nhận được sự thật. Tôi không thể chỉ ra chính xác điều gì, vì không ai thực sự nói dối tôi cả. Nhưng tôi có thể cảm nhận được rằng mọi người đang che giấu thông tin hoặc ngụy trang những sự thật quan trọng. Họ không nói dối, nhưng họ cũng không nói cho tôi mọi điều tôi cần biết. Tôi luôn phải đoán già đoán non.”</w:t>
      </w:r>
    </w:p>
    <w:p>
      <w:pPr>
        <w:pStyle w:val="Normal"/>
      </w:pPr>
      <w:r>
        <w:t>Mọi người không nói cho lãnh đạo toàn bộ sự thật về tác động cảm xúc của họ vì nhiều lý do. Đôi khi họ sợ trở thành người mang tin xấu—và bị trừng phạt. Những người khác cảm thấy không phải chỗ của mình để bình luận về một chủ đề cá nhân như vậy. Lại có những người không nhận ra rằng điều họ thực sự muốn nói đến chính là tác động của phong cách cảm xúc của lãnh đạo—điều đó cảm thấy quá mơ hồ. Dù lý do là gì, CEO không thể dựa vào cấp dưới để tự động cho mình bức tranh đầy đủ.</w:t>
      </w:r>
    </w:p>
    <w:p>
      <w:pPr>
        <w:pStyle w:val="Heading 1"/>
      </w:pPr>
      <w:r>
        <w:t>Tự kiểm điểm</w:t>
      </w:r>
    </w:p>
    <w:p>
      <w:pPr>
        <w:pStyle w:val="Normal"/>
      </w:pPr>
      <w:r>
        <w:t xml:space="preserve">Quy trình chúng tôi khuyến nghị để tự khám phá và tái tạo bản thân không phải là thứ mới mẻ hay xuất phát từ tâm lý học đại chúng, như rất nhiều chương trình tự lực được cung cấp cho các nhà điều hành ngày nay. Thay vào đó, nó dựa trên ba luồng nghiên cứu về cách các nhà điều hành có thể cải thiện các năng lực trí tuệ cảm xúc gắn liền nhất với khả năng lãnh đạo hiệu quả. (Thông tin về các luồng nghiên cứu này cũng có thể được tìm thấy tại www.eiconsortium.org.). Năm 1989, một người trong chúng tôi (Richard Boyatzis) bắt đầu dựa trên khối nghiên cứu này để thiết kế chính quy trình năm bước, và kể từ đó, hàng nghìn nhà điều hành đã sử dụng nó thành công.</w:t>
      </w:r>
      <w:hyperlink r:id="rId33">
        <w:r>
          <w:rPr>
            <w:rStyle w:val="Text1"/>
          </w:rPr>
          <w:t/>
        </w:r>
      </w:hyperlink>
      <w:r>
        <w:t/>
      </w:r>
    </w:p>
    <w:p>
      <w:pPr>
        <w:pStyle w:val="Normal"/>
      </w:pPr>
      <w:r>
        <w:t>Không giống như các hình thức huấn luyện truyền thống hơn, quy trình của chúng tôi dựa trên khoa học não bộ. Các kỹ năng cảm xúc của một người—thái độ và khả năng mà ai đó tiếp cận cuộc sống và công việc—không phải được gắn cứng về mặt di truyền, như màu mắt và màu da. Nhưng ở một khía cạnh nào đó, chúng cũng gần như vậy, vì chúng ăn sâu vào hệ thần kinh của chúng ta.</w:t>
      </w:r>
    </w:p>
    <w:p>
      <w:pPr>
        <w:pStyle w:val="Normal"/>
      </w:pPr>
      <w:r>
        <w:t xml:space="preserve">Các kỹ năng cảm xúc của một người thực sự có yếu tố di truyền. Ví dụ, các nhà khoa học đã phát hiện ra gen nhút nhát—tự nó không phải là một tâm trạng, nhưng nó chắc chắn có thể khiến một người có thái độ trầm lặng dai dẳng, điều này có thể bị hiểu là tâm trạng “đi xuống”. Những người khác thì vui vẻ một cách khác thường—nghĩa là sự vui vẻ không ngừng của họ có vẻ khác thường cho đến khi bạn gặp cha mẹ tràn đầy năng lượng của họ. Như một nhà điều hành giải thích: “Tất cả những gì tôi biết là từ khi còn bé, tôi đã luôn hạnh phúc. Điều đó khiến một số người phát điên, nhưng tôi không thể buồn được dù có cố. Và anh trai tôi cũng y hệt như vậy; anh ấy nhìn thấy mặt tươi sáng của cuộc sống, ngay cả trong lúc ly hôn.”</w:t>
        <w:bookmarkStart w:id="220" w:name="mood"/>
        <w:t/>
        <w:bookmarkEnd w:id="220"/>
        <w:t xml:space="preserve"/>
      </w:r>
    </w:p>
    <w:p>
      <w:pPr>
        <w:pStyle w:val="Normal"/>
      </w:pPr>
      <w:r>
        <w:t>Dù các kỹ năng cảm xúc một phần là bẩm sinh, trải nghiệm đóng vai trò lớn trong cách các gen được biểu hiện. Một em bé hạnh phúc có cha mẹ qua đời hoặc chịu đựng bạo hành thể xác có thể lớn lên thành một người trưởng thành u sầu. Một đứa trẻ cáu kỉnh có thể trở thành người lớn vui vẻ sau khi tìm thấy một niềm đam mê trọn vẹn. Tuy nhiên, nghiên cứu cho thấy phạm vi kỹ năng cảm xúc của chúng ta tương đối cố định vào giữa độ tuổi 20 và các hành vi đi kèm của chúng ta, vào thời điểm đó, đã trở thành những thói quen ăn sâu. Và đó chính là vấn đề: Chúng ta càng hành động theo một cách nào đó—dù là vui vẻ, chán nản hay cáu kỉnh—thì hành vi đó càng ăn sâu vào mạch não của chúng ta, và chúng ta càng tiếp tục cảm thấy và hành động theo cách đó.</w:t>
      </w:r>
    </w:p>
    <w:p>
      <w:pPr>
        <w:pStyle w:val="Normal"/>
      </w:pPr>
      <w:r>
        <w:t>Đó là lý do trí tuệ cảm xúc (emotional intelligence) quan trọng đến vậy đối với một nhà lãnh đạo. Một nhà lãnh đạo có trí tuệ cảm xúc cao có thể theo dõi tâm trạng của mình thông qua khả năng tự nhận thức, thay đổi chúng theo hướng tốt hơn thông qua khả năng tự quản lý, hiểu được tác động của chúng thông qua sự đồng cảm, và hành động theo cách nâng cao tâm trạng của người khác thông qua quản lý mối quan hệ.</w:t>
      </w:r>
    </w:p>
    <w:p>
      <w:pPr>
        <w:pStyle w:val="Normal"/>
      </w:pPr>
      <w:r>
        <w:t>Quy trình năm phần sau đây được thiết kế để “điều chỉnh lại” bộ não hướng tới những hành vi trí tuệ cảm xúc cao hơn. Quy trình bắt đầu bằng việc hình dung về bản thân lý tưởng của bạn, sau đó đối diện với con người thật của mình, như cách người khác trải nghiệm về bạn. Bước tiếp theo là tạo ra một kế hoạch hành động cụ thể để thu hẹp khoảng cách giữa lý tưởng và thực tế, rồi thực hành những hoạt động đó. Quy trình kết thúc bằng việc xây dựng một cộng đồng gồm đồng nghiệp và gia đình—hãy gọi họ là những người thúc đẩy thay đổi (change enforcers)—để duy trì quá trình này. Hãy cùng xem xét các bước chi tiết hơn.</w:t>
      </w:r>
    </w:p>
    <w:p>
      <w:pPr>
        <w:pStyle w:val="Heading 2"/>
      </w:pPr>
      <w:r>
        <w:t>“Tôi muốn trở thành ai?”</w:t>
      </w:r>
    </w:p>
    <w:p>
      <w:pPr>
        <w:pStyle w:val="Normal"/>
      </w:pPr>
      <w:r>
        <w:t xml:space="preserve">Sofia, một quản lý cấp cao tại một công ty viễn thông Bắc Âu, biết rằng cô cần hiểu cách phong cách lãnh đạo cảm xúc của mình ảnh hưởng đến người khác. Mỗi khi cảm thấy căng thẳng, cô thường giao tiếp kém và giành lấy công việc của cấp dưới để đảm bảo công việc được hoàn thành “đúng chuẩn”. Tham dự các hội thảo về lãnh đạo không thay đổi được thói quen của cô, và việc đọc sách quản lý hay làm việc với người cố vấn cũng vậy.</w:t>
        <w:bookmarkStart w:id="221" w:name="job"/>
        <w:t/>
        <w:bookmarkEnd w:id="221"/>
        <w:t xml:space="preserve"/>
      </w:r>
    </w:p>
    <w:p>
      <w:pPr>
        <w:pStyle w:val="Normal"/>
      </w:pPr>
      <w:r>
        <w:t>Khi Sofia đến với chúng tôi, chúng tôi yêu cầu cô hình dung bản thân tám năm sau như một nhà lãnh đạo hiệu quả và viết mô tả về một ngày điển hình. “Cô ấy sẽ làm gì?” chúng tôi hỏi. “Cô ấy sẽ sống ở đâu? Ai sẽ ở đó? Cảm giác sẽ như thế nào?” Chúng tôi khuyến khích cô suy ngẫm về những giá trị sâu sắc nhất và những ước mơ cao cả nhất của mình, và giải thích cách những lý tưởng đó đã trở thành một phần trong cuộc sống thường nhật của cô.</w:t>
      </w:r>
    </w:p>
    <w:p>
      <w:pPr>
        <w:pStyle w:val="Normal"/>
      </w:pPr>
      <w:r>
        <w:t>Sofia hình dung mình đang lãnh đạo một công ty gắn bó của riêng mình với mười đồng nghiệp. Cô tận hưởng mối quan hệ cởi mở với con gái và có những mối quan hệ tin cậy với bạn bè và đồng nghiệp. Cô thấy mình là một nhà lãnh đạo và một người mẹ thoải mái, hạnh phúc, biết yêu thương và trao quyền cho mọi người xung quanh.</w:t>
      </w:r>
    </w:p>
    <w:p>
      <w:pPr>
        <w:pStyle w:val="Normal"/>
      </w:pPr>
      <w:r>
        <w:t>Nhìn chung, Sofia có mức độ tự nhận thức thấp: Cô hiếm khi xác định được lý do mình gặp khó khăn trong công việc và ở nhà. Tất cả những gì cô có thể nói là: “Chẳng có gì suôn sẻ cả.” Bài tập này, vốn thúc đẩy cô hình dung cuộc sống sẽ ra sao nếu mọi thứ đều suôn sẻ, đã mở mắt cho cô thấy những yếu tố còn thiếu trong phong cách cảm xúc của mình. Cô đã nhận ra tác động của mình lên những người trong cuộc sống.</w:t>
      </w:r>
    </w:p>
    <w:p>
      <w:pPr>
        <w:pStyle w:val="Heading 2"/>
      </w:pPr>
      <w:r>
        <w:t>“Bây giờ tôi là ai?”</w:t>
      </w:r>
    </w:p>
    <w:p>
      <w:pPr>
        <w:pStyle w:val="Normal"/>
      </w:pPr>
      <w:r>
        <w:t>Trong bước tiếp theo của quá trình khám phá, bạn sẽ nhìn nhận phong cách lãnh đạo của mình qua con mắt của người khác. Điều này vừa khó khăn vừa nguy hiểm. Khó khăn vì hiếm người có đủ can đảm nói cho sếp hay đồng nghiệp biết họ thực sự là người như thế nào. Và nguy hiểm vì thông tin đó có thể làm tổn thương, thậm chí khiến người ta tê liệt. Một chút thiếu hiểu biết về bản thân không phải lúc nào cũng xấu: Cơ chế phòng vệ cái tôi có những lợi ích riêng. Nghiên cứu của Martin Seligman cho thấy những người hoạt động hiệu quả thường cảm thấy lạc quan hơn về triển vọng và khả năng của mình so với những người có hiệu suất trung bình. Thực tế, lăng kính màu hồng của họ tiếp thêm nhiệt huyết và năng lượng giúp đạt được những điều bất ngờ và phi thường. Nhà viết kịch Henrik Ibsen gọi những sự tự lừa dối như vậy là “những lời nói dối thiết yếu” (vital lies), những điều sai lệch êm dịu mà chúng ta cho phép mình tin vào để đối mặt với một thế giới đầy thử thách.</w:t>
      </w:r>
    </w:p>
    <w:p>
      <w:pPr>
        <w:pStyle w:val="Normal"/>
      </w:pPr>
      <w:r>
        <w:bookmarkStart w:id="222" w:name="But"/>
        <w:t>Nhưng sự tự lừa dối chỉ nên tồn tại ở liều lượng rất nhỏ. Các nhà điều hành nên không ngừng tìm kiếm sự thật về bản thân, đặc biệt vì sự thật đó chắc chắn sẽ bị pha loãng phần nào khi họ nghe được. Một cách để có được sự thật là giữ thái độ cực kỳ cởi mở với những lời phê bình. Một cách khác là chủ động tìm kiếm phản hồi tiêu cực, thậm chí nuôi dưỡng một hoặc hai đồng nghiệp đóng vai người phản biện (devil’s advocate).</w:t>
        <w:bookmarkEnd w:id="222"/>
        <w:t xml:space="preserve"/>
      </w:r>
    </w:p>
    <w:p>
      <w:pPr>
        <w:pStyle w:val="Normal"/>
      </w:pPr>
      <w:r>
        <w:t>Chúng tôi cũng đặc biệt khuyến nghị thu thập phản hồi từ càng nhiều người càng tốt—bao gồm sếp, đồng nghiệp và cấp dưới. Phản hồi từ cấp dưới và đồng nghiệp đặc biệt hữu ích vì nó dự đoán chính xác nhất hiệu quả của một nhà lãnh đạo trong hai, bốn, thậm chí bảy năm sau, theo nghiên cứu của Glenn McEvoy tại Utah State và Richard Beatty tại Rutgers University.</w:t>
      </w:r>
    </w:p>
    <w:p>
      <w:pPr>
        <w:pStyle w:val="Normal"/>
      </w:pPr>
      <w:r>
        <w:t>Tất nhiên, phản hồi 360 độ không yêu cầu mọi người đánh giá cụ thể tâm trạng, hành động và tác động của bạn. Nhưng nó tiết lộ cách mọi người trải nghiệm về bạn. Chẳng hạn, khi mọi người đánh giá mức độ bạn lắng nghe, họ thực sự đang báo cáo mức độ họ cảm thấy bạn nghe họ nói. Tương tự, khi phản hồi 360 độ thu thập đánh giá về hiệu quả huấn luyện, câu trả lời cho thấy liệu mọi người có cảm thấy bạn hiểu và quan tâm đến họ hay không. Khi phản hồi cho thấy điểm thấp ở tiêu chí, ví dụ, sự cởi mở với ý tưởng mới, điều đó có nghĩa là mọi người cảm thấy bạn khó tiếp cận hoặc khó gần, hoặc cả hai. Tóm lại, tất cả những gì bạn cần biết về tác động cảm xúc của mình đều nằm trong phản hồi 360 độ, nếu bạn chịu tìm kiếm.</w:t>
      </w:r>
    </w:p>
    <w:p>
      <w:pPr>
        <w:pStyle w:val="Normal"/>
      </w:pPr>
      <w:r>
        <w:t>Một lưu ý cuối cùng về bước thứ hai này. Tất nhiên, việc xác định những điểm yếu của bạn là rất quan trọng. Nhưng chỉ tập trung vào điểm yếu có thể khiến bạn nản lòng. Đó là lý do việc hiểu rõ điểm mạnh của mình cũng quan trọng không kém, thậm chí còn quan trọng hơn. Biết được nơi con người thật của bạn trùng khớp với con người lý tưởng sẽ cho bạn năng lượng tích cực cần thiết để tiến tới bước tiếp theo trong quy trình—thu hẹp khoảng cách.</w:t>
      </w:r>
    </w:p>
    <w:p>
      <w:pPr>
        <w:pStyle w:val="Heading 2"/>
      </w:pPr>
      <w:r>
        <w:t>“Làm thế nào để tôi đi từ đây đến đó?”</w:t>
      </w:r>
    </w:p>
    <w:p>
      <w:pPr>
        <w:pStyle w:val="Normal"/>
      </w:pPr>
      <w:r>
        <w:t xml:space="preserve">Một khi bạn biết mình muốn trở thành ai và đã so sánh điều đó với cách mọi người nhìn nhận bạn, bạn cần xây dựng một kế hoạch hành động. Với Sofia, điều này có nghĩa là lên kế hoạch cải thiện thực sự mức độ tự nhận thức của cô. Vì vậy, cô yêu cầu từng thành viên trong nhóm làm việc của mình phản hồi—hàng tuần, ẩn danh và bằng văn bản—về tâm trạng, hiệu suất của cô và ảnh hưởng của chúng đến mọi người. Cô cũng tự cam kết thực hiện ba nhiệm vụ khó nhưng khả thi: dành một giờ mỗi ngày để suy ngẫm về hành vi của mình trong nhật ký, tham gia một lớp học về động lực nhóm tại một trường cao đẳng địa phương, và nhờ một đồng nghiệp đáng tin cậy làm huấn luyện viên không chính thức.</w:t>
        <w:bookmarkStart w:id="223" w:name="and_6"/>
        <w:t/>
        <w:bookmarkEnd w:id="223"/>
        <w:t xml:space="preserve"/>
      </w:r>
    </w:p>
    <w:p>
      <w:pPr>
        <w:pStyle w:val="Normal"/>
      </w:pPr>
      <w:r>
        <w:t>Hãy xem xét cả cách Juan, một giám đốc tiếp thị của bộ phận Mỹ Latinh tại một công ty năng lượng tích hợp lớn, hoàn thành bước này. Juan được giao nhiệm vụ phát triển công ty tại quê nhà Venezuela cũng như toàn bộ khu vực—một công việc đòi hỏi anh phải là một huấn luyện viên, một người có tầm nhìn và có thái độ khích lệ, lạc quan. Tuy nhiên, phản hồi 360 độ cho thấy Juan bị xem là người đáng sợ và chỉ tập trung vào nội bộ. Nhiều nhân viên trực thuộc xem anh là người khó tính—tệ nhất là không thể làm hài lòng, và tốt nhất cũng khiến người khác kiệt sức về mặt cảm xúc.</w:t>
      </w:r>
    </w:p>
    <w:p>
      <w:pPr>
        <w:pStyle w:val="Normal"/>
      </w:pPr>
      <w:r>
        <w:t>Việc xác định khoảng cách này cho phép Juan xây dựng một kế hoạch với những bước cải thiện có thể quản lý được. Anh biết mình cần mài giũa khả năng đồng cảm nếu muốn phát triển phong cách huấn luyện, vì vậy anh cam kết thực hiện nhiều hoạt động khác nhau để thực hành kỹ năng đó. Ví dụ, Juan quyết định tìm hiểu kỹ hơn từng cấp dưới của mình; anh nghĩ nếu hiểu rõ hơn họ là ai, anh sẽ có khả năng giúp họ đạt được mục tiêu tốt hơn. Anh lên kế hoạch gặp từng nhân viên ngoài giờ làm việc, nơi họ có thể thoải mái bộc lộ cảm xúc hơn.</w:t>
      </w:r>
    </w:p>
    <w:p>
      <w:pPr>
        <w:pStyle w:val="Normal"/>
      </w:pPr>
      <w:r>
        <w:t>Juan cũng tìm kiếm những lĩnh vực ngoài công việc để bù đắp những kỹ năng còn thiếu—ví dụ, huấn luyện đội bóng đá của con gái và làm tình nguyện tại một trung tâm khủng hoảng địa phương. Cả hai hoạt động đều giúp anh thử nghiệm mức độ thấu hiểu người khác và thử những hành vi mới.</w:t>
      </w:r>
    </w:p>
    <w:p>
      <w:pPr>
        <w:pStyle w:val="Normal"/>
      </w:pPr>
      <w:r>
        <w:t>Một lần nữa, hãy nhìn vào khoa học não bộ đang vận hành. Juan đang cố gắng vượt qua những hành vi đã ăn sâu—cách tiếp cận công việc của anh đã hình thành theo thời gian mà anh không nhận ra. Việc đưa chúng vào nhận thức là bước quan trọng để thay đổi chúng. Khi anh chú ý hơn, các tình huống nảy sinh—khi lắng nghe đồng nghiệp, huấn luyện bóng đá, hay nói chuyện điện thoại với người đang đau khổ—đều trở thành tín hiệu kích thích anh phá vỡ thói quen cũ và thử phản ứng mới.</w:t>
      </w:r>
    </w:p>
    <w:p>
      <w:pPr>
        <w:pStyle w:val="Para 049"/>
      </w:pPr>
      <w:r>
        <w:bookmarkStart w:id="224" w:name="Resonance"/>
        <w:t>Sự cộng hưởng trong thời khắc khủng hoảng</w:t>
        <w:bookmarkEnd w:id="224"/>
        <w:t xml:space="preserve"/>
      </w:r>
    </w:p>
    <w:p>
      <w:pPr>
        <w:pStyle w:val="Para 007"/>
      </w:pPr>
      <w:r>
        <w:t>Khi nói về tâm trạng của nhà lãnh đạo, tầm quan trọng của sự cộng hưởng (resonance) không thể bị phóng đại. Mặc dù nghiên cứu của chúng tôi cho thấy các nhà lãnh đạo nhìn chung nên lạc quan, hành vi của họ phải bắt nguồn từ thực tế, đặc biệt khi đối mặt với khủng hoảng.</w:t>
      </w:r>
    </w:p>
    <w:p>
      <w:pPr>
        <w:pStyle w:val="Para 007"/>
      </w:pPr>
      <w:r>
        <w:t>Hãy xem phản ứng của Bob Mulholland, phó chủ tịch cấp cao kiêm trưởng nhóm quan hệ khách hàng tại Merrill Lynch, trước vụ tấn công khủng bố ở New York. Vào ngày 11 tháng 9 năm 2001, Mulholland và nhân viên của ông tại Two World Financial Center cảm nhận tòa nhà rung chuyển, rồi chứng kiến khói bốc ra từ một lỗ hổng lớn trên tòa nhà đối diện. Mọi người bắt đầu hoảng loạn: Một số chạy điên cuồng từ cửa sổ này sang cửa sổ khác. Những người khác tê liệt vì sợ hãi. Những ai có người thân làm việc tại World Trade Center thì kinh hoàng cho sự an toàn của họ. Mulholland biết mình phải hành động: “Khi có khủng hoảng, bạn phải chỉ cho mọi người lối thoát, từng bước một, và đảm bảo rằng bạn đang quan tâm đến nỗi lo của họ.”</w:t>
      </w:r>
    </w:p>
    <w:p>
      <w:pPr>
        <w:pStyle w:val="Para 007"/>
      </w:pPr>
      <w:r>
        <w:t>Ông bắt đầu bằng việc cung cấp cho mọi người thông tin họ cần để “gỡ băng”. Chẳng hạn, ông tìm hiểu người thân của nhân viên làm ở tầng nào và trấn an họ rằng họ sẽ có đủ thời gian để thoát ra. Sau đó, ông trấn tĩnh từng người đang hoảng loạn. “Chúng ta rời khỏi đây ngay bây giờ,” ông nói nhẹ nhàng, “và bạn đi cùng tôi. Không dùng thang máy, hãy đi cầu thang bộ.” Ông giữ bình tĩnh và quyết đoán, nhưng không xem nhẹ phản ứng cảm xúc của mọi người. Nhờ có ông, tất cả mọi người đã thoát ra trước khi các tòa tháp sụp đổ.</w:t>
      </w:r>
    </w:p>
    <w:p>
      <w:pPr>
        <w:pStyle w:val="Para 007"/>
      </w:pPr>
      <w:r>
        <w:t>Sự lãnh đạo của Mulholland không dừng lại ở đó. Nhận thức rằng sự kiện này sẽ chạm đến từng khách hàng một cách cá nhân, ông và nhóm của mình đã nghĩ ra cách để các chuyên viên tư vấn tài chính kết nối với khách hàng ở mức độ cảm xúc. Họ gọi điện cho từng khách hàng để hỏi: “Anh/chị thế nào? Người thân của anh/chị có ổn không? Anh/chị cảm thấy ra sao?” Như Mulholland giải thích: “Không thể cứ thế tiếp tục công việc như bình thường. ‘Công việc’ đầu tiên là cho khách hàng biết chúng tôi thực sự quan tâm.”</w:t>
      </w:r>
    </w:p>
    <w:p>
      <w:pPr>
        <w:pStyle w:val="Para 007"/>
      </w:pPr>
      <w:r>
        <w:t>Bob Mulholland đã dũng cảm thực hiện một trong những nhiệm vụ cảm xúc quan trọng nhất của lãnh đạo: Ông giúp bản thân và nhân viên tìm thấy ý nghĩa giữa hỗn loạn và điên rồ. Để làm được điều đó, trước tiên ông hòa mình vào và thể hiện thực tại cảm xúc chung. Đó là lý do định hướng mà ông cuối cùng đưa ra đã cộng hưởng ở mức độ trực giác. Lời nói và hành động của ông phản ánh những gì mọi người đang cảm nhận trong tim.</w:t>
      </w:r>
    </w:p>
    <w:p>
      <w:pPr>
        <w:pStyle w:val="Normal"/>
      </w:pPr>
      <w:r>
        <w:bookmarkStart w:id="225" w:name="This"/>
        <w:t>Việc tạo tín hiệu để thay đổi thói quen này vừa mang tính thần kinh vừa mang tính nhận thức. Các nhà nghiên cứu tại University of Pittsburgh và Carnegie Mellon University đã chỉ ra rằng khi chúng ta chuẩn bị tinh thần cho một nhiệm vụ, chúng ta kích hoạt vỏ não trước trán (prefrontal cortex)—phần não đưa chúng ta vào hành động. Sự kích hoạt trước càng lớn, chúng ta thực hiện nhiệm vụ càng tốt.</w:t>
        <w:bookmarkEnd w:id="225"/>
        <w:t xml:space="preserve"/>
      </w:r>
    </w:p>
    <w:p>
      <w:pPr>
        <w:pStyle w:val="Normal"/>
      </w:pPr>
      <w:r>
        <w:t>Sự chuẩn bị tinh thần như vậy trở nên đặc biệt quan trọng khi chúng ta cố gắng thay thế một thói quen cũ bằng một thói quen tốt hơn. Như nhà khoa học thần kinh Cameron Carter tại University of Pittsburgh đã phát hiện, vỏ não trước trán trở nên đặc biệt hoạt động khi một người chuẩn bị vượt qua một phản ứng theo thói quen. Vỏ não trước trán được kích hoạt đánh dấu sự tập trung của não vào điều sắp xảy ra. Nếu không có sự kích hoạt đó, một người sẽ lặp lại những lối mòn cũ kỹ nhưng không mong muốn: Vị giám đốc không chịu lắng nghe sẽ lại cắt lời cấp dưới, một nhà lãnh đạo tàn nhẫn sẽ lại bắt đầu một cuộc công kích chỉ trích khác, vân vân. Đó là lý do một chương trình học tập (learning agenda) lại quan trọng đến vậy. Không có nó, chúng ta thực sự không có đủ năng lực não bộ để thay đổi.</w:t>
      </w:r>
    </w:p>
    <w:p>
      <w:pPr>
        <w:pStyle w:val="Heading 2"/>
      </w:pPr>
      <w:r>
        <w:t>“Làm thế nào để tôi biến thay đổi thành bền vững?”</w:t>
      </w:r>
    </w:p>
    <w:p>
      <w:pPr>
        <w:pStyle w:val="Normal"/>
      </w:pPr>
      <w:r>
        <w:t>Nói ngắn gọn, để thay đổi bền vững cần phải thực hành. Lý do, một lần nữa, nằm ở não bộ. Cần phải làm đi làm lại, hết lần này đến lần khác, để phá vỡ những thói quen thần kinh cũ. Một nhà lãnh đạo phải tập dượt một hành vi mới cho đến khi nó trở nên tự động—tức là cho đến khi anh ta thành thạo nó ở mức độ học ngầm (implicit learning). Chỉ khi đó hệ thống dây thần kinh mới thay thế cái cũ.</w:t>
      </w:r>
    </w:p>
    <w:p>
      <w:pPr>
        <w:pStyle w:val="Normal"/>
      </w:pPr>
      <w:r>
        <w:t>Mặc dù tốt nhất là thực hành những hành vi mới, như Juan đã làm, đôi khi chỉ cần hình dung chúng cũng có hiệu quả. Hãy xem trường hợp của Tom, một giám đốc muốn thu hẹp khoảng cách giữa con người thật của mình (bị đồng nghiệp và cấp dưới cho là lạnh lùng và cứng nhắc) và con người lý tưởng (một người có tầm nhìn và một huấn luyện viên).</w:t>
      </w:r>
    </w:p>
    <w:p>
      <w:pPr>
        <w:pStyle w:val="Normal"/>
      </w:pPr>
      <w:r>
        <w:t xml:space="preserve">Kế hoạch học tập của Tom bao gồm việc tìm kiếm cơ hội để lùi lại và huấn luyện nhân viên của mình thay vì nhảy bổ vào họ khi anh cảm thấy họ sai. Tom cũng bắt đầu tận dụng những khoảnh khắc rảnh rỗi trong lúc đi làm để suy nghĩ về cách xử lý các cuộc gặp gỡ trong ngày hôm đó. Một buổi sáng, trên đường đến buổi ăn sáng với một nhân viên có vẻ đang làm hỏng một dự án, Tom đã lướt qua một kịch bản tích cực trong đầu. Anh đặt câu hỏi và lắng nghe để chắc chắn rằng mình hiểu đầy đủ tình hình trước khi cố gắng giải quyết vấn đề. Anh dự đoán mình sẽ cảm thấy sốt ruột, và anh đã tập dượt cách mình sẽ xử lý những cảm xúc đó.</w:t>
        <w:bookmarkStart w:id="226" w:name="before"/>
        <w:t/>
        <w:bookmarkEnd w:id="226"/>
        <w:t xml:space="preserve"/>
      </w:r>
    </w:p>
    <w:p>
      <w:pPr>
        <w:pStyle w:val="Normal"/>
      </w:pPr>
      <w:r>
        <w:t>Các nghiên cứu về não bộ khẳng định lợi ích của kỹ thuật hình dung của Tom: Tưởng tượng điều gì đó một cách chi tiết sống động có thể kích hoạt chính những tế bào não tham gia vào việc thực hiện hoạt động đó. Mạch não mới dường như trải qua các bước vận hành, củng cố các kết nối, ngay cả khi chúng ta chỉ lặp lại chuỗi hành động trong tâm trí. Vì vậy, để giảm bớt nỗi sợ liên quan đến việc thử những cách lãnh đạo mạo hiểm hơn, trước tiên chúng ta nên hình dung một số tình huống có khả năng xảy ra. Làm như vậy sẽ giúp chúng ta cảm thấy bớt lúng túng hơn khi thực sự áp dụng các kỹ năng mới vào thực hành.</w:t>
      </w:r>
    </w:p>
    <w:p>
      <w:pPr>
        <w:pStyle w:val="Normal"/>
      </w:pPr>
      <w:r>
        <w:t>Việc thử nghiệm các hành vi mới và nắm bắt cơ hội trong và ngoài công việc để thực hành chúng—cũng như sử dụng các phương pháp như tập dượt trong tâm trí—cuối cùng sẽ kích hoạt trong não chúng ta các kết nối thần kinh cần thiết cho sự thay đổi thực sự diễn ra. Dù vậy, sự thay đổi lâu dài không chỉ đến từ thử nghiệm và trí não. Như lời bài hát, chúng ta cần một chút giúp đỡ từ bạn bè.</w:t>
      </w:r>
    </w:p>
    <w:p>
      <w:pPr>
        <w:pStyle w:val="Heading 2"/>
      </w:pPr>
      <w:r>
        <w:t>“Ai có thể giúp tôi?”</w:t>
      </w:r>
    </w:p>
    <w:p>
      <w:pPr>
        <w:pStyle w:val="Normal"/>
      </w:pPr>
      <w:r>
        <w:t>Bước thứ năm trong quá trình tự khám phá và tái tạo bản thân là tạo dựng một cộng đồng những người ủng hộ. Lấy ví dụ, các nhà quản lý tại Unilever đã thành lập các nhóm học tập như một phần của quá trình phát triển điều hành của họ. Ban đầu, họ tụ họp để thảo luận về sự nghiệp và cách lãnh đạo. Nhưng vì họ cũng được giao nhiệm vụ thảo luận về ước mơ và mục tiêu học tập của mình, họ sớm nhận ra rằng họ đang thảo luận về cả công việc lẫn cuộc sống cá nhân. Họ phát triển một sự tin tưởng lẫn nhau mạnh mẽ và bắt đầu dựa vào nhau để có những phản hồi thẳng thắn khi họ nỗ lực củng cố khả năng lãnh đạo của mình. Khi điều này xảy ra, doanh nghiệp được hưởng lợi thông qua hiệu suất mạnh mẽ hơn. Nhiều chuyên gia ngày nay đã tạo ra các nhóm tương tự, và vì lý do chính đáng. Những người chúng ta tin tưởng cho phép chúng ta thử những phần chưa quen thuộc trong kho tàng lãnh đạo của mình mà không gặp rủi ro.</w:t>
      </w:r>
    </w:p>
    <w:p>
      <w:pPr>
        <w:pStyle w:val="Normal"/>
      </w:pPr>
      <w:r>
        <w:t>Chúng ta không thể cải thiện trí tuệ cảm xúc hay thay đổi phong cách lãnh đạo của mình nếu không có sự giúp đỡ từ người khác. Chúng ta không chỉ thực hành với người khác mà còn dựa vào họ để tạo ra một môi trường an toàn để thử nghiệm. Chúng ta cần nhận phản hồi về cách hành động của mình ảnh hưởng đến người khác và đánh giá tiến trình của mình trên chương trình học tập.</w:t>
      </w:r>
    </w:p>
    <w:p>
      <w:pPr>
        <w:pStyle w:val="Normal"/>
      </w:pPr>
      <w:r>
        <w:bookmarkStart w:id="227" w:name="In"/>
        <w:t>Thực tế, có lẽ nghịch lý là, trong quá trình học tập tự định hướng, chúng ta dựa vào người khác ở mọi bước đường—từ việc diễn đạt và tinh chỉnh hình ảnh lý tưởng của bản thân và so sánh nó với thực tế cho đến đánh giá cuối cùng xác nhận tiến bộ của chúng ta. Các mối quan hệ mang đến cho chúng ta chính bối cảnh để chúng ta hiểu được tiến bộ của mình và thấu hiểu tính hữu ích của những gì chúng ta đang học.</w:t>
        <w:bookmarkEnd w:id="227"/>
        <w:t xml:space="preserve"/>
      </w:r>
    </w:p>
    <w:p>
      <w:pPr>
        <w:pStyle w:val="Heading 1"/>
      </w:pPr>
      <w:r>
        <w:t>Tâm trạng quan trọng hơn vật chất</w:t>
      </w:r>
    </w:p>
    <w:p>
      <w:pPr>
        <w:pStyle w:val="Normal"/>
      </w:pPr>
      <w:r>
        <w:t>Khi chúng ta nói rằng quản lý tâm trạng của bạn và tâm trạng của những người đi theo bạn là nhiệm vụ của lãnh đạo nguyên thủy (primal leadership), chúng tôi chắc chắn không có ý ám chỉ rằng tâm trạng là tất cả những gì quan trọng. Như chúng tôi đã lưu ý, hành động của bạn là rất quan trọng, và tâm trạng cùng hành động phải cộng hưởng với tổ chức và với thực tế. Tương tự, chúng tôi thừa nhận tất cả những thách thức khác mà các nhà lãnh đạo phải chinh phục—từ chiến lược đến tuyển dụng đến phát triển sản phẩm mới. Đó là tất cả trong một ngày làm việc dài.</w:t>
      </w:r>
    </w:p>
    <w:p>
      <w:pPr>
        <w:pStyle w:val="Normal"/>
      </w:pPr>
      <w:r>
        <w:t>Nhưng nhìn tổng thể, thông điệp mà nghiên cứu thần kinh học, tâm lý học và tổ chức gửi đi thật đáng kinh ngạc về độ rõ ràng. Lãnh đạo cảm xúc là tia lửa thắp sáng hiệu suất của một công ty, tạo nên ngọn lửa thành công hay một vùng tro tàn. Tâm trạng quan trọng đến thế đấy.</w:t>
      </w:r>
    </w:p>
    <w:p>
      <w:pPr>
        <w:pStyle w:val="Para 046"/>
      </w:pPr>
      <w:r>
        <w:t>Xuất bản lần đầu vào tháng 12 năm 2001. Tái bản R0111C</w:t>
      </w:r>
      <w:r>
        <w:rPr>
          <w:rStyle w:val="Text2"/>
        </w:rPr>
        <w:t xml:space="preserve"/>
      </w:r>
      <w:r>
        <w:rPr>
          <w:rStyle w:val="Text9"/>
        </w:rPr>
        <w:t/>
      </w:r>
    </w:p>
    <w:p>
      <w:bookmarkStart w:id="228" w:name="Top_of_16_About_th_xhtml"/>
      <w:bookmarkStart w:id="229" w:name="About_the_Contributors_RICHARD_B"/>
      <w:pPr>
        <w:pStyle w:val="Para 025"/>
        <w:pageBreakBefore w:val="on"/>
      </w:pPr>
      <w:r>
        <w:bookmarkStart w:id="230" w:name="About"/>
        <w:t>Về các tác giả</w:t>
        <w:bookmarkEnd w:id="230"/>
        <w:t xml:space="preserve"/>
      </w:r>
      <w:bookmarkEnd w:id="228"/>
      <w:bookmarkEnd w:id="229"/>
    </w:p>
    <w:p>
      <w:pPr>
        <w:pStyle w:val="Para 109"/>
      </w:pPr>
      <w:r>
        <w:rPr>
          <w:rStyle w:val="Text5"/>
        </w:rPr>
        <w:t>RICHARD BOYATZIS là trưởng khoa hành vi tổ chức tại Weatherhead School of Management thuộc Case Western Reserve University.</w:t>
      </w:r>
      <w:r>
        <w:t xml:space="preserve"/>
      </w:r>
    </w:p>
    <w:p>
      <w:pPr>
        <w:pStyle w:val="Para 031"/>
      </w:pPr>
      <w:r>
        <w:rPr>
          <w:rStyle w:val="Text5"/>
        </w:rPr>
        <w:t>HEIKE BRUCH là giáo sư về lãnh đạo tại University of St. Gallen ở Thụy Sĩ.</w:t>
      </w:r>
      <w:r>
        <w:t xml:space="preserve"/>
      </w:r>
    </w:p>
    <w:p>
      <w:pPr>
        <w:pStyle w:val="Para 031"/>
      </w:pPr>
      <w:r>
        <w:rPr>
          <w:rStyle w:val="Text5"/>
        </w:rPr>
        <w:t>CLAYTON M. CHRISTENSEN là Giáo sư Quản trị Kinh doanh Robert and Jane Cizik tại Harvard Business School.</w:t>
      </w:r>
      <w:r>
        <w:t xml:space="preserve"/>
      </w:r>
    </w:p>
    <w:p>
      <w:pPr>
        <w:pStyle w:val="Para 031"/>
      </w:pPr>
      <w:r>
        <w:rPr>
          <w:rStyle w:val="Text5"/>
        </w:rPr>
        <w:t>DIANE L. COUTU là cựu biên tập viên cao cấp của Harvard Business Review.</w:t>
      </w:r>
      <w:r>
        <w:t xml:space="preserve"/>
      </w:r>
      <w:r>
        <w:rPr>
          <w:rStyle w:val="Text0"/>
        </w:rPr>
        <w:t/>
      </w:r>
      <w:r>
        <w:t/>
      </w:r>
    </w:p>
    <w:p>
      <w:pPr>
        <w:pStyle w:val="Para 031"/>
      </w:pPr>
      <w:r>
        <w:rPr>
          <w:rStyle w:val="Text5"/>
        </w:rPr>
        <w:t>STEPHEN R. COVEY là phó chủ tịch của Franklin Covey, một nhà cung cấp toàn cầu về dịch vụ phát triển lãnh đạo và năng suất.</w:t>
      </w:r>
      <w:r>
        <w:t xml:space="preserve"/>
      </w:r>
    </w:p>
    <w:p>
      <w:pPr>
        <w:pStyle w:val="Para 031"/>
      </w:pPr>
      <w:r>
        <w:rPr>
          <w:rStyle w:val="Text5"/>
        </w:rPr>
        <w:t>PETER F. DRUCKER từng là giáo sư khoa học xã hội và quản lý tại Claremont Graduate University ở California.</w:t>
      </w:r>
      <w:r>
        <w:t xml:space="preserve"/>
      </w:r>
    </w:p>
    <w:p>
      <w:pPr>
        <w:pStyle w:val="Para 031"/>
      </w:pPr>
      <w:r>
        <w:rPr>
          <w:rStyle w:val="Text5"/>
        </w:rPr>
        <w:t>STEWART D. FRIEDMAN là Giáo sư Thực hành Quản lý tại Wharton School thuộc University of Pennsylvania.</w:t>
      </w:r>
      <w:r>
        <w:t xml:space="preserve"/>
      </w:r>
    </w:p>
    <w:p>
      <w:pPr>
        <w:pStyle w:val="Para 031"/>
      </w:pPr>
      <w:r>
        <w:rPr>
          <w:rStyle w:val="Text5"/>
        </w:rPr>
        <w:t>SUMANTRA GHOSHAL từng là giáo sư chiến lược và quản lý quốc tế tại London Business School.</w:t>
      </w:r>
      <w:r>
        <w:t xml:space="preserve"/>
      </w:r>
    </w:p>
    <w:p>
      <w:pPr>
        <w:pStyle w:val="Para 031"/>
      </w:pPr>
      <w:r>
        <w:rPr>
          <w:rStyle w:val="Text5"/>
        </w:rPr>
        <w:t>DANIEL GOLEMAN đồng chủ trì Consortium for Research on Emotional Intelligence in Organizations tại Rutgers University.</w:t>
      </w:r>
      <w:r>
        <w:t xml:space="preserve"/>
      </w:r>
    </w:p>
    <w:p>
      <w:pPr>
        <w:pStyle w:val="Para 031"/>
      </w:pPr>
      <w:r>
        <w:rPr>
          <w:rStyle w:val="Text5"/>
        </w:rPr>
        <w:t>EDWARD M. HALLOWELL là bác sĩ tâm thần và là người sáng lập Hallowell Centers for Cognitive and Emotional Health.</w:t>
      </w:r>
      <w:r>
        <w:t xml:space="preserve"/>
      </w:r>
    </w:p>
    <w:p>
      <w:pPr>
        <w:pStyle w:val="Para 031"/>
      </w:pPr>
      <w:r>
        <w:rPr>
          <w:rStyle w:val="Text5"/>
        </w:rPr>
        <w:t>ROBERT S. KAPLAN là giáo sư thực hành quản lý tại Harvard Business School.</w:t>
      </w:r>
      <w:r>
        <w:t xml:space="preserve"/>
      </w:r>
    </w:p>
    <w:p>
      <w:pPr>
        <w:pStyle w:val="Para 031"/>
      </w:pPr>
      <w:r>
        <w:rPr>
          <w:rStyle w:val="Text5"/>
        </w:rPr>
        <w:t>CATHERINE MCCARTHY là phó chủ tịch cấp cao tại Energy Project ở New York.</w:t>
      </w:r>
      <w:r>
        <w:t xml:space="preserve"/>
      </w:r>
    </w:p>
    <w:p>
      <w:pPr>
        <w:pStyle w:val="Para 031"/>
      </w:pPr>
      <w:r>
        <w:rPr>
          <w:rStyle w:val="Text5"/>
        </w:rPr>
        <w:bookmarkStart w:id="231" w:name="ANNIE"/>
        <w:t>ANNIE MCKEE là giảng viên tại Graduate School of Education thuộc University of Pennsylvania.</w:t>
        <w:bookmarkEnd w:id="231"/>
        <w:t xml:space="preserve"/>
      </w:r>
      <w:r>
        <w:t xml:space="preserve"/>
      </w:r>
    </w:p>
    <w:p>
      <w:pPr>
        <w:pStyle w:val="Para 031"/>
      </w:pPr>
      <w:r>
        <w:rPr>
          <w:rStyle w:val="Text5"/>
        </w:rPr>
        <w:t>WILLIAM ONCKEN, JR., từng là chủ tịch của William Oncken Corporation, một công ty tư vấn quản lý.</w:t>
      </w:r>
      <w:r>
        <w:t xml:space="preserve"/>
      </w:r>
    </w:p>
    <w:p>
      <w:pPr>
        <w:pStyle w:val="Para 031"/>
      </w:pPr>
      <w:r>
        <w:rPr>
          <w:rStyle w:val="Text5"/>
        </w:rPr>
        <w:t>ROBERT E. QUINN là Giáo sư Margaret Elliott Tracy Collegiate về Quản trị Kinh doanh tại Ross School of Business thuộc University of Michigan.</w:t>
      </w:r>
      <w:r>
        <w:t xml:space="preserve"/>
      </w:r>
    </w:p>
    <w:p>
      <w:pPr>
        <w:pStyle w:val="Para 031"/>
      </w:pPr>
      <w:r>
        <w:rPr>
          <w:rStyle w:val="Text5"/>
        </w:rPr>
        <w:t>TONY SCHWARTZ là chủ tịch và người sáng lập Energy Project ở New York.</w:t>
      </w:r>
      <w:r>
        <w:t xml:space="preserve"/>
      </w:r>
    </w:p>
    <w:p>
      <w:pPr>
        <w:pStyle w:val="Para 031"/>
      </w:pPr>
      <w:r>
        <w:rPr>
          <w:rStyle w:val="Text5"/>
        </w:rPr>
        <w:t>DONALD L. WASS đứng đầu khu vực Dallas–Fort Worth của The Executive Committee (TEC), một tổ chức quốc tế dành cho các chủ tịch và CEO.</w:t>
      </w:r>
      <w:r>
        <w:t xml:space="preserve"/>
      </w:r>
    </w:p>
    <w:p>
      <w:bookmarkStart w:id="232" w:name="Top_of_17_Index_xhtml"/>
      <w:bookmarkStart w:id="233" w:name="Index_accountability__164_165_ac"/>
      <w:pPr>
        <w:pStyle w:val="Para 025"/>
        <w:pageBreakBefore w:val="on"/>
      </w:pPr>
      <w:r>
        <w:bookmarkStart w:id="234" w:name="Index"/>
        <w:t>Mục lục</w:t>
        <w:bookmarkEnd w:id="234"/>
      </w:r>
      <w:bookmarkEnd w:id="232"/>
      <w:bookmarkEnd w:id="233"/>
    </w:p>
    <w:p>
      <w:pPr>
        <w:pStyle w:val="Para 110"/>
      </w:pPr>
      <w:r>
        <w:t xml:space="preserve">trách nhiệm giải trình (accountability), 164–165</w:t>
      </w:r>
      <w:hyperlink w:anchor="triggered">
        <w:r>
          <w:rPr>
            <w:rStyle w:val="Text1"/>
          </w:rPr>
          <w:t/>
        </w:r>
      </w:hyperlink>
    </w:p>
    <w:p>
      <w:pPr>
        <w:pStyle w:val="Para 001"/>
      </w:pPr>
      <w:r>
        <w:t xml:space="preserve">thiên về hành động (bias for action), 126</w:t>
      </w:r>
      <w:hyperlink w:anchor="celebrate">
        <w:r>
          <w:rPr>
            <w:rStyle w:val="Text1"/>
          </w:rPr>
          <w:t/>
        </w:r>
      </w:hyperlink>
    </w:p>
    <w:p>
      <w:pPr>
        <w:pStyle w:val="Para 001"/>
      </w:pPr>
      <w:r>
        <w:t xml:space="preserve">sự thích nghi, 108–109</w:t>
      </w:r>
      <w:hyperlink w:anchor="Once">
        <w:r>
          <w:rPr>
            <w:rStyle w:val="Text1"/>
          </w:rPr>
          <w:t/>
        </w:r>
      </w:hyperlink>
    </w:p>
    <w:p>
      <w:pPr>
        <w:pStyle w:val="Para 001"/>
      </w:pPr>
      <w:r>
        <w:t xml:space="preserve">Adaptiv Learning Systems, 49</w:t>
      </w:r>
      <w:hyperlink w:anchor="Idea_3">
        <w:r>
          <w:rPr>
            <w:rStyle w:val="Text1"/>
          </w:rPr>
          <w:t/>
        </w:r>
      </w:hyperlink>
    </w:p>
    <w:p>
      <w:pPr>
        <w:pStyle w:val="Para 001"/>
      </w:pPr>
      <w:r>
        <w:t xml:space="preserve">ADT. Xem hội chứng suy giảm khả năng tập trung (attention deficit trait - ADT)</w:t>
      </w:r>
      <w:r>
        <w:rPr>
          <w:rStyle w:val="Text0"/>
        </w:rPr>
        <w:t/>
      </w:r>
      <w:r>
        <w:t xml:space="preserve"/>
      </w:r>
    </w:p>
    <w:p>
      <w:pPr>
        <w:pStyle w:val="Para 047"/>
      </w:pPr>
      <w:r>
        <w:rPr>
          <w:rStyle w:val="Text6"/>
        </w:rPr>
        <w:t xml:space="preserve">sự thống nhất (alignment), 76, 116–117, 155, 162–163</w:t>
      </w:r>
      <w:hyperlink w:anchor="PlayStation">
        <w:r>
          <w:t/>
        </w:r>
      </w:hyperlink>
      <w:r>
        <w:rPr>
          <w:rStyle w:val="Text6"/>
        </w:rPr>
        <w:t xml:space="preserve"/>
      </w:r>
      <w:hyperlink w:anchor="their">
        <w:r>
          <w:t/>
        </w:r>
      </w:hyperlink>
      <w:r>
        <w:rPr>
          <w:rStyle w:val="Text6"/>
        </w:rPr>
        <w:t xml:space="preserve"/>
      </w:r>
      <w:hyperlink w:anchor="Have">
        <w:r>
          <w:t/>
        </w:r>
      </w:hyperlink>
      <w:r>
        <w:rPr>
          <w:rStyle w:val="Text6"/>
        </w:rPr>
        <w:t xml:space="preserve"/>
      </w:r>
      <w:hyperlink w:anchor="Evaluation">
        <w:r>
          <w:t/>
        </w:r>
      </w:hyperlink>
    </w:p>
    <w:p>
      <w:pPr>
        <w:pStyle w:val="Para 001"/>
      </w:pPr>
      <w:r>
        <w:t xml:space="preserve">Andersson, Dan, 119, 124–126</w:t>
      </w:r>
      <w:hyperlink w:anchor="always">
        <w:r>
          <w:rPr>
            <w:rStyle w:val="Text1"/>
          </w:rPr>
          <w:t/>
        </w:r>
      </w:hyperlink>
      <w:r>
        <w:t xml:space="preserve"/>
      </w:r>
      <w:hyperlink w:anchor="hesitation">
        <w:r>
          <w:rPr>
            <w:rStyle w:val="Text1"/>
          </w:rPr>
          <w:t/>
        </w:r>
      </w:hyperlink>
    </w:p>
    <w:p>
      <w:pPr>
        <w:pStyle w:val="Para 001"/>
      </w:pPr>
      <w:r>
        <w:t xml:space="preserve">Andrews, Mike, 58</w:t>
      </w:r>
      <w:hyperlink w:anchor="extraneous">
        <w:r>
          <w:rPr>
            <w:rStyle w:val="Text1"/>
          </w:rPr>
          <w:t/>
        </w:r>
      </w:hyperlink>
    </w:p>
    <w:p>
      <w:pPr>
        <w:pStyle w:val="Para 001"/>
      </w:pPr>
      <w:r>
        <w:t xml:space="preserve">Anspacher, Jonathan, 74</w:t>
      </w:r>
      <w:hyperlink w:anchor="Paris">
        <w:r>
          <w:rPr>
            <w:rStyle w:val="Text1"/>
          </w:rPr>
          <w:t/>
        </w:r>
      </w:hyperlink>
    </w:p>
    <w:p>
      <w:pPr>
        <w:pStyle w:val="Para 001"/>
      </w:pPr>
      <w:r>
        <w:t xml:space="preserve">bày tỏ sự trân trọng, 64, 71</w:t>
      </w:r>
      <w:hyperlink w:anchor="training">
        <w:r>
          <w:rPr>
            <w:rStyle w:val="Text1"/>
          </w:rPr>
          <w:t/>
        </w:r>
      </w:hyperlink>
      <w:r>
        <w:t xml:space="preserve"/>
      </w:r>
      <w:hyperlink w:anchor="and">
        <w:r>
          <w:rPr>
            <w:rStyle w:val="Text1"/>
          </w:rPr>
          <w:t/>
        </w:r>
      </w:hyperlink>
    </w:p>
    <w:p>
      <w:pPr>
        <w:pStyle w:val="Para 001"/>
      </w:pPr>
      <w:r>
        <w:t xml:space="preserve">sự kiêu ngạo, 14–15</w:t>
      </w:r>
      <w:hyperlink w:anchor="so">
        <w:r>
          <w:rPr>
            <w:rStyle w:val="Text1"/>
          </w:rPr>
          <w:t/>
        </w:r>
      </w:hyperlink>
    </w:p>
    <w:p>
      <w:pPr>
        <w:pStyle w:val="Para 001"/>
      </w:pPr>
      <w:r>
        <w:t xml:space="preserve">đánh giá. Xem tự đánh giá</w:t>
      </w:r>
      <w:r>
        <w:rPr>
          <w:rStyle w:val="Text0"/>
        </w:rPr>
        <w:t/>
      </w:r>
      <w:r>
        <w:t xml:space="preserve"/>
      </w:r>
    </w:p>
    <w:p>
      <w:pPr>
        <w:pStyle w:val="Para 001"/>
      </w:pPr>
      <w:r>
        <w:t xml:space="preserve">đặt câu hỏi cho các giả định, 107</w:t>
      </w:r>
      <w:hyperlink w:anchor="a">
        <w:r>
          <w:rPr>
            <w:rStyle w:val="Text1"/>
          </w:rPr>
          <w:t/>
        </w:r>
      </w:hyperlink>
    </w:p>
    <w:p>
      <w:pPr>
        <w:pStyle w:val="Para 001"/>
      </w:pPr>
      <w:r>
        <w:t xml:space="preserve">rối loạn giảm chú ý (attention deficit disorder - ADD), 80, 81, 83–84</w:t>
      </w:r>
      <w:hyperlink w:anchor="David">
        <w:r>
          <w:rPr>
            <w:rStyle w:val="Text1"/>
          </w:rPr>
          <w:t/>
        </w:r>
      </w:hyperlink>
      <w:r>
        <w:t xml:space="preserve"/>
      </w:r>
      <w:hyperlink w:anchor="Idea_5">
        <w:r>
          <w:rPr>
            <w:rStyle w:val="Text1"/>
          </w:rPr>
          <w:t/>
        </w:r>
      </w:hyperlink>
      <w:r>
        <w:t xml:space="preserve"/>
      </w:r>
      <w:hyperlink w:anchor="the">
        <w:r>
          <w:rPr>
            <w:rStyle w:val="Text1"/>
          </w:rPr>
          <w:t/>
        </w:r>
      </w:hyperlink>
    </w:p>
    <w:p>
      <w:pPr>
        <w:pStyle w:val="Para 001"/>
      </w:pPr>
      <w:r>
        <w:t xml:space="preserve">hội chứng suy giảm khả năng tập trung (attention deficit trait - ADT), 79–95</w:t>
      </w:r>
      <w:hyperlink w:anchor="Overloaded">
        <w:r>
          <w:rPr>
            <w:rStyle w:val="Text1"/>
          </w:rPr>
          <w:t/>
        </w:r>
      </w:hyperlink>
    </w:p>
    <w:p>
      <w:pPr>
        <w:pStyle w:val="Para 001"/>
      </w:pPr>
      <w:r>
        <w:t xml:space="preserve">so sánh với ADD, 81, 83–84</w:t>
      </w:r>
      <w:hyperlink w:anchor="Idea_5">
        <w:r>
          <w:rPr>
            <w:rStyle w:val="Text1"/>
          </w:rPr>
          <w:t/>
        </w:r>
      </w:hyperlink>
      <w:r>
        <w:t xml:space="preserve"/>
      </w:r>
      <w:hyperlink w:anchor="the">
        <w:r>
          <w:rPr>
            <w:rStyle w:val="Text1"/>
          </w:rPr>
          <w:t/>
        </w:r>
      </w:hyperlink>
    </w:p>
    <w:p>
      <w:pPr>
        <w:pStyle w:val="Para 001"/>
      </w:pPr>
      <w:r>
        <w:t xml:space="preserve">cách quản lý, 80, 87–93</w:t>
      </w:r>
      <w:hyperlink w:anchor="David">
        <w:r>
          <w:rPr>
            <w:rStyle w:val="Text1"/>
          </w:rPr>
          <w:t/>
        </w:r>
      </w:hyperlink>
      <w:r>
        <w:t xml:space="preserve"/>
      </w:r>
      <w:hyperlink w:anchor="and_1">
        <w:r>
          <w:rPr>
            <w:rStyle w:val="Text1"/>
          </w:rPr>
          <w:t/>
        </w:r>
      </w:hyperlink>
    </w:p>
    <w:p>
      <w:pPr>
        <w:pStyle w:val="Para 001"/>
      </w:pPr>
      <w:r>
        <w:t xml:space="preserve">văn hóa tổ chức và, 82, 87, 88–89, 93–95</w:t>
      </w:r>
      <w:hyperlink w:anchor="Idea_6">
        <w:r>
          <w:rPr>
            <w:rStyle w:val="Text1"/>
          </w:rPr>
          <w:t/>
        </w:r>
      </w:hyperlink>
      <w:r>
        <w:t xml:space="preserve"/>
      </w:r>
      <w:hyperlink w:anchor="and_1">
        <w:r>
          <w:rPr>
            <w:rStyle w:val="Text1"/>
          </w:rPr>
          <w:t/>
        </w:r>
      </w:hyperlink>
      <w:r>
        <w:t xml:space="preserve"/>
      </w:r>
      <w:hyperlink w:anchor="means">
        <w:r>
          <w:rPr>
            <w:rStyle w:val="Text1"/>
          </w:rPr>
          <w:t/>
        </w:r>
      </w:hyperlink>
      <w:r>
        <w:t xml:space="preserve"/>
      </w:r>
      <w:hyperlink w:anchor="_2">
        <w:r>
          <w:rPr>
            <w:rStyle w:val="Text1"/>
          </w:rPr>
          <w:t/>
        </w:r>
      </w:hyperlink>
    </w:p>
    <w:p>
      <w:pPr>
        <w:pStyle w:val="Para 001"/>
      </w:pPr>
      <w:r>
        <w:t xml:space="preserve">các triệu chứng của, 79</w:t>
      </w:r>
      <w:hyperlink w:anchor="Overloaded">
        <w:r>
          <w:rPr>
            <w:rStyle w:val="Text1"/>
          </w:rPr>
          <w:t/>
        </w:r>
      </w:hyperlink>
    </w:p>
    <w:p>
      <w:pPr>
        <w:pStyle w:val="Para 001"/>
      </w:pPr>
      <w:r>
        <w:t xml:space="preserve">kiểm toán năng lượng, 67, 68–69</w:t>
      </w:r>
      <w:hyperlink w:anchor="emotions">
        <w:r>
          <w:rPr>
            <w:rStyle w:val="Text1"/>
          </w:rPr>
          <w:t/>
        </w:r>
      </w:hyperlink>
      <w:r>
        <w:t xml:space="preserve"/>
      </w:r>
      <w:hyperlink w:anchor="Are">
        <w:r>
          <w:rPr>
            <w:rStyle w:val="Text1"/>
          </w:rPr>
          <w:t/>
        </w:r>
      </w:hyperlink>
    </w:p>
    <w:p>
      <w:pPr>
        <w:pStyle w:val="Para 029"/>
      </w:pPr>
      <w:r>
        <w:t xml:space="preserve">sự chân thật (authenticity), 100, 170–171</w:t>
      </w:r>
      <w:hyperlink w:anchor="The_1">
        <w:r>
          <w:rPr>
            <w:rStyle w:val="Text1"/>
          </w:rPr>
          <w:t/>
        </w:r>
      </w:hyperlink>
      <w:r>
        <w:t xml:space="preserve"/>
      </w:r>
      <w:hyperlink w:anchor="deeper">
        <w:r>
          <w:rPr>
            <w:rStyle w:val="Text1"/>
          </w:rPr>
          <w:t/>
        </w:r>
      </w:hyperlink>
    </w:p>
    <w:p>
      <w:pPr>
        <w:pStyle w:val="Para 001"/>
      </w:pPr>
      <w:r>
        <w:t xml:space="preserve">Babin, Nicolas, 72</w:t>
      </w:r>
      <w:hyperlink w:anchor="With">
        <w:r>
          <w:rPr>
            <w:rStyle w:val="Text1"/>
          </w:rPr>
          <w:t/>
        </w:r>
      </w:hyperlink>
    </w:p>
    <w:p>
      <w:pPr>
        <w:pStyle w:val="Para 001"/>
      </w:pPr>
      <w:r>
        <w:t xml:space="preserve">sự cân bằng, 33, 34, 38–39, 97–114. Xem thêm thời gian tùy ý (discretionary time)</w:t>
      </w:r>
      <w:hyperlink w:anchor="Management">
        <w:r>
          <w:rPr>
            <w:rStyle w:val="Text1"/>
          </w:rPr>
          <w:t/>
        </w:r>
      </w:hyperlink>
      <w:r>
        <w:t xml:space="preserve"/>
      </w:r>
      <w:hyperlink w:anchor="To">
        <w:r>
          <w:rPr>
            <w:rStyle w:val="Text1"/>
          </w:rPr>
          <w:t/>
        </w:r>
      </w:hyperlink>
      <w:r>
        <w:t xml:space="preserve"/>
      </w:r>
      <w:hyperlink w:anchor="in">
        <w:r>
          <w:rPr>
            <w:rStyle w:val="Text1"/>
          </w:rPr>
          <w:t/>
        </w:r>
      </w:hyperlink>
      <w:r>
        <w:t xml:space="preserve"/>
      </w:r>
      <w:hyperlink w:anchor="Be">
        <w:r>
          <w:rPr>
            <w:rStyle w:val="Text1"/>
          </w:rPr>
          <w:t/>
        </w:r>
      </w:hyperlink>
      <w:r>
        <w:t xml:space="preserve"/>
      </w:r>
      <w:r>
        <w:rPr>
          <w:rStyle w:val="Text0"/>
        </w:rPr>
        <w:t/>
      </w:r>
      <w:r>
        <w:t xml:space="preserve"/>
      </w:r>
    </w:p>
    <w:p>
      <w:pPr>
        <w:pStyle w:val="Para 001"/>
      </w:pPr>
      <w:r>
        <w:t xml:space="preserve">Barsade, Sigal, 177</w:t>
      </w:r>
      <w:hyperlink w:anchor="Smile">
        <w:r>
          <w:rPr>
            <w:rStyle w:val="Text1"/>
          </w:rPr>
          <w:t/>
        </w:r>
      </w:hyperlink>
    </w:p>
    <w:p>
      <w:pPr>
        <w:pStyle w:val="Para 001"/>
      </w:pPr>
      <w:r>
        <w:t xml:space="preserve">Bartel, Caroline, 177</w:t>
      </w:r>
      <w:hyperlink w:anchor="Smile">
        <w:r>
          <w:rPr>
            <w:rStyle w:val="Text1"/>
          </w:rPr>
          <w:t/>
        </w:r>
      </w:hyperlink>
    </w:p>
    <w:p>
      <w:pPr>
        <w:pStyle w:val="Para 001"/>
      </w:pPr>
      <w:r>
        <w:t xml:space="preserve">BBC, 179</w:t>
      </w:r>
      <w:hyperlink w:anchor="conflicts">
        <w:r>
          <w:rPr>
            <w:rStyle w:val="Text1"/>
          </w:rPr>
          <w:t/>
        </w:r>
      </w:hyperlink>
    </w:p>
    <w:p>
      <w:pPr>
        <w:pStyle w:val="Para 001"/>
      </w:pPr>
      <w:r>
        <w:t xml:space="preserve">Beatty, Richard, 183</w:t>
      </w:r>
      <w:hyperlink w:anchor="But">
        <w:r>
          <w:rPr>
            <w:rStyle w:val="Text1"/>
          </w:rPr>
          <w:t/>
        </w:r>
      </w:hyperlink>
    </w:p>
    <w:p>
      <w:pPr>
        <w:pStyle w:val="Para 001"/>
      </w:pPr>
      <w:r>
        <w:t xml:space="preserve">Becker, Dean, 49</w:t>
      </w:r>
      <w:hyperlink w:anchor="Idea_3">
        <w:r>
          <w:rPr>
            <w:rStyle w:val="Text1"/>
          </w:rPr>
          <w:t/>
        </w:r>
      </w:hyperlink>
    </w:p>
    <w:p>
      <w:pPr>
        <w:pStyle w:val="Para 001"/>
      </w:pPr>
      <w:r>
        <w:t xml:space="preserve">Beethoven, Ludwig von, 19–20</w:t>
      </w:r>
      <w:hyperlink w:anchor="he">
        <w:r>
          <w:rPr>
            <w:rStyle w:val="Text1"/>
          </w:rPr>
          <w:t/>
        </w:r>
      </w:hyperlink>
    </w:p>
    <w:p>
      <w:pPr>
        <w:pStyle w:val="Para 001"/>
      </w:pPr>
      <w:r>
        <w:t xml:space="preserve">Bessemer Venture Partners, 7</w:t>
      </w:r>
      <w:hyperlink w:anchor="to">
        <w:r>
          <w:rPr>
            <w:rStyle w:val="Text1"/>
          </w:rPr>
          <w:t/>
        </w:r>
      </w:hyperlink>
    </w:p>
    <w:p>
      <w:pPr>
        <w:pStyle w:val="Para 001"/>
      </w:pPr>
      <w:r>
        <w:t xml:space="preserve">“Coi chừng ông quản lý bận rộn” (Ghoshal và Bruch), 115</w:t>
      </w:r>
      <w:hyperlink w:anchor="Reclaim">
        <w:r>
          <w:rPr>
            <w:rStyle w:val="Text1"/>
          </w:rPr>
          <w:t/>
        </w:r>
      </w:hyperlink>
    </w:p>
    <w:p>
      <w:pPr>
        <w:pStyle w:val="Para 001"/>
      </w:pPr>
      <w:r>
        <w:t xml:space="preserve">thời gian do sếp áp đặt, 33, 45</w:t>
      </w:r>
      <w:hyperlink w:anchor="Management">
        <w:r>
          <w:rPr>
            <w:rStyle w:val="Text1"/>
          </w:rPr>
          <w:t/>
        </w:r>
      </w:hyperlink>
      <w:r>
        <w:t xml:space="preserve"/>
      </w:r>
      <w:hyperlink w:anchor="">
        <w:r>
          <w:rPr>
            <w:rStyle w:val="Text1"/>
          </w:rPr>
          <w:t/>
        </w:r>
      </w:hyperlink>
    </w:p>
    <w:p>
      <w:pPr>
        <w:pStyle w:val="Para 001"/>
      </w:pPr>
      <w:r>
        <w:t>não bộ</w:t>
      </w:r>
    </w:p>
    <w:p>
      <w:pPr>
        <w:pStyle w:val="Para 001"/>
      </w:pPr>
      <w:r>
        <w:t xml:space="preserve">ADD và, 81, 83</w:t>
      </w:r>
      <w:hyperlink w:anchor="Idea_5">
        <w:r>
          <w:rPr>
            <w:rStyle w:val="Text1"/>
          </w:rPr>
          <w:t/>
        </w:r>
      </w:hyperlink>
      <w:r>
        <w:t xml:space="preserve"/>
      </w:r>
      <w:hyperlink w:anchor="the">
        <w:r>
          <w:rPr>
            <w:rStyle w:val="Text1"/>
          </w:rPr>
          <w:t/>
        </w:r>
      </w:hyperlink>
    </w:p>
    <w:p>
      <w:pPr>
        <w:pStyle w:val="Para 001"/>
      </w:pPr>
      <w:r>
        <w:t xml:space="preserve">ADT và, 82, 84–87, 88–89</w:t>
      </w:r>
      <w:hyperlink w:anchor="Idea_6">
        <w:r>
          <w:rPr>
            <w:rStyle w:val="Text1"/>
          </w:rPr>
          <w:t/>
        </w:r>
      </w:hyperlink>
      <w:r>
        <w:t xml:space="preserve"/>
      </w:r>
      <w:hyperlink w:anchor="education">
        <w:r>
          <w:rPr>
            <w:rStyle w:val="Text1"/>
          </w:rPr>
          <w:t/>
        </w:r>
      </w:hyperlink>
      <w:r>
        <w:t xml:space="preserve"/>
      </w:r>
      <w:hyperlink w:anchor="means">
        <w:r>
          <w:rPr>
            <w:rStyle w:val="Text1"/>
          </w:rPr>
          <w:t/>
        </w:r>
      </w:hyperlink>
    </w:p>
    <w:p>
      <w:pPr>
        <w:pStyle w:val="Para 001"/>
      </w:pPr>
      <w:r>
        <w:t xml:space="preserve">trí tuệ cảm xúc và, 172, 174, 176, 181–188</w:t>
      </w:r>
      <w:hyperlink w:anchor="No">
        <w:r>
          <w:rPr>
            <w:rStyle w:val="Text1"/>
          </w:rPr>
          <w:t/>
        </w:r>
      </w:hyperlink>
      <w:r>
        <w:t xml:space="preserve"/>
      </w:r>
      <w:hyperlink w:anchor="Our">
        <w:r>
          <w:rPr>
            <w:rStyle w:val="Text1"/>
          </w:rPr>
          <w:t/>
        </w:r>
      </w:hyperlink>
      <w:r>
        <w:t xml:space="preserve"/>
      </w:r>
      <w:hyperlink w:anchor="open">
        <w:r>
          <w:rPr>
            <w:rStyle w:val="Text1"/>
          </w:rPr>
          <w:t/>
        </w:r>
      </w:hyperlink>
      <w:r>
        <w:t xml:space="preserve"/>
      </w:r>
      <w:hyperlink w:anchor="mood">
        <w:r>
          <w:rPr>
            <w:rStyle w:val="Text1"/>
          </w:rPr>
          <w:t/>
        </w:r>
      </w:hyperlink>
    </w:p>
    <w:p>
      <w:pPr>
        <w:pStyle w:val="Para 001"/>
      </w:pPr>
      <w:r>
        <w:t xml:space="preserve">yếu tố dinh dưỡng thần kinh có nguồn gốc từ não (BDNF), 90</w:t>
      </w:r>
      <w:hyperlink w:anchor="omega">
        <w:r>
          <w:rPr>
            <w:rStyle w:val="Text1"/>
          </w:rPr>
          <w:t/>
        </w:r>
      </w:hyperlink>
    </w:p>
    <w:p>
      <w:pPr>
        <w:pStyle w:val="Para 001"/>
      </w:pPr>
      <w:r>
        <w:t xml:space="preserve">nghỉ giải lao, 63, 64, 67, 69, 78</w:t>
      </w:r>
      <w:hyperlink w:anchor="Idea_4">
        <w:r>
          <w:rPr>
            <w:rStyle w:val="Text1"/>
          </w:rPr>
          <w:t/>
        </w:r>
      </w:hyperlink>
      <w:r>
        <w:t xml:space="preserve"/>
      </w:r>
      <w:hyperlink w:anchor="training">
        <w:r>
          <w:rPr>
            <w:rStyle w:val="Text1"/>
          </w:rPr>
          <w:t/>
        </w:r>
      </w:hyperlink>
      <w:r>
        <w:t xml:space="preserve"/>
      </w:r>
      <w:hyperlink w:anchor="emotions">
        <w:r>
          <w:rPr>
            <w:rStyle w:val="Text1"/>
          </w:rPr>
          <w:t/>
        </w:r>
      </w:hyperlink>
      <w:r>
        <w:t xml:space="preserve"/>
      </w:r>
      <w:hyperlink w:anchor="_1">
        <w:r>
          <w:rPr>
            <w:rStyle w:val="Text1"/>
          </w:rPr>
          <w:t/>
        </w:r>
      </w:hyperlink>
      <w:r>
        <w:t xml:space="preserve"/>
      </w:r>
      <w:hyperlink w:anchor="where">
        <w:r>
          <w:rPr>
            <w:rStyle w:val="Text1"/>
          </w:rPr>
          <w:t/>
        </w:r>
      </w:hyperlink>
    </w:p>
    <w:p>
      <w:pPr>
        <w:pStyle w:val="Para 001"/>
      </w:pPr>
      <w:r>
        <w:t xml:space="preserve">thở bụng, 64, 70–72, 78</w:t>
      </w:r>
      <w:hyperlink w:anchor="training">
        <w:r>
          <w:rPr>
            <w:rStyle w:val="Text1"/>
          </w:rPr>
          <w:t/>
        </w:r>
      </w:hyperlink>
      <w:r>
        <w:t xml:space="preserve"/>
      </w:r>
      <w:hyperlink w:anchor="20">
        <w:r>
          <w:rPr>
            <w:rStyle w:val="Text1"/>
          </w:rPr>
          <w:t/>
        </w:r>
      </w:hyperlink>
      <w:r>
        <w:t xml:space="preserve"/>
      </w:r>
      <w:hyperlink w:anchor="where">
        <w:r>
          <w:rPr>
            <w:rStyle w:val="Text1"/>
          </w:rPr>
          <w:t/>
        </w:r>
      </w:hyperlink>
    </w:p>
    <w:p>
      <w:pPr>
        <w:pStyle w:val="Para 001"/>
      </w:pPr>
      <w:r>
        <w:t xml:space="preserve">tận dụng nguồn lực sẵn có (bricolage), 57–60</w:t>
      </w:r>
      <w:hyperlink w:anchor="never">
        <w:r>
          <w:rPr>
            <w:rStyle w:val="Text1"/>
          </w:rPr>
          <w:t/>
        </w:r>
      </w:hyperlink>
    </w:p>
    <w:p>
      <w:pPr>
        <w:pStyle w:val="Para 001"/>
      </w:pPr>
      <w:r>
        <w:t xml:space="preserve">Buford, Bob, 30</w:t>
      </w:r>
      <w:hyperlink w:anchor="community">
        <w:r>
          <w:rPr>
            <w:rStyle w:val="Text1"/>
          </w:rPr>
          <w:t/>
        </w:r>
      </w:hyperlink>
    </w:p>
    <w:p>
      <w:pPr>
        <w:pStyle w:val="Para 001"/>
      </w:pPr>
      <w:r>
        <w:t>sinh viên trường kinh doanh</w:t>
      </w:r>
    </w:p>
    <w:p>
      <w:pPr>
        <w:pStyle w:val="Para 001"/>
      </w:pPr>
      <w:r>
        <w:t xml:space="preserve">mục đích sống và quyết định nghề nghiệp của, 4–5</w:t>
      </w:r>
      <w:hyperlink w:anchor="level">
        <w:r>
          <w:rPr>
            <w:rStyle w:val="Text1"/>
          </w:rPr>
          <w:t/>
        </w:r>
      </w:hyperlink>
    </w:p>
    <w:p>
      <w:pPr>
        <w:pStyle w:val="Para 001"/>
      </w:pPr>
      <w:r>
        <w:t xml:space="preserve">phần thưởng của sự nghiệp kinh doanh dành cho, 4</w:t>
      </w:r>
      <w:hyperlink w:anchor="level">
        <w:r>
          <w:rPr>
            <w:rStyle w:val="Text1"/>
          </w:rPr>
          <w:t/>
        </w:r>
      </w:hyperlink>
    </w:p>
    <w:p>
      <w:pPr>
        <w:pStyle w:val="Para 029"/>
      </w:pPr>
      <w:r>
        <w:t xml:space="preserve">nghi thức “mua thời gian”, 70–72</w:t>
      </w:r>
      <w:hyperlink w:anchor="20">
        <w:r>
          <w:rPr>
            <w:rStyle w:val="Text1"/>
          </w:rPr>
          <w:t/>
        </w:r>
      </w:hyperlink>
    </w:p>
    <w:p>
      <w:pPr>
        <w:pStyle w:val="Para 001"/>
      </w:pPr>
      <w:r>
        <w:t xml:space="preserve">Calvin, John, 14</w:t>
      </w:r>
      <w:hyperlink w:anchor="so">
        <w:r>
          <w:rPr>
            <w:rStyle w:val="Text1"/>
          </w:rPr>
          <w:t/>
        </w:r>
      </w:hyperlink>
    </w:p>
    <w:p>
      <w:pPr>
        <w:pStyle w:val="Para 001"/>
      </w:pPr>
      <w:r>
        <w:t xml:space="preserve">Cantor Fitzgerald, 53</w:t>
      </w:r>
      <w:hyperlink w:anchor="Like_1">
        <w:r>
          <w:rPr>
            <w:rStyle w:val="Text1"/>
          </w:rPr>
          <w:t/>
        </w:r>
      </w:hyperlink>
    </w:p>
    <w:p>
      <w:pPr>
        <w:pStyle w:val="Para 001"/>
      </w:pPr>
      <w:r>
        <w:t xml:space="preserve">quản lý sự nghiệp, 3–5, 14–17, 20–21, 24–25, 29–32</w:t>
      </w:r>
      <w:hyperlink w:anchor="Idea">
        <w:r>
          <w:rPr>
            <w:rStyle w:val="Text1"/>
          </w:rPr>
          <w:t/>
        </w:r>
      </w:hyperlink>
      <w:r>
        <w:t xml:space="preserve"/>
      </w:r>
      <w:hyperlink w:anchor="so">
        <w:r>
          <w:rPr>
            <w:rStyle w:val="Text1"/>
          </w:rPr>
          <w:t/>
        </w:r>
      </w:hyperlink>
      <w:r>
        <w:t xml:space="preserve"/>
      </w:r>
      <w:hyperlink w:anchor="immediately">
        <w:r>
          <w:rPr>
            <w:rStyle w:val="Text1"/>
          </w:rPr>
          <w:t/>
        </w:r>
      </w:hyperlink>
      <w:r>
        <w:t xml:space="preserve"/>
      </w:r>
      <w:hyperlink w:anchor="between">
        <w:r>
          <w:rPr>
            <w:rStyle w:val="Text1"/>
          </w:rPr>
          <w:t/>
        </w:r>
      </w:hyperlink>
      <w:r>
        <w:t xml:space="preserve"/>
      </w:r>
      <w:hyperlink w:anchor="like">
        <w:r>
          <w:rPr>
            <w:rStyle w:val="Text1"/>
          </w:rPr>
          <w:t/>
        </w:r>
      </w:hyperlink>
    </w:p>
    <w:p>
      <w:pPr>
        <w:pStyle w:val="Para 001"/>
      </w:pPr>
      <w:r>
        <w:t xml:space="preserve">Carter, Cameron, 186</w:t>
      </w:r>
      <w:hyperlink w:anchor="This">
        <w:r>
          <w:rPr>
            <w:rStyle w:val="Text1"/>
          </w:rPr>
          <w:t/>
        </w:r>
      </w:hyperlink>
    </w:p>
    <w:p>
      <w:pPr>
        <w:pStyle w:val="Para 001"/>
      </w:pPr>
      <w:r>
        <w:t xml:space="preserve">Giáo hội Công giáo, 56</w:t>
      </w:r>
      <w:hyperlink w:anchor="those">
        <w:r>
          <w:rPr>
            <w:rStyle w:val="Text1"/>
          </w:rPr>
          <w:t/>
        </w:r>
      </w:hyperlink>
    </w:p>
    <w:p>
      <w:pPr>
        <w:pStyle w:val="Para 001"/>
      </w:pPr>
      <w:r>
        <w:t xml:space="preserve">bệnh CEO, 171–172, 179–180</w:t>
      </w:r>
      <w:hyperlink w:anchor="disconnect">
        <w:r>
          <w:rPr>
            <w:rStyle w:val="Text1"/>
          </w:rPr>
          <w:t/>
        </w:r>
      </w:hyperlink>
      <w:r>
        <w:t xml:space="preserve"/>
      </w:r>
      <w:hyperlink w:anchor="conflicts">
        <w:r>
          <w:rPr>
            <w:rStyle w:val="Text1"/>
          </w:rPr>
          <w:t/>
        </w:r>
      </w:hyperlink>
    </w:p>
    <w:p>
      <w:pPr>
        <w:pStyle w:val="Para 001"/>
      </w:pPr>
      <w:r>
        <w:t xml:space="preserve">thay đổi, 15–16, 126</w:t>
      </w:r>
      <w:hyperlink w:anchor="people">
        <w:r>
          <w:rPr>
            <w:rStyle w:val="Text1"/>
          </w:rPr>
          <w:t/>
        </w:r>
      </w:hyperlink>
      <w:r>
        <w:t xml:space="preserve"/>
      </w:r>
      <w:hyperlink w:anchor="celebrate">
        <w:r>
          <w:rPr>
            <w:rStyle w:val="Text1"/>
          </w:rPr>
          <w:t/>
        </w:r>
      </w:hyperlink>
    </w:p>
    <w:p>
      <w:pPr>
        <w:pStyle w:val="Para 001"/>
      </w:pPr>
      <w:r>
        <w:t xml:space="preserve">duy trì, 173, 181, 184, 186–187</w:t>
      </w:r>
      <w:hyperlink w:anchor="appraisal">
        <w:r>
          <w:rPr>
            <w:rStyle w:val="Text1"/>
          </w:rPr>
          <w:t/>
        </w:r>
      </w:hyperlink>
      <w:r>
        <w:t xml:space="preserve"/>
      </w:r>
      <w:hyperlink w:anchor="mood">
        <w:r>
          <w:rPr>
            <w:rStyle w:val="Text1"/>
          </w:rPr>
          <w:t/>
        </w:r>
      </w:hyperlink>
      <w:r>
        <w:t xml:space="preserve"/>
      </w:r>
      <w:hyperlink w:anchor="and_6">
        <w:r>
          <w:rPr>
            <w:rStyle w:val="Text1"/>
          </w:rPr>
          <w:t/>
        </w:r>
      </w:hyperlink>
      <w:r>
        <w:t xml:space="preserve"/>
      </w:r>
      <w:hyperlink w:anchor="This">
        <w:r>
          <w:rPr>
            <w:rStyle w:val="Text1"/>
          </w:rPr>
          <w:t/>
        </w:r>
      </w:hyperlink>
    </w:p>
    <w:p>
      <w:pPr>
        <w:pStyle w:val="Para 001"/>
      </w:pPr>
      <w:r>
        <w:t xml:space="preserve">dấu hiệu cần thay đổi, 15–16, 141–142</w:t>
      </w:r>
      <w:hyperlink w:anchor="people">
        <w:r>
          <w:rPr>
            <w:rStyle w:val="Text1"/>
          </w:rPr>
          <w:t/>
        </w:r>
      </w:hyperlink>
      <w:r>
        <w:t xml:space="preserve"/>
      </w:r>
      <w:hyperlink w:anchor="the_1">
        <w:r>
          <w:rPr>
            <w:rStyle w:val="Text1"/>
          </w:rPr>
          <w:t/>
        </w:r>
      </w:hyperlink>
    </w:p>
    <w:p>
      <w:pPr>
        <w:pStyle w:val="Para 001"/>
      </w:pPr>
      <w:r>
        <w:t xml:space="preserve">các bước trong, 112–113</w:t>
      </w:r>
      <w:hyperlink w:anchor="teen">
        <w:r>
          <w:rPr>
            <w:rStyle w:val="Text1"/>
          </w:rPr>
          <w:t/>
        </w:r>
      </w:hyperlink>
    </w:p>
    <w:p>
      <w:pPr>
        <w:pStyle w:val="Para 001"/>
      </w:pPr>
      <w:r>
        <w:t xml:space="preserve">Chen, Kenneth, 98, 102–103, 109</w:t>
      </w:r>
      <w:hyperlink w:anchor="how">
        <w:r>
          <w:rPr>
            <w:rStyle w:val="Text1"/>
          </w:rPr>
          <w:t/>
        </w:r>
      </w:hyperlink>
      <w:r>
        <w:t xml:space="preserve"/>
      </w:r>
      <w:hyperlink w:anchor="important">
        <w:r>
          <w:rPr>
            <w:rStyle w:val="Text1"/>
          </w:rPr>
          <w:t/>
        </w:r>
      </w:hyperlink>
      <w:r>
        <w:t xml:space="preserve"/>
      </w:r>
      <w:hyperlink w:anchor="other">
        <w:r>
          <w:rPr>
            <w:rStyle w:val="Text1"/>
          </w:rPr>
          <w:t/>
        </w:r>
      </w:hyperlink>
    </w:p>
    <w:p>
      <w:pPr>
        <w:pStyle w:val="Para 001"/>
      </w:pPr>
      <w:r>
        <w:t xml:space="preserve">Chun, Patrick, 6</w:t>
      </w:r>
      <w:hyperlink w:anchor="students">
        <w:r>
          <w:rPr>
            <w:rStyle w:val="Text1"/>
          </w:rPr>
          <w:t/>
        </w:r>
      </w:hyperlink>
    </w:p>
    <w:p>
      <w:pPr>
        <w:pStyle w:val="Para 001"/>
      </w:pPr>
      <w:r>
        <w:t xml:space="preserve">Churchill, Winston, 19</w:t>
      </w:r>
      <w:hyperlink w:anchor="he">
        <w:r>
          <w:rPr>
            <w:rStyle w:val="Text1"/>
          </w:rPr>
          <w:t/>
        </w:r>
      </w:hyperlink>
    </w:p>
    <w:p>
      <w:pPr>
        <w:pStyle w:val="Para 001"/>
      </w:pPr>
      <w:r>
        <w:t xml:space="preserve">Cluna, Dan, 72–73</w:t>
      </w:r>
      <w:hyperlink w:anchor="With">
        <w:r>
          <w:rPr>
            <w:rStyle w:val="Text1"/>
          </w:rPr>
          <w:t/>
        </w:r>
      </w:hyperlink>
    </w:p>
    <w:p>
      <w:pPr>
        <w:pStyle w:val="Para 001"/>
      </w:pPr>
      <w:r>
        <w:t xml:space="preserve">huấn luyện và cố vấn, 15–16, 20, 101–102</w:t>
      </w:r>
      <w:hyperlink w:anchor="people">
        <w:r>
          <w:rPr>
            <w:rStyle w:val="Text1"/>
          </w:rPr>
          <w:t/>
        </w:r>
      </w:hyperlink>
      <w:r>
        <w:t xml:space="preserve"/>
      </w:r>
      <w:hyperlink w:anchor="immediately">
        <w:r>
          <w:rPr>
            <w:rStyle w:val="Text1"/>
          </w:rPr>
          <w:t/>
        </w:r>
      </w:hyperlink>
      <w:r>
        <w:t xml:space="preserve"/>
      </w:r>
      <w:hyperlink w:anchor="_4">
        <w:r>
          <w:rPr>
            <w:rStyle w:val="Text1"/>
          </w:rPr>
          <w:t/>
        </w:r>
      </w:hyperlink>
    </w:p>
    <w:p>
      <w:pPr>
        <w:pStyle w:val="Para 047"/>
      </w:pPr>
      <w:r>
        <w:rPr>
          <w:rStyle w:val="Text6"/>
        </w:rPr>
        <w:t xml:space="preserve">đồng nghiệp, 101–102</w:t>
      </w:r>
      <w:hyperlink w:anchor="_4">
        <w:r>
          <w:t/>
        </w:r>
      </w:hyperlink>
    </w:p>
    <w:p>
      <w:pPr>
        <w:pStyle w:val="Para 001"/>
      </w:pPr>
      <w:r>
        <w:t xml:space="preserve">khả năng phục hồi (resilience), 55–56</w:t>
      </w:r>
      <w:hyperlink w:anchor="more">
        <w:r>
          <w:rPr>
            <w:rStyle w:val="Text1"/>
          </w:rPr>
          <w:t/>
        </w:r>
      </w:hyperlink>
    </w:p>
    <w:p>
      <w:pPr>
        <w:pStyle w:val="Para 001"/>
      </w:pPr>
      <w:r>
        <w:t xml:space="preserve">tự đánh giá về, 154, 157–160</w:t>
      </w:r>
      <w:hyperlink w:anchor="Testing">
        <w:r>
          <w:rPr>
            <w:rStyle w:val="Text1"/>
          </w:rPr>
          <w:t/>
        </w:r>
      </w:hyperlink>
      <w:r>
        <w:t xml:space="preserve"/>
      </w:r>
      <w:hyperlink w:anchor="professional">
        <w:r>
          <w:rPr>
            <w:rStyle w:val="Text1"/>
          </w:rPr>
          <w:t/>
        </w:r>
      </w:hyperlink>
    </w:p>
    <w:p>
      <w:pPr>
        <w:pStyle w:val="Para 001"/>
      </w:pPr>
      <w:r>
        <w:t xml:space="preserve">Coleman, John, 7</w:t>
      </w:r>
      <w:hyperlink w:anchor="to">
        <w:r>
          <w:rPr>
            <w:rStyle w:val="Text1"/>
          </w:rPr>
          <w:t/>
        </w:r>
      </w:hyperlink>
    </w:p>
    <w:p>
      <w:pPr>
        <w:pStyle w:val="Para 001"/>
      </w:pPr>
      <w:r>
        <w:t xml:space="preserve">Collins, Jim, 52, 57</w:t>
      </w:r>
      <w:hyperlink w:anchor="people_1">
        <w:r>
          <w:rPr>
            <w:rStyle w:val="Text1"/>
          </w:rPr>
          <w:t/>
        </w:r>
      </w:hyperlink>
      <w:r>
        <w:t xml:space="preserve"/>
      </w:r>
      <w:hyperlink w:anchor="never">
        <w:r>
          <w:rPr>
            <w:rStyle w:val="Text1"/>
          </w:rPr>
          <w:t/>
        </w:r>
      </w:hyperlink>
    </w:p>
    <w:p>
      <w:pPr>
        <w:pStyle w:val="Para 001"/>
      </w:pPr>
      <w:r>
        <w:t xml:space="preserve">tìm kiếm sự thoải mái, 128–129</w:t>
      </w:r>
      <w:hyperlink w:anchor="Is">
        <w:r>
          <w:rPr>
            <w:rStyle w:val="Text1"/>
          </w:rPr>
          <w:t/>
        </w:r>
      </w:hyperlink>
    </w:p>
    <w:p>
      <w:pPr>
        <w:pStyle w:val="Para 001"/>
      </w:pPr>
      <w:r>
        <w:t>giao tiếp</w:t>
      </w:r>
    </w:p>
    <w:p>
      <w:pPr>
        <w:pStyle w:val="Para 001"/>
      </w:pPr>
      <w:r>
        <w:t xml:space="preserve">lãnh đạo bằng cảm xúc và, 178–179</w:t>
      </w:r>
      <w:hyperlink w:anchor="who">
        <w:r>
          <w:rPr>
            <w:rStyle w:val="Text1"/>
          </w:rPr>
          <w:t/>
        </w:r>
      </w:hyperlink>
    </w:p>
    <w:p>
      <w:pPr>
        <w:pStyle w:val="Para 001"/>
      </w:pPr>
      <w:r>
        <w:t xml:space="preserve">trực tiếp, 44, 89</w:t>
      </w:r>
      <w:hyperlink w:anchor="The">
        <w:r>
          <w:rPr>
            <w:rStyle w:val="Text1"/>
          </w:rPr>
          <w:t/>
        </w:r>
      </w:hyperlink>
      <w:r>
        <w:t xml:space="preserve"/>
      </w:r>
      <w:hyperlink w:anchor="all">
        <w:r>
          <w:rPr>
            <w:rStyle w:val="Text1"/>
          </w:rPr>
          <w:t/>
        </w:r>
      </w:hyperlink>
    </w:p>
    <w:p>
      <w:pPr>
        <w:pStyle w:val="Para 001"/>
      </w:pPr>
      <w:r>
        <w:t xml:space="preserve">tự đánh giá về, 166</w:t>
      </w:r>
      <w:hyperlink w:anchor="adopt">
        <w:r>
          <w:rPr>
            <w:rStyle w:val="Text1"/>
          </w:rPr>
          <w:t/>
        </w:r>
      </w:hyperlink>
    </w:p>
    <w:p>
      <w:pPr>
        <w:pStyle w:val="Para 001"/>
      </w:pPr>
      <w:r>
        <w:bookmarkStart w:id="235" w:name="taking"/>
        <w:t>chịu trách nhiệm về, 27–28</w:t>
        <w:bookmarkEnd w:id="235"/>
        <w:t xml:space="preserve"/>
      </w:r>
      <w:hyperlink w:anchor="values">
        <w:r>
          <w:rPr>
            <w:rStyle w:val="Text1"/>
          </w:rPr>
          <w:t/>
        </w:r>
      </w:hyperlink>
    </w:p>
    <w:p>
      <w:pPr>
        <w:pStyle w:val="Para 001"/>
      </w:pPr>
      <w:r>
        <w:t xml:space="preserve">về tầm nhìn, 149–153</w:t>
      </w:r>
      <w:hyperlink w:anchor="basic">
        <w:r>
          <w:rPr>
            <w:rStyle w:val="Text1"/>
          </w:rPr>
          <w:t/>
        </w:r>
      </w:hyperlink>
    </w:p>
    <w:p>
      <w:pPr>
        <w:pStyle w:val="Para 001"/>
      </w:pPr>
      <w:r>
        <w:t xml:space="preserve">cộng đồng, 131, 132</w:t>
      </w:r>
      <w:hyperlink w:anchor="page_131">
        <w:r>
          <w:rPr>
            <w:rStyle w:val="Text1"/>
          </w:rPr>
          <w:t/>
        </w:r>
      </w:hyperlink>
      <w:r>
        <w:t xml:space="preserve"/>
      </w:r>
      <w:hyperlink w:anchor="real">
        <w:r>
          <w:rPr>
            <w:rStyle w:val="Text1"/>
          </w:rPr>
          <w:t/>
        </w:r>
      </w:hyperlink>
    </w:p>
    <w:p>
      <w:pPr>
        <w:pStyle w:val="Para 001"/>
      </w:pPr>
      <w:r>
        <w:t xml:space="preserve">Conference Board, 18</w:t>
      </w:r>
      <w:hyperlink w:anchor="Like">
        <w:r>
          <w:rPr>
            <w:rStyle w:val="Text1"/>
          </w:rPr>
          <w:t/>
        </w:r>
      </w:hyperlink>
    </w:p>
    <w:p>
      <w:pPr>
        <w:pStyle w:val="Para 001"/>
      </w:pPr>
      <w:r>
        <w:t xml:space="preserve">xung đột, 27–28, 129, 166</w:t>
      </w:r>
      <w:hyperlink w:anchor="values">
        <w:r>
          <w:rPr>
            <w:rStyle w:val="Text1"/>
          </w:rPr>
          <w:t/>
        </w:r>
      </w:hyperlink>
      <w:r>
        <w:t xml:space="preserve"/>
      </w:r>
      <w:hyperlink w:anchor="create">
        <w:r>
          <w:rPr>
            <w:rStyle w:val="Text1"/>
          </w:rPr>
          <w:t/>
        </w:r>
      </w:hyperlink>
      <w:r>
        <w:t xml:space="preserve"/>
      </w:r>
      <w:hyperlink w:anchor="adopt">
        <w:r>
          <w:rPr>
            <w:rStyle w:val="Text1"/>
          </w:rPr>
          <w:t/>
        </w:r>
      </w:hyperlink>
    </w:p>
    <w:p>
      <w:pPr>
        <w:pStyle w:val="Para 001"/>
      </w:pPr>
      <w:r>
        <w:t xml:space="preserve">ConocoPhillips, 119, 124–126</w:t>
      </w:r>
      <w:hyperlink w:anchor="always">
        <w:r>
          <w:rPr>
            <w:rStyle w:val="Text1"/>
          </w:rPr>
          <w:t/>
        </w:r>
      </w:hyperlink>
      <w:r>
        <w:t xml:space="preserve"/>
      </w:r>
      <w:hyperlink w:anchor="hesitation">
        <w:r>
          <w:rPr>
            <w:rStyle w:val="Text1"/>
          </w:rPr>
          <w:t/>
        </w:r>
      </w:hyperlink>
    </w:p>
    <w:p>
      <w:pPr>
        <w:pStyle w:val="Para 001"/>
      </w:pPr>
      <w:r>
        <w:t xml:space="preserve">lập kế hoạch dự phòng (contingency planning), 53–54, 119, 125–126</w:t>
      </w:r>
      <w:hyperlink w:anchor="Like_1">
        <w:r>
          <w:rPr>
            <w:rStyle w:val="Text1"/>
          </w:rPr>
          <w:t/>
        </w:r>
      </w:hyperlink>
      <w:r>
        <w:t xml:space="preserve"/>
      </w:r>
      <w:hyperlink w:anchor="always">
        <w:r>
          <w:rPr>
            <w:rStyle w:val="Text1"/>
          </w:rPr>
          <w:t/>
        </w:r>
      </w:hyperlink>
      <w:r>
        <w:t xml:space="preserve"/>
      </w:r>
      <w:hyperlink w:anchor="way">
        <w:r>
          <w:rPr>
            <w:rStyle w:val="Text1"/>
          </w:rPr>
          <w:t/>
        </w:r>
      </w:hyperlink>
    </w:p>
    <w:p>
      <w:pPr>
        <w:pStyle w:val="Para 001"/>
      </w:pPr>
      <w:r>
        <w:t xml:space="preserve">đánh giá đóng góp, 16, 25–26</w:t>
      </w:r>
      <w:hyperlink w:anchor="Idea_1">
        <w:r>
          <w:rPr>
            <w:rStyle w:val="Text1"/>
          </w:rPr>
          <w:t/>
        </w:r>
      </w:hyperlink>
      <w:r>
        <w:t xml:space="preserve"/>
      </w:r>
      <w:hyperlink w:anchor="be">
        <w:r>
          <w:rPr>
            <w:rStyle w:val="Text1"/>
          </w:rPr>
          <w:t/>
        </w:r>
      </w:hyperlink>
    </w:p>
    <w:p>
      <w:pPr>
        <w:pStyle w:val="Para 001"/>
      </w:pPr>
      <w:r>
        <w:t xml:space="preserve">mong muốn kiểm soát, 41</w:t>
      </w:r>
      <w:hyperlink w:anchor="Oncken_s">
        <w:r>
          <w:rPr>
            <w:rStyle w:val="Text1"/>
          </w:rPr>
          <w:t/>
        </w:r>
      </w:hyperlink>
    </w:p>
    <w:p>
      <w:pPr>
        <w:pStyle w:val="Para 001"/>
      </w:pPr>
      <w:r>
        <w:t>sự hợp tác</w:t>
      </w:r>
    </w:p>
    <w:p>
      <w:pPr>
        <w:pStyle w:val="Para 001"/>
      </w:pPr>
      <w:r>
        <w:t xml:space="preserve">văn hóa doanh nghiệp và, 8–9</w:t>
      </w:r>
      <w:hyperlink w:anchor="forward">
        <w:r>
          <w:rPr>
            <w:rStyle w:val="Text1"/>
          </w:rPr>
          <w:t/>
        </w:r>
      </w:hyperlink>
    </w:p>
    <w:p>
      <w:pPr>
        <w:pStyle w:val="Para 001"/>
      </w:pPr>
      <w:r>
        <w:t xml:space="preserve">văn hóa gia đình và, 9</w:t>
      </w:r>
      <w:hyperlink w:anchor="Many">
        <w:r>
          <w:rPr>
            <w:rStyle w:val="Text1"/>
          </w:rPr>
          <w:t/>
        </w:r>
      </w:hyperlink>
    </w:p>
    <w:p>
      <w:pPr>
        <w:pStyle w:val="Para 001"/>
      </w:pPr>
      <w:r>
        <w:t xml:space="preserve">công cụ cho, 8</w:t>
      </w:r>
      <w:hyperlink w:anchor="forward">
        <w:r>
          <w:rPr>
            <w:rStyle w:val="Text1"/>
          </w:rPr>
          <w:t/>
        </w:r>
      </w:hyperlink>
    </w:p>
    <w:p>
      <w:pPr>
        <w:pStyle w:val="Para 001"/>
      </w:pPr>
      <w:r>
        <w:t xml:space="preserve">Covey, Steven R., 36, 40–42</w:t>
      </w:r>
      <w:hyperlink w:anchor="Idea_2">
        <w:r>
          <w:rPr>
            <w:rStyle w:val="Text1"/>
          </w:rPr>
          <w:t/>
        </w:r>
      </w:hyperlink>
      <w:r>
        <w:t xml:space="preserve"/>
      </w:r>
      <w:hyperlink w:anchor="Making">
        <w:r>
          <w:rPr>
            <w:rStyle w:val="Text1"/>
          </w:rPr>
          <w:t/>
        </w:r>
      </w:hyperlink>
    </w:p>
    <w:p>
      <w:pPr>
        <w:pStyle w:val="Para 001"/>
      </w:pPr>
      <w:r>
        <w:t xml:space="preserve">sự sáng tạo, 81, 83, 85–87, 101, 141</w:t>
      </w:r>
      <w:hyperlink w:anchor="Idea_5">
        <w:r>
          <w:rPr>
            <w:rStyle w:val="Text1"/>
          </w:rPr>
          <w:t/>
        </w:r>
      </w:hyperlink>
      <w:r>
        <w:t xml:space="preserve"/>
      </w:r>
      <w:hyperlink w:anchor="the">
        <w:r>
          <w:rPr>
            <w:rStyle w:val="Text1"/>
          </w:rPr>
          <w:t/>
        </w:r>
      </w:hyperlink>
      <w:r>
        <w:t xml:space="preserve"/>
      </w:r>
      <w:hyperlink w:anchor="amounts">
        <w:r>
          <w:rPr>
            <w:rStyle w:val="Text1"/>
          </w:rPr>
          <w:t/>
        </w:r>
      </w:hyperlink>
      <w:r>
        <w:t xml:space="preserve"/>
      </w:r>
      <w:hyperlink w:anchor="_4">
        <w:r>
          <w:rPr>
            <w:rStyle w:val="Text1"/>
          </w:rPr>
          <w:t/>
        </w:r>
      </w:hyperlink>
      <w:r>
        <w:t xml:space="preserve"/>
      </w:r>
      <w:hyperlink w:anchor="the_1">
        <w:r>
          <w:rPr>
            <w:rStyle w:val="Text1"/>
          </w:rPr>
          <w:t/>
        </w:r>
      </w:hyperlink>
    </w:p>
    <w:p>
      <w:pPr>
        <w:pStyle w:val="Para 001"/>
      </w:pPr>
      <w:r>
        <w:t xml:space="preserve">khả năng phục hồi và, 49, 51, 52, 57–60</w:t>
      </w:r>
      <w:hyperlink w:anchor="Idea_3">
        <w:r>
          <w:rPr>
            <w:rStyle w:val="Text1"/>
          </w:rPr>
          <w:t/>
        </w:r>
      </w:hyperlink>
      <w:r>
        <w:t xml:space="preserve"/>
      </w:r>
      <w:hyperlink w:anchor="groups">
        <w:r>
          <w:rPr>
            <w:rStyle w:val="Text1"/>
          </w:rPr>
          <w:t/>
        </w:r>
      </w:hyperlink>
      <w:r>
        <w:t xml:space="preserve"/>
      </w:r>
      <w:hyperlink w:anchor="people_1">
        <w:r>
          <w:rPr>
            <w:rStyle w:val="Text1"/>
          </w:rPr>
          <w:t/>
        </w:r>
      </w:hyperlink>
      <w:r>
        <w:t xml:space="preserve"/>
      </w:r>
      <w:hyperlink w:anchor="never">
        <w:r>
          <w:rPr>
            <w:rStyle w:val="Text1"/>
          </w:rPr>
          <w:t/>
        </w:r>
      </w:hyperlink>
    </w:p>
    <w:p>
      <w:pPr>
        <w:pStyle w:val="Para 001"/>
      </w:pPr>
      <w:r>
        <w:t xml:space="preserve">tâm lý khủng hoảng, 77–78</w:t>
      </w:r>
      <w:hyperlink w:anchor="are">
        <w:r>
          <w:rPr>
            <w:rStyle w:val="Text1"/>
          </w:rPr>
          <w:t/>
        </w:r>
      </w:hyperlink>
    </w:p>
    <w:p>
      <w:pPr>
        <w:pStyle w:val="Para 029"/>
      </w:pPr>
      <w:r>
        <w:t xml:space="preserve">ra tín hiệu (cueing), 184, 186</w:t>
      </w:r>
      <w:hyperlink w:anchor="and_6">
        <w:r>
          <w:rPr>
            <w:rStyle w:val="Text1"/>
          </w:rPr>
          <w:t/>
        </w:r>
      </w:hyperlink>
      <w:r>
        <w:t xml:space="preserve"/>
      </w:r>
      <w:hyperlink w:anchor="This">
        <w:r>
          <w:rPr>
            <w:rStyle w:val="Text1"/>
          </w:rPr>
          <w:t/>
        </w:r>
      </w:hyperlink>
    </w:p>
    <w:p>
      <w:pPr>
        <w:pStyle w:val="Para 001"/>
      </w:pPr>
      <w:r>
        <w:t>ra quyết định</w:t>
      </w:r>
    </w:p>
    <w:p>
      <w:pPr>
        <w:pStyle w:val="Para 001"/>
      </w:pPr>
      <w:r>
        <w:t xml:space="preserve">ADT và, 82</w:t>
      </w:r>
      <w:hyperlink w:anchor="Idea_6">
        <w:r>
          <w:rPr>
            <w:rStyle w:val="Text1"/>
          </w:rPr>
          <w:t/>
        </w:r>
      </w:hyperlink>
    </w:p>
    <w:p>
      <w:pPr>
        <w:pStyle w:val="Para 001"/>
      </w:pPr>
      <w:r>
        <w:t xml:space="preserve">bất đồng trong, 166</w:t>
      </w:r>
      <w:hyperlink w:anchor="adopt">
        <w:r>
          <w:rPr>
            <w:rStyle w:val="Text1"/>
          </w:rPr>
          <w:t/>
        </w:r>
      </w:hyperlink>
    </w:p>
    <w:p>
      <w:pPr>
        <w:pStyle w:val="Para 001"/>
      </w:pPr>
      <w:r>
        <w:t xml:space="preserve">trao quyền cho nhân viên để, 35, 36, 40–42</w:t>
      </w:r>
      <w:hyperlink w:anchor="Jones">
        <w:r>
          <w:rPr>
            <w:rStyle w:val="Text1"/>
          </w:rPr>
          <w:t/>
        </w:r>
      </w:hyperlink>
      <w:r>
        <w:t xml:space="preserve"/>
      </w:r>
      <w:hyperlink w:anchor="Idea_2">
        <w:r>
          <w:rPr>
            <w:rStyle w:val="Text1"/>
          </w:rPr>
          <w:t/>
        </w:r>
      </w:hyperlink>
      <w:r>
        <w:t xml:space="preserve"/>
      </w:r>
      <w:hyperlink w:anchor="Making">
        <w:r>
          <w:rPr>
            <w:rStyle w:val="Text1"/>
          </w:rPr>
          <w:t/>
        </w:r>
      </w:hyperlink>
    </w:p>
    <w:p>
      <w:pPr>
        <w:pStyle w:val="Para 001"/>
      </w:pPr>
      <w:r>
        <w:t xml:space="preserve">trạng thái lãnh đạo cốt lõi (fundamental state of leadership) và, 127</w:t>
      </w:r>
      <w:hyperlink w:anchor="Moments">
        <w:r>
          <w:rPr>
            <w:rStyle w:val="Text1"/>
          </w:rPr>
          <w:t/>
        </w:r>
      </w:hyperlink>
    </w:p>
    <w:p>
      <w:pPr>
        <w:pStyle w:val="Para 001"/>
      </w:pPr>
      <w:r>
        <w:t xml:space="preserve">chi phí cận biên (marginal costs) và, 3, 9–10</w:t>
      </w:r>
      <w:hyperlink w:anchor="Idea">
        <w:r>
          <w:rPr>
            <w:rStyle w:val="Text1"/>
          </w:rPr>
          <w:t/>
        </w:r>
      </w:hyperlink>
      <w:r>
        <w:t xml:space="preserve"/>
      </w:r>
      <w:hyperlink w:anchor="Many">
        <w:r>
          <w:rPr>
            <w:rStyle w:val="Text1"/>
          </w:rPr>
          <w:t/>
        </w:r>
      </w:hyperlink>
    </w:p>
    <w:p>
      <w:pPr>
        <w:pStyle w:val="Para 001"/>
      </w:pPr>
      <w:r>
        <w:t xml:space="preserve">giành lại thế chủ động trong, 115–126</w:t>
      </w:r>
      <w:hyperlink w:anchor="Reclaim">
        <w:r>
          <w:rPr>
            <w:rStyle w:val="Text1"/>
          </w:rPr>
          <w:t/>
        </w:r>
      </w:hyperlink>
    </w:p>
    <w:p>
      <w:pPr>
        <w:pStyle w:val="Para 001"/>
      </w:pPr>
      <w:r>
        <w:t xml:space="preserve">chiến lược và hệ thống cho, 4</w:t>
      </w:r>
      <w:hyperlink w:anchor="level">
        <w:r>
          <w:rPr>
            <w:rStyle w:val="Text1"/>
          </w:rPr>
          <w:t/>
        </w:r>
      </w:hyperlink>
    </w:p>
    <w:p>
      <w:pPr>
        <w:pStyle w:val="Para 001"/>
      </w:pPr>
      <w:r>
        <w:t xml:space="preserve">hoạch định người kế nhiệm (succession planning) và, 160–161</w:t>
      </w:r>
      <w:hyperlink w:anchor="What_1">
        <w:r>
          <w:rPr>
            <w:rStyle w:val="Text1"/>
          </w:rPr>
          <w:t/>
        </w:r>
      </w:hyperlink>
    </w:p>
    <w:p>
      <w:pPr>
        <w:pStyle w:val="Para 001"/>
      </w:pPr>
      <w:r>
        <w:t xml:space="preserve">phong cách làm việc và, 21</w:t>
      </w:r>
      <w:hyperlink w:anchor="Another">
        <w:r>
          <w:rPr>
            <w:rStyle w:val="Text1"/>
          </w:rPr>
          <w:t/>
        </w:r>
      </w:hyperlink>
    </w:p>
    <w:p>
      <w:pPr>
        <w:pStyle w:val="Para 001"/>
      </w:pPr>
      <w:r>
        <w:t xml:space="preserve">cơ chế phòng vệ (defense mechanisms), 182–183</w:t>
      </w:r>
      <w:hyperlink w:anchor="job">
        <w:r>
          <w:rPr>
            <w:rStyle w:val="Text1"/>
          </w:rPr>
          <w:t/>
        </w:r>
      </w:hyperlink>
    </w:p>
    <w:p>
      <w:pPr>
        <w:pStyle w:val="Para 001"/>
      </w:pPr>
      <w:r>
        <w:t xml:space="preserve">thái độ phòng thủ, 131–132</w:t>
      </w:r>
      <w:hyperlink w:anchor="page_131">
        <w:r>
          <w:rPr>
            <w:rStyle w:val="Text1"/>
          </w:rPr>
          <w:t/>
        </w:r>
      </w:hyperlink>
    </w:p>
    <w:p>
      <w:pPr>
        <w:pStyle w:val="Para 001"/>
      </w:pPr>
      <w:r>
        <w:t xml:space="preserve">cảm giác thiếu hụt, 41</w:t>
      </w:r>
      <w:hyperlink w:anchor="Oncken_s">
        <w:r>
          <w:rPr>
            <w:rStyle w:val="Text1"/>
          </w:rPr>
          <w:t/>
        </w:r>
      </w:hyperlink>
    </w:p>
    <w:p>
      <w:pPr>
        <w:pStyle w:val="Para 001"/>
      </w:pPr>
      <w:r>
        <w:t xml:space="preserve">giao việc, 40, 91–93, 156, 160–161. Xem thêm trách nhiệm</w:t>
      </w:r>
      <w:hyperlink w:anchor="Making">
        <w:r>
          <w:rPr>
            <w:rStyle w:val="Text1"/>
          </w:rPr>
          <w:t/>
        </w:r>
      </w:hyperlink>
      <w:r>
        <w:t xml:space="preserve"/>
      </w:r>
      <w:hyperlink w:anchor="and_2">
        <w:r>
          <w:rPr>
            <w:rStyle w:val="Text1"/>
          </w:rPr>
          <w:t/>
        </w:r>
      </w:hyperlink>
      <w:r>
        <w:t xml:space="preserve"/>
      </w:r>
      <w:hyperlink w:anchor="time">
        <w:r>
          <w:rPr>
            <w:rStyle w:val="Text1"/>
          </w:rPr>
          <w:t/>
        </w:r>
      </w:hyperlink>
      <w:r>
        <w:t xml:space="preserve"/>
      </w:r>
      <w:hyperlink w:anchor="What_1">
        <w:r>
          <w:rPr>
            <w:rStyle w:val="Text1"/>
          </w:rPr>
          <w:t/>
        </w:r>
      </w:hyperlink>
      <w:r>
        <w:t xml:space="preserve"/>
      </w:r>
      <w:r>
        <w:rPr>
          <w:rStyle w:val="Text0"/>
        </w:rPr>
        <w:t/>
      </w:r>
      <w:r>
        <w:t xml:space="preserve"/>
      </w:r>
    </w:p>
    <w:p>
      <w:pPr>
        <w:pStyle w:val="Para 001"/>
      </w:pPr>
      <w:r>
        <w:t xml:space="preserve">phủ nhận, 131–132, 133</w:t>
      </w:r>
      <w:hyperlink w:anchor="page_131">
        <w:r>
          <w:rPr>
            <w:rStyle w:val="Text1"/>
          </w:rPr>
          <w:t/>
        </w:r>
      </w:hyperlink>
      <w:r>
        <w:t xml:space="preserve"/>
      </w:r>
      <w:hyperlink w:anchor="Preparing">
        <w:r>
          <w:rPr>
            <w:rStyle w:val="Text1"/>
          </w:rPr>
          <w:t/>
        </w:r>
      </w:hyperlink>
    </w:p>
    <w:p>
      <w:pPr>
        <w:pStyle w:val="Para 001"/>
      </w:pPr>
      <w:r>
        <w:t xml:space="preserve">chế độ ăn uống và dinh dưỡng, 64, 66, 81, 82, 89–90</w:t>
      </w:r>
      <w:hyperlink w:anchor="training">
        <w:r>
          <w:rPr>
            <w:rStyle w:val="Text1"/>
          </w:rPr>
          <w:t/>
        </w:r>
      </w:hyperlink>
      <w:r>
        <w:t xml:space="preserve"/>
      </w:r>
      <w:hyperlink w:anchor="productivity">
        <w:r>
          <w:rPr>
            <w:rStyle w:val="Text1"/>
          </w:rPr>
          <w:t/>
        </w:r>
      </w:hyperlink>
      <w:r>
        <w:t xml:space="preserve"/>
      </w:r>
      <w:hyperlink w:anchor="Idea_5">
        <w:r>
          <w:rPr>
            <w:rStyle w:val="Text1"/>
          </w:rPr>
          <w:t/>
        </w:r>
      </w:hyperlink>
      <w:r>
        <w:t xml:space="preserve"/>
      </w:r>
      <w:hyperlink w:anchor="Idea_6">
        <w:r>
          <w:rPr>
            <w:rStyle w:val="Text1"/>
          </w:rPr>
          <w:t/>
        </w:r>
      </w:hyperlink>
      <w:r>
        <w:t xml:space="preserve"/>
      </w:r>
      <w:hyperlink w:anchor="all">
        <w:r>
          <w:rPr>
            <w:rStyle w:val="Text1"/>
          </w:rPr>
          <w:t/>
        </w:r>
      </w:hyperlink>
    </w:p>
    <w:p>
      <w:pPr>
        <w:pStyle w:val="Para 001"/>
      </w:pPr>
      <w:r>
        <w:t xml:space="preserve">thời gian tùy ý (discretionary time), 33, 34</w:t>
      </w:r>
      <w:hyperlink w:anchor="Management">
        <w:r>
          <w:rPr>
            <w:rStyle w:val="Text1"/>
          </w:rPr>
          <w:t/>
        </w:r>
      </w:hyperlink>
      <w:r>
        <w:t xml:space="preserve"/>
      </w:r>
      <w:hyperlink w:anchor="To">
        <w:r>
          <w:rPr>
            <w:rStyle w:val="Text1"/>
          </w:rPr>
          <w:t/>
        </w:r>
      </w:hyperlink>
    </w:p>
    <w:p>
      <w:pPr>
        <w:pStyle w:val="Para 001"/>
      </w:pPr>
      <w:r>
        <w:t xml:space="preserve">quản lý năng lượng và, 61, 74, 75–76</w:t>
      </w:r>
      <w:hyperlink w:anchor="Manage">
        <w:r>
          <w:rPr>
            <w:rStyle w:val="Text1"/>
          </w:rPr>
          <w:t/>
        </w:r>
      </w:hyperlink>
      <w:r>
        <w:t xml:space="preserve"/>
      </w:r>
      <w:hyperlink w:anchor="Paris">
        <w:r>
          <w:rPr>
            <w:rStyle w:val="Text1"/>
          </w:rPr>
          <w:t/>
        </w:r>
      </w:hyperlink>
      <w:r>
        <w:t xml:space="preserve"/>
      </w:r>
      <w:hyperlink w:anchor="When">
        <w:r>
          <w:rPr>
            <w:rStyle w:val="Text1"/>
          </w:rPr>
          <w:t/>
        </w:r>
      </w:hyperlink>
    </w:p>
    <w:p>
      <w:pPr>
        <w:pStyle w:val="Para 001"/>
      </w:pPr>
      <w:r>
        <w:t xml:space="preserve">kiểm soát "khỉ" (monkey control) và, 38–39, 45</w:t>
      </w:r>
      <w:hyperlink w:anchor="in">
        <w:r>
          <w:rPr>
            <w:rStyle w:val="Text1"/>
          </w:rPr>
          <w:t/>
        </w:r>
      </w:hyperlink>
      <w:r>
        <w:t xml:space="preserve"/>
      </w:r>
      <w:hyperlink w:anchor="">
        <w:r>
          <w:rPr>
            <w:rStyle w:val="Text1"/>
          </w:rPr>
          <w:t/>
        </w:r>
      </w:hyperlink>
    </w:p>
    <w:p>
      <w:pPr>
        <w:pStyle w:val="Para 001"/>
      </w:pPr>
      <w:r>
        <w:t xml:space="preserve">công nghệ đột phá (disruptive technology), 1–2</w:t>
      </w:r>
      <w:hyperlink w:anchor="How">
        <w:r>
          <w:rPr>
            <w:rStyle w:val="Text1"/>
          </w:rPr>
          <w:t/>
        </w:r>
      </w:hyperlink>
    </w:p>
    <w:p>
      <w:pPr>
        <w:pStyle w:val="Para 001"/>
      </w:pPr>
      <w:r>
        <w:t xml:space="preserve">sự xao nhãng, 72–74. Xem thêm sự gián đoạn</w:t>
      </w:r>
      <w:hyperlink w:anchor="With">
        <w:r>
          <w:rPr>
            <w:rStyle w:val="Text1"/>
          </w:rPr>
          <w:t/>
        </w:r>
      </w:hyperlink>
      <w:r>
        <w:t xml:space="preserve"/>
      </w:r>
      <w:r>
        <w:rPr>
          <w:rStyle w:val="Text0"/>
        </w:rPr>
        <w:t/>
      </w:r>
      <w:r>
        <w:t xml:space="preserve"/>
      </w:r>
    </w:p>
    <w:p>
      <w:pPr>
        <w:pStyle w:val="Para 029"/>
      </w:pPr>
      <w:r>
        <w:t xml:space="preserve">Duquesne, Jean Luc, 73–74, 75–76</w:t>
      </w:r>
      <w:hyperlink w:anchor="report">
        <w:r>
          <w:rPr>
            <w:rStyle w:val="Text1"/>
          </w:rPr>
          <w:t/>
        </w:r>
      </w:hyperlink>
      <w:r>
        <w:t xml:space="preserve"/>
      </w:r>
      <w:hyperlink w:anchor="When">
        <w:r>
          <w:rPr>
            <w:rStyle w:val="Text1"/>
          </w:rPr>
          <w:t/>
        </w:r>
      </w:hyperlink>
    </w:p>
    <w:p>
      <w:pPr>
        <w:pStyle w:val="Para 001"/>
      </w:pPr>
      <w:r>
        <w:t xml:space="preserve">suy thoái kinh tế, khả năng phục hồi và, 49</w:t>
      </w:r>
      <w:hyperlink w:anchor="Idea_3">
        <w:r>
          <w:rPr>
            <w:rStyle w:val="Text1"/>
          </w:rPr>
          <w:t/>
        </w:r>
      </w:hyperlink>
    </w:p>
    <w:p>
      <w:pPr>
        <w:pStyle w:val="Para 001"/>
      </w:pPr>
      <w:r>
        <w:t xml:space="preserve">Eisenhower, Dwight, 18–19</w:t>
      </w:r>
      <w:hyperlink w:anchor="Like">
        <w:r>
          <w:rPr>
            <w:rStyle w:val="Text1"/>
          </w:rPr>
          <w:t/>
        </w:r>
      </w:hyperlink>
    </w:p>
    <w:p>
      <w:pPr>
        <w:pStyle w:val="Para 001"/>
      </w:pPr>
      <w:r>
        <w:t xml:space="preserve">e-mail, 64, 73–74, 82, 84, 91</w:t>
      </w:r>
      <w:hyperlink w:anchor="training">
        <w:r>
          <w:rPr>
            <w:rStyle w:val="Text1"/>
          </w:rPr>
          <w:t/>
        </w:r>
      </w:hyperlink>
      <w:r>
        <w:t xml:space="preserve"/>
      </w:r>
      <w:hyperlink w:anchor="report">
        <w:r>
          <w:rPr>
            <w:rStyle w:val="Text1"/>
          </w:rPr>
          <w:t/>
        </w:r>
      </w:hyperlink>
      <w:r>
        <w:t xml:space="preserve"/>
      </w:r>
      <w:hyperlink w:anchor="Idea_6">
        <w:r>
          <w:rPr>
            <w:rStyle w:val="Text1"/>
          </w:rPr>
          <w:t/>
        </w:r>
      </w:hyperlink>
      <w:r>
        <w:t xml:space="preserve"/>
      </w:r>
      <w:hyperlink w:anchor="education">
        <w:r>
          <w:rPr>
            <w:rStyle w:val="Text1"/>
          </w:rPr>
          <w:t/>
        </w:r>
      </w:hyperlink>
      <w:r>
        <w:t xml:space="preserve"/>
      </w:r>
      <w:hyperlink w:anchor="and_2">
        <w:r>
          <w:rPr>
            <w:rStyle w:val="Text1"/>
          </w:rPr>
          <w:t/>
        </w:r>
      </w:hyperlink>
    </w:p>
    <w:p>
      <w:pPr>
        <w:pStyle w:val="Para 001"/>
      </w:pPr>
      <w:r>
        <w:t xml:space="preserve">năng lượng cảm xúc, 64, 70–72</w:t>
      </w:r>
      <w:hyperlink w:anchor="training">
        <w:r>
          <w:rPr>
            <w:rStyle w:val="Text1"/>
          </w:rPr>
          <w:t/>
        </w:r>
      </w:hyperlink>
      <w:r>
        <w:t xml:space="preserve"/>
      </w:r>
      <w:hyperlink w:anchor="20">
        <w:r>
          <w:rPr>
            <w:rStyle w:val="Text1"/>
          </w:rPr>
          <w:t/>
        </w:r>
      </w:hyperlink>
    </w:p>
    <w:p>
      <w:pPr>
        <w:pStyle w:val="Para 001"/>
      </w:pPr>
      <w:r>
        <w:t xml:space="preserve">trí tuệ cảm xúc (emotional intelligence), 169–188</w:t>
      </w:r>
      <w:hyperlink w:anchor="Primal">
        <w:r>
          <w:rPr>
            <w:rStyle w:val="Text1"/>
          </w:rPr>
          <w:t/>
        </w:r>
      </w:hyperlink>
    </w:p>
    <w:p>
      <w:pPr>
        <w:pStyle w:val="Para 001"/>
      </w:pPr>
      <w:r>
        <w:t xml:space="preserve">kế hoạch hành động cho, 183–186</w:t>
      </w:r>
      <w:hyperlink w:anchor="But">
        <w:r>
          <w:rPr>
            <w:rStyle w:val="Text1"/>
          </w:rPr>
          <w:t/>
        </w:r>
      </w:hyperlink>
    </w:p>
    <w:p>
      <w:pPr>
        <w:pStyle w:val="Para 001"/>
      </w:pPr>
      <w:r>
        <w:t xml:space="preserve">đánh giá, 180–188</w:t>
      </w:r>
      <w:hyperlink w:anchor="information">
        <w:r>
          <w:rPr>
            <w:rStyle w:val="Text1"/>
          </w:rPr>
          <w:t/>
        </w:r>
      </w:hyperlink>
    </w:p>
    <w:p>
      <w:pPr>
        <w:pStyle w:val="Para 001"/>
      </w:pPr>
      <w:r>
        <w:t xml:space="preserve">sự chân thật (authenticity) và, 170–171</w:t>
      </w:r>
      <w:hyperlink w:anchor="deeper">
        <w:r>
          <w:rPr>
            <w:rStyle w:val="Text1"/>
          </w:rPr>
          <w:t/>
        </w:r>
      </w:hyperlink>
    </w:p>
    <w:p>
      <w:pPr>
        <w:pStyle w:val="Para 001"/>
      </w:pPr>
      <w:r>
        <w:t xml:space="preserve">bệnh CEO (CEO disease) và, 171–172, 179–180</w:t>
      </w:r>
      <w:hyperlink w:anchor="disconnect">
        <w:r>
          <w:rPr>
            <w:rStyle w:val="Text1"/>
          </w:rPr>
          <w:t/>
        </w:r>
      </w:hyperlink>
      <w:r>
        <w:t xml:space="preserve"/>
      </w:r>
      <w:hyperlink w:anchor="conflicts">
        <w:r>
          <w:rPr>
            <w:rStyle w:val="Text1"/>
          </w:rPr>
          <w:t/>
        </w:r>
      </w:hyperlink>
    </w:p>
    <w:p>
      <w:pPr>
        <w:pStyle w:val="Para 001"/>
      </w:pPr>
      <w:r>
        <w:t xml:space="preserve">rối loạn chức năng, 173, 174, 175</w:t>
      </w:r>
      <w:hyperlink w:anchor="appraisal">
        <w:r>
          <w:rPr>
            <w:rStyle w:val="Text1"/>
          </w:rPr>
          <w:t/>
        </w:r>
      </w:hyperlink>
      <w:r>
        <w:t xml:space="preserve"/>
      </w:r>
      <w:hyperlink w:anchor="Our">
        <w:r>
          <w:rPr>
            <w:rStyle w:val="Text1"/>
          </w:rPr>
          <w:t/>
        </w:r>
      </w:hyperlink>
      <w:r>
        <w:t xml:space="preserve"/>
      </w:r>
      <w:hyperlink w:anchor="Those">
        <w:r>
          <w:rPr>
            <w:rStyle w:val="Text1"/>
          </w:rPr>
          <w:t/>
        </w:r>
      </w:hyperlink>
    </w:p>
    <w:p>
      <w:pPr>
        <w:pStyle w:val="Para 001"/>
      </w:pPr>
      <w:r>
        <w:t xml:space="preserve">phản hồi về, 172, 182–183, 187–188</w:t>
      </w:r>
      <w:hyperlink w:anchor="No">
        <w:r>
          <w:rPr>
            <w:rStyle w:val="Text1"/>
          </w:rPr>
          <w:t/>
        </w:r>
      </w:hyperlink>
      <w:r>
        <w:t xml:space="preserve"/>
      </w:r>
      <w:hyperlink w:anchor="job">
        <w:r>
          <w:rPr>
            <w:rStyle w:val="Text1"/>
          </w:rPr>
          <w:t/>
        </w:r>
      </w:hyperlink>
      <w:r>
        <w:t xml:space="preserve"/>
      </w:r>
      <w:hyperlink w:anchor="before">
        <w:r>
          <w:rPr>
            <w:rStyle w:val="Text1"/>
          </w:rPr>
          <w:t/>
        </w:r>
      </w:hyperlink>
    </w:p>
    <w:p>
      <w:pPr>
        <w:pStyle w:val="Para 001"/>
      </w:pPr>
      <w:r>
        <w:t xml:space="preserve">hỗ trợ với, 187–188</w:t>
      </w:r>
      <w:hyperlink w:anchor="before">
        <w:r>
          <w:rPr>
            <w:rStyle w:val="Text1"/>
          </w:rPr>
          <w:t/>
        </w:r>
      </w:hyperlink>
    </w:p>
    <w:p>
      <w:pPr>
        <w:pStyle w:val="Para 001"/>
      </w:pPr>
      <w:r>
        <w:t xml:space="preserve">bản ngã lý tưởng (ideal self) và, 181–182</w:t>
      </w:r>
      <w:hyperlink w:anchor="mood">
        <w:r>
          <w:rPr>
            <w:rStyle w:val="Text1"/>
          </w:rPr>
          <w:t/>
        </w:r>
      </w:hyperlink>
    </w:p>
    <w:p>
      <w:pPr>
        <w:pStyle w:val="Para 001"/>
      </w:pPr>
      <w:r>
        <w:t xml:space="preserve">tác động của lãnh đạo, 172–174</w:t>
      </w:r>
      <w:hyperlink w:anchor="No">
        <w:r>
          <w:rPr>
            <w:rStyle w:val="Text1"/>
          </w:rPr>
          <w:t/>
        </w:r>
      </w:hyperlink>
    </w:p>
    <w:p>
      <w:pPr>
        <w:pStyle w:val="Para 001"/>
      </w:pPr>
      <w:r>
        <w:t xml:space="preserve">khoa học về, 174–178</w:t>
      </w:r>
      <w:hyperlink w:anchor="Our">
        <w:r>
          <w:rPr>
            <w:rStyle w:val="Text1"/>
          </w:rPr>
          <w:t/>
        </w:r>
      </w:hyperlink>
    </w:p>
    <w:p>
      <w:pPr>
        <w:pStyle w:val="Para 001"/>
      </w:pPr>
      <w:r>
        <w:t>cảm xúc</w:t>
      </w:r>
    </w:p>
    <w:p>
      <w:pPr>
        <w:pStyle w:val="Para 001"/>
      </w:pPr>
      <w:r>
        <w:t xml:space="preserve">ADT và, 81, 82</w:t>
      </w:r>
      <w:hyperlink w:anchor="Idea_5">
        <w:r>
          <w:rPr>
            <w:rStyle w:val="Text1"/>
          </w:rPr>
          <w:t/>
        </w:r>
      </w:hyperlink>
      <w:r>
        <w:t xml:space="preserve"/>
      </w:r>
      <w:hyperlink w:anchor="Idea_6">
        <w:r>
          <w:rPr>
            <w:rStyle w:val="Text1"/>
          </w:rPr>
          <w:t/>
        </w:r>
      </w:hyperlink>
    </w:p>
    <w:p>
      <w:pPr>
        <w:pStyle w:val="Para 001"/>
      </w:pPr>
      <w:r>
        <w:t xml:space="preserve">nhận thức về, 70</w:t>
      </w:r>
      <w:hyperlink w:anchor="20">
        <w:r>
          <w:rPr>
            <w:rStyle w:val="Text1"/>
          </w:rPr>
          <w:t/>
        </w:r>
      </w:hyperlink>
    </w:p>
    <w:p>
      <w:pPr>
        <w:pStyle w:val="Para 001"/>
      </w:pPr>
      <w:r>
        <w:t xml:space="preserve">xoa dịu cảm xúc tiêu cực, 70–72, 78</w:t>
      </w:r>
      <w:hyperlink w:anchor="20">
        <w:r>
          <w:rPr>
            <w:rStyle w:val="Text1"/>
          </w:rPr>
          <w:t/>
        </w:r>
      </w:hyperlink>
      <w:r>
        <w:t xml:space="preserve"/>
      </w:r>
      <w:hyperlink w:anchor="where">
        <w:r>
          <w:rPr>
            <w:rStyle w:val="Text1"/>
          </w:rPr>
          <w:t/>
        </w:r>
      </w:hyperlink>
    </w:p>
    <w:p>
      <w:pPr>
        <w:pStyle w:val="Para 001"/>
      </w:pPr>
      <w:r>
        <w:t xml:space="preserve">quản lý năng lượng và, 66–67, 70–72</w:t>
      </w:r>
      <w:hyperlink w:anchor="productivity">
        <w:r>
          <w:rPr>
            <w:rStyle w:val="Text1"/>
          </w:rPr>
          <w:t/>
        </w:r>
      </w:hyperlink>
      <w:r>
        <w:t xml:space="preserve"/>
      </w:r>
      <w:hyperlink w:anchor="20">
        <w:r>
          <w:rPr>
            <w:rStyle w:val="Text1"/>
          </w:rPr>
          <w:t/>
        </w:r>
      </w:hyperlink>
    </w:p>
    <w:p>
      <w:pPr>
        <w:pStyle w:val="Para 001"/>
      </w:pPr>
      <w:r>
        <w:t xml:space="preserve">thúc đẩy cảm xúc tích cực, 81, 82, 87–89</w:t>
      </w:r>
      <w:hyperlink w:anchor="Idea_5">
        <w:r>
          <w:rPr>
            <w:rStyle w:val="Text1"/>
          </w:rPr>
          <w:t/>
        </w:r>
      </w:hyperlink>
      <w:r>
        <w:t xml:space="preserve"/>
      </w:r>
      <w:hyperlink w:anchor="Idea_6">
        <w:r>
          <w:rPr>
            <w:rStyle w:val="Text1"/>
          </w:rPr>
          <w:t/>
        </w:r>
      </w:hyperlink>
      <w:r>
        <w:t xml:space="preserve"/>
      </w:r>
      <w:hyperlink w:anchor="and_1">
        <w:r>
          <w:rPr>
            <w:rStyle w:val="Text1"/>
          </w:rPr>
          <w:t/>
        </w:r>
      </w:hyperlink>
    </w:p>
    <w:p>
      <w:pPr>
        <w:pStyle w:val="Para 001"/>
      </w:pPr>
      <w:r>
        <w:t xml:space="preserve">sự lan tỏa của, 176–178</w:t>
      </w:r>
      <w:hyperlink w:anchor="open">
        <w:r>
          <w:rPr>
            <w:rStyle w:val="Text1"/>
          </w:rPr>
          <w:t/>
        </w:r>
      </w:hyperlink>
    </w:p>
    <w:p>
      <w:pPr>
        <w:pStyle w:val="Para 001"/>
      </w:pPr>
      <w:r>
        <w:t xml:space="preserve">sự đồng cảm (empathy), 130, 169</w:t>
      </w:r>
      <w:hyperlink w:anchor="good">
        <w:r>
          <w:rPr>
            <w:rStyle w:val="Text1"/>
          </w:rPr>
          <w:t/>
        </w:r>
      </w:hyperlink>
      <w:r>
        <w:t xml:space="preserve"/>
      </w:r>
      <w:hyperlink w:anchor="Primal">
        <w:r>
          <w:rPr>
            <w:rStyle w:val="Text1"/>
          </w:rPr>
          <w:t/>
        </w:r>
      </w:hyperlink>
    </w:p>
    <w:p>
      <w:pPr>
        <w:pStyle w:val="Para 001"/>
      </w:pPr>
      <w:r>
        <w:t xml:space="preserve">trao quyền (empowerment), 35, 36, 40–42, 141–142</w:t>
      </w:r>
      <w:hyperlink w:anchor="Jones">
        <w:r>
          <w:rPr>
            <w:rStyle w:val="Text1"/>
          </w:rPr>
          <w:t/>
        </w:r>
      </w:hyperlink>
      <w:r>
        <w:t xml:space="preserve"/>
      </w:r>
      <w:hyperlink w:anchor="Idea_2">
        <w:r>
          <w:rPr>
            <w:rStyle w:val="Text1"/>
          </w:rPr>
          <w:t/>
        </w:r>
      </w:hyperlink>
      <w:r>
        <w:t xml:space="preserve"/>
      </w:r>
      <w:hyperlink w:anchor="Making">
        <w:r>
          <w:rPr>
            <w:rStyle w:val="Text1"/>
          </w:rPr>
          <w:t/>
        </w:r>
      </w:hyperlink>
      <w:r>
        <w:t xml:space="preserve"/>
      </w:r>
      <w:hyperlink w:anchor="the_1">
        <w:r>
          <w:rPr>
            <w:rStyle w:val="Text1"/>
          </w:rPr>
          <w:t/>
        </w:r>
      </w:hyperlink>
    </w:p>
    <w:p>
      <w:pPr>
        <w:pStyle w:val="Para 001"/>
      </w:pPr>
      <w:r>
        <w:t xml:space="preserve">quản lý năng lượng, 61–78</w:t>
      </w:r>
      <w:hyperlink w:anchor="Manage">
        <w:r>
          <w:rPr>
            <w:rStyle w:val="Text1"/>
          </w:rPr>
          <w:t/>
        </w:r>
      </w:hyperlink>
    </w:p>
    <w:p>
      <w:pPr>
        <w:pStyle w:val="Para 001"/>
      </w:pPr>
      <w:r>
        <w:t xml:space="preserve">đánh giá (audits) cho, 67, 68–69</w:t>
      </w:r>
      <w:hyperlink w:anchor="emotions">
        <w:r>
          <w:rPr>
            <w:rStyle w:val="Text1"/>
          </w:rPr>
          <w:t/>
        </w:r>
      </w:hyperlink>
      <w:r>
        <w:t xml:space="preserve"/>
      </w:r>
      <w:hyperlink w:anchor="Are">
        <w:r>
          <w:rPr>
            <w:rStyle w:val="Text1"/>
          </w:rPr>
          <w:t/>
        </w:r>
      </w:hyperlink>
    </w:p>
    <w:p>
      <w:pPr>
        <w:pStyle w:val="Para 001"/>
      </w:pPr>
      <w:r>
        <w:t xml:space="preserve">năng lượng cảm xúc, 64, 70–72</w:t>
      </w:r>
      <w:hyperlink w:anchor="training">
        <w:r>
          <w:rPr>
            <w:rStyle w:val="Text1"/>
          </w:rPr>
          <w:t/>
        </w:r>
      </w:hyperlink>
      <w:r>
        <w:t xml:space="preserve"/>
      </w:r>
      <w:hyperlink w:anchor="20">
        <w:r>
          <w:rPr>
            <w:rStyle w:val="Text1"/>
          </w:rPr>
          <w:t/>
        </w:r>
      </w:hyperlink>
    </w:p>
    <w:p>
      <w:pPr>
        <w:pStyle w:val="Para 001"/>
      </w:pPr>
      <w:r>
        <w:t xml:space="preserve">nguồn năng lượng và, 61–62</w:t>
      </w:r>
      <w:hyperlink w:anchor="Manage">
        <w:r>
          <w:rPr>
            <w:rStyle w:val="Text1"/>
          </w:rPr>
          <w:t/>
        </w:r>
      </w:hyperlink>
    </w:p>
    <w:p>
      <w:pPr>
        <w:pStyle w:val="Para 001"/>
      </w:pPr>
      <w:r>
        <w:t xml:space="preserve">ngày làm việc dài và, 61, 63</w:t>
      </w:r>
      <w:hyperlink w:anchor="Manage">
        <w:r>
          <w:rPr>
            <w:rStyle w:val="Text1"/>
          </w:rPr>
          <w:t/>
        </w:r>
      </w:hyperlink>
      <w:r>
        <w:t xml:space="preserve"/>
      </w:r>
      <w:hyperlink w:anchor="Idea_4">
        <w:r>
          <w:rPr>
            <w:rStyle w:val="Text1"/>
          </w:rPr>
          <w:t/>
        </w:r>
      </w:hyperlink>
    </w:p>
    <w:p>
      <w:pPr>
        <w:pStyle w:val="Para 001"/>
      </w:pPr>
      <w:r>
        <w:t xml:space="preserve">năng lượng tinh thần, 64–65, 72–74</w:t>
      </w:r>
      <w:hyperlink w:anchor="training">
        <w:r>
          <w:rPr>
            <w:rStyle w:val="Text1"/>
          </w:rPr>
          <w:t/>
        </w:r>
      </w:hyperlink>
      <w:r>
        <w:t xml:space="preserve"/>
      </w:r>
      <w:hyperlink w:anchor="With">
        <w:r>
          <w:rPr>
            <w:rStyle w:val="Text1"/>
          </w:rPr>
          <w:t/>
        </w:r>
      </w:hyperlink>
    </w:p>
    <w:p>
      <w:pPr>
        <w:pStyle w:val="Para 001"/>
      </w:pPr>
      <w:r>
        <w:bookmarkStart w:id="236" w:name="physical"/>
        <w:t>năng lượng thể chất, 64, 66–70</w:t>
        <w:bookmarkEnd w:id="236"/>
        <w:t xml:space="preserve"/>
      </w:r>
      <w:hyperlink w:anchor="training">
        <w:r>
          <w:rPr>
            <w:rStyle w:val="Text1"/>
          </w:rPr>
          <w:t/>
        </w:r>
      </w:hyperlink>
      <w:r>
        <w:t xml:space="preserve"/>
      </w:r>
      <w:hyperlink w:anchor="productivity">
        <w:r>
          <w:rPr>
            <w:rStyle w:val="Text1"/>
          </w:rPr>
          <w:t/>
        </w:r>
      </w:hyperlink>
    </w:p>
    <w:p>
      <w:pPr>
        <w:pStyle w:val="Para 001"/>
      </w:pPr>
      <w:r>
        <w:t xml:space="preserve">nghi thức (rituals) cho, 62, 63, 64–65, 67, 69, 70–76</w:t>
      </w:r>
      <w:hyperlink w:anchor="systematically">
        <w:r>
          <w:rPr>
            <w:rStyle w:val="Text1"/>
          </w:rPr>
          <w:t/>
        </w:r>
      </w:hyperlink>
      <w:r>
        <w:t xml:space="preserve"/>
      </w:r>
      <w:hyperlink w:anchor="Idea_4">
        <w:r>
          <w:rPr>
            <w:rStyle w:val="Text1"/>
          </w:rPr>
          <w:t/>
        </w:r>
      </w:hyperlink>
      <w:r>
        <w:t xml:space="preserve"/>
      </w:r>
      <w:hyperlink w:anchor="training">
        <w:r>
          <w:rPr>
            <w:rStyle w:val="Text1"/>
          </w:rPr>
          <w:t/>
        </w:r>
      </w:hyperlink>
      <w:r>
        <w:t xml:space="preserve"/>
      </w:r>
      <w:hyperlink w:anchor="emotions">
        <w:r>
          <w:rPr>
            <w:rStyle w:val="Text1"/>
          </w:rPr>
          <w:t/>
        </w:r>
      </w:hyperlink>
      <w:r>
        <w:t xml:space="preserve"/>
      </w:r>
      <w:hyperlink w:anchor="_1">
        <w:r>
          <w:rPr>
            <w:rStyle w:val="Text1"/>
          </w:rPr>
          <w:t/>
        </w:r>
      </w:hyperlink>
      <w:r>
        <w:t xml:space="preserve"/>
      </w:r>
      <w:hyperlink w:anchor="20">
        <w:r>
          <w:rPr>
            <w:rStyle w:val="Text1"/>
          </w:rPr>
          <w:t/>
        </w:r>
      </w:hyperlink>
    </w:p>
    <w:p>
      <w:pPr>
        <w:pStyle w:val="Para 001"/>
      </w:pPr>
      <w:r>
        <w:t xml:space="preserve">năng lượng tinh thần sâu thẳm (spiritual energy), 65, 74–76</w:t>
      </w:r>
      <w:hyperlink w:anchor="continued">
        <w:r>
          <w:rPr>
            <w:rStyle w:val="Text1"/>
          </w:rPr>
          <w:t/>
        </w:r>
      </w:hyperlink>
      <w:r>
        <w:t xml:space="preserve"/>
      </w:r>
      <w:hyperlink w:anchor="Paris">
        <w:r>
          <w:rPr>
            <w:rStyle w:val="Text1"/>
          </w:rPr>
          <w:t/>
        </w:r>
      </w:hyperlink>
    </w:p>
    <w:p>
      <w:pPr>
        <w:pStyle w:val="Para 001"/>
      </w:pPr>
      <w:r>
        <w:t xml:space="preserve">Energy Project, 61, 62</w:t>
      </w:r>
      <w:hyperlink w:anchor="Manage">
        <w:r>
          <w:rPr>
            <w:rStyle w:val="Text1"/>
          </w:rPr>
          <w:t/>
        </w:r>
      </w:hyperlink>
      <w:r>
        <w:t xml:space="preserve"/>
      </w:r>
      <w:hyperlink w:anchor="systematically">
        <w:r>
          <w:rPr>
            <w:rStyle w:val="Text1"/>
          </w:rPr>
          <w:t/>
        </w:r>
      </w:hyperlink>
    </w:p>
    <w:p>
      <w:pPr>
        <w:pStyle w:val="Para 001"/>
      </w:pPr>
      <w:r>
        <w:t xml:space="preserve">sự gắn kết (engagement), 15–16, 63, 78</w:t>
      </w:r>
      <w:hyperlink w:anchor="people">
        <w:r>
          <w:rPr>
            <w:rStyle w:val="Text1"/>
          </w:rPr>
          <w:t/>
        </w:r>
      </w:hyperlink>
      <w:r>
        <w:t xml:space="preserve"/>
      </w:r>
      <w:hyperlink w:anchor="Idea_4">
        <w:r>
          <w:rPr>
            <w:rStyle w:val="Text1"/>
          </w:rPr>
          <w:t/>
        </w:r>
      </w:hyperlink>
      <w:r>
        <w:t xml:space="preserve"/>
      </w:r>
      <w:hyperlink w:anchor="where">
        <w:r>
          <w:rPr>
            <w:rStyle w:val="Text1"/>
          </w:rPr>
          <w:t/>
        </w:r>
      </w:hyperlink>
    </w:p>
    <w:p>
      <w:pPr>
        <w:pStyle w:val="Para 001"/>
      </w:pPr>
      <w:r>
        <w:t xml:space="preserve">môi trường, 80, 169–188</w:t>
      </w:r>
      <w:hyperlink w:anchor="David">
        <w:r>
          <w:rPr>
            <w:rStyle w:val="Text1"/>
          </w:rPr>
          <w:t/>
        </w:r>
      </w:hyperlink>
      <w:r>
        <w:t xml:space="preserve"/>
      </w:r>
      <w:hyperlink w:anchor="Primal">
        <w:r>
          <w:rPr>
            <w:rStyle w:val="Text1"/>
          </w:rPr>
          <w:t/>
        </w:r>
      </w:hyperlink>
    </w:p>
    <w:p>
      <w:pPr>
        <w:pStyle w:val="Para 001"/>
      </w:pPr>
      <w:r>
        <w:t xml:space="preserve">Ernst &amp; Young, 61, 73, 74, 78</w:t>
      </w:r>
      <w:hyperlink w:anchor="Manage">
        <w:r>
          <w:rPr>
            <w:rStyle w:val="Text1"/>
          </w:rPr>
          <w:t/>
        </w:r>
      </w:hyperlink>
      <w:r>
        <w:t xml:space="preserve"/>
      </w:r>
      <w:hyperlink w:anchor="report">
        <w:r>
          <w:rPr>
            <w:rStyle w:val="Text1"/>
          </w:rPr>
          <w:t/>
        </w:r>
      </w:hyperlink>
      <w:r>
        <w:t xml:space="preserve"/>
      </w:r>
      <w:hyperlink w:anchor="Paris">
        <w:r>
          <w:rPr>
            <w:rStyle w:val="Text1"/>
          </w:rPr>
          <w:t/>
        </w:r>
      </w:hyperlink>
      <w:r>
        <w:t xml:space="preserve"/>
      </w:r>
      <w:hyperlink w:anchor="where">
        <w:r>
          <w:rPr>
            <w:rStyle w:val="Text1"/>
          </w:rPr>
          <w:t/>
        </w:r>
      </w:hyperlink>
    </w:p>
    <w:p>
      <w:pPr>
        <w:pStyle w:val="Para 001"/>
      </w:pPr>
      <w:r>
        <w:t xml:space="preserve">Eskew, Mike, 56–57</w:t>
      </w:r>
      <w:hyperlink w:anchor="those">
        <w:r>
          <w:rPr>
            <w:rStyle w:val="Text1"/>
          </w:rPr>
          <w:t/>
        </w:r>
      </w:hyperlink>
    </w:p>
    <w:p>
      <w:pPr>
        <w:pStyle w:val="Para 001"/>
      </w:pPr>
      <w:r>
        <w:t xml:space="preserve">Eskey, 59–60</w:t>
      </w:r>
      <w:hyperlink w:anchor="Feynman">
        <w:r>
          <w:rPr>
            <w:rStyle w:val="Text1"/>
          </w:rPr>
          <w:t/>
        </w:r>
      </w:hyperlink>
    </w:p>
    <w:p>
      <w:pPr>
        <w:pStyle w:val="Para 001"/>
      </w:pPr>
      <w:r>
        <w:t xml:space="preserve">đạo đức, 21–22, 57</w:t>
      </w:r>
      <w:hyperlink w:anchor="Another">
        <w:r>
          <w:rPr>
            <w:rStyle w:val="Text1"/>
          </w:rPr>
          <w:t/>
        </w:r>
      </w:hyperlink>
      <w:r>
        <w:t xml:space="preserve"/>
      </w:r>
      <w:hyperlink w:anchor="never">
        <w:r>
          <w:rPr>
            <w:rStyle w:val="Text1"/>
          </w:rPr>
          <w:t/>
        </w:r>
      </w:hyperlink>
    </w:p>
    <w:p>
      <w:pPr>
        <w:pStyle w:val="Para 001"/>
      </w:pPr>
      <w:r>
        <w:t xml:space="preserve">chức năng điều hành (executive functioning – EF), 85–87, 88–89</w:t>
      </w:r>
      <w:hyperlink w:anchor="amounts">
        <w:r>
          <w:rPr>
            <w:rStyle w:val="Text1"/>
          </w:rPr>
          <w:t/>
        </w:r>
      </w:hyperlink>
      <w:r>
        <w:t xml:space="preserve"/>
      </w:r>
      <w:hyperlink w:anchor="means">
        <w:r>
          <w:rPr>
            <w:rStyle w:val="Text1"/>
          </w:rPr>
          <w:t/>
        </w:r>
      </w:hyperlink>
    </w:p>
    <w:p>
      <w:pPr>
        <w:pStyle w:val="Para 001"/>
      </w:pPr>
      <w:r>
        <w:t xml:space="preserve">tập thể dục, 62, 64, 65, 77, 81, 82, 90</w:t>
      </w:r>
      <w:hyperlink w:anchor="systematically">
        <w:r>
          <w:rPr>
            <w:rStyle w:val="Text1"/>
          </w:rPr>
          <w:t/>
        </w:r>
      </w:hyperlink>
      <w:r>
        <w:t xml:space="preserve"/>
      </w:r>
      <w:hyperlink w:anchor="training">
        <w:r>
          <w:rPr>
            <w:rStyle w:val="Text1"/>
          </w:rPr>
          <w:t/>
        </w:r>
      </w:hyperlink>
      <w:r>
        <w:t xml:space="preserve"/>
      </w:r>
      <w:hyperlink w:anchor="continued">
        <w:r>
          <w:rPr>
            <w:rStyle w:val="Text1"/>
          </w:rPr>
          <w:t/>
        </w:r>
      </w:hyperlink>
      <w:r>
        <w:t xml:space="preserve"/>
      </w:r>
      <w:hyperlink w:anchor="are">
        <w:r>
          <w:rPr>
            <w:rStyle w:val="Text1"/>
          </w:rPr>
          <w:t/>
        </w:r>
      </w:hyperlink>
      <w:r>
        <w:t xml:space="preserve"/>
      </w:r>
      <w:hyperlink w:anchor="Idea_5">
        <w:r>
          <w:rPr>
            <w:rStyle w:val="Text1"/>
          </w:rPr>
          <w:t/>
        </w:r>
      </w:hyperlink>
      <w:r>
        <w:t xml:space="preserve"/>
      </w:r>
      <w:hyperlink w:anchor="Idea_6">
        <w:r>
          <w:rPr>
            <w:rStyle w:val="Text1"/>
          </w:rPr>
          <w:t/>
        </w:r>
      </w:hyperlink>
      <w:r>
        <w:t xml:space="preserve"/>
      </w:r>
      <w:hyperlink w:anchor="omega">
        <w:r>
          <w:rPr>
            <w:rStyle w:val="Text1"/>
          </w:rPr>
          <w:t/>
        </w:r>
      </w:hyperlink>
    </w:p>
    <w:p>
      <w:pPr>
        <w:pStyle w:val="Para 029"/>
      </w:pPr>
      <w:r>
        <w:t xml:space="preserve">kỳ vọng, 17, 98, 107, 115–117, 158</w:t>
      </w:r>
      <w:hyperlink w:anchor="must">
        <w:r>
          <w:rPr>
            <w:rStyle w:val="Text1"/>
          </w:rPr>
          <w:t/>
        </w:r>
      </w:hyperlink>
      <w:r>
        <w:t xml:space="preserve"/>
      </w:r>
      <w:hyperlink w:anchor="how">
        <w:r>
          <w:rPr>
            <w:rStyle w:val="Text1"/>
          </w:rPr>
          <w:t/>
        </w:r>
      </w:hyperlink>
      <w:r>
        <w:t xml:space="preserve"/>
      </w:r>
      <w:hyperlink w:anchor="a">
        <w:r>
          <w:rPr>
            <w:rStyle w:val="Text1"/>
          </w:rPr>
          <w:t/>
        </w:r>
      </w:hyperlink>
      <w:r>
        <w:t xml:space="preserve"/>
      </w:r>
      <w:hyperlink w:anchor="Reclaim">
        <w:r>
          <w:rPr>
            <w:rStyle w:val="Text1"/>
          </w:rPr>
          <w:t/>
        </w:r>
      </w:hyperlink>
      <w:r>
        <w:t xml:space="preserve"/>
      </w:r>
      <w:hyperlink w:anchor="experience">
        <w:r>
          <w:rPr>
            <w:rStyle w:val="Text1"/>
          </w:rPr>
          <w:t/>
        </w:r>
      </w:hyperlink>
    </w:p>
    <w:p>
      <w:pPr>
        <w:pStyle w:val="Para 001"/>
      </w:pPr>
      <w:r>
        <w:t xml:space="preserve">thời gian cho gia đình, 2, 3, 6–7, 9, 61, 62, 75–76, 98</w:t>
      </w:r>
      <w:hyperlink w:anchor="moved">
        <w:r>
          <w:rPr>
            <w:rStyle w:val="Text1"/>
          </w:rPr>
          <w:t/>
        </w:r>
      </w:hyperlink>
      <w:r>
        <w:t xml:space="preserve"/>
      </w:r>
      <w:hyperlink w:anchor="Idea">
        <w:r>
          <w:rPr>
            <w:rStyle w:val="Text1"/>
          </w:rPr>
          <w:t/>
        </w:r>
      </w:hyperlink>
      <w:r>
        <w:t xml:space="preserve"/>
      </w:r>
      <w:hyperlink w:anchor="students">
        <w:r>
          <w:rPr>
            <w:rStyle w:val="Text1"/>
          </w:rPr>
          <w:t/>
        </w:r>
      </w:hyperlink>
      <w:r>
        <w:t xml:space="preserve"/>
      </w:r>
      <w:hyperlink w:anchor="Many">
        <w:r>
          <w:rPr>
            <w:rStyle w:val="Text1"/>
          </w:rPr>
          <w:t/>
        </w:r>
      </w:hyperlink>
      <w:r>
        <w:t xml:space="preserve"/>
      </w:r>
      <w:hyperlink w:anchor="Manage">
        <w:r>
          <w:rPr>
            <w:rStyle w:val="Text1"/>
          </w:rPr>
          <w:t/>
        </w:r>
      </w:hyperlink>
      <w:r>
        <w:t xml:space="preserve"/>
      </w:r>
      <w:hyperlink w:anchor="systematically">
        <w:r>
          <w:rPr>
            <w:rStyle w:val="Text1"/>
          </w:rPr>
          <w:t/>
        </w:r>
      </w:hyperlink>
      <w:r>
        <w:t xml:space="preserve"/>
      </w:r>
      <w:hyperlink w:anchor="When">
        <w:r>
          <w:rPr>
            <w:rStyle w:val="Text1"/>
          </w:rPr>
          <w:t/>
        </w:r>
      </w:hyperlink>
      <w:r>
        <w:t xml:space="preserve"/>
      </w:r>
      <w:hyperlink w:anchor="how">
        <w:r>
          <w:rPr>
            <w:rStyle w:val="Text1"/>
          </w:rPr>
          <w:t/>
        </w:r>
      </w:hyperlink>
    </w:p>
    <w:p>
      <w:pPr>
        <w:pStyle w:val="Para 001"/>
      </w:pPr>
      <w:r>
        <w:t xml:space="preserve">Faro, Gary, 67, 69</w:t>
      </w:r>
      <w:hyperlink w:anchor="emotions">
        <w:r>
          <w:rPr>
            <w:rStyle w:val="Text1"/>
          </w:rPr>
          <w:t/>
        </w:r>
      </w:hyperlink>
      <w:r>
        <w:t xml:space="preserve"/>
      </w:r>
      <w:hyperlink w:anchor="_1">
        <w:r>
          <w:rPr>
            <w:rStyle w:val="Text1"/>
          </w:rPr>
          <w:t/>
        </w:r>
      </w:hyperlink>
    </w:p>
    <w:p>
      <w:pPr>
        <w:pStyle w:val="Para 066"/>
      </w:pPr>
      <w:r>
        <w:t>Faster: The Acceleration of Just About Everything (Gleick), 84</w:t>
      </w:r>
      <w:r>
        <w:rPr>
          <w:rStyle w:val="Text0"/>
        </w:rPr>
        <w:t xml:space="preserve"/>
      </w:r>
      <w:hyperlink w:anchor="education">
        <w:r>
          <w:rPr>
            <w:rStyle w:val="Text12"/>
          </w:rPr>
          <w:t/>
        </w:r>
      </w:hyperlink>
    </w:p>
    <w:p>
      <w:pPr>
        <w:pStyle w:val="Para 001"/>
      </w:pPr>
      <w:r>
        <w:t>phản hồi</w:t>
      </w:r>
    </w:p>
    <w:p>
      <w:pPr>
        <w:pStyle w:val="Para 001"/>
      </w:pPr>
      <w:r>
        <w:t xml:space="preserve">về tác động cảm xúc, 172, 180, 182–183, 187–188</w:t>
      </w:r>
      <w:hyperlink w:anchor="No">
        <w:r>
          <w:rPr>
            <w:rStyle w:val="Text1"/>
          </w:rPr>
          <w:t/>
        </w:r>
      </w:hyperlink>
      <w:r>
        <w:t xml:space="preserve"/>
      </w:r>
      <w:hyperlink w:anchor="information">
        <w:r>
          <w:rPr>
            <w:rStyle w:val="Text1"/>
          </w:rPr>
          <w:t/>
        </w:r>
      </w:hyperlink>
      <w:r>
        <w:t xml:space="preserve"/>
      </w:r>
      <w:hyperlink w:anchor="job">
        <w:r>
          <w:rPr>
            <w:rStyle w:val="Text1"/>
          </w:rPr>
          <w:t/>
        </w:r>
      </w:hyperlink>
      <w:r>
        <w:t xml:space="preserve"/>
      </w:r>
      <w:hyperlink w:anchor="before">
        <w:r>
          <w:rPr>
            <w:rStyle w:val="Text1"/>
          </w:rPr>
          <w:t/>
        </w:r>
      </w:hyperlink>
    </w:p>
    <w:p>
      <w:pPr>
        <w:pStyle w:val="Para 001"/>
      </w:pPr>
      <w:r>
        <w:t xml:space="preserve">lãnh đạo nền tảng và, 141–142</w:t>
      </w:r>
      <w:hyperlink w:anchor="the_1">
        <w:r>
          <w:rPr>
            <w:rStyle w:val="Text1"/>
          </w:rPr>
          <w:t/>
        </w:r>
      </w:hyperlink>
    </w:p>
    <w:p>
      <w:pPr>
        <w:pStyle w:val="Para 001"/>
      </w:pPr>
      <w:r>
        <w:t xml:space="preserve">tự đánh giá về, 154, 157–160</w:t>
      </w:r>
      <w:hyperlink w:anchor="Testing">
        <w:r>
          <w:rPr>
            <w:rStyle w:val="Text1"/>
          </w:rPr>
          <w:t/>
        </w:r>
      </w:hyperlink>
      <w:r>
        <w:t xml:space="preserve"/>
      </w:r>
      <w:hyperlink w:anchor="professional">
        <w:r>
          <w:rPr>
            <w:rStyle w:val="Text1"/>
          </w:rPr>
          <w:t/>
        </w:r>
      </w:hyperlink>
    </w:p>
    <w:p>
      <w:pPr>
        <w:pStyle w:val="Para 001"/>
      </w:pPr>
      <w:r>
        <w:t xml:space="preserve">các nguồn phản hồi, 147, 149, 159–160</w:t>
      </w:r>
      <w:hyperlink w:anchor="What">
        <w:r>
          <w:rPr>
            <w:rStyle w:val="Text1"/>
          </w:rPr>
          <w:t/>
        </w:r>
      </w:hyperlink>
      <w:r>
        <w:t xml:space="preserve"/>
      </w:r>
      <w:hyperlink w:anchor="basic">
        <w:r>
          <w:rPr>
            <w:rStyle w:val="Text1"/>
          </w:rPr>
          <w:t/>
        </w:r>
      </w:hyperlink>
      <w:r>
        <w:t xml:space="preserve"/>
      </w:r>
      <w:hyperlink w:anchor="During">
        <w:r>
          <w:rPr>
            <w:rStyle w:val="Text1"/>
          </w:rPr>
          <w:t/>
        </w:r>
      </w:hyperlink>
    </w:p>
    <w:p>
      <w:pPr>
        <w:pStyle w:val="Para 001"/>
      </w:pPr>
      <w:r>
        <w:t xml:space="preserve">về điểm mạnh, 14–17</w:t>
      </w:r>
      <w:hyperlink w:anchor="so">
        <w:r>
          <w:rPr>
            <w:rStyle w:val="Text1"/>
          </w:rPr>
          <w:t/>
        </w:r>
      </w:hyperlink>
    </w:p>
    <w:p>
      <w:pPr>
        <w:pStyle w:val="Para 001"/>
      </w:pPr>
      <w:r>
        <w:t xml:space="preserve">Feynman, Richard, 58–59</w:t>
      </w:r>
      <w:hyperlink w:anchor="extraneous">
        <w:r>
          <w:rPr>
            <w:rStyle w:val="Text1"/>
          </w:rPr>
          <w:t/>
        </w:r>
      </w:hyperlink>
    </w:p>
    <w:p>
      <w:pPr>
        <w:pStyle w:val="Para 001"/>
      </w:pPr>
      <w:r>
        <w:t xml:space="preserve">chế độ chiến đấu hay bỏ chạy (fight-or-flight mode), 70, 85–87, 91–93</w:t>
      </w:r>
      <w:hyperlink w:anchor="20">
        <w:r>
          <w:rPr>
            <w:rStyle w:val="Text1"/>
          </w:rPr>
          <w:t/>
        </w:r>
      </w:hyperlink>
      <w:r>
        <w:t xml:space="preserve"/>
      </w:r>
      <w:hyperlink w:anchor="amounts">
        <w:r>
          <w:rPr>
            <w:rStyle w:val="Text1"/>
          </w:rPr>
          <w:t/>
        </w:r>
      </w:hyperlink>
      <w:r>
        <w:t xml:space="preserve"/>
      </w:r>
      <w:hyperlink w:anchor="and_2">
        <w:r>
          <w:rPr>
            <w:rStyle w:val="Text1"/>
          </w:rPr>
          <w:t/>
        </w:r>
      </w:hyperlink>
    </w:p>
    <w:p>
      <w:pPr>
        <w:pStyle w:val="Para 001"/>
      </w:pPr>
      <w:r>
        <w:t xml:space="preserve">kết quả tài chính, 63, 64–65</w:t>
      </w:r>
      <w:hyperlink w:anchor="Idea_4">
        <w:r>
          <w:rPr>
            <w:rStyle w:val="Text1"/>
          </w:rPr>
          <w:t/>
        </w:r>
      </w:hyperlink>
      <w:r>
        <w:t xml:space="preserve"/>
      </w:r>
      <w:hyperlink w:anchor="training">
        <w:r>
          <w:rPr>
            <w:rStyle w:val="Text1"/>
          </w:rPr>
          <w:t/>
        </w:r>
      </w:hyperlink>
    </w:p>
    <w:p>
      <w:pPr>
        <w:pStyle w:val="Para 047"/>
      </w:pPr>
      <w:r>
        <w:rPr>
          <w:rStyle w:val="Text6"/>
        </w:rPr>
        <w:t xml:space="preserve">sự tập trung, 73–74, 83, 129–130, 140–141</w:t>
      </w:r>
      <w:hyperlink w:anchor="report">
        <w:r>
          <w:t/>
        </w:r>
      </w:hyperlink>
      <w:r>
        <w:rPr>
          <w:rStyle w:val="Text6"/>
        </w:rPr>
        <w:t xml:space="preserve"/>
      </w:r>
      <w:hyperlink w:anchor="the">
        <w:r>
          <w:t/>
        </w:r>
      </w:hyperlink>
      <w:r>
        <w:rPr>
          <w:rStyle w:val="Text6"/>
        </w:rPr>
        <w:t xml:space="preserve"/>
      </w:r>
      <w:hyperlink w:anchor="create">
        <w:r>
          <w:t/>
        </w:r>
      </w:hyperlink>
      <w:r>
        <w:rPr>
          <w:rStyle w:val="Text6"/>
        </w:rPr>
        <w:t xml:space="preserve"/>
      </w:r>
      <w:hyperlink w:anchor="_5">
        <w:r>
          <w:t/>
        </w:r>
      </w:hyperlink>
    </w:p>
    <w:p>
      <w:pPr>
        <w:pStyle w:val="Para 001"/>
      </w:pPr>
      <w:r>
        <w:t xml:space="preserve">Frankl, Victor E., 50–51, 55, 57</w:t>
      </w:r>
      <w:hyperlink w:anchor="many">
        <w:r>
          <w:rPr>
            <w:rStyle w:val="Text1"/>
          </w:rPr>
          <w:t/>
        </w:r>
      </w:hyperlink>
      <w:r>
        <w:t xml:space="preserve"/>
      </w:r>
      <w:hyperlink w:anchor="more">
        <w:r>
          <w:rPr>
            <w:rStyle w:val="Text1"/>
          </w:rPr>
          <w:t/>
        </w:r>
      </w:hyperlink>
      <w:r>
        <w:t xml:space="preserve"/>
      </w:r>
      <w:hyperlink w:anchor="never">
        <w:r>
          <w:rPr>
            <w:rStyle w:val="Text1"/>
          </w:rPr>
          <w:t/>
        </w:r>
      </w:hyperlink>
    </w:p>
    <w:p>
      <w:pPr>
        <w:pStyle w:val="Para 001"/>
      </w:pPr>
      <w:r>
        <w:t xml:space="preserve">Friedman, Howard, 176</w:t>
      </w:r>
      <w:hyperlink w:anchor="open">
        <w:r>
          <w:rPr>
            <w:rStyle w:val="Text1"/>
          </w:rPr>
          <w:t/>
        </w:r>
      </w:hyperlink>
    </w:p>
    <w:p>
      <w:pPr>
        <w:pStyle w:val="Para 001"/>
      </w:pPr>
      <w:r>
        <w:t xml:space="preserve">Fritz, Robert, 128–129</w:t>
      </w:r>
      <w:hyperlink w:anchor="Is">
        <w:r>
          <w:rPr>
            <w:rStyle w:val="Text1"/>
          </w:rPr>
          <w:t/>
        </w:r>
      </w:hyperlink>
    </w:p>
    <w:p>
      <w:pPr>
        <w:pStyle w:val="Para 001"/>
      </w:pPr>
      <w:r>
        <w:t xml:space="preserve">trạng thái lãnh đạo nền tảng (fundamental state of leadership), 127–145</w:t>
      </w:r>
      <w:hyperlink w:anchor="Moments">
        <w:r>
          <w:rPr>
            <w:rStyle w:val="Text1"/>
          </w:rPr>
          <w:t/>
        </w:r>
      </w:hyperlink>
    </w:p>
    <w:p>
      <w:pPr>
        <w:pStyle w:val="Para 001"/>
      </w:pPr>
      <w:r>
        <w:t xml:space="preserve">phân tích trạng thái hiện tại và, 135–137</w:t>
      </w:r>
      <w:hyperlink w:anchor="vulnerability">
        <w:r>
          <w:rPr>
            <w:rStyle w:val="Text1"/>
          </w:rPr>
          <w:t/>
        </w:r>
      </w:hyperlink>
    </w:p>
    <w:p>
      <w:pPr>
        <w:pStyle w:val="Para 001"/>
      </w:pPr>
      <w:r>
        <w:t xml:space="preserve">áp dụng, 142–144</w:t>
      </w:r>
      <w:hyperlink w:anchor="A">
        <w:r>
          <w:rPr>
            <w:rStyle w:val="Text1"/>
          </w:rPr>
          <w:t/>
        </w:r>
      </w:hyperlink>
    </w:p>
    <w:p>
      <w:pPr>
        <w:pStyle w:val="Para 001"/>
      </w:pPr>
      <w:r>
        <w:t xml:space="preserve">định nghĩa, 128–132</w:t>
      </w:r>
      <w:hyperlink w:anchor="Is">
        <w:r>
          <w:rPr>
            <w:rStyle w:val="Text1"/>
          </w:rPr>
          <w:t/>
        </w:r>
      </w:hyperlink>
    </w:p>
    <w:p>
      <w:pPr>
        <w:pStyle w:val="Para 001"/>
      </w:pPr>
      <w:r>
        <w:t xml:space="preserve">sự cởi mở với bên ngoài trong, 131–132, 141–142</w:t>
      </w:r>
      <w:hyperlink w:anchor="page_131">
        <w:r>
          <w:rPr>
            <w:rStyle w:val="Text1"/>
          </w:rPr>
          <w:t/>
        </w:r>
      </w:hyperlink>
      <w:r>
        <w:t xml:space="preserve"/>
      </w:r>
      <w:hyperlink w:anchor="the_1">
        <w:r>
          <w:rPr>
            <w:rStyle w:val="Text1"/>
          </w:rPr>
          <w:t/>
        </w:r>
      </w:hyperlink>
    </w:p>
    <w:p>
      <w:pPr>
        <w:pStyle w:val="Para 001"/>
      </w:pPr>
      <w:r>
        <w:t xml:space="preserve">tập trung vào người khác trong, 129–130, 140–141</w:t>
      </w:r>
      <w:hyperlink w:anchor="create">
        <w:r>
          <w:rPr>
            <w:rStyle w:val="Text1"/>
          </w:rPr>
          <w:t/>
        </w:r>
      </w:hyperlink>
      <w:r>
        <w:t xml:space="preserve"/>
      </w:r>
      <w:hyperlink w:anchor="_5">
        <w:r>
          <w:rPr>
            <w:rStyle w:val="Text1"/>
          </w:rPr>
          <w:t/>
        </w:r>
      </w:hyperlink>
    </w:p>
    <w:p>
      <w:pPr>
        <w:pStyle w:val="Para 001"/>
      </w:pPr>
      <w:r>
        <w:t xml:space="preserve">định hướng nội tâm trong, 129, 140</w:t>
      </w:r>
      <w:hyperlink w:anchor="create">
        <w:r>
          <w:rPr>
            <w:rStyle w:val="Text1"/>
          </w:rPr>
          <w:t/>
        </w:r>
      </w:hyperlink>
      <w:r>
        <w:t xml:space="preserve"/>
      </w:r>
      <w:hyperlink w:anchor="_5">
        <w:r>
          <w:rPr>
            <w:rStyle w:val="Text1"/>
          </w:rPr>
          <w:t/>
        </w:r>
      </w:hyperlink>
    </w:p>
    <w:p>
      <w:pPr>
        <w:pStyle w:val="Para 001"/>
      </w:pPr>
      <w:r>
        <w:t xml:space="preserve">chuẩn bị cho, 133–137</w:t>
      </w:r>
      <w:hyperlink w:anchor="Preparing">
        <w:r>
          <w:rPr>
            <w:rStyle w:val="Text1"/>
          </w:rPr>
          <w:t/>
        </w:r>
      </w:hyperlink>
    </w:p>
    <w:p>
      <w:pPr>
        <w:pStyle w:val="Para 001"/>
      </w:pPr>
      <w:r>
        <w:t xml:space="preserve">những trải nghiệm trước đây về, 133–135</w:t>
      </w:r>
      <w:hyperlink w:anchor="Preparing">
        <w:r>
          <w:rPr>
            <w:rStyle w:val="Text1"/>
          </w:rPr>
          <w:t/>
        </w:r>
      </w:hyperlink>
    </w:p>
    <w:p>
      <w:pPr>
        <w:pStyle w:val="Para 001"/>
      </w:pPr>
      <w:r>
        <w:t xml:space="preserve">định hướng kết quả trong, 128–129, 138–140</w:t>
      </w:r>
      <w:hyperlink w:anchor="Is">
        <w:r>
          <w:rPr>
            <w:rStyle w:val="Text1"/>
          </w:rPr>
          <w:t/>
        </w:r>
      </w:hyperlink>
      <w:r>
        <w:t xml:space="preserve"/>
      </w:r>
      <w:hyperlink w:anchor="around">
        <w:r>
          <w:rPr>
            <w:rStyle w:val="Text1"/>
          </w:rPr>
          <w:t/>
        </w:r>
      </w:hyperlink>
    </w:p>
    <w:p>
      <w:pPr>
        <w:pStyle w:val="Para 029"/>
      </w:pPr>
      <w:r>
        <w:t xml:space="preserve">câu hỏi chuyển hóa cho, 137–142</w:t>
      </w:r>
      <w:hyperlink w:anchor="confidence">
        <w:r>
          <w:rPr>
            <w:rStyle w:val="Text1"/>
          </w:rPr>
          <w:t/>
        </w:r>
      </w:hyperlink>
    </w:p>
    <w:p>
      <w:pPr>
        <w:pStyle w:val="Para 001"/>
      </w:pPr>
      <w:r>
        <w:t xml:space="preserve">Garmezy, Norman, 49–50</w:t>
      </w:r>
      <w:hyperlink w:anchor="Idea_3">
        <w:r>
          <w:rPr>
            <w:rStyle w:val="Text1"/>
          </w:rPr>
          <w:t/>
        </w:r>
      </w:hyperlink>
    </w:p>
    <w:p>
      <w:pPr>
        <w:pStyle w:val="Para 001"/>
      </w:pPr>
      <w:r>
        <w:t xml:space="preserve">di truyền học (genetics), 51, 84, 180–181</w:t>
      </w:r>
      <w:hyperlink w:anchor="groups">
        <w:r>
          <w:rPr>
            <w:rStyle w:val="Text1"/>
          </w:rPr>
          <w:t/>
        </w:r>
      </w:hyperlink>
      <w:r>
        <w:t xml:space="preserve"/>
      </w:r>
      <w:hyperlink w:anchor="education">
        <w:r>
          <w:rPr>
            <w:rStyle w:val="Text1"/>
          </w:rPr>
          <w:t/>
        </w:r>
      </w:hyperlink>
      <w:r>
        <w:t xml:space="preserve"/>
      </w:r>
      <w:hyperlink w:anchor="information">
        <w:r>
          <w:rPr>
            <w:rStyle w:val="Text1"/>
          </w:rPr>
          <w:t/>
        </w:r>
      </w:hyperlink>
    </w:p>
    <w:p>
      <w:pPr>
        <w:pStyle w:val="Para 001"/>
      </w:pPr>
      <w:r>
        <w:t xml:space="preserve">Gleick, James, 84</w:t>
      </w:r>
      <w:hyperlink w:anchor="education">
        <w:r>
          <w:rPr>
            <w:rStyle w:val="Text1"/>
          </w:rPr>
          <w:t/>
        </w:r>
      </w:hyperlink>
    </w:p>
    <w:p>
      <w:pPr>
        <w:pStyle w:val="Para 047"/>
      </w:pPr>
      <w:r>
        <w:rPr>
          <w:rStyle w:val="Text6"/>
        </w:rPr>
        <w:t xml:space="preserve">mục tiêu (goals), 26, 102–103, 107, 121–124</w:t>
      </w:r>
      <w:hyperlink w:anchor="on">
        <w:r>
          <w:t/>
        </w:r>
      </w:hyperlink>
      <w:r>
        <w:rPr>
          <w:rStyle w:val="Text6"/>
        </w:rPr>
        <w:t xml:space="preserve"/>
      </w:r>
      <w:hyperlink w:anchor="important">
        <w:r>
          <w:t/>
        </w:r>
      </w:hyperlink>
      <w:r>
        <w:rPr>
          <w:rStyle w:val="Text6"/>
        </w:rPr>
        <w:t xml:space="preserve"/>
      </w:r>
      <w:hyperlink w:anchor="a">
        <w:r>
          <w:t/>
        </w:r>
      </w:hyperlink>
      <w:r>
        <w:rPr>
          <w:rStyle w:val="Text6"/>
        </w:rPr>
        <w:t xml:space="preserve"/>
      </w:r>
      <w:hyperlink w:anchor="Finally">
        <w:r>
          <w:t/>
        </w:r>
      </w:hyperlink>
    </w:p>
    <w:p>
      <w:pPr>
        <w:pStyle w:val="Para 001"/>
      </w:pPr>
      <w:r>
        <w:t xml:space="preserve">Goldman Sachs, 147, 159</w:t>
      </w:r>
      <w:hyperlink w:anchor="What">
        <w:r>
          <w:rPr>
            <w:rStyle w:val="Text1"/>
          </w:rPr>
          <w:t/>
        </w:r>
      </w:hyperlink>
      <w:r>
        <w:t xml:space="preserve"/>
      </w:r>
      <w:hyperlink w:anchor="During">
        <w:r>
          <w:rPr>
            <w:rStyle w:val="Text1"/>
          </w:rPr>
          <w:t/>
        </w:r>
      </w:hyperlink>
    </w:p>
    <w:p>
      <w:pPr>
        <w:pStyle w:val="Para 066"/>
      </w:pPr>
      <w:r>
        <w:t>Từ Tốt đến Vĩ đại (Good to Great) (Collins), 52</w:t>
      </w:r>
      <w:r>
        <w:rPr>
          <w:rStyle w:val="Text0"/>
        </w:rPr>
        <w:t xml:space="preserve"/>
      </w:r>
      <w:hyperlink w:anchor="people_1">
        <w:r>
          <w:rPr>
            <w:rStyle w:val="Text12"/>
          </w:rPr>
          <w:t/>
        </w:r>
      </w:hyperlink>
    </w:p>
    <w:p>
      <w:pPr>
        <w:pStyle w:val="Para 029"/>
      </w:pPr>
      <w:r>
        <w:t xml:space="preserve">Grove, Andrew, 1–2</w:t>
      </w:r>
      <w:hyperlink w:anchor="How">
        <w:r>
          <w:rPr>
            <w:rStyle w:val="Text1"/>
          </w:rPr>
          <w:t/>
        </w:r>
      </w:hyperlink>
    </w:p>
    <w:p>
      <w:pPr>
        <w:pStyle w:val="Para 001"/>
      </w:pPr>
      <w:r>
        <w:t xml:space="preserve">thói quen (habits), 15, 17, 60, 184, 186</w:t>
      </w:r>
      <w:hyperlink w:anchor="people">
        <w:r>
          <w:rPr>
            <w:rStyle w:val="Text1"/>
          </w:rPr>
          <w:t/>
        </w:r>
      </w:hyperlink>
      <w:r>
        <w:t xml:space="preserve"/>
      </w:r>
      <w:hyperlink w:anchor="must">
        <w:r>
          <w:rPr>
            <w:rStyle w:val="Text1"/>
          </w:rPr>
          <w:t/>
        </w:r>
      </w:hyperlink>
      <w:r>
        <w:t xml:space="preserve"/>
      </w:r>
      <w:hyperlink w:anchor="Andrew">
        <w:r>
          <w:rPr>
            <w:rStyle w:val="Text1"/>
          </w:rPr>
          <w:t/>
        </w:r>
      </w:hyperlink>
      <w:r>
        <w:t xml:space="preserve"/>
      </w:r>
      <w:hyperlink w:anchor="and_6">
        <w:r>
          <w:rPr>
            <w:rStyle w:val="Text1"/>
          </w:rPr>
          <w:t/>
        </w:r>
      </w:hyperlink>
      <w:r>
        <w:t xml:space="preserve"/>
      </w:r>
      <w:hyperlink w:anchor="This">
        <w:r>
          <w:rPr>
            <w:rStyle w:val="Text1"/>
          </w:rPr>
          <w:t/>
        </w:r>
      </w:hyperlink>
    </w:p>
    <w:p>
      <w:pPr>
        <w:pStyle w:val="Para 001"/>
      </w:pPr>
      <w:r>
        <w:t xml:space="preserve">Hafiz, Ruhana, 6</w:t>
      </w:r>
      <w:hyperlink w:anchor="students">
        <w:r>
          <w:rPr>
            <w:rStyle w:val="Text1"/>
          </w:rPr>
          <w:t/>
        </w:r>
      </w:hyperlink>
    </w:p>
    <w:p>
      <w:pPr>
        <w:pStyle w:val="Para 001"/>
      </w:pPr>
      <w:r>
        <w:t xml:space="preserve">hạnh phúc, nguồn gốc của, 2, 3, 6–7, 9</w:t>
      </w:r>
      <w:hyperlink w:anchor="moved">
        <w:r>
          <w:rPr>
            <w:rStyle w:val="Text1"/>
          </w:rPr>
          <w:t/>
        </w:r>
      </w:hyperlink>
      <w:r>
        <w:t xml:space="preserve"/>
      </w:r>
      <w:hyperlink w:anchor="Idea">
        <w:r>
          <w:rPr>
            <w:rStyle w:val="Text1"/>
          </w:rPr>
          <w:t/>
        </w:r>
      </w:hyperlink>
      <w:r>
        <w:t xml:space="preserve"/>
      </w:r>
      <w:hyperlink w:anchor="students">
        <w:r>
          <w:rPr>
            <w:rStyle w:val="Text1"/>
          </w:rPr>
          <w:t/>
        </w:r>
      </w:hyperlink>
      <w:r>
        <w:t xml:space="preserve"/>
      </w:r>
      <w:hyperlink w:anchor="Many">
        <w:r>
          <w:rPr>
            <w:rStyle w:val="Text1"/>
          </w:rPr>
          <w:t/>
        </w:r>
      </w:hyperlink>
    </w:p>
    <w:p>
      <w:pPr>
        <w:pStyle w:val="Para 001"/>
      </w:pPr>
      <w:r>
        <w:t xml:space="preserve">sự bền bỉ (hardiness). Xem khả năng phục hồi (resilience)</w:t>
      </w:r>
      <w:r>
        <w:rPr>
          <w:rStyle w:val="Text0"/>
        </w:rPr>
        <w:t/>
      </w:r>
      <w:r>
        <w:t xml:space="preserve"/>
      </w:r>
    </w:p>
    <w:p>
      <w:pPr>
        <w:pStyle w:val="Para 001"/>
      </w:pPr>
      <w:r>
        <w:t xml:space="preserve">Viện Bền bỉ (Hardiness Institute), 55–56</w:t>
      </w:r>
      <w:hyperlink w:anchor="more">
        <w:r>
          <w:rPr>
            <w:rStyle w:val="Text1"/>
          </w:rPr>
          <w:t/>
        </w:r>
      </w:hyperlink>
    </w:p>
    <w:p>
      <w:pPr>
        <w:pStyle w:val="Para 001"/>
      </w:pPr>
      <w:r>
        <w:t xml:space="preserve">Hay Group, 170</w:t>
      </w:r>
      <w:hyperlink w:anchor="deeper">
        <w:r>
          <w:rPr>
            <w:rStyle w:val="Text1"/>
          </w:rPr>
          <w:t/>
        </w:r>
      </w:hyperlink>
    </w:p>
    <w:p>
      <w:pPr>
        <w:pStyle w:val="Para 001"/>
      </w:pPr>
      <w:r>
        <w:t xml:space="preserve">Henke, Michael, 73</w:t>
      </w:r>
      <w:hyperlink w:anchor="report">
        <w:r>
          <w:rPr>
            <w:rStyle w:val="Text1"/>
          </w:rPr>
          <w:t/>
        </w:r>
      </w:hyperlink>
    </w:p>
    <w:p>
      <w:pPr>
        <w:pStyle w:val="Para 001"/>
      </w:pPr>
      <w:r>
        <w:t xml:space="preserve">Herzberg, Frederick, 3</w:t>
      </w:r>
      <w:hyperlink w:anchor="Idea">
        <w:r>
          <w:rPr>
            <w:rStyle w:val="Text1"/>
          </w:rPr>
          <w:t/>
        </w:r>
      </w:hyperlink>
    </w:p>
    <w:p>
      <w:pPr>
        <w:pStyle w:val="Para 001"/>
      </w:pPr>
      <w:r>
        <w:t xml:space="preserve">những người sống sót sau thảm họa diệt chủng Holocaust, khả năng phục hồi của, 48, 50–51</w:t>
      </w:r>
      <w:hyperlink w:anchor="layoff">
        <w:r>
          <w:rPr>
            <w:rStyle w:val="Text1"/>
          </w:rPr>
          <w:t/>
        </w:r>
      </w:hyperlink>
      <w:r>
        <w:t xml:space="preserve"/>
      </w:r>
      <w:hyperlink w:anchor="many">
        <w:r>
          <w:rPr>
            <w:rStyle w:val="Text1"/>
          </w:rPr>
          <w:t/>
        </w:r>
      </w:hyperlink>
    </w:p>
    <w:p>
      <w:pPr>
        <w:pStyle w:val="Para 001"/>
      </w:pPr>
      <w:r>
        <w:t xml:space="preserve">sự khiêm tốn (humility), 11–12</w:t>
      </w:r>
      <w:hyperlink w:anchor="over">
        <w:r>
          <w:rPr>
            <w:rStyle w:val="Text1"/>
          </w:rPr>
          <w:t/>
        </w:r>
      </w:hyperlink>
    </w:p>
    <w:p>
      <w:pPr>
        <w:pStyle w:val="Para 001"/>
      </w:pPr>
      <w:r>
        <w:t xml:space="preserve">sự hài hước (humor), 50, 177</w:t>
      </w:r>
      <w:hyperlink w:anchor="many">
        <w:r>
          <w:rPr>
            <w:rStyle w:val="Text1"/>
          </w:rPr>
          <w:t/>
        </w:r>
      </w:hyperlink>
      <w:r>
        <w:t xml:space="preserve"/>
      </w:r>
      <w:hyperlink w:anchor="Smile">
        <w:r>
          <w:rPr>
            <w:rStyle w:val="Text1"/>
          </w:rPr>
          <w:t/>
        </w:r>
      </w:hyperlink>
    </w:p>
    <w:p>
      <w:pPr>
        <w:pStyle w:val="Para 029"/>
      </w:pPr>
      <w:r>
        <w:t xml:space="preserve">Bão Andrew, 59–60</w:t>
      </w:r>
      <w:hyperlink w:anchor="Feynman">
        <w:r>
          <w:rPr>
            <w:rStyle w:val="Text1"/>
          </w:rPr>
          <w:t/>
        </w:r>
      </w:hyperlink>
    </w:p>
    <w:p>
      <w:pPr>
        <w:pStyle w:val="Para 001"/>
      </w:pPr>
      <w:r>
        <w:t xml:space="preserve">Ibsen, Henrik, 182</w:t>
      </w:r>
      <w:hyperlink w:anchor="job">
        <w:r>
          <w:rPr>
            <w:rStyle w:val="Text1"/>
          </w:rPr>
          <w:t/>
        </w:r>
      </w:hyperlink>
    </w:p>
    <w:p>
      <w:pPr>
        <w:pStyle w:val="Para 001"/>
      </w:pPr>
      <w:r>
        <w:t xml:space="preserve">Ignatius thành Loyola, 14</w:t>
      </w:r>
      <w:hyperlink w:anchor="so">
        <w:r>
          <w:rPr>
            <w:rStyle w:val="Text1"/>
          </w:rPr>
          <w:t/>
        </w:r>
      </w:hyperlink>
    </w:p>
    <w:p>
      <w:pPr>
        <w:pStyle w:val="Para 001"/>
      </w:pPr>
      <w:r>
        <w:t xml:space="preserve">sự ứng biến (improvisation), 49, 51, 52, 57–60, 83</w:t>
      </w:r>
      <w:hyperlink w:anchor="Idea_3">
        <w:r>
          <w:rPr>
            <w:rStyle w:val="Text1"/>
          </w:rPr>
          <w:t/>
        </w:r>
      </w:hyperlink>
      <w:r>
        <w:t xml:space="preserve"/>
      </w:r>
      <w:hyperlink w:anchor="groups">
        <w:r>
          <w:rPr>
            <w:rStyle w:val="Text1"/>
          </w:rPr>
          <w:t/>
        </w:r>
      </w:hyperlink>
      <w:r>
        <w:t xml:space="preserve"/>
      </w:r>
      <w:hyperlink w:anchor="people_1">
        <w:r>
          <w:rPr>
            <w:rStyle w:val="Text1"/>
          </w:rPr>
          <w:t/>
        </w:r>
      </w:hyperlink>
      <w:r>
        <w:t xml:space="preserve"/>
      </w:r>
      <w:hyperlink w:anchor="never">
        <w:r>
          <w:rPr>
            <w:rStyle w:val="Text1"/>
          </w:rPr>
          <w:t/>
        </w:r>
      </w:hyperlink>
      <w:r>
        <w:t xml:space="preserve"/>
      </w:r>
      <w:hyperlink w:anchor="the">
        <w:r>
          <w:rPr>
            <w:rStyle w:val="Text1"/>
          </w:rPr>
          <w:t/>
        </w:r>
      </w:hyperlink>
    </w:p>
    <w:p>
      <w:pPr>
        <w:pStyle w:val="Para 001"/>
      </w:pPr>
      <w:r>
        <w:t xml:space="preserve">sự chủ động (initiative), 35, 36, 40–43, 115–126</w:t>
      </w:r>
      <w:hyperlink w:anchor="Jones">
        <w:r>
          <w:rPr>
            <w:rStyle w:val="Text1"/>
          </w:rPr>
          <w:t/>
        </w:r>
      </w:hyperlink>
      <w:r>
        <w:t xml:space="preserve"/>
      </w:r>
      <w:hyperlink w:anchor="Idea_2">
        <w:r>
          <w:rPr>
            <w:rStyle w:val="Text1"/>
          </w:rPr>
          <w:t/>
        </w:r>
      </w:hyperlink>
      <w:r>
        <w:t xml:space="preserve"/>
      </w:r>
      <w:hyperlink w:anchor="Making">
        <w:r>
          <w:rPr>
            <w:rStyle w:val="Text1"/>
          </w:rPr>
          <w:t/>
        </w:r>
      </w:hyperlink>
      <w:r>
        <w:t xml:space="preserve"/>
      </w:r>
      <w:hyperlink w:anchor="Reclaim">
        <w:r>
          <w:rPr>
            <w:rStyle w:val="Text1"/>
          </w:rPr>
          <w:t/>
        </w:r>
      </w:hyperlink>
    </w:p>
    <w:p>
      <w:pPr>
        <w:pStyle w:val="Para 001"/>
      </w:pPr>
      <w:r>
        <w:t xml:space="preserve">sự chính trực (integrity), 100</w:t>
      </w:r>
      <w:hyperlink w:anchor="The_1">
        <w:r>
          <w:rPr>
            <w:rStyle w:val="Text1"/>
          </w:rPr>
          <w:t/>
        </w:r>
      </w:hyperlink>
    </w:p>
    <w:p>
      <w:pPr>
        <w:pStyle w:val="Para 001"/>
      </w:pPr>
      <w:r>
        <w:t xml:space="preserve">sự kiêu ngạo về trí tuệ (intellectual arrogance), 14–15</w:t>
      </w:r>
      <w:hyperlink w:anchor="so">
        <w:r>
          <w:rPr>
            <w:rStyle w:val="Text1"/>
          </w:rPr>
          <w:t/>
        </w:r>
      </w:hyperlink>
    </w:p>
    <w:p>
      <w:pPr>
        <w:pStyle w:val="Para 001"/>
      </w:pPr>
      <w:r>
        <w:bookmarkStart w:id="237" w:name="integrity"/>
        <w:t>sự chính trực (integrity), 11–12</w:t>
        <w:bookmarkEnd w:id="237"/>
        <w:t xml:space="preserve"/>
      </w:r>
      <w:hyperlink w:anchor="over">
        <w:r>
          <w:rPr>
            <w:rStyle w:val="Text1"/>
          </w:rPr>
          <w:t/>
        </w:r>
      </w:hyperlink>
    </w:p>
    <w:p>
      <w:pPr>
        <w:pStyle w:val="Para 001"/>
      </w:pPr>
      <w:r>
        <w:t xml:space="preserve">định hướng nội tại (internal direction), 129, 140</w:t>
      </w:r>
      <w:hyperlink w:anchor="create">
        <w:r>
          <w:rPr>
            <w:rStyle w:val="Text1"/>
          </w:rPr>
          <w:t/>
        </w:r>
      </w:hyperlink>
      <w:r>
        <w:t xml:space="preserve"/>
      </w:r>
      <w:hyperlink w:anchor="_5">
        <w:r>
          <w:rPr>
            <w:rStyle w:val="Text1"/>
          </w:rPr>
          <w:t/>
        </w:r>
      </w:hyperlink>
    </w:p>
    <w:p>
      <w:pPr>
        <w:pStyle w:val="Para 001"/>
      </w:pPr>
      <w:r>
        <w:t xml:space="preserve">sự gián đoạn (interruptions), 63, 64, 72–74, 117–118</w:t>
      </w:r>
      <w:hyperlink w:anchor="Idea_4">
        <w:r>
          <w:rPr>
            <w:rStyle w:val="Text1"/>
          </w:rPr>
          <w:t/>
        </w:r>
      </w:hyperlink>
      <w:r>
        <w:t xml:space="preserve"/>
      </w:r>
      <w:hyperlink w:anchor="training">
        <w:r>
          <w:rPr>
            <w:rStyle w:val="Text1"/>
          </w:rPr>
          <w:t/>
        </w:r>
      </w:hyperlink>
      <w:r>
        <w:t xml:space="preserve"/>
      </w:r>
      <w:hyperlink w:anchor="With">
        <w:r>
          <w:rPr>
            <w:rStyle w:val="Text1"/>
          </w:rPr>
          <w:t/>
        </w:r>
      </w:hyperlink>
      <w:r>
        <w:t xml:space="preserve"/>
      </w:r>
      <w:hyperlink w:anchor="tout">
        <w:r>
          <w:rPr>
            <w:rStyle w:val="Text1"/>
          </w:rPr>
          <w:t/>
        </w:r>
      </w:hyperlink>
    </w:p>
    <w:p>
      <w:pPr>
        <w:pStyle w:val="Para 001"/>
      </w:pPr>
      <w:r>
        <w:t xml:space="preserve">Isen, Alice, 174</w:t>
      </w:r>
      <w:hyperlink w:anchor="Our">
        <w:r>
          <w:rPr>
            <w:rStyle w:val="Text1"/>
          </w:rPr>
          <w:t/>
        </w:r>
      </w:hyperlink>
    </w:p>
    <w:p>
      <w:pPr>
        <w:pStyle w:val="Para 029"/>
      </w:pPr>
      <w:r>
        <w:t xml:space="preserve">sự cô lập (isolation), 88–89, 130, 176</w:t>
      </w:r>
      <w:hyperlink w:anchor="means">
        <w:r>
          <w:rPr>
            <w:rStyle w:val="Text1"/>
          </w:rPr>
          <w:t/>
        </w:r>
      </w:hyperlink>
      <w:r>
        <w:t xml:space="preserve"/>
      </w:r>
      <w:hyperlink w:anchor="good">
        <w:r>
          <w:rPr>
            <w:rStyle w:val="Text1"/>
          </w:rPr>
          <w:t/>
        </w:r>
      </w:hyperlink>
      <w:r>
        <w:t xml:space="preserve"/>
      </w:r>
      <w:hyperlink w:anchor="open">
        <w:r>
          <w:rPr>
            <w:rStyle w:val="Text1"/>
          </w:rPr>
          <w:t/>
        </w:r>
      </w:hyperlink>
    </w:p>
    <w:p>
      <w:pPr>
        <w:pStyle w:val="Para 001"/>
      </w:pPr>
      <w:r>
        <w:t xml:space="preserve">Jenkins, Ben, 71</w:t>
      </w:r>
      <w:hyperlink w:anchor="and">
        <w:r>
          <w:rPr>
            <w:rStyle w:val="Text1"/>
          </w:rPr>
          <w:t/>
        </w:r>
      </w:hyperlink>
    </w:p>
    <w:p>
      <w:pPr>
        <w:pStyle w:val="Para 001"/>
      </w:pPr>
      <w:r>
        <w:t xml:space="preserve">Dòng Tên (Jesuits), 14</w:t>
      </w:r>
      <w:hyperlink w:anchor="so">
        <w:r>
          <w:rPr>
            <w:rStyle w:val="Text1"/>
          </w:rPr>
          <w:t/>
        </w:r>
      </w:hyperlink>
    </w:p>
    <w:p>
      <w:pPr>
        <w:pStyle w:val="Para 001"/>
      </w:pPr>
      <w:r>
        <w:t xml:space="preserve">JetBlue Airways, 83–84, 94–95</w:t>
      </w:r>
      <w:hyperlink w:anchor="the">
        <w:r>
          <w:rPr>
            <w:rStyle w:val="Text1"/>
          </w:rPr>
          <w:t/>
        </w:r>
      </w:hyperlink>
      <w:r>
        <w:t xml:space="preserve"/>
      </w:r>
      <w:hyperlink w:anchor="those_1">
        <w:r>
          <w:rPr>
            <w:rStyle w:val="Text1"/>
          </w:rPr>
          <w:t/>
        </w:r>
      </w:hyperlink>
    </w:p>
    <w:p>
      <w:pPr>
        <w:pStyle w:val="Para 001"/>
      </w:pPr>
      <w:r>
        <w:t xml:space="preserve">Johnson, Lyndon, 19</w:t>
      </w:r>
      <w:hyperlink w:anchor="he">
        <w:r>
          <w:rPr>
            <w:rStyle w:val="Text1"/>
          </w:rPr>
          <w:t/>
        </w:r>
      </w:hyperlink>
    </w:p>
    <w:p>
      <w:pPr>
        <w:pStyle w:val="Para 001"/>
      </w:pPr>
      <w:r>
        <w:t xml:space="preserve">Johnson &amp; Johnson, 56</w:t>
      </w:r>
      <w:hyperlink w:anchor="those">
        <w:r>
          <w:rPr>
            <w:rStyle w:val="Text1"/>
          </w:rPr>
          <w:t/>
        </w:r>
      </w:hyperlink>
    </w:p>
    <w:p>
      <w:pPr>
        <w:pStyle w:val="Para 029"/>
      </w:pPr>
      <w:r>
        <w:t xml:space="preserve">Jones, John, 131, 137–139, 140–141</w:t>
      </w:r>
      <w:hyperlink w:anchor="page_131">
        <w:r>
          <w:rPr>
            <w:rStyle w:val="Text1"/>
          </w:rPr>
          <w:t/>
        </w:r>
      </w:hyperlink>
      <w:r>
        <w:t xml:space="preserve"/>
      </w:r>
      <w:hyperlink w:anchor="confidence">
        <w:r>
          <w:rPr>
            <w:rStyle w:val="Text1"/>
          </w:rPr>
          <w:t/>
        </w:r>
      </w:hyperlink>
      <w:r>
        <w:t xml:space="preserve"/>
      </w:r>
      <w:hyperlink w:anchor="_5">
        <w:r>
          <w:rPr>
            <w:rStyle w:val="Text1"/>
          </w:rPr>
          <w:t/>
        </w:r>
      </w:hyperlink>
    </w:p>
    <w:p>
      <w:pPr>
        <w:pStyle w:val="Para 001"/>
      </w:pPr>
      <w:r>
        <w:t xml:space="preserve">Kennedy, John, 19</w:t>
      </w:r>
      <w:hyperlink w:anchor="he">
        <w:r>
          <w:rPr>
            <w:rStyle w:val="Text1"/>
          </w:rPr>
          <w:t/>
        </w:r>
      </w:hyperlink>
    </w:p>
    <w:p>
      <w:pPr>
        <w:pStyle w:val="Para 001"/>
      </w:pPr>
      <w:r>
        <w:t xml:space="preserve">kiến thức (knowledge), 15–16, 26–29</w:t>
      </w:r>
      <w:hyperlink w:anchor="people">
        <w:r>
          <w:rPr>
            <w:rStyle w:val="Text1"/>
          </w:rPr>
          <w:t/>
        </w:r>
      </w:hyperlink>
      <w:r>
        <w:t xml:space="preserve"/>
      </w:r>
      <w:hyperlink w:anchor="on">
        <w:r>
          <w:rPr>
            <w:rStyle w:val="Text1"/>
          </w:rPr>
          <w:t/>
        </w:r>
      </w:hyperlink>
    </w:p>
    <w:p>
      <w:pPr>
        <w:pStyle w:val="Para 029"/>
      </w:pPr>
      <w:r>
        <w:t xml:space="preserve">Kundera, Milan, 84</w:t>
      </w:r>
      <w:hyperlink w:anchor="education">
        <w:r>
          <w:rPr>
            <w:rStyle w:val="Text1"/>
          </w:rPr>
          <w:t/>
        </w:r>
      </w:hyperlink>
    </w:p>
    <w:p>
      <w:pPr>
        <w:pStyle w:val="Para 001"/>
      </w:pPr>
      <w:r>
        <w:t xml:space="preserve">Lang, Matthew, 69–70</w:t>
      </w:r>
      <w:hyperlink w:anchor="_1">
        <w:r>
          <w:rPr>
            <w:rStyle w:val="Text1"/>
          </w:rPr>
          <w:t/>
        </w:r>
      </w:hyperlink>
    </w:p>
    <w:p>
      <w:pPr>
        <w:pStyle w:val="Para 001"/>
      </w:pPr>
      <w:r>
        <w:t xml:space="preserve">tiếng cười, sự lan truyền của, 177</w:t>
      </w:r>
      <w:hyperlink w:anchor="Smile">
        <w:r>
          <w:rPr>
            <w:rStyle w:val="Text1"/>
          </w:rPr>
          <w:t/>
        </w:r>
      </w:hyperlink>
    </w:p>
    <w:p>
      <w:pPr>
        <w:pStyle w:val="Para 001"/>
      </w:pPr>
      <w:r>
        <w:t>lãnh đạo (leadership)</w:t>
      </w:r>
    </w:p>
    <w:p>
      <w:pPr>
        <w:pStyle w:val="Para 001"/>
      </w:pPr>
      <w:r>
        <w:t xml:space="preserve">cảm xúc (emotional), 169–188</w:t>
      </w:r>
      <w:hyperlink w:anchor="Primal">
        <w:r>
          <w:rPr>
            <w:rStyle w:val="Text1"/>
          </w:rPr>
          <w:t/>
        </w:r>
      </w:hyperlink>
    </w:p>
    <w:p>
      <w:pPr>
        <w:pStyle w:val="Para 001"/>
      </w:pPr>
      <w:r>
        <w:t xml:space="preserve">phản hồi về, 147, 149, 150</w:t>
      </w:r>
      <w:hyperlink w:anchor="What">
        <w:r>
          <w:rPr>
            <w:rStyle w:val="Text1"/>
          </w:rPr>
          <w:t/>
        </w:r>
      </w:hyperlink>
      <w:r>
        <w:t xml:space="preserve"/>
      </w:r>
      <w:hyperlink w:anchor="basic">
        <w:r>
          <w:rPr>
            <w:rStyle w:val="Text1"/>
          </w:rPr>
          <w:t/>
        </w:r>
      </w:hyperlink>
      <w:r>
        <w:t xml:space="preserve"/>
      </w:r>
      <w:hyperlink w:anchor="don_t">
        <w:r>
          <w:rPr>
            <w:rStyle w:val="Text1"/>
          </w:rPr>
          <w:t/>
        </w:r>
      </w:hyperlink>
    </w:p>
    <w:p>
      <w:pPr>
        <w:pStyle w:val="Para 001"/>
      </w:pPr>
      <w:r>
        <w:t xml:space="preserve">trạng thái nền tảng của, 127–145</w:t>
      </w:r>
      <w:hyperlink w:anchor="Moments">
        <w:r>
          <w:rPr>
            <w:rStyle w:val="Text1"/>
          </w:rPr>
          <w:t/>
        </w:r>
      </w:hyperlink>
    </w:p>
    <w:p>
      <w:pPr>
        <w:pStyle w:val="Para 001"/>
      </w:pPr>
      <w:r>
        <w:t xml:space="preserve">dưới áp lực, 151, 155, 163–165</w:t>
      </w:r>
      <w:hyperlink w:anchor="page_151">
        <w:r>
          <w:rPr>
            <w:rStyle w:val="Text1"/>
          </w:rPr>
          <w:t/>
        </w:r>
      </w:hyperlink>
      <w:r>
        <w:t xml:space="preserve"/>
      </w:r>
      <w:hyperlink w:anchor="Have">
        <w:r>
          <w:rPr>
            <w:rStyle w:val="Text1"/>
          </w:rPr>
          <w:t/>
        </w:r>
      </w:hyperlink>
      <w:r>
        <w:t xml:space="preserve"/>
      </w:r>
      <w:hyperlink w:anchor="and_5">
        <w:r>
          <w:rPr>
            <w:rStyle w:val="Text1"/>
          </w:rPr>
          <w:t/>
        </w:r>
      </w:hyperlink>
    </w:p>
    <w:p>
      <w:pPr>
        <w:pStyle w:val="Para 001"/>
      </w:pPr>
      <w:r>
        <w:t xml:space="preserve">tự đánh giá về, 147–167, 151</w:t>
      </w:r>
      <w:hyperlink w:anchor="What">
        <w:r>
          <w:rPr>
            <w:rStyle w:val="Text1"/>
          </w:rPr>
          <w:t/>
        </w:r>
      </w:hyperlink>
      <w:r>
        <w:t xml:space="preserve"/>
      </w:r>
      <w:hyperlink w:anchor="page_151">
        <w:r>
          <w:rPr>
            <w:rStyle w:val="Text1"/>
          </w:rPr>
          <w:t/>
        </w:r>
      </w:hyperlink>
    </w:p>
    <w:p>
      <w:pPr>
        <w:pStyle w:val="Para 001"/>
      </w:pPr>
      <w:r>
        <w:t xml:space="preserve">giữ vững bản sắc trong, 151, 155, 165–166</w:t>
      </w:r>
      <w:hyperlink w:anchor="page_151">
        <w:r>
          <w:rPr>
            <w:rStyle w:val="Text1"/>
          </w:rPr>
          <w:t/>
        </w:r>
      </w:hyperlink>
      <w:r>
        <w:t xml:space="preserve"/>
      </w:r>
      <w:hyperlink w:anchor="Have">
        <w:r>
          <w:rPr>
            <w:rStyle w:val="Text1"/>
          </w:rPr>
          <w:t/>
        </w:r>
      </w:hyperlink>
      <w:r>
        <w:t xml:space="preserve"/>
      </w:r>
      <w:hyperlink w:anchor="to_1">
        <w:r>
          <w:rPr>
            <w:rStyle w:val="Text1"/>
          </w:rPr>
          <w:t/>
        </w:r>
      </w:hyperlink>
    </w:p>
    <w:p>
      <w:pPr>
        <w:pStyle w:val="Para 001"/>
      </w:pPr>
      <w:r>
        <w:t xml:space="preserve">Total, 97–114</w:t>
      </w:r>
      <w:hyperlink w:anchor="Be">
        <w:r>
          <w:rPr>
            <w:rStyle w:val="Text1"/>
          </w:rPr>
          <w:t/>
        </w:r>
      </w:hyperlink>
    </w:p>
    <w:p>
      <w:pPr>
        <w:pStyle w:val="Para 001"/>
      </w:pPr>
      <w:r>
        <w:t xml:space="preserve">“Leadership That Gets Results” (Goleman, Boyatzis, và McKee), 175</w:t>
      </w:r>
      <w:hyperlink w:anchor="Those">
        <w:r>
          <w:rPr>
            <w:rStyle w:val="Text1"/>
          </w:rPr>
          <w:t/>
        </w:r>
      </w:hyperlink>
    </w:p>
    <w:p>
      <w:pPr>
        <w:pStyle w:val="Para 001"/>
      </w:pPr>
      <w:r>
        <w:t xml:space="preserve">phong cách học tập (learning styles), 19–21</w:t>
      </w:r>
      <w:hyperlink w:anchor="he">
        <w:r>
          <w:rPr>
            <w:rStyle w:val="Text1"/>
          </w:rPr>
          <w:t/>
        </w:r>
      </w:hyperlink>
    </w:p>
    <w:p>
      <w:pPr>
        <w:pStyle w:val="Para 001"/>
      </w:pPr>
      <w:r>
        <w:t xml:space="preserve">bài tập lăng kính (lenses exercise), 64, 71–72</w:t>
      </w:r>
      <w:hyperlink w:anchor="training">
        <w:r>
          <w:rPr>
            <w:rStyle w:val="Text1"/>
          </w:rPr>
          <w:t/>
        </w:r>
      </w:hyperlink>
      <w:r>
        <w:t xml:space="preserve"/>
      </w:r>
      <w:hyperlink w:anchor="and">
        <w:r>
          <w:rPr>
            <w:rStyle w:val="Text1"/>
          </w:rPr>
          <w:t/>
        </w:r>
      </w:hyperlink>
    </w:p>
    <w:p>
      <w:pPr>
        <w:pStyle w:val="Para 001"/>
      </w:pPr>
      <w:r>
        <w:t xml:space="preserve">Lévi-Strauss, Claude, 57–58</w:t>
      </w:r>
      <w:hyperlink w:anchor="never">
        <w:r>
          <w:rPr>
            <w:rStyle w:val="Text1"/>
          </w:rPr>
          <w:t/>
        </w:r>
      </w:hyperlink>
    </w:p>
    <w:p>
      <w:pPr>
        <w:pStyle w:val="Para 001"/>
      </w:pPr>
      <w:r>
        <w:t xml:space="preserve">hệ viền (limbic system), 174, 176</w:t>
      </w:r>
      <w:hyperlink w:anchor="Our">
        <w:r>
          <w:rPr>
            <w:rStyle w:val="Text1"/>
          </w:rPr>
          <w:t/>
        </w:r>
      </w:hyperlink>
      <w:r>
        <w:t xml:space="preserve"/>
      </w:r>
      <w:hyperlink w:anchor="open">
        <w:r>
          <w:rPr>
            <w:rStyle w:val="Text1"/>
          </w:rPr>
          <w:t/>
        </w:r>
      </w:hyperlink>
    </w:p>
    <w:p>
      <w:pPr>
        <w:pStyle w:val="Para 001"/>
      </w:pPr>
      <w:r>
        <w:t xml:space="preserve">người nghe so với người đọc, 18–19</w:t>
      </w:r>
      <w:hyperlink w:anchor="Like">
        <w:r>
          <w:rPr>
            <w:rStyle w:val="Text1"/>
          </w:rPr>
          <w:t/>
        </w:r>
      </w:hyperlink>
    </w:p>
    <w:p>
      <w:pPr>
        <w:pStyle w:val="Para 001"/>
      </w:pPr>
      <w:r>
        <w:t xml:space="preserve">Loehr, Jim, 62</w:t>
      </w:r>
      <w:hyperlink w:anchor="systematically">
        <w:r>
          <w:rPr>
            <w:rStyle w:val="Text1"/>
          </w:rPr>
          <w:t/>
        </w:r>
      </w:hyperlink>
    </w:p>
    <w:p>
      <w:pPr>
        <w:pStyle w:val="Para 001"/>
      </w:pPr>
      <w:r>
        <w:t xml:space="preserve">người cô độc (loners), 20</w:t>
      </w:r>
      <w:hyperlink w:anchor="immediately">
        <w:r>
          <w:rPr>
            <w:rStyle w:val="Text1"/>
          </w:rPr>
          <w:t/>
        </w:r>
      </w:hyperlink>
    </w:p>
    <w:p>
      <w:pPr>
        <w:pStyle w:val="Para 001"/>
      </w:pPr>
      <w:r>
        <w:t xml:space="preserve">may mắn, 60</w:t>
      </w:r>
      <w:hyperlink w:anchor="Andrew">
        <w:r>
          <w:rPr>
            <w:rStyle w:val="Text1"/>
          </w:rPr>
          <w:t/>
        </w:r>
      </w:hyperlink>
    </w:p>
    <w:p>
      <w:pPr>
        <w:pStyle w:val="Para 079"/>
      </w:pPr>
      <w:r>
        <w:rPr>
          <w:rStyle w:val="Text6"/>
        </w:rPr>
        <w:t xml:space="preserve">Lufthansa, 118–119, 121–124</w:t>
      </w:r>
      <w:hyperlink w:anchor="day">
        <w:r>
          <w:t/>
        </w:r>
      </w:hyperlink>
      <w:r>
        <w:rPr>
          <w:rStyle w:val="Text6"/>
        </w:rPr>
        <w:t xml:space="preserve"/>
      </w:r>
      <w:hyperlink w:anchor="Finally">
        <w:r>
          <w:t/>
        </w:r>
      </w:hyperlink>
    </w:p>
    <w:p>
      <w:pPr>
        <w:pStyle w:val="Para 001"/>
      </w:pPr>
      <w:r>
        <w:t xml:space="preserve">Maddi, Salvatore R., 55–56</w:t>
      </w:r>
      <w:hyperlink w:anchor="more">
        <w:r>
          <w:rPr>
            <w:rStyle w:val="Text1"/>
          </w:rPr>
          <w:t/>
        </w:r>
      </w:hyperlink>
    </w:p>
    <w:p>
      <w:pPr>
        <w:pStyle w:val="Para 001"/>
      </w:pPr>
      <w:r>
        <w:t xml:space="preserve">quản lý. Xem thêm quản lý thời gian</w:t>
      </w:r>
      <w:r>
        <w:rPr>
          <w:rStyle w:val="Text0"/>
        </w:rPr>
        <w:t/>
      </w:r>
      <w:r>
        <w:t xml:space="preserve"/>
      </w:r>
    </w:p>
    <w:p>
      <w:pPr>
        <w:pStyle w:val="Para 001"/>
      </w:pPr>
      <w:r>
        <w:t xml:space="preserve">ADT và, 93–95</w:t>
      </w:r>
      <w:hyperlink w:anchor="_2">
        <w:r>
          <w:rPr>
            <w:rStyle w:val="Text1"/>
          </w:rPr>
          <w:t/>
        </w:r>
      </w:hyperlink>
    </w:p>
    <w:p>
      <w:pPr>
        <w:pStyle w:val="Para 001"/>
      </w:pPr>
      <w:r>
        <w:t xml:space="preserve">các phương án thay thế trong, 116–117, 119, 124–126</w:t>
      </w:r>
      <w:hyperlink w:anchor="their">
        <w:r>
          <w:rPr>
            <w:rStyle w:val="Text1"/>
          </w:rPr>
          <w:t/>
        </w:r>
      </w:hyperlink>
      <w:r>
        <w:t xml:space="preserve"/>
      </w:r>
      <w:hyperlink w:anchor="always">
        <w:r>
          <w:rPr>
            <w:rStyle w:val="Text1"/>
          </w:rPr>
          <w:t/>
        </w:r>
      </w:hyperlink>
      <w:r>
        <w:t xml:space="preserve"/>
      </w:r>
      <w:hyperlink w:anchor="hesitation">
        <w:r>
          <w:rPr>
            <w:rStyle w:val="Text1"/>
          </w:rPr>
          <w:t/>
        </w:r>
      </w:hyperlink>
    </w:p>
    <w:p>
      <w:pPr>
        <w:pStyle w:val="Para 001"/>
      </w:pPr>
      <w:r>
        <w:t xml:space="preserve">tính sẵn có của, 118, 119–121</w:t>
      </w:r>
      <w:hyperlink w:anchor="day">
        <w:r>
          <w:rPr>
            <w:rStyle w:val="Text1"/>
          </w:rPr>
          <w:t/>
        </w:r>
      </w:hyperlink>
      <w:r>
        <w:t xml:space="preserve"/>
      </w:r>
      <w:hyperlink w:anchor="always">
        <w:r>
          <w:rPr>
            <w:rStyle w:val="Text1"/>
          </w:rPr>
          <w:t/>
        </w:r>
      </w:hyperlink>
    </w:p>
    <w:p>
      <w:pPr>
        <w:pStyle w:val="Para 001"/>
      </w:pPr>
      <w:r>
        <w:t xml:space="preserve">những đòi hỏi đối với, 116, 117–118</w:t>
      </w:r>
      <w:hyperlink w:anchor="their">
        <w:r>
          <w:rPr>
            <w:rStyle w:val="Text1"/>
          </w:rPr>
          <w:t/>
        </w:r>
      </w:hyperlink>
      <w:r>
        <w:t xml:space="preserve"/>
      </w:r>
      <w:hyperlink w:anchor="tout">
        <w:r>
          <w:rPr>
            <w:rStyle w:val="Text1"/>
          </w:rPr>
          <w:t/>
        </w:r>
      </w:hyperlink>
    </w:p>
    <w:p>
      <w:pPr>
        <w:pStyle w:val="Para 001"/>
      </w:pPr>
      <w:r>
        <w:t xml:space="preserve">mong muốn kiểm soát trong, 41</w:t>
      </w:r>
      <w:hyperlink w:anchor="Oncken_s">
        <w:r>
          <w:rPr>
            <w:rStyle w:val="Text1"/>
          </w:rPr>
          <w:t/>
        </w:r>
      </w:hyperlink>
    </w:p>
    <w:p>
      <w:pPr>
        <w:pStyle w:val="Para 001"/>
      </w:pPr>
      <w:r>
        <w:t xml:space="preserve">về cảm xúc, 170–188</w:t>
      </w:r>
      <w:hyperlink w:anchor="deeper">
        <w:r>
          <w:rPr>
            <w:rStyle w:val="Text1"/>
          </w:rPr>
          <w:t/>
        </w:r>
      </w:hyperlink>
    </w:p>
    <w:p>
      <w:pPr>
        <w:pStyle w:val="Para 001"/>
      </w:pPr>
      <w:r>
        <w:t xml:space="preserve">về năng lượng so với thời gian, 61–78</w:t>
      </w:r>
      <w:hyperlink w:anchor="Manage">
        <w:r>
          <w:rPr>
            <w:rStyle w:val="Text1"/>
          </w:rPr>
          <w:t/>
        </w:r>
      </w:hyperlink>
    </w:p>
    <w:p>
      <w:pPr>
        <w:pStyle w:val="Para 001"/>
      </w:pPr>
      <w:r>
        <w:t xml:space="preserve">tính không thể thiếu trong, 118, 119–121</w:t>
      </w:r>
      <w:hyperlink w:anchor="day">
        <w:r>
          <w:rPr>
            <w:rStyle w:val="Text1"/>
          </w:rPr>
          <w:t/>
        </w:r>
      </w:hyperlink>
      <w:r>
        <w:t xml:space="preserve"/>
      </w:r>
      <w:hyperlink w:anchor="always">
        <w:r>
          <w:rPr>
            <w:rStyle w:val="Text1"/>
          </w:rPr>
          <w:t/>
        </w:r>
      </w:hyperlink>
    </w:p>
    <w:p>
      <w:pPr>
        <w:pStyle w:val="Para 001"/>
      </w:pPr>
      <w:r>
        <w:t xml:space="preserve">kiểm soát khỉ (monkey control) trong, 33–45</w:t>
      </w:r>
      <w:hyperlink w:anchor="Management">
        <w:r>
          <w:rPr>
            <w:rStyle w:val="Text1"/>
          </w:rPr>
          <w:t/>
        </w:r>
      </w:hyperlink>
    </w:p>
    <w:p>
      <w:pPr>
        <w:pStyle w:val="Para 001"/>
      </w:pPr>
      <w:r>
        <w:t xml:space="preserve">giành lại thế chủ động trong, 115–126</w:t>
      </w:r>
      <w:hyperlink w:anchor="Reclaim">
        <w:r>
          <w:rPr>
            <w:rStyle w:val="Text1"/>
          </w:rPr>
          <w:t/>
        </w:r>
      </w:hyperlink>
    </w:p>
    <w:p>
      <w:pPr>
        <w:pStyle w:val="Para 001"/>
      </w:pPr>
      <w:r>
        <w:t xml:space="preserve">nguồn lực cho, 116, 121–124</w:t>
      </w:r>
      <w:hyperlink w:anchor="their">
        <w:r>
          <w:rPr>
            <w:rStyle w:val="Text1"/>
          </w:rPr>
          <w:t/>
        </w:r>
      </w:hyperlink>
      <w:r>
        <w:t xml:space="preserve"/>
      </w:r>
      <w:hyperlink w:anchor="Finally">
        <w:r>
          <w:rPr>
            <w:rStyle w:val="Text1"/>
          </w:rPr>
          <w:t/>
        </w:r>
      </w:hyperlink>
    </w:p>
    <w:p>
      <w:pPr>
        <w:pStyle w:val="Para 001"/>
      </w:pPr>
      <w:r>
        <w:t xml:space="preserve">tự quản lý, 13–32</w:t>
      </w:r>
      <w:hyperlink w:anchor="Managing">
        <w:r>
          <w:rPr>
            <w:rStyle w:val="Text1"/>
          </w:rPr>
          <w:t/>
        </w:r>
      </w:hyperlink>
    </w:p>
    <w:p>
      <w:pPr>
        <w:pStyle w:val="Para 001"/>
      </w:pPr>
      <w:r>
        <w:t xml:space="preserve">hoạch định người kế nhiệm và, 160–161</w:t>
      </w:r>
      <w:hyperlink w:anchor="What_1">
        <w:r>
          <w:rPr>
            <w:rStyle w:val="Text1"/>
          </w:rPr>
          <w:t/>
        </w:r>
      </w:hyperlink>
    </w:p>
    <w:p>
      <w:pPr>
        <w:pStyle w:val="Para 001"/>
      </w:pPr>
      <w:r>
        <w:t xml:space="preserve">sự hỗ trợ cho quản lý năng lượng bởi, 77–78</w:t>
      </w:r>
      <w:hyperlink w:anchor="are">
        <w:r>
          <w:rPr>
            <w:rStyle w:val="Text1"/>
          </w:rPr>
          <w:t/>
        </w:r>
      </w:hyperlink>
    </w:p>
    <w:p>
      <w:pPr>
        <w:pStyle w:val="Para 001"/>
      </w:pPr>
      <w:r>
        <w:t xml:space="preserve">Lãnh đạo Toàn diện (Total Leadership) cho, 97–114</w:t>
      </w:r>
      <w:hyperlink w:anchor="Be">
        <w:r>
          <w:rPr>
            <w:rStyle w:val="Text1"/>
          </w:rPr>
          <w:t/>
        </w:r>
      </w:hyperlink>
    </w:p>
    <w:p>
      <w:pPr>
        <w:pStyle w:val="Para 001"/>
      </w:pPr>
      <w:r>
        <w:t xml:space="preserve">phép lịch sự, 17</w:t>
      </w:r>
      <w:hyperlink w:anchor="must">
        <w:r>
          <w:rPr>
            <w:rStyle w:val="Text1"/>
          </w:rPr>
          <w:t/>
        </w:r>
      </w:hyperlink>
    </w:p>
    <w:p>
      <w:pPr>
        <w:pStyle w:val="Para 066"/>
      </w:pPr>
      <w:r>
        <w:t>Đi tìm lẽ sống (Man’s Search for Meaning) (Frankl), 55</w:t>
      </w:r>
      <w:r>
        <w:rPr>
          <w:rStyle w:val="Text0"/>
        </w:rPr>
        <w:t xml:space="preserve"/>
      </w:r>
      <w:hyperlink w:anchor="more">
        <w:r>
          <w:rPr>
            <w:rStyle w:val="Text12"/>
          </w:rPr>
          <w:t/>
        </w:r>
      </w:hyperlink>
    </w:p>
    <w:p>
      <w:pPr>
        <w:pStyle w:val="Para 001"/>
      </w:pPr>
      <w:r>
        <w:t xml:space="preserve">chi phí cận biên, 9–11</w:t>
      </w:r>
      <w:hyperlink w:anchor="Many">
        <w:r>
          <w:rPr>
            <w:rStyle w:val="Text1"/>
          </w:rPr>
          <w:t/>
        </w:r>
      </w:hyperlink>
    </w:p>
    <w:p>
      <w:pPr>
        <w:pStyle w:val="Para 001"/>
      </w:pPr>
      <w:r>
        <w:t xml:space="preserve">Marshall, George, 20</w:t>
      </w:r>
      <w:hyperlink w:anchor="immediately">
        <w:r>
          <w:rPr>
            <w:rStyle w:val="Text1"/>
          </w:rPr>
          <w:t/>
        </w:r>
      </w:hyperlink>
    </w:p>
    <w:p>
      <w:pPr>
        <w:pStyle w:val="Para 001"/>
      </w:pPr>
      <w:r>
        <w:t xml:space="preserve">Maslow, Abraham, 41</w:t>
      </w:r>
      <w:hyperlink w:anchor="Oncken_s">
        <w:r>
          <w:rPr>
            <w:rStyle w:val="Text1"/>
          </w:rPr>
          <w:t/>
        </w:r>
      </w:hyperlink>
    </w:p>
    <w:p>
      <w:pPr>
        <w:pStyle w:val="Para 001"/>
      </w:pPr>
      <w:r>
        <w:t xml:space="preserve">McEvoy, Glenn, 183</w:t>
      </w:r>
      <w:hyperlink w:anchor="But">
        <w:r>
          <w:rPr>
            <w:rStyle w:val="Text1"/>
          </w:rPr>
          <w:t/>
        </w:r>
      </w:hyperlink>
    </w:p>
    <w:p>
      <w:pPr>
        <w:pStyle w:val="Para 001"/>
      </w:pPr>
      <w:r>
        <w:t xml:space="preserve">tìm kiếm ý nghĩa, 65, 74–76, 185</w:t>
      </w:r>
      <w:hyperlink w:anchor="continued">
        <w:r>
          <w:rPr>
            <w:rStyle w:val="Text1"/>
          </w:rPr>
          <w:t/>
        </w:r>
      </w:hyperlink>
      <w:r>
        <w:t xml:space="preserve"/>
      </w:r>
      <w:hyperlink w:anchor="Paris">
        <w:r>
          <w:rPr>
            <w:rStyle w:val="Text1"/>
          </w:rPr>
          <w:t/>
        </w:r>
      </w:hyperlink>
      <w:r>
        <w:t xml:space="preserve"/>
      </w:r>
      <w:hyperlink w:anchor="Resonance">
        <w:r>
          <w:rPr>
            <w:rStyle w:val="Text1"/>
          </w:rPr>
          <w:t/>
        </w:r>
      </w:hyperlink>
    </w:p>
    <w:p>
      <w:pPr>
        <w:pStyle w:val="Para 001"/>
      </w:pPr>
      <w:r>
        <w:t xml:space="preserve">khả năng phục hồi (resilience) và, 49, 50–51, 52, 54–57</w:t>
      </w:r>
      <w:hyperlink w:anchor="Idea_3">
        <w:r>
          <w:rPr>
            <w:rStyle w:val="Text1"/>
          </w:rPr>
          <w:t/>
        </w:r>
      </w:hyperlink>
      <w:r>
        <w:t xml:space="preserve"/>
      </w:r>
      <w:hyperlink w:anchor="many">
        <w:r>
          <w:rPr>
            <w:rStyle w:val="Text1"/>
          </w:rPr>
          <w:t/>
        </w:r>
      </w:hyperlink>
      <w:r>
        <w:t xml:space="preserve"/>
      </w:r>
      <w:hyperlink w:anchor="people_1">
        <w:r>
          <w:rPr>
            <w:rStyle w:val="Text1"/>
          </w:rPr>
          <w:t/>
        </w:r>
      </w:hyperlink>
      <w:r>
        <w:t xml:space="preserve"/>
      </w:r>
      <w:hyperlink w:anchor="in_1">
        <w:r>
          <w:rPr>
            <w:rStyle w:val="Text1"/>
          </w:rPr>
          <w:t/>
        </w:r>
      </w:hyperlink>
    </w:p>
    <w:p>
      <w:pPr>
        <w:pStyle w:val="Para 001"/>
      </w:pPr>
      <w:r>
        <w:t xml:space="preserve">liệu pháp ý nghĩa, 55</w:t>
      </w:r>
      <w:hyperlink w:anchor="more">
        <w:r>
          <w:rPr>
            <w:rStyle w:val="Text1"/>
          </w:rPr>
          <w:t/>
        </w:r>
      </w:hyperlink>
    </w:p>
    <w:p>
      <w:pPr>
        <w:pStyle w:val="Para 001"/>
      </w:pPr>
      <w:r>
        <w:t xml:space="preserve">năng lượng tinh thần, 64–65. Xem thêm quản lý năng lượng</w:t>
      </w:r>
      <w:hyperlink w:anchor="training">
        <w:r>
          <w:rPr>
            <w:rStyle w:val="Text1"/>
          </w:rPr>
          <w:t/>
        </w:r>
      </w:hyperlink>
      <w:r>
        <w:t xml:space="preserve"/>
      </w:r>
      <w:r>
        <w:rPr>
          <w:rStyle w:val="Text0"/>
        </w:rPr>
        <w:t/>
      </w:r>
      <w:r>
        <w:t xml:space="preserve"/>
      </w:r>
    </w:p>
    <w:p>
      <w:pPr>
        <w:pStyle w:val="Para 001"/>
      </w:pPr>
      <w:r>
        <w:t xml:space="preserve">Merrill Lynch, 185</w:t>
      </w:r>
      <w:hyperlink w:anchor="Resonance">
        <w:r>
          <w:rPr>
            <w:rStyle w:val="Text1"/>
          </w:rPr>
          <w:t/>
        </w:r>
      </w:hyperlink>
    </w:p>
    <w:p>
      <w:pPr>
        <w:pStyle w:val="Para 001"/>
      </w:pPr>
      <w:r>
        <w:t xml:space="preserve">thước đo, 26, 109–112</w:t>
      </w:r>
      <w:hyperlink w:anchor="on">
        <w:r>
          <w:rPr>
            <w:rStyle w:val="Text1"/>
          </w:rPr>
          <w:t/>
        </w:r>
      </w:hyperlink>
      <w:r>
        <w:t xml:space="preserve"/>
      </w:r>
      <w:hyperlink w:anchor="other">
        <w:r>
          <w:rPr>
            <w:rStyle w:val="Text1"/>
          </w:rPr>
          <w:t/>
        </w:r>
      </w:hyperlink>
    </w:p>
    <w:p>
      <w:pPr>
        <w:pStyle w:val="Para 001"/>
      </w:pPr>
      <w:r>
        <w:t xml:space="preserve">bài kiểm tra gương (mirror test), 21–22</w:t>
      </w:r>
      <w:hyperlink w:anchor="Another">
        <w:r>
          <w:rPr>
            <w:rStyle w:val="Text1"/>
          </w:rPr>
          <w:t/>
        </w:r>
      </w:hyperlink>
    </w:p>
    <w:p>
      <w:pPr>
        <w:pStyle w:val="Para 001"/>
      </w:pPr>
      <w:r>
        <w:t xml:space="preserve">kiểm soát khỉ (monkey control), 33–45</w:t>
      </w:r>
      <w:hyperlink w:anchor="Management">
        <w:r>
          <w:rPr>
            <w:rStyle w:val="Text1"/>
          </w:rPr>
          <w:t/>
        </w:r>
      </w:hyperlink>
    </w:p>
    <w:p>
      <w:pPr>
        <w:pStyle w:val="Para 001"/>
      </w:pPr>
      <w:r>
        <w:t xml:space="preserve">các cuộc hẹn, 36, 44</w:t>
      </w:r>
      <w:hyperlink w:anchor="Idea_2">
        <w:r>
          <w:rPr>
            <w:rStyle w:val="Text1"/>
          </w:rPr>
          <w:t/>
        </w:r>
      </w:hyperlink>
      <w:r>
        <w:t xml:space="preserve"/>
      </w:r>
      <w:hyperlink w:anchor="The">
        <w:r>
          <w:rPr>
            <w:rStyle w:val="Text1"/>
          </w:rPr>
          <w:t/>
        </w:r>
      </w:hyperlink>
    </w:p>
    <w:p>
      <w:pPr>
        <w:pStyle w:val="Para 001"/>
      </w:pPr>
      <w:r>
        <w:t xml:space="preserve">chăm sóc và nuôi dưỡng, 44–45</w:t>
      </w:r>
      <w:hyperlink w:anchor="The">
        <w:r>
          <w:rPr>
            <w:rStyle w:val="Text1"/>
          </w:rPr>
          <w:t/>
        </w:r>
      </w:hyperlink>
    </w:p>
    <w:p>
      <w:pPr>
        <w:pStyle w:val="Para 001"/>
      </w:pPr>
      <w:r>
        <w:t xml:space="preserve">xác định vị trí của những chú khỉ trong, 33–37</w:t>
      </w:r>
      <w:hyperlink w:anchor="Management">
        <w:r>
          <w:rPr>
            <w:rStyle w:val="Text1"/>
          </w:rPr>
          <w:t/>
        </w:r>
      </w:hyperlink>
    </w:p>
    <w:p>
      <w:pPr>
        <w:pStyle w:val="Para 001"/>
      </w:pPr>
      <w:r>
        <w:t xml:space="preserve">kỹ năng nhân viên và, 36</w:t>
      </w:r>
      <w:hyperlink w:anchor="Idea_2">
        <w:r>
          <w:rPr>
            <w:rStyle w:val="Text1"/>
          </w:rPr>
          <w:t/>
        </w:r>
      </w:hyperlink>
    </w:p>
    <w:p>
      <w:pPr>
        <w:pStyle w:val="Para 001"/>
      </w:pPr>
      <w:r>
        <w:t xml:space="preserve">loại bỏ những chú khỉ trong, 39, 42</w:t>
      </w:r>
      <w:hyperlink w:anchor="Sunday">
        <w:r>
          <w:rPr>
            <w:rStyle w:val="Text1"/>
          </w:rPr>
          <w:t/>
        </w:r>
      </w:hyperlink>
      <w:r>
        <w:t xml:space="preserve"/>
      </w:r>
      <w:hyperlink w:anchor="cycle">
        <w:r>
          <w:rPr>
            <w:rStyle w:val="Text1"/>
          </w:rPr>
          <w:t/>
        </w:r>
      </w:hyperlink>
    </w:p>
    <w:p>
      <w:pPr>
        <w:pStyle w:val="Para 001"/>
      </w:pPr>
      <w:r>
        <w:bookmarkStart w:id="238" w:name="initiative"/>
        <w:t>sự chủ động trong, 35, 36</w:t>
        <w:bookmarkEnd w:id="238"/>
        <w:t xml:space="preserve"/>
      </w:r>
      <w:hyperlink w:anchor="Jones">
        <w:r>
          <w:rPr>
            <w:rStyle w:val="Text1"/>
          </w:rPr>
          <w:t/>
        </w:r>
      </w:hyperlink>
      <w:r>
        <w:t xml:space="preserve"/>
      </w:r>
      <w:hyperlink w:anchor="Idea_2">
        <w:r>
          <w:rPr>
            <w:rStyle w:val="Text1"/>
          </w:rPr>
          <w:t/>
        </w:r>
      </w:hyperlink>
    </w:p>
    <w:p>
      <w:pPr>
        <w:pStyle w:val="Para 001"/>
      </w:pPr>
      <w:r>
        <w:t xml:space="preserve">động cơ trong, 36</w:t>
      </w:r>
      <w:hyperlink w:anchor="Idea_2">
        <w:r>
          <w:rPr>
            <w:rStyle w:val="Text1"/>
          </w:rPr>
          <w:t/>
        </w:r>
      </w:hyperlink>
    </w:p>
    <w:p>
      <w:pPr>
        <w:pStyle w:val="Para 001"/>
      </w:pPr>
      <w:r>
        <w:t xml:space="preserve">trong thực tế, 36</w:t>
      </w:r>
      <w:hyperlink w:anchor="Idea_2">
        <w:r>
          <w:rPr>
            <w:rStyle w:val="Text1"/>
          </w:rPr>
          <w:t/>
        </w:r>
      </w:hyperlink>
    </w:p>
    <w:p>
      <w:pPr>
        <w:pStyle w:val="Para 001"/>
      </w:pPr>
      <w:r>
        <w:t xml:space="preserve">cập nhật trạng thái trong, 36</w:t>
      </w:r>
      <w:hyperlink w:anchor="Idea_2">
        <w:r>
          <w:rPr>
            <w:rStyle w:val="Text1"/>
          </w:rPr>
          <w:t/>
        </w:r>
      </w:hyperlink>
    </w:p>
    <w:p>
      <w:pPr>
        <w:pStyle w:val="Para 001"/>
      </w:pPr>
      <w:r>
        <w:t xml:space="preserve">chuyển giao sự chủ động cho, 42–43</w:t>
      </w:r>
      <w:hyperlink w:anchor="cycle">
        <w:r>
          <w:rPr>
            <w:rStyle w:val="Text1"/>
          </w:rPr>
          <w:t/>
        </w:r>
      </w:hyperlink>
    </w:p>
    <w:p>
      <w:pPr>
        <w:pStyle w:val="Para 001"/>
      </w:pPr>
      <w:r>
        <w:t xml:space="preserve">niềm tin và, 36</w:t>
      </w:r>
      <w:hyperlink w:anchor="Idea_2">
        <w:r>
          <w:rPr>
            <w:rStyle w:val="Text1"/>
          </w:rPr>
          <w:t/>
        </w:r>
      </w:hyperlink>
    </w:p>
    <w:p>
      <w:pPr>
        <w:pStyle w:val="Para 001"/>
      </w:pPr>
      <w:r>
        <w:t xml:space="preserve">ai đang làm việc cho ai trong, 37–39</w:t>
      </w:r>
      <w:hyperlink w:anchor="manager">
        <w:r>
          <w:rPr>
            <w:rStyle w:val="Text1"/>
          </w:rPr>
          <w:t/>
        </w:r>
      </w:hyperlink>
    </w:p>
    <w:p>
      <w:pPr>
        <w:pStyle w:val="Para 001"/>
      </w:pPr>
      <w:r>
        <w:t xml:space="preserve">tâm trạng, sự lây lan của, 169–188</w:t>
      </w:r>
      <w:hyperlink w:anchor="Primal">
        <w:r>
          <w:rPr>
            <w:rStyle w:val="Text1"/>
          </w:rPr>
          <w:t/>
        </w:r>
      </w:hyperlink>
    </w:p>
    <w:p>
      <w:pPr>
        <w:pStyle w:val="Para 001"/>
      </w:pPr>
      <w:r>
        <w:t xml:space="preserve">tinh thần, 158</w:t>
      </w:r>
      <w:hyperlink w:anchor="experience">
        <w:r>
          <w:rPr>
            <w:rStyle w:val="Text1"/>
          </w:rPr>
          <w:t/>
        </w:r>
      </w:hyperlink>
    </w:p>
    <w:p>
      <w:pPr>
        <w:pStyle w:val="Para 001"/>
      </w:pPr>
      <w:r>
        <w:t xml:space="preserve">Morgan Stanley, 53–54, 60</w:t>
      </w:r>
      <w:hyperlink w:anchor="Like_1">
        <w:r>
          <w:rPr>
            <w:rStyle w:val="Text1"/>
          </w:rPr>
          <w:t/>
        </w:r>
      </w:hyperlink>
      <w:r>
        <w:t xml:space="preserve"/>
      </w:r>
      <w:hyperlink w:anchor="Andrew">
        <w:r>
          <w:rPr>
            <w:rStyle w:val="Text1"/>
          </w:rPr>
          <w:t/>
        </w:r>
      </w:hyperlink>
    </w:p>
    <w:p>
      <w:pPr>
        <w:pStyle w:val="Para 001"/>
      </w:pPr>
      <w:r>
        <w:t xml:space="preserve">động lực, 36, 62</w:t>
      </w:r>
      <w:hyperlink w:anchor="Idea_2">
        <w:r>
          <w:rPr>
            <w:rStyle w:val="Text1"/>
          </w:rPr>
          <w:t/>
        </w:r>
      </w:hyperlink>
      <w:r>
        <w:t xml:space="preserve"/>
      </w:r>
      <w:hyperlink w:anchor="systematically">
        <w:r>
          <w:rPr>
            <w:rStyle w:val="Text1"/>
          </w:rPr>
          <w:t/>
        </w:r>
      </w:hyperlink>
    </w:p>
    <w:p>
      <w:pPr>
        <w:pStyle w:val="Para 001"/>
      </w:pPr>
      <w:r>
        <w:t xml:space="preserve">Mulholland, Bob, 185</w:t>
      </w:r>
      <w:hyperlink w:anchor="Resonance">
        <w:r>
          <w:rPr>
            <w:rStyle w:val="Text1"/>
          </w:rPr>
          <w:t/>
        </w:r>
      </w:hyperlink>
    </w:p>
    <w:p>
      <w:pPr>
        <w:pStyle w:val="Para 029"/>
      </w:pPr>
      <w:r>
        <w:t xml:space="preserve">làm nhiều việc cùng lúc (multitasking), 72</w:t>
      </w:r>
      <w:hyperlink w:anchor="With">
        <w:r>
          <w:rPr>
            <w:rStyle w:val="Text1"/>
          </w:rPr>
          <w:t/>
        </w:r>
      </w:hyperlink>
    </w:p>
    <w:p>
      <w:pPr>
        <w:pStyle w:val="Para 001"/>
      </w:pPr>
      <w:r>
        <w:t xml:space="preserve">Neeleman, David, 83–84, 94–95</w:t>
      </w:r>
      <w:hyperlink w:anchor="the">
        <w:r>
          <w:rPr>
            <w:rStyle w:val="Text1"/>
          </w:rPr>
          <w:t/>
        </w:r>
      </w:hyperlink>
      <w:r>
        <w:t xml:space="preserve"/>
      </w:r>
      <w:hyperlink w:anchor="those_1">
        <w:r>
          <w:rPr>
            <w:rStyle w:val="Text1"/>
          </w:rPr>
          <w:t/>
        </w:r>
      </w:hyperlink>
    </w:p>
    <w:p>
      <w:pPr>
        <w:pStyle w:val="Para 001"/>
      </w:pPr>
      <w:r>
        <w:t xml:space="preserve">yếu tố tăng trưởng thần kinh (nerve growth factor - NGF), 90</w:t>
      </w:r>
      <w:hyperlink w:anchor="omega">
        <w:r>
          <w:rPr>
            <w:rStyle w:val="Text1"/>
          </w:rPr>
          <w:t/>
        </w:r>
      </w:hyperlink>
    </w:p>
    <w:p>
      <w:pPr>
        <w:pStyle w:val="Para 029"/>
      </w:pPr>
      <w:r>
        <w:t xml:space="preserve">Nishida, Fujio, 70–71, 77</w:t>
      </w:r>
      <w:hyperlink w:anchor="20">
        <w:r>
          <w:rPr>
            <w:rStyle w:val="Text1"/>
          </w:rPr>
          <w:t/>
        </w:r>
      </w:hyperlink>
      <w:r>
        <w:t xml:space="preserve"/>
      </w:r>
      <w:hyperlink w:anchor="are">
        <w:r>
          <w:rPr>
            <w:rStyle w:val="Text1"/>
          </w:rPr>
          <w:t/>
        </w:r>
      </w:hyperlink>
    </w:p>
    <w:p>
      <w:pPr>
        <w:pStyle w:val="Para 001"/>
      </w:pPr>
      <w:r>
        <w:t xml:space="preserve">quy tắc OHIO (chỉ xử lý một lần - only handle it once), 82, 91</w:t>
      </w:r>
      <w:hyperlink w:anchor="Idea_6">
        <w:r>
          <w:rPr>
            <w:rStyle w:val="Text1"/>
          </w:rPr>
          <w:t/>
        </w:r>
      </w:hyperlink>
      <w:r>
        <w:t xml:space="preserve"/>
      </w:r>
      <w:hyperlink w:anchor="and_2">
        <w:r>
          <w:rPr>
            <w:rStyle w:val="Text1"/>
          </w:rPr>
          <w:t/>
        </w:r>
      </w:hyperlink>
    </w:p>
    <w:p>
      <w:pPr>
        <w:pStyle w:val="Para 001"/>
      </w:pPr>
      <w:r>
        <w:t xml:space="preserve">Oiseaux, Jackie, 54–55</w:t>
      </w:r>
      <w:hyperlink w:anchor="in_1">
        <w:r>
          <w:rPr>
            <w:rStyle w:val="Text1"/>
          </w:rPr>
          <w:t/>
        </w:r>
      </w:hyperlink>
    </w:p>
    <w:p>
      <w:pPr>
        <w:pStyle w:val="Para 001"/>
      </w:pPr>
      <w:r>
        <w:t xml:space="preserve">sự cởi mở, với bên ngoài, 129, 130, 131–132, 141–142</w:t>
      </w:r>
      <w:hyperlink w:anchor="create">
        <w:r>
          <w:rPr>
            <w:rStyle w:val="Text1"/>
          </w:rPr>
          <w:t/>
        </w:r>
      </w:hyperlink>
      <w:r>
        <w:t xml:space="preserve"/>
      </w:r>
      <w:hyperlink w:anchor="good">
        <w:r>
          <w:rPr>
            <w:rStyle w:val="Text1"/>
          </w:rPr>
          <w:t/>
        </w:r>
      </w:hyperlink>
      <w:r>
        <w:t xml:space="preserve"/>
      </w:r>
      <w:hyperlink w:anchor="page_131">
        <w:r>
          <w:rPr>
            <w:rStyle w:val="Text1"/>
          </w:rPr>
          <w:t/>
        </w:r>
      </w:hyperlink>
      <w:r>
        <w:t xml:space="preserve"/>
      </w:r>
      <w:hyperlink w:anchor="the_1">
        <w:r>
          <w:rPr>
            <w:rStyle w:val="Text1"/>
          </w:rPr>
          <w:t/>
        </w:r>
      </w:hyperlink>
    </w:p>
    <w:p>
      <w:pPr>
        <w:pStyle w:val="Para 001"/>
      </w:pPr>
      <w:r>
        <w:t xml:space="preserve">cơ hội, 15, 24–25, 115–116</w:t>
      </w:r>
      <w:hyperlink w:anchor="people">
        <w:r>
          <w:rPr>
            <w:rStyle w:val="Text1"/>
          </w:rPr>
          <w:t/>
        </w:r>
      </w:hyperlink>
      <w:r>
        <w:t xml:space="preserve"/>
      </w:r>
      <w:hyperlink w:anchor="between">
        <w:r>
          <w:rPr>
            <w:rStyle w:val="Text1"/>
          </w:rPr>
          <w:t/>
        </w:r>
      </w:hyperlink>
      <w:r>
        <w:t xml:space="preserve"/>
      </w:r>
      <w:hyperlink w:anchor="Reclaim">
        <w:r>
          <w:rPr>
            <w:rStyle w:val="Text1"/>
          </w:rPr>
          <w:t/>
        </w:r>
      </w:hyperlink>
    </w:p>
    <w:p>
      <w:pPr>
        <w:pStyle w:val="Para 001"/>
      </w:pPr>
      <w:r>
        <w:t xml:space="preserve">sự lạc quan, 52–53, 178–179</w:t>
      </w:r>
      <w:hyperlink w:anchor="people_1">
        <w:r>
          <w:rPr>
            <w:rStyle w:val="Text1"/>
          </w:rPr>
          <w:t/>
        </w:r>
      </w:hyperlink>
      <w:r>
        <w:t xml:space="preserve"/>
      </w:r>
      <w:hyperlink w:anchor="who">
        <w:r>
          <w:rPr>
            <w:rStyle w:val="Text1"/>
          </w:rPr>
          <w:t/>
        </w:r>
      </w:hyperlink>
    </w:p>
    <w:p>
      <w:pPr>
        <w:pStyle w:val="Para 047"/>
      </w:pPr>
      <w:r>
        <w:rPr>
          <w:rStyle w:val="Text6"/>
        </w:rPr>
        <w:t xml:space="preserve">tổ chức, 79–80, 81–82, 90–91, 106, 162–163</w:t>
      </w:r>
      <w:hyperlink w:anchor="Overloaded">
        <w:r>
          <w:t/>
        </w:r>
      </w:hyperlink>
      <w:r>
        <w:rPr>
          <w:rStyle w:val="Text6"/>
        </w:rPr>
        <w:t xml:space="preserve"/>
      </w:r>
      <w:hyperlink w:anchor="Idea_5">
        <w:r>
          <w:t/>
        </w:r>
      </w:hyperlink>
      <w:r>
        <w:rPr>
          <w:rStyle w:val="Text6"/>
        </w:rPr>
        <w:t xml:space="preserve"/>
      </w:r>
      <w:hyperlink w:anchor="omega">
        <w:r>
          <w:t/>
        </w:r>
      </w:hyperlink>
      <w:r>
        <w:rPr>
          <w:rStyle w:val="Text6"/>
        </w:rPr>
        <w:t xml:space="preserve"/>
      </w:r>
      <w:hyperlink w:anchor="Examples_1">
        <w:r>
          <w:t/>
        </w:r>
      </w:hyperlink>
      <w:r>
        <w:rPr>
          <w:rStyle w:val="Text6"/>
        </w:rPr>
        <w:t xml:space="preserve"/>
      </w:r>
      <w:hyperlink w:anchor="Evaluation">
        <w:r>
          <w:t/>
        </w:r>
      </w:hyperlink>
    </w:p>
    <w:p>
      <w:pPr>
        <w:pStyle w:val="Para 001"/>
      </w:pPr>
      <w:r>
        <w:t>văn hóa tổ chức (organizational culture)</w:t>
      </w:r>
    </w:p>
    <w:p>
      <w:pPr>
        <w:pStyle w:val="Para 001"/>
      </w:pPr>
      <w:r>
        <w:t xml:space="preserve">ADT và, 82, 87, 88–89, 93–95</w:t>
      </w:r>
      <w:hyperlink w:anchor="Idea_6">
        <w:r>
          <w:rPr>
            <w:rStyle w:val="Text1"/>
          </w:rPr>
          <w:t/>
        </w:r>
      </w:hyperlink>
      <w:r>
        <w:t xml:space="preserve"/>
      </w:r>
      <w:hyperlink w:anchor="and_1">
        <w:r>
          <w:rPr>
            <w:rStyle w:val="Text1"/>
          </w:rPr>
          <w:t/>
        </w:r>
      </w:hyperlink>
      <w:r>
        <w:t xml:space="preserve"/>
      </w:r>
      <w:hyperlink w:anchor="means">
        <w:r>
          <w:rPr>
            <w:rStyle w:val="Text1"/>
          </w:rPr>
          <w:t/>
        </w:r>
      </w:hyperlink>
      <w:r>
        <w:t xml:space="preserve"/>
      </w:r>
      <w:hyperlink w:anchor="_2">
        <w:r>
          <w:rPr>
            <w:rStyle w:val="Text1"/>
          </w:rPr>
          <w:t/>
        </w:r>
      </w:hyperlink>
    </w:p>
    <w:p>
      <w:pPr>
        <w:pStyle w:val="Para 001"/>
      </w:pPr>
      <w:r>
        <w:t xml:space="preserve">của sự trao quyền, 40, 116–117</w:t>
      </w:r>
      <w:hyperlink w:anchor="Making">
        <w:r>
          <w:rPr>
            <w:rStyle w:val="Text1"/>
          </w:rPr>
          <w:t/>
        </w:r>
      </w:hyperlink>
      <w:r>
        <w:t xml:space="preserve"/>
      </w:r>
      <w:hyperlink w:anchor="their">
        <w:r>
          <w:rPr>
            <w:rStyle w:val="Text1"/>
          </w:rPr>
          <w:t/>
        </w:r>
      </w:hyperlink>
    </w:p>
    <w:p>
      <w:pPr>
        <w:pStyle w:val="Para 001"/>
      </w:pPr>
      <w:r>
        <w:t xml:space="preserve">quản lý năng lượng và, 65, 77–78</w:t>
      </w:r>
      <w:hyperlink w:anchor="continued">
        <w:r>
          <w:rPr>
            <w:rStyle w:val="Text1"/>
          </w:rPr>
          <w:t/>
        </w:r>
      </w:hyperlink>
      <w:r>
        <w:t xml:space="preserve"/>
      </w:r>
      <w:hyperlink w:anchor="are">
        <w:r>
          <w:rPr>
            <w:rStyle w:val="Text1"/>
          </w:rPr>
          <w:t/>
        </w:r>
      </w:hyperlink>
    </w:p>
    <w:p>
      <w:pPr>
        <w:pStyle w:val="Para 001"/>
      </w:pPr>
      <w:r>
        <w:t xml:space="preserve">sự hài hước và, 177</w:t>
      </w:r>
      <w:hyperlink w:anchor="Smile">
        <w:r>
          <w:rPr>
            <w:rStyle w:val="Text1"/>
          </w:rPr>
          <w:t/>
        </w:r>
      </w:hyperlink>
    </w:p>
    <w:p>
      <w:pPr>
        <w:pStyle w:val="Para 001"/>
      </w:pPr>
      <w:r>
        <w:t xml:space="preserve">lãnh đạo dưới áp lực và, 163–165</w:t>
      </w:r>
      <w:hyperlink w:anchor="and_5">
        <w:r>
          <w:rPr>
            <w:rStyle w:val="Text1"/>
          </w:rPr>
          <w:t/>
        </w:r>
      </w:hyperlink>
    </w:p>
    <w:p>
      <w:pPr>
        <w:pStyle w:val="Para 001"/>
      </w:pPr>
      <w:r>
        <w:t xml:space="preserve">khả năng phục hồi (resilience) và, 56–57, 59–60</w:t>
      </w:r>
      <w:hyperlink w:anchor="those">
        <w:r>
          <w:rPr>
            <w:rStyle w:val="Text1"/>
          </w:rPr>
          <w:t/>
        </w:r>
      </w:hyperlink>
      <w:r>
        <w:t xml:space="preserve"/>
      </w:r>
      <w:hyperlink w:anchor="Feynman">
        <w:r>
          <w:rPr>
            <w:rStyle w:val="Text1"/>
          </w:rPr>
          <w:t/>
        </w:r>
      </w:hyperlink>
    </w:p>
    <w:p>
      <w:pPr>
        <w:pStyle w:val="Para 001"/>
      </w:pPr>
      <w:r>
        <w:t xml:space="preserve">niềm tin vào, 28–29</w:t>
      </w:r>
      <w:hyperlink w:anchor="same">
        <w:r>
          <w:rPr>
            <w:rStyle w:val="Text1"/>
          </w:rPr>
          <w:t/>
        </w:r>
      </w:hyperlink>
    </w:p>
    <w:p>
      <w:pPr>
        <w:pStyle w:val="Para 001"/>
      </w:pPr>
      <w:r>
        <w:t xml:space="preserve">các giá trị và, 22–23</w:t>
      </w:r>
      <w:hyperlink w:anchor="abruptly">
        <w:r>
          <w:rPr>
            <w:rStyle w:val="Text1"/>
          </w:rPr>
          <w:t/>
        </w:r>
      </w:hyperlink>
    </w:p>
    <w:p>
      <w:pPr>
        <w:pStyle w:val="Para 029"/>
      </w:pPr>
      <w:r>
        <w:t xml:space="preserve">quá tải, 55, 70, 79–95, 92</w:t>
      </w:r>
      <w:hyperlink w:anchor="more">
        <w:r>
          <w:rPr>
            <w:rStyle w:val="Text1"/>
          </w:rPr>
          <w:t/>
        </w:r>
      </w:hyperlink>
      <w:r>
        <w:t xml:space="preserve"/>
      </w:r>
      <w:hyperlink w:anchor="20">
        <w:r>
          <w:rPr>
            <w:rStyle w:val="Text1"/>
          </w:rPr>
          <w:t/>
        </w:r>
      </w:hyperlink>
      <w:r>
        <w:t xml:space="preserve"/>
      </w:r>
      <w:hyperlink w:anchor="Overloaded">
        <w:r>
          <w:rPr>
            <w:rStyle w:val="Text1"/>
          </w:rPr>
          <w:t/>
        </w:r>
      </w:hyperlink>
      <w:r>
        <w:t xml:space="preserve"/>
      </w:r>
      <w:hyperlink w:anchor="Control">
        <w:r>
          <w:rPr>
            <w:rStyle w:val="Text1"/>
          </w:rPr>
          <w:t/>
        </w:r>
      </w:hyperlink>
    </w:p>
    <w:p>
      <w:pPr>
        <w:pStyle w:val="Para 066"/>
      </w:pPr>
      <w:r>
        <w:t>Con đường Ít kháng cự nhất (The Path of Least Resistance) (Fritz), 128–129</w:t>
      </w:r>
      <w:r>
        <w:rPr>
          <w:rStyle w:val="Text0"/>
        </w:rPr>
        <w:t xml:space="preserve"/>
      </w:r>
      <w:hyperlink w:anchor="Is">
        <w:r>
          <w:rPr>
            <w:rStyle w:val="Text12"/>
          </w:rPr>
          <w:t/>
        </w:r>
      </w:hyperlink>
    </w:p>
    <w:p>
      <w:pPr>
        <w:pStyle w:val="Para 001"/>
      </w:pPr>
      <w:r>
        <w:t xml:space="preserve">Patton, George, 20</w:t>
      </w:r>
      <w:hyperlink w:anchor="immediately">
        <w:r>
          <w:rPr>
            <w:rStyle w:val="Text1"/>
          </w:rPr>
          <w:t/>
        </w:r>
      </w:hyperlink>
    </w:p>
    <w:p>
      <w:pPr>
        <w:pStyle w:val="Para 001"/>
      </w:pPr>
      <w:r>
        <w:t>hiệu suất</w:t>
      </w:r>
    </w:p>
    <w:p>
      <w:pPr>
        <w:pStyle w:val="Para 001"/>
      </w:pPr>
      <w:r>
        <w:t xml:space="preserve">các phong cách cảm xúc và, 169–188</w:t>
      </w:r>
      <w:hyperlink w:anchor="Primal">
        <w:r>
          <w:rPr>
            <w:rStyle w:val="Text1"/>
          </w:rPr>
          <w:t/>
        </w:r>
      </w:hyperlink>
    </w:p>
    <w:p>
      <w:pPr>
        <w:pStyle w:val="Para 001"/>
      </w:pPr>
      <w:r>
        <w:t xml:space="preserve">quản lý năng lượng và, 62–66</w:t>
      </w:r>
      <w:hyperlink w:anchor="systematically">
        <w:r>
          <w:rPr>
            <w:rStyle w:val="Text1"/>
          </w:rPr>
          <w:t/>
        </w:r>
      </w:hyperlink>
    </w:p>
    <w:p>
      <w:pPr>
        <w:pStyle w:val="Para 001"/>
      </w:pPr>
      <w:r>
        <w:t xml:space="preserve">phân tích phản hồi (feedback analysis) và, 14</w:t>
      </w:r>
      <w:hyperlink w:anchor="so">
        <w:r>
          <w:rPr>
            <w:rStyle w:val="Text1"/>
          </w:rPr>
          <w:t/>
        </w:r>
      </w:hyperlink>
    </w:p>
    <w:p>
      <w:pPr>
        <w:pStyle w:val="Para 001"/>
      </w:pPr>
      <w:r>
        <w:t xml:space="preserve">lãnh đạo nền tảng và, 144–145</w:t>
      </w:r>
      <w:hyperlink w:anchor="identity">
        <w:r>
          <w:rPr>
            <w:rStyle w:val="Text1"/>
          </w:rPr>
          <w:t/>
        </w:r>
      </w:hyperlink>
    </w:p>
    <w:p>
      <w:pPr>
        <w:pStyle w:val="Para 001"/>
      </w:pPr>
      <w:r>
        <w:t xml:space="preserve">thời điểm trong ngày và, 91</w:t>
      </w:r>
      <w:hyperlink w:anchor="and_2">
        <w:r>
          <w:rPr>
            <w:rStyle w:val="Text1"/>
          </w:rPr>
          <w:t/>
        </w:r>
      </w:hyperlink>
    </w:p>
    <w:p>
      <w:pPr>
        <w:pStyle w:val="Para 001"/>
      </w:pPr>
      <w:r>
        <w:t xml:space="preserve">Lãnh đạo Toàn diện (Total Leadership) và, 99</w:t>
      </w:r>
      <w:hyperlink w:anchor="_3">
        <w:r>
          <w:rPr>
            <w:rStyle w:val="Text1"/>
          </w:rPr>
          <w:t/>
        </w:r>
      </w:hyperlink>
    </w:p>
    <w:p>
      <w:pPr>
        <w:pStyle w:val="Para 001"/>
      </w:pPr>
      <w:r>
        <w:t xml:space="preserve">các phong cách làm việc và, 16, 17–21</w:t>
      </w:r>
      <w:hyperlink w:anchor="Idea_1">
        <w:r>
          <w:rPr>
            <w:rStyle w:val="Text1"/>
          </w:rPr>
          <w:t/>
        </w:r>
      </w:hyperlink>
      <w:r>
        <w:t xml:space="preserve"/>
      </w:r>
      <w:hyperlink w:anchor="must">
        <w:r>
          <w:rPr>
            <w:rStyle w:val="Text1"/>
          </w:rPr>
          <w:t/>
        </w:r>
      </w:hyperlink>
    </w:p>
    <w:p>
      <w:pPr>
        <w:pStyle w:val="Para 001"/>
      </w:pPr>
      <w:r>
        <w:t xml:space="preserve">đánh giá hiệu suất, 158, 172–173. Xem thêm phản hồi</w:t>
      </w:r>
      <w:hyperlink w:anchor="experience">
        <w:r>
          <w:rPr>
            <w:rStyle w:val="Text1"/>
          </w:rPr>
          <w:t/>
        </w:r>
      </w:hyperlink>
      <w:r>
        <w:t xml:space="preserve"/>
      </w:r>
      <w:hyperlink w:anchor="No">
        <w:r>
          <w:rPr>
            <w:rStyle w:val="Text1"/>
          </w:rPr>
          <w:t/>
        </w:r>
      </w:hyperlink>
      <w:r>
        <w:t xml:space="preserve"/>
      </w:r>
      <w:r>
        <w:rPr>
          <w:rStyle w:val="Text0"/>
        </w:rPr>
        <w:t/>
      </w:r>
      <w:r>
        <w:t xml:space="preserve"/>
      </w:r>
    </w:p>
    <w:p>
      <w:pPr>
        <w:pStyle w:val="Para 001"/>
      </w:pPr>
      <w:r>
        <w:t xml:space="preserve">sự kiên trì, 74, 83</w:t>
      </w:r>
      <w:hyperlink w:anchor="Paris">
        <w:r>
          <w:rPr>
            <w:rStyle w:val="Text1"/>
          </w:rPr>
          <w:t/>
        </w:r>
      </w:hyperlink>
      <w:r>
        <w:t xml:space="preserve"/>
      </w:r>
      <w:hyperlink w:anchor="the">
        <w:r>
          <w:rPr>
            <w:rStyle w:val="Text1"/>
          </w:rPr>
          <w:t/>
        </w:r>
      </w:hyperlink>
    </w:p>
    <w:p>
      <w:pPr>
        <w:pStyle w:val="Para 001"/>
      </w:pPr>
      <w:r>
        <w:t xml:space="preserve">tính cách, 17–21, 151, 155, 165–166</w:t>
      </w:r>
      <w:hyperlink w:anchor="must">
        <w:r>
          <w:rPr>
            <w:rStyle w:val="Text1"/>
          </w:rPr>
          <w:t/>
        </w:r>
      </w:hyperlink>
      <w:r>
        <w:t xml:space="preserve"/>
      </w:r>
      <w:hyperlink w:anchor="page_151">
        <w:r>
          <w:rPr>
            <w:rStyle w:val="Text1"/>
          </w:rPr>
          <w:t/>
        </w:r>
      </w:hyperlink>
      <w:r>
        <w:t xml:space="preserve"/>
      </w:r>
      <w:hyperlink w:anchor="Have">
        <w:r>
          <w:rPr>
            <w:rStyle w:val="Text1"/>
          </w:rPr>
          <w:t/>
        </w:r>
      </w:hyperlink>
      <w:r>
        <w:t xml:space="preserve"/>
      </w:r>
      <w:hyperlink w:anchor="to_1">
        <w:r>
          <w:rPr>
            <w:rStyle w:val="Text1"/>
          </w:rPr>
          <w:t/>
        </w:r>
      </w:hyperlink>
    </w:p>
    <w:p>
      <w:pPr>
        <w:pStyle w:val="Para 001"/>
      </w:pPr>
      <w:r>
        <w:t xml:space="preserve">tính cách, 27–28</w:t>
      </w:r>
      <w:hyperlink w:anchor="values">
        <w:r>
          <w:rPr>
            <w:rStyle w:val="Text1"/>
          </w:rPr>
          <w:t/>
        </w:r>
      </w:hyperlink>
    </w:p>
    <w:p>
      <w:pPr>
        <w:pStyle w:val="Para 001"/>
      </w:pPr>
      <w:r>
        <w:t>chiến lược cá nhân</w:t>
      </w:r>
    </w:p>
    <w:p>
      <w:pPr>
        <w:pStyle w:val="Para 001"/>
      </w:pPr>
      <w:r>
        <w:t xml:space="preserve">quyết định nghề nghiệp của sinh viên và, 4–5, 6</w:t>
      </w:r>
      <w:hyperlink w:anchor="level">
        <w:r>
          <w:rPr>
            <w:rStyle w:val="Text1"/>
          </w:rPr>
          <w:t/>
        </w:r>
      </w:hyperlink>
      <w:r>
        <w:t xml:space="preserve"/>
      </w:r>
      <w:hyperlink w:anchor="students">
        <w:r>
          <w:rPr>
            <w:rStyle w:val="Text1"/>
          </w:rPr>
          <w:t/>
        </w:r>
      </w:hyperlink>
    </w:p>
    <w:p>
      <w:pPr>
        <w:pStyle w:val="Para 001"/>
      </w:pPr>
      <w:r>
        <w:t xml:space="preserve">tạo ra, 4–6</w:t>
      </w:r>
      <w:hyperlink w:anchor="level">
        <w:r>
          <w:rPr>
            <w:rStyle w:val="Text1"/>
          </w:rPr>
          <w:t/>
        </w:r>
      </w:hyperlink>
    </w:p>
    <w:p>
      <w:pPr>
        <w:pStyle w:val="Para 001"/>
      </w:pPr>
      <w:r>
        <w:t xml:space="preserve">sự khiêm tốn và, 11–12</w:t>
      </w:r>
      <w:hyperlink w:anchor="over">
        <w:r>
          <w:rPr>
            <w:rStyle w:val="Text1"/>
          </w:rPr>
          <w:t/>
        </w:r>
      </w:hyperlink>
    </w:p>
    <w:p>
      <w:pPr>
        <w:pStyle w:val="Para 001"/>
      </w:pPr>
      <w:r>
        <w:t xml:space="preserve">khái niệm chi phí cận biên (marginal costs) và cuộc sống chính trực trong, 3, 10–11</w:t>
      </w:r>
      <w:hyperlink w:anchor="Idea">
        <w:r>
          <w:rPr>
            <w:rStyle w:val="Text1"/>
          </w:rPr>
          <w:t/>
        </w:r>
      </w:hyperlink>
      <w:r>
        <w:t xml:space="preserve"/>
      </w:r>
      <w:hyperlink w:anchor="that">
        <w:r>
          <w:rPr>
            <w:rStyle w:val="Text1"/>
          </w:rPr>
          <w:t/>
        </w:r>
      </w:hyperlink>
    </w:p>
    <w:p>
      <w:pPr>
        <w:pStyle w:val="Para 001"/>
      </w:pPr>
      <w:r>
        <w:t xml:space="preserve">thước đo để đánh giá, 12</w:t>
      </w:r>
      <w:hyperlink w:anchor="Generally">
        <w:r>
          <w:rPr>
            <w:rStyle w:val="Text1"/>
          </w:rPr>
          <w:t/>
        </w:r>
      </w:hyperlink>
    </w:p>
    <w:p>
      <w:pPr>
        <w:pStyle w:val="Para 001"/>
      </w:pPr>
      <w:r>
        <w:t xml:space="preserve">động lực cho quyết định nghề nghiệp và, 3</w:t>
      </w:r>
      <w:hyperlink w:anchor="Idea">
        <w:r>
          <w:rPr>
            <w:rStyle w:val="Text1"/>
          </w:rPr>
          <w:t/>
        </w:r>
      </w:hyperlink>
    </w:p>
    <w:p>
      <w:pPr>
        <w:pStyle w:val="Para 001"/>
      </w:pPr>
      <w:r>
        <w:t xml:space="preserve">mục đích sống và, 4–5</w:t>
      </w:r>
      <w:hyperlink w:anchor="level">
        <w:r>
          <w:rPr>
            <w:rStyle w:val="Text1"/>
          </w:rPr>
          <w:t/>
        </w:r>
      </w:hyperlink>
    </w:p>
    <w:p>
      <w:pPr>
        <w:pStyle w:val="Para 001"/>
      </w:pPr>
      <w:r>
        <w:t xml:space="preserve">quyết định phân bổ nguồn lực và, 3, 4, 6–8</w:t>
      </w:r>
      <w:hyperlink w:anchor="Idea">
        <w:r>
          <w:rPr>
            <w:rStyle w:val="Text1"/>
          </w:rPr>
          <w:t/>
        </w:r>
      </w:hyperlink>
      <w:r>
        <w:t xml:space="preserve"/>
      </w:r>
      <w:hyperlink w:anchor="level">
        <w:r>
          <w:rPr>
            <w:rStyle w:val="Text1"/>
          </w:rPr>
          <w:t/>
        </w:r>
      </w:hyperlink>
      <w:r>
        <w:t xml:space="preserve"/>
      </w:r>
      <w:hyperlink w:anchor="students">
        <w:r>
          <w:rPr>
            <w:rStyle w:val="Text1"/>
          </w:rPr>
          <w:t/>
        </w:r>
      </w:hyperlink>
    </w:p>
    <w:p>
      <w:pPr>
        <w:pStyle w:val="Para 001"/>
      </w:pPr>
      <w:r>
        <w:t xml:space="preserve">góc nhìn (perspective), 50, 64, 71–72</w:t>
      </w:r>
      <w:hyperlink w:anchor="many">
        <w:r>
          <w:rPr>
            <w:rStyle w:val="Text1"/>
          </w:rPr>
          <w:t/>
        </w:r>
      </w:hyperlink>
      <w:r>
        <w:t xml:space="preserve"/>
      </w:r>
      <w:hyperlink w:anchor="training">
        <w:r>
          <w:rPr>
            <w:rStyle w:val="Text1"/>
          </w:rPr>
          <w:t/>
        </w:r>
      </w:hyperlink>
      <w:r>
        <w:t xml:space="preserve"/>
      </w:r>
      <w:hyperlink w:anchor="and">
        <w:r>
          <w:rPr>
            <w:rStyle w:val="Text1"/>
          </w:rPr>
          <w:t/>
        </w:r>
      </w:hyperlink>
    </w:p>
    <w:p>
      <w:pPr>
        <w:pStyle w:val="Para 001"/>
      </w:pPr>
      <w:r>
        <w:t xml:space="preserve">Phillip Morris, 57</w:t>
      </w:r>
      <w:hyperlink w:anchor="never">
        <w:r>
          <w:rPr>
            <w:rStyle w:val="Text1"/>
          </w:rPr>
          <w:t/>
        </w:r>
      </w:hyperlink>
    </w:p>
    <w:p>
      <w:pPr>
        <w:pStyle w:val="Para 001"/>
      </w:pPr>
      <w:r>
        <w:t xml:space="preserve">lập kế hoạch (planning), 82, 106</w:t>
      </w:r>
      <w:hyperlink w:anchor="Idea_6">
        <w:r>
          <w:rPr>
            <w:rStyle w:val="Text1"/>
          </w:rPr>
          <w:t/>
        </w:r>
      </w:hyperlink>
      <w:r>
        <w:t xml:space="preserve"/>
      </w:r>
      <w:hyperlink w:anchor="Examples_1">
        <w:r>
          <w:rPr>
            <w:rStyle w:val="Text1"/>
          </w:rPr>
          <w:t/>
        </w:r>
      </w:hyperlink>
    </w:p>
    <w:p>
      <w:pPr>
        <w:pStyle w:val="Para 001"/>
      </w:pPr>
      <w:r>
        <w:t xml:space="preserve">sự nghiệp (career), 26</w:t>
      </w:r>
      <w:hyperlink w:anchor="on">
        <w:r>
          <w:rPr>
            <w:rStyle w:val="Text1"/>
          </w:rPr>
          <w:t/>
        </w:r>
      </w:hyperlink>
    </w:p>
    <w:p>
      <w:pPr>
        <w:pStyle w:val="Para 001"/>
      </w:pPr>
      <w:r>
        <w:t xml:space="preserve">khả năng phục hồi (resilience) và, 53–54</w:t>
      </w:r>
      <w:hyperlink w:anchor="Like_1">
        <w:r>
          <w:rPr>
            <w:rStyle w:val="Text1"/>
          </w:rPr>
          <w:t/>
        </w:r>
      </w:hyperlink>
    </w:p>
    <w:p>
      <w:pPr>
        <w:pStyle w:val="Para 001"/>
      </w:pPr>
      <w:r>
        <w:t xml:space="preserve">cho sự nghiệp thứ hai, 30–31</w:t>
      </w:r>
      <w:hyperlink w:anchor="community">
        <w:r>
          <w:rPr>
            <w:rStyle w:val="Text1"/>
          </w:rPr>
          <w:t/>
        </w:r>
      </w:hyperlink>
    </w:p>
    <w:p>
      <w:pPr>
        <w:pStyle w:val="Para 047"/>
      </w:pPr>
      <w:r>
        <w:rPr>
          <w:rStyle w:val="Text6"/>
        </w:rPr>
        <w:t xml:space="preserve">kế nhiệm (succession), 151, 154–155, 160–161</w:t>
      </w:r>
      <w:hyperlink w:anchor="page_151">
        <w:r>
          <w:t/>
        </w:r>
      </w:hyperlink>
      <w:r>
        <w:rPr>
          <w:rStyle w:val="Text6"/>
        </w:rPr>
        <w:t xml:space="preserve"/>
      </w:r>
      <w:hyperlink w:anchor="Testing">
        <w:r>
          <w:t/>
        </w:r>
      </w:hyperlink>
      <w:r>
        <w:rPr>
          <w:rStyle w:val="Text6"/>
        </w:rPr>
        <w:t xml:space="preserve"/>
      </w:r>
      <w:hyperlink w:anchor="What_1">
        <w:r>
          <w:t/>
        </w:r>
      </w:hyperlink>
    </w:p>
    <w:p>
      <w:pPr>
        <w:pStyle w:val="Para 001"/>
      </w:pPr>
      <w:r>
        <w:t xml:space="preserve">Prahalad, C.K., 142</w:t>
      </w:r>
      <w:hyperlink w:anchor="A">
        <w:r>
          <w:rPr>
            <w:rStyle w:val="Text1"/>
          </w:rPr>
          <w:t/>
        </w:r>
      </w:hyperlink>
    </w:p>
    <w:p>
      <w:pPr>
        <w:pStyle w:val="Para 001"/>
      </w:pPr>
      <w:r>
        <w:t xml:space="preserve">lãnh đạo nguyên thủy (primal leadership), 169–188</w:t>
      </w:r>
      <w:hyperlink w:anchor="Primal">
        <w:r>
          <w:rPr>
            <w:rStyle w:val="Text1"/>
          </w:rPr>
          <w:t/>
        </w:r>
      </w:hyperlink>
    </w:p>
    <w:p>
      <w:pPr>
        <w:pStyle w:val="Para 001"/>
      </w:pPr>
      <w:r>
        <w:t xml:space="preserve">ưu tiên (priorities), 38, 107, 118</w:t>
      </w:r>
      <w:hyperlink w:anchor="in">
        <w:r>
          <w:rPr>
            <w:rStyle w:val="Text1"/>
          </w:rPr>
          <w:t/>
        </w:r>
      </w:hyperlink>
      <w:r>
        <w:t xml:space="preserve"/>
      </w:r>
      <w:hyperlink w:anchor="a">
        <w:r>
          <w:rPr>
            <w:rStyle w:val="Text1"/>
          </w:rPr>
          <w:t/>
        </w:r>
      </w:hyperlink>
      <w:r>
        <w:t xml:space="preserve"/>
      </w:r>
      <w:hyperlink w:anchor="day">
        <w:r>
          <w:rPr>
            <w:rStyle w:val="Text1"/>
          </w:rPr>
          <w:t/>
        </w:r>
      </w:hyperlink>
    </w:p>
    <w:p>
      <w:pPr>
        <w:pStyle w:val="Para 001"/>
      </w:pPr>
      <w:r>
        <w:t xml:space="preserve">ADT và, 79–80, 82, 91</w:t>
      </w:r>
      <w:hyperlink w:anchor="Overloaded">
        <w:r>
          <w:rPr>
            <w:rStyle w:val="Text1"/>
          </w:rPr>
          <w:t/>
        </w:r>
      </w:hyperlink>
      <w:r>
        <w:t xml:space="preserve"/>
      </w:r>
      <w:hyperlink w:anchor="Idea_6">
        <w:r>
          <w:rPr>
            <w:rStyle w:val="Text1"/>
          </w:rPr>
          <w:t/>
        </w:r>
      </w:hyperlink>
      <w:r>
        <w:t xml:space="preserve"/>
      </w:r>
      <w:hyperlink w:anchor="and_2">
        <w:r>
          <w:rPr>
            <w:rStyle w:val="Text1"/>
          </w:rPr>
          <w:t/>
        </w:r>
      </w:hyperlink>
    </w:p>
    <w:p>
      <w:pPr>
        <w:pStyle w:val="Para 001"/>
      </w:pPr>
      <w:r>
        <w:bookmarkStart w:id="239" w:name="energy"/>
        <w:t>quản lý năng lượng (energy management) và, 65, 73–74</w:t>
        <w:bookmarkEnd w:id="239"/>
        <w:t xml:space="preserve"/>
      </w:r>
      <w:hyperlink w:anchor="continued">
        <w:r>
          <w:rPr>
            <w:rStyle w:val="Text1"/>
          </w:rPr>
          <w:t/>
        </w:r>
      </w:hyperlink>
      <w:r>
        <w:t xml:space="preserve"/>
      </w:r>
      <w:hyperlink w:anchor="report">
        <w:r>
          <w:rPr>
            <w:rStyle w:val="Text1"/>
          </w:rPr>
          <w:t/>
        </w:r>
      </w:hyperlink>
    </w:p>
    <w:p>
      <w:pPr>
        <w:pStyle w:val="Para 001"/>
      </w:pPr>
      <w:r>
        <w:t xml:space="preserve">quản lý thời gian dựa trên, 150, 153, 155–157</w:t>
      </w:r>
      <w:hyperlink w:anchor="don_t">
        <w:r>
          <w:rPr>
            <w:rStyle w:val="Text1"/>
          </w:rPr>
          <w:t/>
        </w:r>
      </w:hyperlink>
      <w:r>
        <w:t xml:space="preserve"/>
      </w:r>
      <w:hyperlink w:anchor="national">
        <w:r>
          <w:rPr>
            <w:rStyle w:val="Text1"/>
          </w:rPr>
          <w:t/>
        </w:r>
      </w:hyperlink>
      <w:r>
        <w:t xml:space="preserve"/>
      </w:r>
      <w:hyperlink w:anchor="Have">
        <w:r>
          <w:rPr>
            <w:rStyle w:val="Text1"/>
          </w:rPr>
          <w:t/>
        </w:r>
      </w:hyperlink>
    </w:p>
    <w:p>
      <w:pPr>
        <w:pStyle w:val="Para 001"/>
      </w:pPr>
      <w:r>
        <w:t xml:space="preserve">tầm nhìn (vision) và, 149–153</w:t>
      </w:r>
      <w:hyperlink w:anchor="basic">
        <w:r>
          <w:rPr>
            <w:rStyle w:val="Text1"/>
          </w:rPr>
          <w:t/>
        </w:r>
      </w:hyperlink>
    </w:p>
    <w:p>
      <w:pPr>
        <w:pStyle w:val="Para 001"/>
      </w:pPr>
      <w:r>
        <w:t xml:space="preserve">trì hoãn (procrastination), 83, 91</w:t>
      </w:r>
      <w:hyperlink w:anchor="the">
        <w:r>
          <w:rPr>
            <w:rStyle w:val="Text1"/>
          </w:rPr>
          <w:t/>
        </w:r>
      </w:hyperlink>
      <w:r>
        <w:t xml:space="preserve"/>
      </w:r>
      <w:hyperlink w:anchor="and_2">
        <w:r>
          <w:rPr>
            <w:rStyle w:val="Text1"/>
          </w:rPr>
          <w:t/>
        </w:r>
      </w:hyperlink>
    </w:p>
    <w:p>
      <w:pPr>
        <w:pStyle w:val="Para 029"/>
      </w:pPr>
      <w:r>
        <w:t xml:space="preserve">năng suất (productivity), 15–16, 65–66, 72</w:t>
      </w:r>
      <w:hyperlink w:anchor="people">
        <w:r>
          <w:rPr>
            <w:rStyle w:val="Text1"/>
          </w:rPr>
          <w:t/>
        </w:r>
      </w:hyperlink>
      <w:r>
        <w:t xml:space="preserve"/>
      </w:r>
      <w:hyperlink w:anchor="continued">
        <w:r>
          <w:rPr>
            <w:rStyle w:val="Text1"/>
          </w:rPr>
          <w:t/>
        </w:r>
      </w:hyperlink>
      <w:r>
        <w:t xml:space="preserve"/>
      </w:r>
      <w:hyperlink w:anchor="With">
        <w:r>
          <w:rPr>
            <w:rStyle w:val="Text1"/>
          </w:rPr>
          <w:t/>
        </w:r>
      </w:hyperlink>
    </w:p>
    <w:p>
      <w:pPr>
        <w:pStyle w:val="Para 001"/>
      </w:pPr>
      <w:r>
        <w:t xml:space="preserve">người đọc so với người nghe, 18–19</w:t>
      </w:r>
      <w:hyperlink w:anchor="Like">
        <w:r>
          <w:rPr>
            <w:rStyle w:val="Text1"/>
          </w:rPr>
          <w:t/>
        </w:r>
      </w:hyperlink>
    </w:p>
    <w:p>
      <w:pPr>
        <w:pStyle w:val="Para 001"/>
      </w:pPr>
      <w:r>
        <w:t xml:space="preserve">thực tế, đối mặt với, 49, 50, 52–54</w:t>
      </w:r>
      <w:hyperlink w:anchor="Idea_3">
        <w:r>
          <w:rPr>
            <w:rStyle w:val="Text1"/>
          </w:rPr>
          <w:t/>
        </w:r>
      </w:hyperlink>
      <w:r>
        <w:t xml:space="preserve"/>
      </w:r>
      <w:hyperlink w:anchor="many">
        <w:r>
          <w:rPr>
            <w:rStyle w:val="Text1"/>
          </w:rPr>
          <w:t/>
        </w:r>
      </w:hyperlink>
      <w:r>
        <w:t xml:space="preserve"/>
      </w:r>
      <w:hyperlink w:anchor="people_1">
        <w:r>
          <w:rPr>
            <w:rStyle w:val="Text1"/>
          </w:rPr>
          <w:t/>
        </w:r>
      </w:hyperlink>
    </w:p>
    <w:p>
      <w:pPr>
        <w:pStyle w:val="Para 001"/>
      </w:pPr>
      <w:r>
        <w:t xml:space="preserve">suy ngẫm (reflection), 100, 106</w:t>
      </w:r>
      <w:hyperlink w:anchor="The_1">
        <w:r>
          <w:rPr>
            <w:rStyle w:val="Text1"/>
          </w:rPr>
          <w:t/>
        </w:r>
      </w:hyperlink>
      <w:r>
        <w:t xml:space="preserve"/>
      </w:r>
      <w:hyperlink w:anchor="Examples_1">
        <w:r>
          <w:rPr>
            <w:rStyle w:val="Text1"/>
          </w:rPr>
          <w:t/>
        </w:r>
      </w:hyperlink>
    </w:p>
    <w:p>
      <w:pPr>
        <w:pStyle w:val="Para 001"/>
      </w:pPr>
      <w:r>
        <w:t xml:space="preserve">quản lý mối quan hệ (relationship management), 17, 26–29, 50</w:t>
      </w:r>
      <w:hyperlink w:anchor="must">
        <w:r>
          <w:rPr>
            <w:rStyle w:val="Text1"/>
          </w:rPr>
          <w:t/>
        </w:r>
      </w:hyperlink>
      <w:r>
        <w:t xml:space="preserve"/>
      </w:r>
      <w:hyperlink w:anchor="on">
        <w:r>
          <w:rPr>
            <w:rStyle w:val="Text1"/>
          </w:rPr>
          <w:t/>
        </w:r>
      </w:hyperlink>
      <w:r>
        <w:t xml:space="preserve"/>
      </w:r>
      <w:hyperlink w:anchor="many">
        <w:r>
          <w:rPr>
            <w:rStyle w:val="Text1"/>
          </w:rPr>
          <w:t/>
        </w:r>
      </w:hyperlink>
    </w:p>
    <w:p>
      <w:pPr>
        <w:pStyle w:val="Para 001"/>
      </w:pPr>
      <w:r>
        <w:t xml:space="preserve">ADT và, 88–89</w:t>
      </w:r>
      <w:hyperlink w:anchor="means">
        <w:r>
          <w:rPr>
            <w:rStyle w:val="Text1"/>
          </w:rPr>
          <w:t/>
        </w:r>
      </w:hyperlink>
    </w:p>
    <w:p>
      <w:pPr>
        <w:pStyle w:val="Para 001"/>
      </w:pPr>
      <w:r>
        <w:t xml:space="preserve">năng lượng cảm xúc (emotional energy) và, 70</w:t>
      </w:r>
      <w:hyperlink w:anchor="20">
        <w:r>
          <w:rPr>
            <w:rStyle w:val="Text1"/>
          </w:rPr>
          <w:t/>
        </w:r>
      </w:hyperlink>
    </w:p>
    <w:p>
      <w:pPr>
        <w:pStyle w:val="Para 001"/>
      </w:pPr>
      <w:r>
        <w:t xml:space="preserve">lãnh đạo cảm xúc (emotional leadership) và, 178–179</w:t>
      </w:r>
      <w:hyperlink w:anchor="who">
        <w:r>
          <w:rPr>
            <w:rStyle w:val="Text1"/>
          </w:rPr>
          <w:t/>
        </w:r>
      </w:hyperlink>
    </w:p>
    <w:p>
      <w:pPr>
        <w:pStyle w:val="Para 001"/>
      </w:pPr>
      <w:r>
        <w:t xml:space="preserve">quản lý năng lượng (energy management) và, 65</w:t>
      </w:r>
      <w:hyperlink w:anchor="continued">
        <w:r>
          <w:rPr>
            <w:rStyle w:val="Text1"/>
          </w:rPr>
          <w:t/>
        </w:r>
      </w:hyperlink>
    </w:p>
    <w:p>
      <w:pPr>
        <w:pStyle w:val="Para 001"/>
      </w:pPr>
      <w:r>
        <w:t xml:space="preserve">bày tỏ sự trân trọng và, 64, 71</w:t>
      </w:r>
      <w:hyperlink w:anchor="training">
        <w:r>
          <w:rPr>
            <w:rStyle w:val="Text1"/>
          </w:rPr>
          <w:t/>
        </w:r>
      </w:hyperlink>
      <w:r>
        <w:t xml:space="preserve"/>
      </w:r>
      <w:hyperlink w:anchor="and">
        <w:r>
          <w:rPr>
            <w:rStyle w:val="Text1"/>
          </w:rPr>
          <w:t/>
        </w:r>
      </w:hyperlink>
    </w:p>
    <w:p>
      <w:pPr>
        <w:pStyle w:val="Para 001"/>
      </w:pPr>
      <w:r>
        <w:t xml:space="preserve">lãnh đạo nền tảng (fundamental leadership) và, 129–130, 140–141</w:t>
      </w:r>
      <w:hyperlink w:anchor="create">
        <w:r>
          <w:rPr>
            <w:rStyle w:val="Text1"/>
          </w:rPr>
          <w:t/>
        </w:r>
      </w:hyperlink>
      <w:r>
        <w:t xml:space="preserve"/>
      </w:r>
      <w:hyperlink w:anchor="_5">
        <w:r>
          <w:rPr>
            <w:rStyle w:val="Text1"/>
          </w:rPr>
          <w:t/>
        </w:r>
      </w:hyperlink>
    </w:p>
    <w:p>
      <w:pPr>
        <w:pStyle w:val="Para 001"/>
      </w:pPr>
      <w:r>
        <w:t xml:space="preserve">khoa học thần kinh (neuroscience) và, 174, 176</w:t>
      </w:r>
      <w:hyperlink w:anchor="Our">
        <w:r>
          <w:rPr>
            <w:rStyle w:val="Text1"/>
          </w:rPr>
          <w:t/>
        </w:r>
      </w:hyperlink>
      <w:r>
        <w:t xml:space="preserve"/>
      </w:r>
      <w:hyperlink w:anchor="open">
        <w:r>
          <w:rPr>
            <w:rStyle w:val="Text1"/>
          </w:rPr>
          <w:t/>
        </w:r>
      </w:hyperlink>
    </w:p>
    <w:p>
      <w:pPr>
        <w:pStyle w:val="Para 001"/>
      </w:pPr>
      <w:r>
        <w:t xml:space="preserve">phòng tái tạo năng lượng (renewal rooms), 65, 77</w:t>
      </w:r>
      <w:hyperlink w:anchor="continued">
        <w:r>
          <w:rPr>
            <w:rStyle w:val="Text1"/>
          </w:rPr>
          <w:t/>
        </w:r>
      </w:hyperlink>
      <w:r>
        <w:t xml:space="preserve"/>
      </w:r>
      <w:hyperlink w:anchor="are">
        <w:r>
          <w:rPr>
            <w:rStyle w:val="Text1"/>
          </w:rPr>
          <w:t/>
        </w:r>
      </w:hyperlink>
    </w:p>
    <w:p>
      <w:pPr>
        <w:pStyle w:val="Para 001"/>
      </w:pPr>
      <w:r>
        <w:t xml:space="preserve">Rescorla, Rick, 53–54</w:t>
      </w:r>
      <w:hyperlink w:anchor="Like_1">
        <w:r>
          <w:rPr>
            <w:rStyle w:val="Text1"/>
          </w:rPr>
          <w:t/>
        </w:r>
      </w:hyperlink>
    </w:p>
    <w:p>
      <w:pPr>
        <w:pStyle w:val="Para 001"/>
      </w:pPr>
      <w:r>
        <w:t xml:space="preserve">khả năng phục hồi (resilience), 47–60</w:t>
      </w:r>
      <w:hyperlink w:anchor="How_1">
        <w:r>
          <w:rPr>
            <w:rStyle w:val="Text1"/>
          </w:rPr>
          <w:t/>
        </w:r>
      </w:hyperlink>
    </w:p>
    <w:p>
      <w:pPr>
        <w:pStyle w:val="Para 001"/>
      </w:pPr>
      <w:r>
        <w:t xml:space="preserve">bàn tán xôn xao về, 48–52</w:t>
      </w:r>
      <w:hyperlink w:anchor="layoff">
        <w:r>
          <w:rPr>
            <w:rStyle w:val="Text1"/>
          </w:rPr>
          <w:t/>
        </w:r>
      </w:hyperlink>
    </w:p>
    <w:p>
      <w:pPr>
        <w:pStyle w:val="Para 001"/>
      </w:pPr>
      <w:r>
        <w:t xml:space="preserve">đối mặt với thực tế và, 49, 50, 52–54</w:t>
      </w:r>
      <w:hyperlink w:anchor="Idea_3">
        <w:r>
          <w:rPr>
            <w:rStyle w:val="Text1"/>
          </w:rPr>
          <w:t/>
        </w:r>
      </w:hyperlink>
      <w:r>
        <w:t xml:space="preserve"/>
      </w:r>
      <w:hyperlink w:anchor="many">
        <w:r>
          <w:rPr>
            <w:rStyle w:val="Text1"/>
          </w:rPr>
          <w:t/>
        </w:r>
      </w:hyperlink>
      <w:r>
        <w:t xml:space="preserve"/>
      </w:r>
      <w:hyperlink w:anchor="people_1">
        <w:r>
          <w:rPr>
            <w:rStyle w:val="Text1"/>
          </w:rPr>
          <w:t/>
        </w:r>
      </w:hyperlink>
    </w:p>
    <w:p>
      <w:pPr>
        <w:pStyle w:val="Para 001"/>
      </w:pPr>
      <w:r>
        <w:t xml:space="preserve">tìm kiếm ý nghĩa và, 49, 50–51, 54–57</w:t>
      </w:r>
      <w:hyperlink w:anchor="Idea_3">
        <w:r>
          <w:rPr>
            <w:rStyle w:val="Text1"/>
          </w:rPr>
          <w:t/>
        </w:r>
      </w:hyperlink>
      <w:r>
        <w:t xml:space="preserve"/>
      </w:r>
      <w:hyperlink w:anchor="many">
        <w:r>
          <w:rPr>
            <w:rStyle w:val="Text1"/>
          </w:rPr>
          <w:t/>
        </w:r>
      </w:hyperlink>
      <w:r>
        <w:t xml:space="preserve"/>
      </w:r>
      <w:hyperlink w:anchor="in_1">
        <w:r>
          <w:rPr>
            <w:rStyle w:val="Text1"/>
          </w:rPr>
          <w:t/>
        </w:r>
      </w:hyperlink>
    </w:p>
    <w:p>
      <w:pPr>
        <w:pStyle w:val="Para 001"/>
      </w:pPr>
      <w:r>
        <w:t xml:space="preserve">sự ứng biến (improvisation) và, 49, 51, 57–60</w:t>
      </w:r>
      <w:hyperlink w:anchor="Idea_3">
        <w:r>
          <w:rPr>
            <w:rStyle w:val="Text1"/>
          </w:rPr>
          <w:t/>
        </w:r>
      </w:hyperlink>
      <w:r>
        <w:t xml:space="preserve"/>
      </w:r>
      <w:hyperlink w:anchor="groups">
        <w:r>
          <w:rPr>
            <w:rStyle w:val="Text1"/>
          </w:rPr>
          <w:t/>
        </w:r>
      </w:hyperlink>
      <w:r>
        <w:t xml:space="preserve"/>
      </w:r>
      <w:hyperlink w:anchor="never">
        <w:r>
          <w:rPr>
            <w:rStyle w:val="Text1"/>
          </w:rPr>
          <w:t/>
        </w:r>
      </w:hyperlink>
    </w:p>
    <w:p>
      <w:pPr>
        <w:pStyle w:val="Para 001"/>
      </w:pPr>
      <w:r>
        <w:t xml:space="preserve">nghiên cứu về, 49–52</w:t>
      </w:r>
      <w:hyperlink w:anchor="Idea_3">
        <w:r>
          <w:rPr>
            <w:rStyle w:val="Text1"/>
          </w:rPr>
          <w:t/>
        </w:r>
      </w:hyperlink>
    </w:p>
    <w:p>
      <w:pPr>
        <w:pStyle w:val="Para 001"/>
      </w:pPr>
      <w:r>
        <w:t xml:space="preserve">sự cộng hưởng (resonance), 178, 179, 185</w:t>
      </w:r>
      <w:hyperlink w:anchor="who">
        <w:r>
          <w:rPr>
            <w:rStyle w:val="Text1"/>
          </w:rPr>
          <w:t/>
        </w:r>
      </w:hyperlink>
      <w:r>
        <w:t xml:space="preserve"/>
      </w:r>
      <w:hyperlink w:anchor="conflicts">
        <w:r>
          <w:rPr>
            <w:rStyle w:val="Text1"/>
          </w:rPr>
          <w:t/>
        </w:r>
      </w:hyperlink>
      <w:r>
        <w:t xml:space="preserve"/>
      </w:r>
      <w:hyperlink w:anchor="Resonance">
        <w:r>
          <w:rPr>
            <w:rStyle w:val="Text1"/>
          </w:rPr>
          <w:t/>
        </w:r>
      </w:hyperlink>
    </w:p>
    <w:p>
      <w:pPr>
        <w:pStyle w:val="Para 001"/>
      </w:pPr>
      <w:r>
        <w:t xml:space="preserve">nguồn lực, tạo ra, 116, 118–119, 121–124</w:t>
      </w:r>
      <w:hyperlink w:anchor="their">
        <w:r>
          <w:rPr>
            <w:rStyle w:val="Text1"/>
          </w:rPr>
          <w:t/>
        </w:r>
      </w:hyperlink>
      <w:r>
        <w:t xml:space="preserve"/>
      </w:r>
      <w:hyperlink w:anchor="day">
        <w:r>
          <w:rPr>
            <w:rStyle w:val="Text1"/>
          </w:rPr>
          <w:t/>
        </w:r>
      </w:hyperlink>
      <w:r>
        <w:t xml:space="preserve"/>
      </w:r>
      <w:hyperlink w:anchor="Finally">
        <w:r>
          <w:rPr>
            <w:rStyle w:val="Text1"/>
          </w:rPr>
          <w:t/>
        </w:r>
      </w:hyperlink>
    </w:p>
    <w:p>
      <w:pPr>
        <w:pStyle w:val="Para 001"/>
      </w:pPr>
      <w:r>
        <w:t xml:space="preserve">trách nhiệm, 34–42, 40</w:t>
      </w:r>
      <w:hyperlink w:anchor="To">
        <w:r>
          <w:rPr>
            <w:rStyle w:val="Text1"/>
          </w:rPr>
          <w:t/>
        </w:r>
      </w:hyperlink>
      <w:r>
        <w:t xml:space="preserve"/>
      </w:r>
      <w:hyperlink w:anchor="Making">
        <w:r>
          <w:rPr>
            <w:rStyle w:val="Text1"/>
          </w:rPr>
          <w:t/>
        </w:r>
      </w:hyperlink>
    </w:p>
    <w:p>
      <w:pPr>
        <w:pStyle w:val="Para 047"/>
      </w:pPr>
      <w:r>
        <w:rPr>
          <w:rStyle w:val="Text6"/>
        </w:rPr>
        <w:t xml:space="preserve">kết quả, 25–26, 128–129, 138–140</w:t>
      </w:r>
      <w:hyperlink w:anchor="be">
        <w:r>
          <w:t/>
        </w:r>
      </w:hyperlink>
      <w:r>
        <w:rPr>
          <w:rStyle w:val="Text6"/>
        </w:rPr>
        <w:t xml:space="preserve"/>
      </w:r>
      <w:hyperlink w:anchor="Is">
        <w:r>
          <w:t/>
        </w:r>
      </w:hyperlink>
      <w:r>
        <w:rPr>
          <w:rStyle w:val="Text6"/>
        </w:rPr>
        <w:t xml:space="preserve"/>
      </w:r>
      <w:hyperlink w:anchor="around">
        <w:r>
          <w:t/>
        </w:r>
      </w:hyperlink>
    </w:p>
    <w:p>
      <w:pPr>
        <w:pStyle w:val="Para 001"/>
      </w:pPr>
      <w:r>
        <w:t xml:space="preserve">phần thưởng, 41</w:t>
      </w:r>
      <w:hyperlink w:anchor="Oncken_s">
        <w:r>
          <w:rPr>
            <w:rStyle w:val="Text1"/>
          </w:rPr>
          <w:t/>
        </w:r>
      </w:hyperlink>
    </w:p>
    <w:p>
      <w:pPr>
        <w:pStyle w:val="Para 001"/>
      </w:pPr>
      <w:r>
        <w:t xml:space="preserve">Riggio, Ronald, 176</w:t>
      </w:r>
      <w:hyperlink w:anchor="open">
        <w:r>
          <w:rPr>
            <w:rStyle w:val="Text1"/>
          </w:rPr>
          <w:t/>
        </w:r>
      </w:hyperlink>
    </w:p>
    <w:p>
      <w:pPr>
        <w:pStyle w:val="Para 047"/>
      </w:pPr>
      <w:r>
        <w:rPr>
          <w:rStyle w:val="Text6"/>
        </w:rPr>
        <w:t xml:space="preserve">nghi thức (rituals), 57–60, 63, 64–65, 67, 69, 70–76</w:t>
      </w:r>
      <w:hyperlink w:anchor="never">
        <w:r>
          <w:t/>
        </w:r>
      </w:hyperlink>
      <w:r>
        <w:rPr>
          <w:rStyle w:val="Text6"/>
        </w:rPr>
        <w:t xml:space="preserve"/>
      </w:r>
      <w:hyperlink w:anchor="Idea_4">
        <w:r>
          <w:t/>
        </w:r>
      </w:hyperlink>
      <w:r>
        <w:rPr>
          <w:rStyle w:val="Text6"/>
        </w:rPr>
        <w:t xml:space="preserve"/>
      </w:r>
      <w:hyperlink w:anchor="training">
        <w:r>
          <w:t/>
        </w:r>
      </w:hyperlink>
      <w:r>
        <w:rPr>
          <w:rStyle w:val="Text6"/>
        </w:rPr>
        <w:t xml:space="preserve"/>
      </w:r>
      <w:hyperlink w:anchor="emotions">
        <w:r>
          <w:t/>
        </w:r>
      </w:hyperlink>
      <w:r>
        <w:rPr>
          <w:rStyle w:val="Text6"/>
        </w:rPr>
        <w:t xml:space="preserve"/>
      </w:r>
      <w:hyperlink w:anchor="_1">
        <w:r>
          <w:t/>
        </w:r>
      </w:hyperlink>
      <w:r>
        <w:rPr>
          <w:rStyle w:val="Text6"/>
        </w:rPr>
        <w:t xml:space="preserve"/>
      </w:r>
      <w:hyperlink w:anchor="20">
        <w:r>
          <w:t/>
        </w:r>
      </w:hyperlink>
    </w:p>
    <w:p>
      <w:pPr>
        <w:pStyle w:val="Para 029"/>
      </w:pPr>
      <w:r>
        <w:t xml:space="preserve">Roosevelt, Franklin D., 18</w:t>
      </w:r>
      <w:hyperlink w:anchor="Like">
        <w:r>
          <w:rPr>
            <w:rStyle w:val="Text1"/>
          </w:rPr>
          <w:t/>
        </w:r>
      </w:hyperlink>
    </w:p>
    <w:p>
      <w:pPr>
        <w:pStyle w:val="Para 001"/>
      </w:pPr>
      <w:r>
        <w:t xml:space="preserve">Saavedra, Richard, 177</w:t>
      </w:r>
      <w:hyperlink w:anchor="Smile">
        <w:r>
          <w:rPr>
            <w:rStyle w:val="Text1"/>
          </w:rPr>
          <w:t/>
        </w:r>
      </w:hyperlink>
    </w:p>
    <w:p>
      <w:pPr>
        <w:pStyle w:val="Para 001"/>
      </w:pPr>
      <w:r>
        <w:t xml:space="preserve">Salzberg, Matt, 6–7</w:t>
      </w:r>
      <w:hyperlink w:anchor="students">
        <w:r>
          <w:rPr>
            <w:rStyle w:val="Text1"/>
          </w:rPr>
          <w:t/>
        </w:r>
      </w:hyperlink>
    </w:p>
    <w:p>
      <w:pPr>
        <w:pStyle w:val="Para 001"/>
      </w:pPr>
      <w:r>
        <w:t xml:space="preserve">SAS Institute, 82, 94</w:t>
      </w:r>
      <w:hyperlink w:anchor="Idea_6">
        <w:r>
          <w:rPr>
            <w:rStyle w:val="Text1"/>
          </w:rPr>
          <w:t/>
        </w:r>
      </w:hyperlink>
      <w:r>
        <w:t xml:space="preserve"/>
      </w:r>
      <w:hyperlink w:anchor="those_1">
        <w:r>
          <w:rPr>
            <w:rStyle w:val="Text1"/>
          </w:rPr>
          <w:t/>
        </w:r>
      </w:hyperlink>
    </w:p>
    <w:p>
      <w:pPr>
        <w:pStyle w:val="Para 001"/>
      </w:pPr>
      <w:r>
        <w:t xml:space="preserve">sự hài lòng, 99</w:t>
      </w:r>
      <w:hyperlink w:anchor="_3">
        <w:r>
          <w:rPr>
            <w:rStyle w:val="Text1"/>
          </w:rPr>
          <w:t/>
        </w:r>
      </w:hyperlink>
    </w:p>
    <w:p>
      <w:pPr>
        <w:pStyle w:val="Para 001"/>
      </w:pPr>
      <w:r>
        <w:t xml:space="preserve">Sattelberger, Thomas, 118–119, 121–124, 126</w:t>
      </w:r>
      <w:hyperlink w:anchor="day">
        <w:r>
          <w:rPr>
            <w:rStyle w:val="Text1"/>
          </w:rPr>
          <w:t/>
        </w:r>
      </w:hyperlink>
      <w:r>
        <w:t xml:space="preserve"/>
      </w:r>
      <w:hyperlink w:anchor="Finally">
        <w:r>
          <w:rPr>
            <w:rStyle w:val="Text1"/>
          </w:rPr>
          <w:t/>
        </w:r>
      </w:hyperlink>
      <w:r>
        <w:t xml:space="preserve"/>
      </w:r>
      <w:hyperlink w:anchor="celebrate">
        <w:r>
          <w:rPr>
            <w:rStyle w:val="Text1"/>
          </w:rPr>
          <w:t/>
        </w:r>
      </w:hyperlink>
    </w:p>
    <w:p>
      <w:pPr>
        <w:pStyle w:val="Para 001"/>
      </w:pPr>
      <w:r>
        <w:t xml:space="preserve">Savageau, Daniel, 48–49</w:t>
      </w:r>
      <w:hyperlink w:anchor="layoff">
        <w:r>
          <w:rPr>
            <w:rStyle w:val="Text1"/>
          </w:rPr>
          <w:t/>
        </w:r>
      </w:hyperlink>
    </w:p>
    <w:p>
      <w:pPr>
        <w:pStyle w:val="Para 001"/>
      </w:pPr>
      <w:r>
        <w:t xml:space="preserve">Schein, Edgar, 9</w:t>
      </w:r>
      <w:hyperlink w:anchor="Many">
        <w:r>
          <w:rPr>
            <w:rStyle w:val="Text1"/>
          </w:rPr>
          <w:t/>
        </w:r>
      </w:hyperlink>
    </w:p>
    <w:p>
      <w:pPr>
        <w:pStyle w:val="Para 001"/>
      </w:pPr>
      <w:r>
        <w:t xml:space="preserve">Schmidt, Claus, 47–48, 60</w:t>
      </w:r>
      <w:hyperlink w:anchor="How_1">
        <w:r>
          <w:rPr>
            <w:rStyle w:val="Text1"/>
          </w:rPr>
          <w:t/>
        </w:r>
      </w:hyperlink>
      <w:r>
        <w:t xml:space="preserve"/>
      </w:r>
      <w:hyperlink w:anchor="Andrew">
        <w:r>
          <w:rPr>
            <w:rStyle w:val="Text1"/>
          </w:rPr>
          <w:t/>
        </w:r>
      </w:hyperlink>
    </w:p>
    <w:p>
      <w:pPr>
        <w:pStyle w:val="Para 001"/>
      </w:pPr>
      <w:r>
        <w:t xml:space="preserve">Schulman, Peter, 174</w:t>
      </w:r>
      <w:hyperlink w:anchor="Our">
        <w:r>
          <w:rPr>
            <w:rStyle w:val="Text1"/>
          </w:rPr>
          <w:t/>
        </w:r>
      </w:hyperlink>
    </w:p>
    <w:p>
      <w:pPr>
        <w:pStyle w:val="Para 001"/>
      </w:pPr>
      <w:r>
        <w:t xml:space="preserve">Schwartz, Tony, 61–78</w:t>
      </w:r>
      <w:hyperlink w:anchor="Manage">
        <w:r>
          <w:rPr>
            <w:rStyle w:val="Text1"/>
          </w:rPr>
          <w:t/>
        </w:r>
      </w:hyperlink>
    </w:p>
    <w:p>
      <w:pPr>
        <w:pStyle w:val="Para 001"/>
      </w:pPr>
      <w:r>
        <w:t xml:space="preserve">bảng điểm cân bằng (scorecards), 109, 110–111</w:t>
      </w:r>
      <w:hyperlink w:anchor="other">
        <w:r>
          <w:rPr>
            <w:rStyle w:val="Text1"/>
          </w:rPr>
          <w:t/>
        </w:r>
      </w:hyperlink>
      <w:r>
        <w:t xml:space="preserve"/>
      </w:r>
      <w:hyperlink w:anchor="How_4">
        <w:r>
          <w:rPr>
            <w:rStyle w:val="Text1"/>
          </w:rPr>
          <w:t/>
        </w:r>
      </w:hyperlink>
    </w:p>
    <w:p>
      <w:pPr>
        <w:pStyle w:val="Para 001"/>
      </w:pPr>
      <w:r>
        <w:t xml:space="preserve">Scott, Robert G., 54</w:t>
      </w:r>
      <w:hyperlink w:anchor="in_1">
        <w:r>
          <w:rPr>
            <w:rStyle w:val="Text1"/>
          </w:rPr>
          <w:t/>
        </w:r>
      </w:hyperlink>
    </w:p>
    <w:p>
      <w:pPr>
        <w:pStyle w:val="Para 001"/>
      </w:pPr>
      <w:r>
        <w:t xml:space="preserve">Search Institute, 51</w:t>
      </w:r>
      <w:hyperlink w:anchor="groups">
        <w:r>
          <w:rPr>
            <w:rStyle w:val="Text1"/>
          </w:rPr>
          <w:t/>
        </w:r>
      </w:hyperlink>
    </w:p>
    <w:p>
      <w:pPr>
        <w:pStyle w:val="Para 001"/>
      </w:pPr>
      <w:r>
        <w:t xml:space="preserve">tự đánh giá, 147–167</w:t>
      </w:r>
      <w:hyperlink w:anchor="What">
        <w:r>
          <w:rPr>
            <w:rStyle w:val="Text1"/>
          </w:rPr>
          <w:t/>
        </w:r>
      </w:hyperlink>
    </w:p>
    <w:p>
      <w:pPr>
        <w:pStyle w:val="Para 001"/>
      </w:pPr>
      <w:r>
        <w:t xml:space="preserve">về sự liên kết (alignment), 151, 155, 162–163</w:t>
      </w:r>
      <w:hyperlink w:anchor="page_151">
        <w:r>
          <w:rPr>
            <w:rStyle w:val="Text1"/>
          </w:rPr>
          <w:t/>
        </w:r>
      </w:hyperlink>
      <w:r>
        <w:t xml:space="preserve"/>
      </w:r>
      <w:hyperlink w:anchor="Have">
        <w:r>
          <w:rPr>
            <w:rStyle w:val="Text1"/>
          </w:rPr>
          <w:t/>
        </w:r>
      </w:hyperlink>
      <w:r>
        <w:t xml:space="preserve"/>
      </w:r>
      <w:hyperlink w:anchor="Evaluation">
        <w:r>
          <w:rPr>
            <w:rStyle w:val="Text1"/>
          </w:rPr>
          <w:t/>
        </w:r>
      </w:hyperlink>
    </w:p>
    <w:p>
      <w:pPr>
        <w:pStyle w:val="Para 001"/>
      </w:pPr>
      <w:r>
        <w:t xml:space="preserve">về những đóng góp, 16, 25–26</w:t>
      </w:r>
      <w:hyperlink w:anchor="Idea_1">
        <w:r>
          <w:rPr>
            <w:rStyle w:val="Text1"/>
          </w:rPr>
          <w:t/>
        </w:r>
      </w:hyperlink>
      <w:r>
        <w:t xml:space="preserve"/>
      </w:r>
      <w:hyperlink w:anchor="be">
        <w:r>
          <w:rPr>
            <w:rStyle w:val="Text1"/>
          </w:rPr>
          <w:t/>
        </w:r>
      </w:hyperlink>
    </w:p>
    <w:p>
      <w:pPr>
        <w:pStyle w:val="Para 001"/>
      </w:pPr>
      <w:r>
        <w:t xml:space="preserve">phản hồi trong, 147, 149, 150, 154, 157–160</w:t>
      </w:r>
      <w:hyperlink w:anchor="What">
        <w:r>
          <w:rPr>
            <w:rStyle w:val="Text1"/>
          </w:rPr>
          <w:t/>
        </w:r>
      </w:hyperlink>
      <w:r>
        <w:t xml:space="preserve"/>
      </w:r>
      <w:hyperlink w:anchor="basic">
        <w:r>
          <w:rPr>
            <w:rStyle w:val="Text1"/>
          </w:rPr>
          <w:t/>
        </w:r>
      </w:hyperlink>
      <w:r>
        <w:t xml:space="preserve"/>
      </w:r>
      <w:hyperlink w:anchor="don_t">
        <w:r>
          <w:rPr>
            <w:rStyle w:val="Text1"/>
          </w:rPr>
          <w:t/>
        </w:r>
      </w:hyperlink>
      <w:r>
        <w:t xml:space="preserve"/>
      </w:r>
      <w:hyperlink w:anchor="Testing">
        <w:r>
          <w:rPr>
            <w:rStyle w:val="Text1"/>
          </w:rPr>
          <w:t/>
        </w:r>
      </w:hyperlink>
      <w:r>
        <w:t xml:space="preserve"/>
      </w:r>
      <w:hyperlink w:anchor="professional">
        <w:r>
          <w:rPr>
            <w:rStyle w:val="Text1"/>
          </w:rPr>
          <w:t/>
        </w:r>
      </w:hyperlink>
    </w:p>
    <w:p>
      <w:pPr>
        <w:pStyle w:val="Para 001"/>
      </w:pPr>
      <w:r>
        <w:t xml:space="preserve">về khả năng lãnh đạo dưới áp lực, 151, 155, 163–165</w:t>
      </w:r>
      <w:hyperlink w:anchor="page_151">
        <w:r>
          <w:rPr>
            <w:rStyle w:val="Text1"/>
          </w:rPr>
          <w:t/>
        </w:r>
      </w:hyperlink>
      <w:r>
        <w:t xml:space="preserve"/>
      </w:r>
      <w:hyperlink w:anchor="Have">
        <w:r>
          <w:rPr>
            <w:rStyle w:val="Text1"/>
          </w:rPr>
          <w:t/>
        </w:r>
      </w:hyperlink>
      <w:r>
        <w:t xml:space="preserve"/>
      </w:r>
      <w:hyperlink w:anchor="and_5">
        <w:r>
          <w:rPr>
            <w:rStyle w:val="Text1"/>
          </w:rPr>
          <w:t/>
        </w:r>
      </w:hyperlink>
    </w:p>
    <w:p>
      <w:pPr>
        <w:pStyle w:val="Para 001"/>
      </w:pPr>
      <w:r>
        <w:t xml:space="preserve">về điểm mạnh cá nhân, 13–17</w:t>
      </w:r>
      <w:hyperlink w:anchor="Managing">
        <w:r>
          <w:rPr>
            <w:rStyle w:val="Text1"/>
          </w:rPr>
          <w:t/>
        </w:r>
      </w:hyperlink>
    </w:p>
    <w:p>
      <w:pPr>
        <w:pStyle w:val="Para 001"/>
      </w:pPr>
      <w:r>
        <w:t xml:space="preserve">giữ vững bản sắc và, 151, 155, 165–166</w:t>
      </w:r>
      <w:hyperlink w:anchor="page_151">
        <w:r>
          <w:rPr>
            <w:rStyle w:val="Text1"/>
          </w:rPr>
          <w:t/>
        </w:r>
      </w:hyperlink>
      <w:r>
        <w:t xml:space="preserve"/>
      </w:r>
      <w:hyperlink w:anchor="Have">
        <w:r>
          <w:rPr>
            <w:rStyle w:val="Text1"/>
          </w:rPr>
          <w:t/>
        </w:r>
      </w:hyperlink>
      <w:r>
        <w:t xml:space="preserve"/>
      </w:r>
      <w:hyperlink w:anchor="to_1">
        <w:r>
          <w:rPr>
            <w:rStyle w:val="Text1"/>
          </w:rPr>
          <w:t/>
        </w:r>
      </w:hyperlink>
    </w:p>
    <w:p>
      <w:pPr>
        <w:pStyle w:val="Para 001"/>
      </w:pPr>
      <w:r>
        <w:t xml:space="preserve">kế hoạch kế nhiệm và, 151, 154–155, 160–161</w:t>
      </w:r>
      <w:hyperlink w:anchor="page_151">
        <w:r>
          <w:rPr>
            <w:rStyle w:val="Text1"/>
          </w:rPr>
          <w:t/>
        </w:r>
      </w:hyperlink>
      <w:r>
        <w:t xml:space="preserve"/>
      </w:r>
      <w:hyperlink w:anchor="Testing">
        <w:r>
          <w:rPr>
            <w:rStyle w:val="Text1"/>
          </w:rPr>
          <w:t/>
        </w:r>
      </w:hyperlink>
      <w:r>
        <w:t xml:space="preserve"/>
      </w:r>
      <w:hyperlink w:anchor="What_1">
        <w:r>
          <w:rPr>
            <w:rStyle w:val="Text1"/>
          </w:rPr>
          <w:t/>
        </w:r>
      </w:hyperlink>
    </w:p>
    <w:p>
      <w:pPr>
        <w:pStyle w:val="Para 001"/>
      </w:pPr>
      <w:r>
        <w:t xml:space="preserve">về quản lý thời gian, 150, 153, 154, 155–157</w:t>
      </w:r>
      <w:hyperlink w:anchor="don_t">
        <w:r>
          <w:rPr>
            <w:rStyle w:val="Text1"/>
          </w:rPr>
          <w:t/>
        </w:r>
      </w:hyperlink>
      <w:r>
        <w:t xml:space="preserve"/>
      </w:r>
      <w:hyperlink w:anchor="national">
        <w:r>
          <w:rPr>
            <w:rStyle w:val="Text1"/>
          </w:rPr>
          <w:t/>
        </w:r>
      </w:hyperlink>
      <w:r>
        <w:t xml:space="preserve"/>
      </w:r>
      <w:hyperlink w:anchor="Testing">
        <w:r>
          <w:rPr>
            <w:rStyle w:val="Text1"/>
          </w:rPr>
          <w:t/>
        </w:r>
      </w:hyperlink>
      <w:r>
        <w:t xml:space="preserve"/>
      </w:r>
      <w:hyperlink w:anchor="Have">
        <w:r>
          <w:rPr>
            <w:rStyle w:val="Text1"/>
          </w:rPr>
          <w:t/>
        </w:r>
      </w:hyperlink>
    </w:p>
    <w:p>
      <w:pPr>
        <w:pStyle w:val="Para 001"/>
      </w:pPr>
      <w:r>
        <w:t xml:space="preserve">tầm nhìn và các ưu tiên trong, 149–153, 154</w:t>
      </w:r>
      <w:hyperlink w:anchor="basic">
        <w:r>
          <w:rPr>
            <w:rStyle w:val="Text1"/>
          </w:rPr>
          <w:t/>
        </w:r>
      </w:hyperlink>
      <w:r>
        <w:t xml:space="preserve"/>
      </w:r>
      <w:hyperlink w:anchor="Testing">
        <w:r>
          <w:rPr>
            <w:rStyle w:val="Text1"/>
          </w:rPr>
          <w:t/>
        </w:r>
      </w:hyperlink>
    </w:p>
    <w:p>
      <w:pPr>
        <w:pStyle w:val="Para 001"/>
      </w:pPr>
      <w:r>
        <w:t xml:space="preserve">tự nhận thức (self-awareness), 169, 171, 178, 179–180, 181</w:t>
      </w:r>
      <w:hyperlink w:anchor="Primal">
        <w:r>
          <w:rPr>
            <w:rStyle w:val="Text1"/>
          </w:rPr>
          <w:t/>
        </w:r>
      </w:hyperlink>
      <w:r>
        <w:t xml:space="preserve"/>
      </w:r>
      <w:hyperlink w:anchor="disconnect">
        <w:r>
          <w:rPr>
            <w:rStyle w:val="Text1"/>
          </w:rPr>
          <w:t/>
        </w:r>
      </w:hyperlink>
      <w:r>
        <w:t xml:space="preserve"/>
      </w:r>
      <w:hyperlink w:anchor="who">
        <w:r>
          <w:rPr>
            <w:rStyle w:val="Text1"/>
          </w:rPr>
          <w:t/>
        </w:r>
      </w:hyperlink>
      <w:r>
        <w:t xml:space="preserve"/>
      </w:r>
      <w:hyperlink w:anchor="conflicts">
        <w:r>
          <w:rPr>
            <w:rStyle w:val="Text1"/>
          </w:rPr>
          <w:t/>
        </w:r>
      </w:hyperlink>
      <w:r>
        <w:t xml:space="preserve"/>
      </w:r>
      <w:hyperlink w:anchor="mood">
        <w:r>
          <w:rPr>
            <w:rStyle w:val="Text1"/>
          </w:rPr>
          <w:t/>
        </w:r>
      </w:hyperlink>
    </w:p>
    <w:p>
      <w:pPr>
        <w:pStyle w:val="Para 001"/>
      </w:pPr>
      <w:r>
        <w:t>lòng tự trọng (self-esteem)</w:t>
      </w:r>
    </w:p>
    <w:p>
      <w:pPr>
        <w:pStyle w:val="Para 001"/>
      </w:pPr>
      <w:r>
        <w:t xml:space="preserve">văn hóa gia đình về sự hợp tác và, 9</w:t>
      </w:r>
      <w:hyperlink w:anchor="Many">
        <w:r>
          <w:rPr>
            <w:rStyle w:val="Text1"/>
          </w:rPr>
          <w:t/>
        </w:r>
      </w:hyperlink>
    </w:p>
    <w:p>
      <w:pPr>
        <w:pStyle w:val="Para 001"/>
      </w:pPr>
      <w:r>
        <w:t xml:space="preserve">sự khiêm tốn và, 11, 12</w:t>
      </w:r>
      <w:hyperlink w:anchor="over">
        <w:r>
          <w:rPr>
            <w:rStyle w:val="Text1"/>
          </w:rPr>
          <w:t/>
        </w:r>
      </w:hyperlink>
      <w:r>
        <w:t xml:space="preserve"/>
      </w:r>
      <w:hyperlink w:anchor="Generally">
        <w:r>
          <w:rPr>
            <w:rStyle w:val="Text1"/>
          </w:rPr>
          <w:t/>
        </w:r>
      </w:hyperlink>
    </w:p>
    <w:p>
      <w:pPr>
        <w:pStyle w:val="Para 001"/>
      </w:pPr>
      <w:r>
        <w:t>thành công trong quản lý và,</w:t>
      </w:r>
    </w:p>
    <w:p>
      <w:pPr>
        <w:pStyle w:val="Para 001"/>
      </w:pPr>
      <w:r>
        <w:t xml:space="preserve">sự hiểu biết bản thân (self-knowledge), 15–16</w:t>
      </w:r>
      <w:hyperlink w:anchor="people">
        <w:r>
          <w:rPr>
            <w:rStyle w:val="Text1"/>
          </w:rPr>
          <w:t/>
        </w:r>
      </w:hyperlink>
    </w:p>
    <w:p>
      <w:pPr>
        <w:pStyle w:val="Para 001"/>
      </w:pPr>
      <w:r>
        <w:t xml:space="preserve">tự quản lý bản thân (self-management), 13–32</w:t>
      </w:r>
      <w:hyperlink w:anchor="Managing">
        <w:r>
          <w:rPr>
            <w:rStyle w:val="Text1"/>
          </w:rPr>
          <w:t/>
        </w:r>
      </w:hyperlink>
    </w:p>
    <w:p>
      <w:pPr>
        <w:pStyle w:val="Para 001"/>
      </w:pPr>
      <w:r>
        <w:t xml:space="preserve">lựa chọn nghề nghiệp và, 24–25</w:t>
      </w:r>
      <w:hyperlink w:anchor="between">
        <w:r>
          <w:rPr>
            <w:rStyle w:val="Text1"/>
          </w:rPr>
          <w:t/>
        </w:r>
      </w:hyperlink>
    </w:p>
    <w:p>
      <w:pPr>
        <w:pStyle w:val="Para 001"/>
      </w:pPr>
      <w:r>
        <w:t xml:space="preserve">đánh giá đóng góp và, 25–26</w:t>
      </w:r>
      <w:hyperlink w:anchor="be">
        <w:r>
          <w:rPr>
            <w:rStyle w:val="Text1"/>
          </w:rPr>
          <w:t/>
        </w:r>
      </w:hyperlink>
    </w:p>
    <w:p>
      <w:pPr>
        <w:pStyle w:val="Para 001"/>
      </w:pPr>
      <w:r>
        <w:t xml:space="preserve">các mối quan hệ và, 26–29</w:t>
      </w:r>
      <w:hyperlink w:anchor="on">
        <w:r>
          <w:rPr>
            <w:rStyle w:val="Text1"/>
          </w:rPr>
          <w:t/>
        </w:r>
      </w:hyperlink>
    </w:p>
    <w:p>
      <w:pPr>
        <w:pStyle w:val="Para 001"/>
      </w:pPr>
      <w:r>
        <w:bookmarkStart w:id="240" w:name="second"/>
        <w:t>sự nghiệp thứ hai và, 29–32</w:t>
        <w:bookmarkEnd w:id="240"/>
        <w:t xml:space="preserve"/>
      </w:r>
      <w:hyperlink w:anchor="like">
        <w:r>
          <w:rPr>
            <w:rStyle w:val="Text1"/>
          </w:rPr>
          <w:t/>
        </w:r>
      </w:hyperlink>
    </w:p>
    <w:p>
      <w:pPr>
        <w:pStyle w:val="Para 001"/>
      </w:pPr>
      <w:r>
        <w:t xml:space="preserve">điểm mạnh và, 13–17</w:t>
      </w:r>
      <w:hyperlink w:anchor="Managing">
        <w:r>
          <w:rPr>
            <w:rStyle w:val="Text1"/>
          </w:rPr>
          <w:t/>
        </w:r>
      </w:hyperlink>
    </w:p>
    <w:p>
      <w:pPr>
        <w:pStyle w:val="Para 001"/>
      </w:pPr>
      <w:r>
        <w:t xml:space="preserve">dựa trên giá trị, 21–24</w:t>
      </w:r>
      <w:hyperlink w:anchor="Another">
        <w:r>
          <w:rPr>
            <w:rStyle w:val="Text1"/>
          </w:rPr>
          <w:t/>
        </w:r>
      </w:hyperlink>
    </w:p>
    <w:p>
      <w:pPr>
        <w:pStyle w:val="Para 001"/>
      </w:pPr>
      <w:r>
        <w:t xml:space="preserve">phong cách làm việc và, 16, 17–21</w:t>
      </w:r>
      <w:hyperlink w:anchor="Idea_1">
        <w:r>
          <w:rPr>
            <w:rStyle w:val="Text1"/>
          </w:rPr>
          <w:t/>
        </w:r>
      </w:hyperlink>
      <w:r>
        <w:t xml:space="preserve"/>
      </w:r>
      <w:hyperlink w:anchor="must">
        <w:r>
          <w:rPr>
            <w:rStyle w:val="Text1"/>
          </w:rPr>
          <w:t/>
        </w:r>
      </w:hyperlink>
    </w:p>
    <w:p>
      <w:pPr>
        <w:pStyle w:val="Para 001"/>
      </w:pPr>
      <w:r>
        <w:t xml:space="preserve">Seligman, Martin, 174, 182</w:t>
      </w:r>
      <w:hyperlink w:anchor="Our">
        <w:r>
          <w:rPr>
            <w:rStyle w:val="Text1"/>
          </w:rPr>
          <w:t/>
        </w:r>
      </w:hyperlink>
      <w:r>
        <w:t xml:space="preserve"/>
      </w:r>
      <w:hyperlink w:anchor="job">
        <w:r>
          <w:rPr>
            <w:rStyle w:val="Text1"/>
          </w:rPr>
          <w:t/>
        </w:r>
      </w:hyperlink>
    </w:p>
    <w:p>
      <w:pPr>
        <w:pStyle w:val="Para 001"/>
      </w:pPr>
      <w:r>
        <w:t xml:space="preserve">những trở ngại, 31</w:t>
      </w:r>
      <w:hyperlink w:anchor="Similarly">
        <w:r>
          <w:rPr>
            <w:rStyle w:val="Text1"/>
          </w:rPr>
          <w:t/>
        </w:r>
      </w:hyperlink>
    </w:p>
    <w:p>
      <w:pPr>
        <w:pStyle w:val="Para 001"/>
      </w:pPr>
      <w:r>
        <w:t xml:space="preserve">Shields, Paul, 58</w:t>
      </w:r>
      <w:hyperlink w:anchor="extraneous">
        <w:r>
          <w:rPr>
            <w:rStyle w:val="Text1"/>
          </w:rPr>
          <w:t/>
        </w:r>
      </w:hyperlink>
    </w:p>
    <w:p>
      <w:pPr>
        <w:pStyle w:val="Para 001"/>
      </w:pPr>
      <w:r>
        <w:t xml:space="preserve">Skilling, Jeff, 2</w:t>
      </w:r>
      <w:hyperlink w:anchor="moved">
        <w:r>
          <w:rPr>
            <w:rStyle w:val="Text1"/>
          </w:rPr>
          <w:t/>
        </w:r>
      </w:hyperlink>
    </w:p>
    <w:p>
      <w:pPr>
        <w:pStyle w:val="Para 001"/>
      </w:pPr>
      <w:r>
        <w:t xml:space="preserve">kỹ năng, 13–17, 23–24, 36</w:t>
      </w:r>
      <w:hyperlink w:anchor="Managing">
        <w:r>
          <w:rPr>
            <w:rStyle w:val="Text1"/>
          </w:rPr>
          <w:t/>
        </w:r>
      </w:hyperlink>
      <w:r>
        <w:t xml:space="preserve"/>
      </w:r>
      <w:hyperlink w:anchor="physicians">
        <w:r>
          <w:rPr>
            <w:rStyle w:val="Text1"/>
          </w:rPr>
          <w:t/>
        </w:r>
      </w:hyperlink>
      <w:r>
        <w:t xml:space="preserve"/>
      </w:r>
      <w:hyperlink w:anchor="Idea_2">
        <w:r>
          <w:rPr>
            <w:rStyle w:val="Text1"/>
          </w:rPr>
          <w:t/>
        </w:r>
      </w:hyperlink>
    </w:p>
    <w:p>
      <w:pPr>
        <w:pStyle w:val="Para 001"/>
      </w:pPr>
      <w:r>
        <w:t xml:space="preserve">giấc ngủ, 64, 66, 81, 82, 89</w:t>
      </w:r>
      <w:hyperlink w:anchor="training">
        <w:r>
          <w:rPr>
            <w:rStyle w:val="Text1"/>
          </w:rPr>
          <w:t/>
        </w:r>
      </w:hyperlink>
      <w:r>
        <w:t xml:space="preserve"/>
      </w:r>
      <w:hyperlink w:anchor="productivity">
        <w:r>
          <w:rPr>
            <w:rStyle w:val="Text1"/>
          </w:rPr>
          <w:t/>
        </w:r>
      </w:hyperlink>
      <w:r>
        <w:t xml:space="preserve"/>
      </w:r>
      <w:hyperlink w:anchor="Idea_5">
        <w:r>
          <w:rPr>
            <w:rStyle w:val="Text1"/>
          </w:rPr>
          <w:t/>
        </w:r>
      </w:hyperlink>
      <w:r>
        <w:t xml:space="preserve"/>
      </w:r>
      <w:hyperlink w:anchor="Idea_6">
        <w:r>
          <w:rPr>
            <w:rStyle w:val="Text1"/>
          </w:rPr>
          <w:t/>
        </w:r>
      </w:hyperlink>
      <w:r>
        <w:t xml:space="preserve"/>
      </w:r>
      <w:hyperlink w:anchor="all">
        <w:r>
          <w:rPr>
            <w:rStyle w:val="Text1"/>
          </w:rPr>
          <w:t/>
        </w:r>
      </w:hyperlink>
    </w:p>
    <w:p>
      <w:pPr>
        <w:pStyle w:val="Para 001"/>
      </w:pPr>
      <w:r>
        <w:t xml:space="preserve">nhận thức xã hội (social awareness), 178</w:t>
      </w:r>
      <w:hyperlink w:anchor="who">
        <w:r>
          <w:rPr>
            <w:rStyle w:val="Text1"/>
          </w:rPr>
          <w:t/>
        </w:r>
      </w:hyperlink>
    </w:p>
    <w:p>
      <w:pPr>
        <w:pStyle w:val="Para 001"/>
      </w:pPr>
      <w:r>
        <w:t xml:space="preserve">doanh nhân xã hội (social entrepreneurs), 30, 31</w:t>
      </w:r>
      <w:hyperlink w:anchor="community">
        <w:r>
          <w:rPr>
            <w:rStyle w:val="Text1"/>
          </w:rPr>
          <w:t/>
        </w:r>
      </w:hyperlink>
      <w:r>
        <w:t xml:space="preserve"/>
      </w:r>
      <w:hyperlink w:anchor="Similarly">
        <w:r>
          <w:rPr>
            <w:rStyle w:val="Text1"/>
          </w:rPr>
          <w:t/>
        </w:r>
      </w:hyperlink>
    </w:p>
    <w:p>
      <w:pPr>
        <w:pStyle w:val="Para 001"/>
      </w:pPr>
      <w:r>
        <w:t xml:space="preserve">Solzhenitsyn, Aleksandr, 56</w:t>
      </w:r>
      <w:hyperlink w:anchor="those">
        <w:r>
          <w:rPr>
            <w:rStyle w:val="Text1"/>
          </w:rPr>
          <w:t/>
        </w:r>
      </w:hyperlink>
    </w:p>
    <w:p>
      <w:pPr>
        <w:pStyle w:val="Para 047"/>
      </w:pPr>
      <w:r>
        <w:rPr>
          <w:rStyle w:val="Text6"/>
        </w:rPr>
        <w:t xml:space="preserve">Sony, 69–70, 72, 73–74, 77</w:t>
      </w:r>
      <w:hyperlink w:anchor="_1">
        <w:r>
          <w:t/>
        </w:r>
      </w:hyperlink>
      <w:r>
        <w:rPr>
          <w:rStyle w:val="Text6"/>
        </w:rPr>
        <w:t xml:space="preserve"/>
      </w:r>
      <w:hyperlink w:anchor="With">
        <w:r>
          <w:t/>
        </w:r>
      </w:hyperlink>
      <w:r>
        <w:rPr>
          <w:rStyle w:val="Text6"/>
        </w:rPr>
        <w:t xml:space="preserve"/>
      </w:r>
      <w:hyperlink w:anchor="report">
        <w:r>
          <w:t/>
        </w:r>
      </w:hyperlink>
      <w:r>
        <w:rPr>
          <w:rStyle w:val="Text6"/>
        </w:rPr>
        <w:t xml:space="preserve"/>
      </w:r>
      <w:hyperlink w:anchor="are">
        <w:r>
          <w:t/>
        </w:r>
      </w:hyperlink>
    </w:p>
    <w:p>
      <w:pPr>
        <w:pStyle w:val="Para 001"/>
      </w:pPr>
      <w:r>
        <w:t xml:space="preserve">tốc độ, nghiện, 84</w:t>
      </w:r>
      <w:hyperlink w:anchor="education">
        <w:r>
          <w:rPr>
            <w:rStyle w:val="Text1"/>
          </w:rPr>
          <w:t/>
        </w:r>
      </w:hyperlink>
    </w:p>
    <w:p>
      <w:pPr>
        <w:pStyle w:val="Para 001"/>
      </w:pPr>
      <w:r>
        <w:t xml:space="preserve">năng lượng tinh thần, 65, 74–76</w:t>
      </w:r>
      <w:hyperlink w:anchor="continued">
        <w:r>
          <w:rPr>
            <w:rStyle w:val="Text1"/>
          </w:rPr>
          <w:t/>
        </w:r>
      </w:hyperlink>
      <w:r>
        <w:t xml:space="preserve"/>
      </w:r>
      <w:hyperlink w:anchor="Paris">
        <w:r>
          <w:rPr>
            <w:rStyle w:val="Text1"/>
          </w:rPr>
          <w:t/>
        </w:r>
      </w:hyperlink>
    </w:p>
    <w:p>
      <w:pPr>
        <w:pStyle w:val="Para 001"/>
      </w:pPr>
      <w:r>
        <w:t xml:space="preserve">Spungin, Jessica, 118, 119–121</w:t>
      </w:r>
      <w:hyperlink w:anchor="day">
        <w:r>
          <w:rPr>
            <w:rStyle w:val="Text1"/>
          </w:rPr>
          <w:t/>
        </w:r>
      </w:hyperlink>
      <w:r>
        <w:t xml:space="preserve"/>
      </w:r>
      <w:hyperlink w:anchor="always">
        <w:r>
          <w:rPr>
            <w:rStyle w:val="Text1"/>
          </w:rPr>
          <w:t/>
        </w:r>
      </w:hyperlink>
    </w:p>
    <w:p>
      <w:pPr>
        <w:pStyle w:val="Para 001"/>
      </w:pPr>
      <w:r>
        <w:t xml:space="preserve">các bên liên quan chính (stakeholders), 102</w:t>
      </w:r>
      <w:hyperlink w:anchor="important">
        <w:r>
          <w:rPr>
            <w:rStyle w:val="Text1"/>
          </w:rPr>
          <w:t/>
        </w:r>
      </w:hyperlink>
    </w:p>
    <w:p>
      <w:pPr>
        <w:pStyle w:val="Para 001"/>
      </w:pPr>
      <w:r>
        <w:t xml:space="preserve">Stockdale, Jim, 50, 52</w:t>
      </w:r>
      <w:hyperlink w:anchor="many">
        <w:r>
          <w:rPr>
            <w:rStyle w:val="Text1"/>
          </w:rPr>
          <w:t/>
        </w:r>
      </w:hyperlink>
      <w:r>
        <w:t xml:space="preserve"/>
      </w:r>
      <w:hyperlink w:anchor="people_1">
        <w:r>
          <w:rPr>
            <w:rStyle w:val="Text1"/>
          </w:rPr>
          <w:t/>
        </w:r>
      </w:hyperlink>
    </w:p>
    <w:p>
      <w:pPr>
        <w:pStyle w:val="Para 001"/>
      </w:pPr>
      <w:r>
        <w:t xml:space="preserve">những câu chuyện, thay đổi, 71–72, 78</w:t>
      </w:r>
      <w:hyperlink w:anchor="and">
        <w:r>
          <w:rPr>
            <w:rStyle w:val="Text1"/>
          </w:rPr>
          <w:t/>
        </w:r>
      </w:hyperlink>
      <w:r>
        <w:t xml:space="preserve"/>
      </w:r>
      <w:hyperlink w:anchor="where">
        <w:r>
          <w:rPr>
            <w:rStyle w:val="Text1"/>
          </w:rPr>
          <w:t/>
        </w:r>
      </w:hyperlink>
    </w:p>
    <w:p>
      <w:pPr>
        <w:pStyle w:val="Para 001"/>
      </w:pPr>
      <w:r>
        <w:t>chiến lược, của công ty</w:t>
      </w:r>
    </w:p>
    <w:p>
      <w:pPr>
        <w:pStyle w:val="Para 001"/>
      </w:pPr>
      <w:r>
        <w:t xml:space="preserve">hệ thống ra quyết định trong doanh nghiệp và, 4</w:t>
      </w:r>
      <w:hyperlink w:anchor="level">
        <w:r>
          <w:rPr>
            <w:rStyle w:val="Text1"/>
          </w:rPr>
          <w:t/>
        </w:r>
      </w:hyperlink>
    </w:p>
    <w:p>
      <w:pPr>
        <w:pStyle w:val="Para 001"/>
      </w:pPr>
      <w:r>
        <w:t xml:space="preserve">chi phí cận biên (marginal costs) và, 9–10</w:t>
      </w:r>
      <w:hyperlink w:anchor="Many">
        <w:r>
          <w:rPr>
            <w:rStyle w:val="Text1"/>
          </w:rPr>
          <w:t/>
        </w:r>
      </w:hyperlink>
    </w:p>
    <w:p>
      <w:pPr>
        <w:pStyle w:val="Para 001"/>
      </w:pPr>
      <w:r>
        <w:t xml:space="preserve">khuynh hướng thỏa mãn ngay lập tức và, 8</w:t>
      </w:r>
      <w:hyperlink w:anchor="forward">
        <w:r>
          <w:rPr>
            <w:rStyle w:val="Text1"/>
          </w:rPr>
          <w:t/>
        </w:r>
      </w:hyperlink>
    </w:p>
    <w:p>
      <w:pPr>
        <w:pStyle w:val="Para 001"/>
      </w:pPr>
      <w:r>
        <w:t xml:space="preserve">quyết định phân bổ nguồn lực và, 8</w:t>
      </w:r>
      <w:hyperlink w:anchor="forward">
        <w:r>
          <w:rPr>
            <w:rStyle w:val="Text1"/>
          </w:rPr>
          <w:t/>
        </w:r>
      </w:hyperlink>
    </w:p>
    <w:p>
      <w:pPr>
        <w:pStyle w:val="Para 001"/>
      </w:pPr>
      <w:r>
        <w:t>chiến lược, cá nhân</w:t>
      </w:r>
    </w:p>
    <w:p>
      <w:pPr>
        <w:pStyle w:val="Para 001"/>
      </w:pPr>
      <w:r>
        <w:t xml:space="preserve">quyết định nghề nghiệp của sinh viên và, 4–5, 7</w:t>
      </w:r>
      <w:hyperlink w:anchor="level">
        <w:r>
          <w:rPr>
            <w:rStyle w:val="Text1"/>
          </w:rPr>
          <w:t/>
        </w:r>
      </w:hyperlink>
      <w:r>
        <w:t xml:space="preserve"/>
      </w:r>
      <w:hyperlink w:anchor="to">
        <w:r>
          <w:rPr>
            <w:rStyle w:val="Text1"/>
          </w:rPr>
          <w:t/>
        </w:r>
      </w:hyperlink>
    </w:p>
    <w:p>
      <w:pPr>
        <w:pStyle w:val="Para 001"/>
      </w:pPr>
      <w:r>
        <w:t xml:space="preserve">tạo ra, 4–6</w:t>
      </w:r>
      <w:hyperlink w:anchor="level">
        <w:r>
          <w:rPr>
            <w:rStyle w:val="Text1"/>
          </w:rPr>
          <w:t/>
        </w:r>
      </w:hyperlink>
    </w:p>
    <w:p>
      <w:pPr>
        <w:pStyle w:val="Para 001"/>
      </w:pPr>
      <w:r>
        <w:t xml:space="preserve">sự khiêm tốn và, 11–12</w:t>
      </w:r>
      <w:hyperlink w:anchor="over">
        <w:r>
          <w:rPr>
            <w:rStyle w:val="Text1"/>
          </w:rPr>
          <w:t/>
        </w:r>
      </w:hyperlink>
    </w:p>
    <w:p>
      <w:pPr>
        <w:pStyle w:val="Para 001"/>
      </w:pPr>
      <w:r>
        <w:t xml:space="preserve">khái niệm chi phí cận biên và cuộc sống chính trực trong, 3, 10–11</w:t>
      </w:r>
      <w:hyperlink w:anchor="Idea">
        <w:r>
          <w:rPr>
            <w:rStyle w:val="Text1"/>
          </w:rPr>
          <w:t/>
        </w:r>
      </w:hyperlink>
      <w:r>
        <w:t xml:space="preserve"/>
      </w:r>
      <w:hyperlink w:anchor="that">
        <w:r>
          <w:rPr>
            <w:rStyle w:val="Text1"/>
          </w:rPr>
          <w:t/>
        </w:r>
      </w:hyperlink>
    </w:p>
    <w:p>
      <w:pPr>
        <w:pStyle w:val="Para 001"/>
      </w:pPr>
      <w:r>
        <w:t xml:space="preserve">thước đo để đánh giá, 12</w:t>
      </w:r>
      <w:hyperlink w:anchor="Generally">
        <w:r>
          <w:rPr>
            <w:rStyle w:val="Text1"/>
          </w:rPr>
          <w:t/>
        </w:r>
      </w:hyperlink>
    </w:p>
    <w:p>
      <w:pPr>
        <w:pStyle w:val="Para 001"/>
      </w:pPr>
      <w:r>
        <w:t xml:space="preserve">động lực cho quyết định nghề nghiệp và, 3</w:t>
      </w:r>
      <w:hyperlink w:anchor="Idea">
        <w:r>
          <w:rPr>
            <w:rStyle w:val="Text1"/>
          </w:rPr>
          <w:t/>
        </w:r>
      </w:hyperlink>
    </w:p>
    <w:p>
      <w:pPr>
        <w:pStyle w:val="Para 001"/>
      </w:pPr>
      <w:r>
        <w:t xml:space="preserve">mục đích sống và, 4–5</w:t>
      </w:r>
      <w:hyperlink w:anchor="level">
        <w:r>
          <w:rPr>
            <w:rStyle w:val="Text1"/>
          </w:rPr>
          <w:t/>
        </w:r>
      </w:hyperlink>
    </w:p>
    <w:p>
      <w:pPr>
        <w:pStyle w:val="Para 001"/>
      </w:pPr>
      <w:r>
        <w:t xml:space="preserve">quyết định phân bổ nguồn lực và, 3, 4, 6–8</w:t>
      </w:r>
      <w:hyperlink w:anchor="Idea">
        <w:r>
          <w:rPr>
            <w:rStyle w:val="Text1"/>
          </w:rPr>
          <w:t/>
        </w:r>
      </w:hyperlink>
      <w:r>
        <w:t xml:space="preserve"/>
      </w:r>
      <w:hyperlink w:anchor="level">
        <w:r>
          <w:rPr>
            <w:rStyle w:val="Text1"/>
          </w:rPr>
          <w:t/>
        </w:r>
      </w:hyperlink>
      <w:r>
        <w:t xml:space="preserve"/>
      </w:r>
      <w:hyperlink w:anchor="students">
        <w:r>
          <w:rPr>
            <w:rStyle w:val="Text1"/>
          </w:rPr>
          <w:t/>
        </w:r>
      </w:hyperlink>
    </w:p>
    <w:p>
      <w:pPr>
        <w:pStyle w:val="Para 001"/>
      </w:pPr>
      <w:r>
        <w:t xml:space="preserve">điểm mạnh, 27</w:t>
      </w:r>
      <w:hyperlink w:anchor="values">
        <w:r>
          <w:rPr>
            <w:rStyle w:val="Text1"/>
          </w:rPr>
          <w:t/>
        </w:r>
      </w:hyperlink>
    </w:p>
    <w:p>
      <w:pPr>
        <w:pStyle w:val="Para 001"/>
      </w:pPr>
      <w:r>
        <w:t xml:space="preserve">đánh giá, 13–17</w:t>
      </w:r>
      <w:hyperlink w:anchor="Managing">
        <w:r>
          <w:rPr>
            <w:rStyle w:val="Text1"/>
          </w:rPr>
          <w:t/>
        </w:r>
      </w:hyperlink>
    </w:p>
    <w:p>
      <w:pPr>
        <w:pStyle w:val="Para 001"/>
      </w:pPr>
      <w:r>
        <w:t xml:space="preserve">lựa chọn nghề nghiệp dựa trên, 14, 94–95</w:t>
      </w:r>
      <w:hyperlink w:anchor="so">
        <w:r>
          <w:rPr>
            <w:rStyle w:val="Text1"/>
          </w:rPr>
          <w:t/>
        </w:r>
      </w:hyperlink>
      <w:r>
        <w:t xml:space="preserve"/>
      </w:r>
      <w:hyperlink w:anchor="those_1">
        <w:r>
          <w:rPr>
            <w:rStyle w:val="Text1"/>
          </w:rPr>
          <w:t/>
        </w:r>
      </w:hyperlink>
    </w:p>
    <w:p>
      <w:pPr>
        <w:pStyle w:val="Para 001"/>
      </w:pPr>
      <w:r>
        <w:t xml:space="preserve">quản lý năng lượng và, 63, 65, 74–75</w:t>
      </w:r>
      <w:hyperlink w:anchor="Idea_4">
        <w:r>
          <w:rPr>
            <w:rStyle w:val="Text1"/>
          </w:rPr>
          <w:t/>
        </w:r>
      </w:hyperlink>
      <w:r>
        <w:t xml:space="preserve"/>
      </w:r>
      <w:hyperlink w:anchor="continued">
        <w:r>
          <w:rPr>
            <w:rStyle w:val="Text1"/>
          </w:rPr>
          <w:t/>
        </w:r>
      </w:hyperlink>
      <w:r>
        <w:t xml:space="preserve"/>
      </w:r>
      <w:hyperlink w:anchor="Paris">
        <w:r>
          <w:rPr>
            <w:rStyle w:val="Text1"/>
          </w:rPr>
          <w:t/>
        </w:r>
      </w:hyperlink>
    </w:p>
    <w:p>
      <w:pPr>
        <w:pStyle w:val="Para 001"/>
      </w:pPr>
      <w:r>
        <w:t xml:space="preserve">giá trị và, 23–24</w:t>
      </w:r>
      <w:hyperlink w:anchor="physicians">
        <w:r>
          <w:rPr>
            <w:rStyle w:val="Text1"/>
          </w:rPr>
          <w:t/>
        </w:r>
      </w:hyperlink>
    </w:p>
    <w:p>
      <w:pPr>
        <w:pStyle w:val="Para 001"/>
      </w:pPr>
      <w:r>
        <w:t xml:space="preserve">căng thẳng, 21, 47–60, 77–78, 163–165. Xem thêm quá tải</w:t>
      </w:r>
      <w:hyperlink w:anchor="Another">
        <w:r>
          <w:rPr>
            <w:rStyle w:val="Text1"/>
          </w:rPr>
          <w:t/>
        </w:r>
      </w:hyperlink>
      <w:r>
        <w:t xml:space="preserve"/>
      </w:r>
      <w:hyperlink w:anchor="How_1">
        <w:r>
          <w:rPr>
            <w:rStyle w:val="Text1"/>
          </w:rPr>
          <w:t/>
        </w:r>
      </w:hyperlink>
      <w:r>
        <w:t xml:space="preserve"/>
      </w:r>
      <w:hyperlink w:anchor="are">
        <w:r>
          <w:rPr>
            <w:rStyle w:val="Text1"/>
          </w:rPr>
          <w:t/>
        </w:r>
      </w:hyperlink>
      <w:r>
        <w:t xml:space="preserve"/>
      </w:r>
      <w:hyperlink w:anchor="and_5">
        <w:r>
          <w:rPr>
            <w:rStyle w:val="Text1"/>
          </w:rPr>
          <w:t/>
        </w:r>
      </w:hyperlink>
      <w:r>
        <w:t xml:space="preserve"/>
      </w:r>
      <w:r>
        <w:rPr>
          <w:rStyle w:val="Text0"/>
        </w:rPr>
        <w:t/>
      </w:r>
      <w:r>
        <w:t xml:space="preserve"/>
      </w:r>
    </w:p>
    <w:p>
      <w:pPr>
        <w:pStyle w:val="Para 001"/>
      </w:pPr>
      <w:r>
        <w:t xml:space="preserve">Nghiên cứu về Sự Phát triển của Người trưởng thành (Study of Adult Development), 51–52</w:t>
      </w:r>
      <w:hyperlink w:anchor="groups">
        <w:r>
          <w:rPr>
            <w:rStyle w:val="Text1"/>
          </w:rPr>
          <w:t/>
        </w:r>
      </w:hyperlink>
    </w:p>
    <w:p>
      <w:pPr>
        <w:pStyle w:val="Para 001"/>
      </w:pPr>
      <w:r>
        <w:t xml:space="preserve">thời gian do cấp dưới áp đặt, 33–45</w:t>
      </w:r>
      <w:hyperlink w:anchor="Management">
        <w:r>
          <w:rPr>
            <w:rStyle w:val="Text1"/>
          </w:rPr>
          <w:t/>
        </w:r>
      </w:hyperlink>
    </w:p>
    <w:p>
      <w:pPr>
        <w:pStyle w:val="Para 001"/>
      </w:pPr>
      <w:r>
        <w:t xml:space="preserve">thành công, 31–32, 49</w:t>
      </w:r>
      <w:hyperlink w:anchor="Similarly">
        <w:r>
          <w:rPr>
            <w:rStyle w:val="Text1"/>
          </w:rPr>
          <w:t/>
        </w:r>
      </w:hyperlink>
      <w:r>
        <w:t xml:space="preserve"/>
      </w:r>
      <w:hyperlink w:anchor="Idea_3">
        <w:r>
          <w:rPr>
            <w:rStyle w:val="Text1"/>
          </w:rPr>
          <w:t/>
        </w:r>
      </w:hyperlink>
    </w:p>
    <w:p>
      <w:pPr>
        <w:pStyle w:val="Para 001"/>
      </w:pPr>
      <w:r>
        <w:t xml:space="preserve">hoạch định người kế nhiệm, 151, 154–155, 160–161</w:t>
      </w:r>
      <w:hyperlink w:anchor="page_151">
        <w:r>
          <w:rPr>
            <w:rStyle w:val="Text1"/>
          </w:rPr>
          <w:t/>
        </w:r>
      </w:hyperlink>
      <w:r>
        <w:t xml:space="preserve"/>
      </w:r>
      <w:hyperlink w:anchor="Testing">
        <w:r>
          <w:rPr>
            <w:rStyle w:val="Text1"/>
          </w:rPr>
          <w:t/>
        </w:r>
      </w:hyperlink>
      <w:r>
        <w:t xml:space="preserve"/>
      </w:r>
      <w:hyperlink w:anchor="What_1">
        <w:r>
          <w:rPr>
            <w:rStyle w:val="Text1"/>
          </w:rPr>
          <w:t/>
        </w:r>
      </w:hyperlink>
    </w:p>
    <w:p>
      <w:pPr>
        <w:pStyle w:val="Para 001"/>
      </w:pPr>
      <w:r>
        <w:t xml:space="preserve">giám sát, 35</w:t>
      </w:r>
      <w:hyperlink w:anchor="Jones">
        <w:r>
          <w:rPr>
            <w:rStyle w:val="Text1"/>
          </w:rPr>
          <w:t/>
        </w:r>
      </w:hyperlink>
    </w:p>
    <w:p>
      <w:pPr>
        <w:pStyle w:val="Para 001"/>
      </w:pPr>
      <w:r>
        <w:t xml:space="preserve">hỗ trợ, 94, 187–188</w:t>
      </w:r>
      <w:hyperlink w:anchor="those_1">
        <w:r>
          <w:rPr>
            <w:rStyle w:val="Text1"/>
          </w:rPr>
          <w:t/>
        </w:r>
      </w:hyperlink>
      <w:r>
        <w:t xml:space="preserve"/>
      </w:r>
      <w:hyperlink w:anchor="before">
        <w:r>
          <w:rPr>
            <w:rStyle w:val="Text1"/>
          </w:rPr>
          <w:t/>
        </w:r>
      </w:hyperlink>
    </w:p>
    <w:p>
      <w:pPr>
        <w:pStyle w:val="Para 001"/>
      </w:pPr>
      <w:r>
        <w:t xml:space="preserve">tính bền vững, 63, 97</w:t>
      </w:r>
      <w:hyperlink w:anchor="Idea_4">
        <w:r>
          <w:rPr>
            <w:rStyle w:val="Text1"/>
          </w:rPr>
          <w:t/>
        </w:r>
      </w:hyperlink>
      <w:r>
        <w:t xml:space="preserve"/>
      </w:r>
      <w:hyperlink w:anchor="Be">
        <w:r>
          <w:rPr>
            <w:rStyle w:val="Text1"/>
          </w:rPr>
          <w:t/>
        </w:r>
      </w:hyperlink>
    </w:p>
    <w:p>
      <w:pPr>
        <w:pStyle w:val="Para 001"/>
      </w:pPr>
      <w:r>
        <w:t xml:space="preserve">Svizeny, Susanne, 77</w:t>
      </w:r>
      <w:hyperlink w:anchor="are">
        <w:r>
          <w:rPr>
            <w:rStyle w:val="Text1"/>
          </w:rPr>
          <w:t/>
        </w:r>
      </w:hyperlink>
    </w:p>
    <w:p>
      <w:pPr>
        <w:pStyle w:val="Para 001"/>
      </w:pPr>
      <w:r>
        <w:t xml:space="preserve">các hoạt động điểm ngọt (sweet spot activities), 65, 75</w:t>
      </w:r>
      <w:hyperlink w:anchor="continued">
        <w:r>
          <w:rPr>
            <w:rStyle w:val="Text1"/>
          </w:rPr>
          <w:t/>
        </w:r>
      </w:hyperlink>
      <w:r>
        <w:t xml:space="preserve"/>
      </w:r>
      <w:hyperlink w:anchor="When">
        <w:r>
          <w:rPr>
            <w:rStyle w:val="Text1"/>
          </w:rPr>
          <w:t/>
        </w:r>
      </w:hyperlink>
    </w:p>
    <w:p>
      <w:pPr>
        <w:pStyle w:val="Para 001"/>
      </w:pPr>
      <w:r>
        <w:t xml:space="preserve">thời gian chuyển đổi, 72</w:t>
      </w:r>
      <w:hyperlink w:anchor="With">
        <w:r>
          <w:rPr>
            <w:rStyle w:val="Text1"/>
          </w:rPr>
          <w:t/>
        </w:r>
      </w:hyperlink>
    </w:p>
    <w:p>
      <w:pPr>
        <w:pStyle w:val="Para 029"/>
      </w:pPr>
      <w:r>
        <w:t xml:space="preserve">thời gian do hệ thống áp đặt, 33, 45</w:t>
      </w:r>
      <w:hyperlink w:anchor="Management">
        <w:r>
          <w:rPr>
            <w:rStyle w:val="Text1"/>
          </w:rPr>
          <w:t/>
        </w:r>
      </w:hyperlink>
      <w:r>
        <w:t xml:space="preserve"/>
      </w:r>
      <w:hyperlink w:anchor="">
        <w:r>
          <w:rPr>
            <w:rStyle w:val="Text1"/>
          </w:rPr>
          <w:t/>
        </w:r>
      </w:hyperlink>
    </w:p>
    <w:p>
      <w:pPr>
        <w:pStyle w:val="Para 001"/>
      </w:pPr>
      <w:r>
        <w:t xml:space="preserve">làm việc nhóm, 20, 164–165</w:t>
      </w:r>
      <w:hyperlink w:anchor="immediately">
        <w:r>
          <w:rPr>
            <w:rStyle w:val="Text1"/>
          </w:rPr>
          <w:t/>
        </w:r>
      </w:hyperlink>
      <w:r>
        <w:t xml:space="preserve"/>
      </w:r>
      <w:hyperlink w:anchor="triggered">
        <w:r>
          <w:rPr>
            <w:rStyle w:val="Text1"/>
          </w:rPr>
          <w:t/>
        </w:r>
      </w:hyperlink>
    </w:p>
    <w:p>
      <w:pPr>
        <w:pStyle w:val="Para 001"/>
      </w:pPr>
      <w:r>
        <w:t xml:space="preserve">công nghệ, sự gián đoạn từ, 72–73</w:t>
      </w:r>
      <w:hyperlink w:anchor="With">
        <w:r>
          <w:rPr>
            <w:rStyle w:val="Text1"/>
          </w:rPr>
          <w:t/>
        </w:r>
      </w:hyperlink>
    </w:p>
    <w:p>
      <w:pPr>
        <w:pStyle w:val="Para 001"/>
      </w:pPr>
      <w:r>
        <w:t xml:space="preserve">khủng bố, 53–54</w:t>
      </w:r>
      <w:hyperlink w:anchor="Like_1">
        <w:r>
          <w:rPr>
            <w:rStyle w:val="Text1"/>
          </w:rPr>
          <w:t/>
        </w:r>
      </w:hyperlink>
    </w:p>
    <w:p>
      <w:pPr>
        <w:pStyle w:val="Para 001"/>
      </w:pPr>
      <w:r>
        <w:t xml:space="preserve">Tichy, Noel, 142</w:t>
      </w:r>
      <w:hyperlink w:anchor="A">
        <w:r>
          <w:rPr>
            <w:rStyle w:val="Text1"/>
          </w:rPr>
          <w:t/>
        </w:r>
      </w:hyperlink>
    </w:p>
    <w:p>
      <w:pPr>
        <w:pStyle w:val="Para 001"/>
      </w:pPr>
      <w:r>
        <w:t>quản lý thời gian</w:t>
      </w:r>
    </w:p>
    <w:p>
      <w:pPr>
        <w:pStyle w:val="Para 001"/>
      </w:pPr>
      <w:r>
        <w:t xml:space="preserve">ADT và, 79–80</w:t>
      </w:r>
      <w:hyperlink w:anchor="Overloaded">
        <w:r>
          <w:rPr>
            <w:rStyle w:val="Text1"/>
          </w:rPr>
          <w:t/>
        </w:r>
      </w:hyperlink>
    </w:p>
    <w:p>
      <w:pPr>
        <w:pStyle w:val="Para 001"/>
      </w:pPr>
      <w:r>
        <w:t xml:space="preserve">thời gian do sếp áp đặt trong, 33, 35</w:t>
      </w:r>
      <w:hyperlink w:anchor="Management">
        <w:r>
          <w:rPr>
            <w:rStyle w:val="Text1"/>
          </w:rPr>
          <w:t/>
        </w:r>
      </w:hyperlink>
      <w:r>
        <w:t xml:space="preserve"/>
      </w:r>
      <w:hyperlink w:anchor="Jones">
        <w:r>
          <w:rPr>
            <w:rStyle w:val="Text1"/>
          </w:rPr>
          <w:t/>
        </w:r>
      </w:hyperlink>
    </w:p>
    <w:p>
      <w:pPr>
        <w:pStyle w:val="Para 001"/>
      </w:pPr>
      <w:r>
        <w:t xml:space="preserve">thời gian tùy ý trong, 33, 34</w:t>
      </w:r>
      <w:hyperlink w:anchor="Management">
        <w:r>
          <w:rPr>
            <w:rStyle w:val="Text1"/>
          </w:rPr>
          <w:t/>
        </w:r>
      </w:hyperlink>
      <w:r>
        <w:t xml:space="preserve"/>
      </w:r>
      <w:hyperlink w:anchor="To">
        <w:r>
          <w:rPr>
            <w:rStyle w:val="Text1"/>
          </w:rPr>
          <w:t/>
        </w:r>
      </w:hyperlink>
    </w:p>
    <w:p>
      <w:pPr>
        <w:pStyle w:val="Para 001"/>
      </w:pPr>
      <w:r>
        <w:t xml:space="preserve">kiểm soát khỉ (monkey control) trong, 33–45</w:t>
      </w:r>
      <w:hyperlink w:anchor="Management">
        <w:r>
          <w:rPr>
            <w:rStyle w:val="Text1"/>
          </w:rPr>
          <w:t/>
        </w:r>
      </w:hyperlink>
    </w:p>
    <w:p>
      <w:pPr>
        <w:pStyle w:val="Para 001"/>
      </w:pPr>
      <w:r>
        <w:t xml:space="preserve">tự đánh giá về, 150, 153, 155–157</w:t>
      </w:r>
      <w:hyperlink w:anchor="don_t">
        <w:r>
          <w:rPr>
            <w:rStyle w:val="Text1"/>
          </w:rPr>
          <w:t/>
        </w:r>
      </w:hyperlink>
      <w:r>
        <w:t xml:space="preserve"/>
      </w:r>
      <w:hyperlink w:anchor="national">
        <w:r>
          <w:rPr>
            <w:rStyle w:val="Text1"/>
          </w:rPr>
          <w:t/>
        </w:r>
      </w:hyperlink>
      <w:r>
        <w:t xml:space="preserve"/>
      </w:r>
      <w:hyperlink w:anchor="Have">
        <w:r>
          <w:rPr>
            <w:rStyle w:val="Text1"/>
          </w:rPr>
          <w:t/>
        </w:r>
      </w:hyperlink>
    </w:p>
    <w:p>
      <w:pPr>
        <w:pStyle w:val="Para 001"/>
      </w:pPr>
      <w:r>
        <w:t xml:space="preserve">thời gian do cấp dưới áp đặt trong, 33–34</w:t>
      </w:r>
      <w:hyperlink w:anchor="Management">
        <w:r>
          <w:rPr>
            <w:rStyle w:val="Text1"/>
          </w:rPr>
          <w:t/>
        </w:r>
      </w:hyperlink>
    </w:p>
    <w:p>
      <w:pPr>
        <w:pStyle w:val="Para 001"/>
      </w:pPr>
      <w:r>
        <w:t xml:space="preserve">thời gian do hệ thống áp đặt trong, 33</w:t>
      </w:r>
      <w:hyperlink w:anchor="Management">
        <w:r>
          <w:rPr>
            <w:rStyle w:val="Text1"/>
          </w:rPr>
          <w:t/>
        </w:r>
      </w:hyperlink>
    </w:p>
    <w:p>
      <w:pPr>
        <w:pStyle w:val="Para 001"/>
      </w:pPr>
      <w:r>
        <w:t xml:space="preserve">mô hình Công cụ Hợp tác (Tools of Cooperation), 8</w:t>
      </w:r>
      <w:hyperlink w:anchor="forward">
        <w:r>
          <w:rPr>
            <w:rStyle w:val="Text1"/>
          </w:rPr>
          <w:t/>
        </w:r>
      </w:hyperlink>
    </w:p>
    <w:p>
      <w:pPr>
        <w:pStyle w:val="Para 001"/>
      </w:pPr>
      <w:r>
        <w:t xml:space="preserve">Lãnh đạo Toàn diện (Total Leadership), 97–114</w:t>
      </w:r>
      <w:hyperlink w:anchor="Be">
        <w:r>
          <w:rPr>
            <w:rStyle w:val="Text1"/>
          </w:rPr>
          <w:t/>
        </w:r>
      </w:hyperlink>
    </w:p>
    <w:p>
      <w:pPr>
        <w:pStyle w:val="Para 001"/>
      </w:pPr>
      <w:r>
        <w:t xml:space="preserve">sự thích nghi trong, 108–109</w:t>
      </w:r>
      <w:hyperlink w:anchor="Once">
        <w:r>
          <w:rPr>
            <w:rStyle w:val="Text1"/>
          </w:rPr>
          <w:t/>
        </w:r>
      </w:hyperlink>
    </w:p>
    <w:p>
      <w:pPr>
        <w:pStyle w:val="Para 001"/>
      </w:pPr>
      <w:r>
        <w:t xml:space="preserve">các thử nghiệm trong, 97–98, 102–109</w:t>
      </w:r>
      <w:hyperlink w:anchor="Be">
        <w:r>
          <w:rPr>
            <w:rStyle w:val="Text1"/>
          </w:rPr>
          <w:t/>
        </w:r>
      </w:hyperlink>
      <w:r>
        <w:t xml:space="preserve"/>
      </w:r>
      <w:hyperlink w:anchor="important">
        <w:r>
          <w:rPr>
            <w:rStyle w:val="Text1"/>
          </w:rPr>
          <w:t/>
        </w:r>
      </w:hyperlink>
    </w:p>
    <w:p>
      <w:pPr>
        <w:pStyle w:val="Para 001"/>
      </w:pPr>
      <w:r>
        <w:t xml:space="preserve">chiến thắng bốn chiều (four-way wins) trong, 97–98, 102–109, 113</w:t>
      </w:r>
      <w:hyperlink w:anchor="Be">
        <w:r>
          <w:rPr>
            <w:rStyle w:val="Text1"/>
          </w:rPr>
          <w:t/>
        </w:r>
      </w:hyperlink>
      <w:r>
        <w:t xml:space="preserve"/>
      </w:r>
      <w:hyperlink w:anchor="important">
        <w:r>
          <w:rPr>
            <w:rStyle w:val="Text1"/>
          </w:rPr>
          <w:t/>
        </w:r>
      </w:hyperlink>
      <w:r>
        <w:t xml:space="preserve"/>
      </w:r>
      <w:hyperlink w:anchor="Ismail">
        <w:r>
          <w:rPr>
            <w:rStyle w:val="Text1"/>
          </w:rPr>
          <w:t/>
        </w:r>
      </w:hyperlink>
    </w:p>
    <w:p>
      <w:pPr>
        <w:pStyle w:val="Para 001"/>
      </w:pPr>
      <w:r>
        <w:bookmarkStart w:id="241" w:name="measuring"/>
        <w:t>đo lường tiến độ trong, 109–112</w:t>
        <w:bookmarkEnd w:id="241"/>
        <w:t xml:space="preserve"/>
      </w:r>
      <w:hyperlink w:anchor="other">
        <w:r>
          <w:rPr>
            <w:rStyle w:val="Text1"/>
          </w:rPr>
          <w:t/>
        </w:r>
      </w:hyperlink>
    </w:p>
    <w:p>
      <w:pPr>
        <w:pStyle w:val="Para 001"/>
      </w:pPr>
      <w:r>
        <w:t xml:space="preserve">quy trình cho, 100–102</w:t>
      </w:r>
      <w:hyperlink w:anchor="The_1">
        <w:r>
          <w:rPr>
            <w:rStyle w:val="Text1"/>
          </w:rPr>
          <w:t/>
        </w:r>
      </w:hyperlink>
    </w:p>
    <w:p>
      <w:pPr>
        <w:pStyle w:val="Para 001"/>
      </w:pPr>
      <w:r>
        <w:t xml:space="preserve">Truman, Harry, 18</w:t>
      </w:r>
      <w:hyperlink w:anchor="Like">
        <w:r>
          <w:rPr>
            <w:rStyle w:val="Text1"/>
          </w:rPr>
          <w:t/>
        </w:r>
      </w:hyperlink>
    </w:p>
    <w:p>
      <w:pPr>
        <w:pStyle w:val="Para 047"/>
      </w:pPr>
      <w:r>
        <w:rPr>
          <w:rStyle w:val="Text6"/>
        </w:rPr>
        <w:t xml:space="preserve">niềm tin, 28–29, 36, 40, 88–89</w:t>
      </w:r>
      <w:hyperlink w:anchor="same">
        <w:r>
          <w:t/>
        </w:r>
      </w:hyperlink>
      <w:r>
        <w:rPr>
          <w:rStyle w:val="Text6"/>
        </w:rPr>
        <w:t xml:space="preserve"/>
      </w:r>
      <w:hyperlink w:anchor="Idea_2">
        <w:r>
          <w:t/>
        </w:r>
      </w:hyperlink>
      <w:r>
        <w:rPr>
          <w:rStyle w:val="Text6"/>
        </w:rPr>
        <w:t xml:space="preserve"/>
      </w:r>
      <w:hyperlink w:anchor="Making">
        <w:r>
          <w:t/>
        </w:r>
      </w:hyperlink>
      <w:r>
        <w:rPr>
          <w:rStyle w:val="Text6"/>
        </w:rPr>
        <w:t xml:space="preserve"/>
      </w:r>
      <w:hyperlink w:anchor="means">
        <w:r>
          <w:t/>
        </w:r>
      </w:hyperlink>
    </w:p>
    <w:p>
      <w:pPr>
        <w:pStyle w:val="Para 029"/>
      </w:pPr>
      <w:r>
        <w:t xml:space="preserve">lãnh đạo nền tảng và, 130, 140–141, 141–142</w:t>
      </w:r>
      <w:hyperlink w:anchor="good">
        <w:r>
          <w:rPr>
            <w:rStyle w:val="Text1"/>
          </w:rPr>
          <w:t/>
        </w:r>
      </w:hyperlink>
      <w:r>
        <w:t xml:space="preserve"/>
      </w:r>
      <w:hyperlink w:anchor="_5">
        <w:r>
          <w:rPr>
            <w:rStyle w:val="Text1"/>
          </w:rPr>
          <w:t/>
        </w:r>
      </w:hyperlink>
      <w:r>
        <w:t xml:space="preserve"/>
      </w:r>
      <w:hyperlink w:anchor="the_1">
        <w:r>
          <w:rPr>
            <w:rStyle w:val="Text1"/>
          </w:rPr>
          <w:t/>
        </w:r>
      </w:hyperlink>
    </w:p>
    <w:p>
      <w:pPr>
        <w:pStyle w:val="Para 001"/>
      </w:pPr>
      <w:r>
        <w:t xml:space="preserve">Ulrich, Dave, 142</w:t>
      </w:r>
      <w:hyperlink w:anchor="A">
        <w:r>
          <w:rPr>
            <w:rStyle w:val="Text1"/>
          </w:rPr>
          <w:t/>
        </w:r>
      </w:hyperlink>
    </w:p>
    <w:p>
      <w:pPr>
        <w:pStyle w:val="Para 001"/>
      </w:pPr>
      <w:r>
        <w:t xml:space="preserve">nhịp sinh học siêu khúc (ultradian rhythms), 69, 72</w:t>
      </w:r>
      <w:hyperlink w:anchor="_1">
        <w:r>
          <w:rPr>
            <w:rStyle w:val="Text1"/>
          </w:rPr>
          <w:t/>
        </w:r>
      </w:hyperlink>
      <w:r>
        <w:t xml:space="preserve"/>
      </w:r>
      <w:hyperlink w:anchor="With">
        <w:r>
          <w:rPr>
            <w:rStyle w:val="Text1"/>
          </w:rPr>
          <w:t/>
        </w:r>
      </w:hyperlink>
    </w:p>
    <w:p>
      <w:pPr>
        <w:pStyle w:val="Para 001"/>
      </w:pPr>
      <w:r>
        <w:t xml:space="preserve">Unilever, 173</w:t>
      </w:r>
      <w:hyperlink w:anchor="appraisal">
        <w:r>
          <w:rPr>
            <w:rStyle w:val="Text1"/>
          </w:rPr>
          <w:t/>
        </w:r>
      </w:hyperlink>
    </w:p>
    <w:p>
      <w:pPr>
        <w:pStyle w:val="Para 079"/>
      </w:pPr>
      <w:r>
        <w:rPr>
          <w:rStyle w:val="Text6"/>
        </w:rPr>
        <w:t xml:space="preserve">UPS, 56–57, 59–60</w:t>
      </w:r>
      <w:hyperlink w:anchor="those">
        <w:r>
          <w:t/>
        </w:r>
      </w:hyperlink>
      <w:r>
        <w:rPr>
          <w:rStyle w:val="Text6"/>
        </w:rPr>
        <w:t xml:space="preserve"/>
      </w:r>
      <w:hyperlink w:anchor="Feynman">
        <w:r>
          <w:t/>
        </w:r>
      </w:hyperlink>
    </w:p>
    <w:p>
      <w:pPr>
        <w:pStyle w:val="Para 001"/>
      </w:pPr>
      <w:r>
        <w:t xml:space="preserve">Vaillant, George, 51–52</w:t>
      </w:r>
      <w:hyperlink w:anchor="groups">
        <w:r>
          <w:rPr>
            <w:rStyle w:val="Text1"/>
          </w:rPr>
          <w:t/>
        </w:r>
      </w:hyperlink>
    </w:p>
    <w:p>
      <w:pPr>
        <w:pStyle w:val="Para 001"/>
      </w:pPr>
      <w:r>
        <w:t>các giá trị cốt lõi (values)</w:t>
      </w:r>
    </w:p>
    <w:p>
      <w:pPr>
        <w:pStyle w:val="Para 001"/>
      </w:pPr>
      <w:r>
        <w:t xml:space="preserve">quản trị năng lượng và, 65, 74–76</w:t>
      </w:r>
      <w:hyperlink w:anchor="continued">
        <w:r>
          <w:rPr>
            <w:rStyle w:val="Text1"/>
          </w:rPr>
          <w:t/>
        </w:r>
      </w:hyperlink>
      <w:r>
        <w:t xml:space="preserve"/>
      </w:r>
      <w:hyperlink w:anchor="Paris">
        <w:r>
          <w:rPr>
            <w:rStyle w:val="Text1"/>
          </w:rPr>
          <w:t/>
        </w:r>
      </w:hyperlink>
    </w:p>
    <w:p>
      <w:pPr>
        <w:pStyle w:val="Para 001"/>
      </w:pPr>
      <w:r>
        <w:t xml:space="preserve">lãnh đạo dưới áp lực và, 164–165</w:t>
      </w:r>
      <w:hyperlink w:anchor="triggered">
        <w:r>
          <w:rPr>
            <w:rStyle w:val="Text1"/>
          </w:rPr>
          <w:t/>
        </w:r>
      </w:hyperlink>
    </w:p>
    <w:p>
      <w:pPr>
        <w:pStyle w:val="Para 001"/>
      </w:pPr>
      <w:r>
        <w:t xml:space="preserve">sống đúng với giá trị cốt lõi của bạn, 74, 76</w:t>
      </w:r>
      <w:hyperlink w:anchor="Paris">
        <w:r>
          <w:rPr>
            <w:rStyle w:val="Text1"/>
          </w:rPr>
          <w:t/>
        </w:r>
      </w:hyperlink>
      <w:r>
        <w:t xml:space="preserve"/>
      </w:r>
      <w:hyperlink w:anchor="PlayStation">
        <w:r>
          <w:rPr>
            <w:rStyle w:val="Text1"/>
          </w:rPr>
          <w:t/>
        </w:r>
      </w:hyperlink>
    </w:p>
    <w:p>
      <w:pPr>
        <w:pStyle w:val="Para 001"/>
      </w:pPr>
      <w:r>
        <w:t xml:space="preserve">kiến tạo ý nghĩa (meaning-making) và, 56–57</w:t>
      </w:r>
      <w:hyperlink w:anchor="those">
        <w:r>
          <w:rPr>
            <w:rStyle w:val="Text1"/>
          </w:rPr>
          <w:t/>
        </w:r>
      </w:hyperlink>
    </w:p>
    <w:p>
      <w:pPr>
        <w:pStyle w:val="Para 001"/>
      </w:pPr>
      <w:r>
        <w:t xml:space="preserve">giá trị cá nhân so với giá trị tổ chức, 22–23</w:t>
      </w:r>
      <w:hyperlink w:anchor="abruptly">
        <w:r>
          <w:rPr>
            <w:rStyle w:val="Text1"/>
          </w:rPr>
          <w:t/>
        </w:r>
      </w:hyperlink>
    </w:p>
    <w:p>
      <w:pPr>
        <w:pStyle w:val="Para 001"/>
      </w:pPr>
      <w:r>
        <w:t xml:space="preserve">quản trị các mối quan hệ và, 27</w:t>
      </w:r>
      <w:hyperlink w:anchor="values">
        <w:r>
          <w:rPr>
            <w:rStyle w:val="Text1"/>
          </w:rPr>
          <w:t/>
        </w:r>
      </w:hyperlink>
    </w:p>
    <w:p>
      <w:pPr>
        <w:pStyle w:val="Para 001"/>
      </w:pPr>
      <w:r>
        <w:t xml:space="preserve">tự quản trị dựa trên, 16, 21–24</w:t>
      </w:r>
      <w:hyperlink w:anchor="Idea_1">
        <w:r>
          <w:rPr>
            <w:rStyle w:val="Text1"/>
          </w:rPr>
          <w:t/>
        </w:r>
      </w:hyperlink>
      <w:r>
        <w:t xml:space="preserve"/>
      </w:r>
      <w:hyperlink w:anchor="Another">
        <w:r>
          <w:rPr>
            <w:rStyle w:val="Text1"/>
          </w:rPr>
          <w:t/>
        </w:r>
      </w:hyperlink>
    </w:p>
    <w:p>
      <w:pPr>
        <w:pStyle w:val="Para 001"/>
      </w:pPr>
      <w:r>
        <w:t xml:space="preserve">khám phá giá trị cá nhân, 76</w:t>
      </w:r>
      <w:hyperlink w:anchor="PlayStation">
        <w:r>
          <w:rPr>
            <w:rStyle w:val="Text1"/>
          </w:rPr>
          <w:t/>
        </w:r>
      </w:hyperlink>
    </w:p>
    <w:p>
      <w:pPr>
        <w:pStyle w:val="Para 001"/>
      </w:pPr>
      <w:r>
        <w:t xml:space="preserve">Vanderpol, Maurice, 50</w:t>
      </w:r>
      <w:hyperlink w:anchor="many">
        <w:r>
          <w:rPr>
            <w:rStyle w:val="Text1"/>
          </w:rPr>
          <w:t/>
        </w:r>
      </w:hyperlink>
    </w:p>
    <w:p>
      <w:pPr>
        <w:pStyle w:val="Para 001"/>
      </w:pPr>
      <w:r>
        <w:t xml:space="preserve">tầm nhìn (vision), 149–153, 154</w:t>
      </w:r>
      <w:hyperlink w:anchor="basic">
        <w:r>
          <w:rPr>
            <w:rStyle w:val="Text1"/>
          </w:rPr>
          <w:t/>
        </w:r>
      </w:hyperlink>
      <w:r>
        <w:t xml:space="preserve"/>
      </w:r>
      <w:hyperlink w:anchor="Testing">
        <w:r>
          <w:rPr>
            <w:rStyle w:val="Text1"/>
          </w:rPr>
          <w:t/>
        </w:r>
      </w:hyperlink>
    </w:p>
    <w:p>
      <w:pPr>
        <w:pStyle w:val="Para 029"/>
      </w:pPr>
      <w:r>
        <w:t xml:space="preserve">công việc tình nguyện, 30–31</w:t>
      </w:r>
      <w:hyperlink w:anchor="community">
        <w:r>
          <w:rPr>
            <w:rStyle w:val="Text1"/>
          </w:rPr>
          <w:t/>
        </w:r>
      </w:hyperlink>
    </w:p>
    <w:p>
      <w:pPr>
        <w:pStyle w:val="Para 001"/>
      </w:pPr>
      <w:r>
        <w:t xml:space="preserve">Wachovia Bank, 62–66, 71, 72–73, 77</w:t>
      </w:r>
      <w:hyperlink w:anchor="systematically">
        <w:r>
          <w:rPr>
            <w:rStyle w:val="Text1"/>
          </w:rPr>
          <w:t/>
        </w:r>
      </w:hyperlink>
      <w:r>
        <w:t xml:space="preserve"/>
      </w:r>
      <w:hyperlink w:anchor="and">
        <w:r>
          <w:rPr>
            <w:rStyle w:val="Text1"/>
          </w:rPr>
          <w:t/>
        </w:r>
      </w:hyperlink>
      <w:r>
        <w:t xml:space="preserve"/>
      </w:r>
      <w:hyperlink w:anchor="With">
        <w:r>
          <w:rPr>
            <w:rStyle w:val="Text1"/>
          </w:rPr>
          <w:t/>
        </w:r>
      </w:hyperlink>
      <w:r>
        <w:t xml:space="preserve"/>
      </w:r>
      <w:hyperlink w:anchor="are">
        <w:r>
          <w:rPr>
            <w:rStyle w:val="Text1"/>
          </w:rPr>
          <w:t/>
        </w:r>
      </w:hyperlink>
    </w:p>
    <w:p>
      <w:pPr>
        <w:pStyle w:val="Para 001"/>
      </w:pPr>
      <w:r>
        <w:t xml:space="preserve">Wanner, Steve, 61, 62, 73, 76</w:t>
      </w:r>
      <w:hyperlink w:anchor="Manage">
        <w:r>
          <w:rPr>
            <w:rStyle w:val="Text1"/>
          </w:rPr>
          <w:t/>
        </w:r>
      </w:hyperlink>
      <w:r>
        <w:t xml:space="preserve"/>
      </w:r>
      <w:hyperlink w:anchor="systematically">
        <w:r>
          <w:rPr>
            <w:rStyle w:val="Text1"/>
          </w:rPr>
          <w:t/>
        </w:r>
      </w:hyperlink>
      <w:r>
        <w:t xml:space="preserve"/>
      </w:r>
      <w:hyperlink w:anchor="report">
        <w:r>
          <w:rPr>
            <w:rStyle w:val="Text1"/>
          </w:rPr>
          <w:t/>
        </w:r>
      </w:hyperlink>
      <w:r>
        <w:t xml:space="preserve"/>
      </w:r>
      <w:hyperlink w:anchor="PlayStation">
        <w:r>
          <w:rPr>
            <w:rStyle w:val="Text1"/>
          </w:rPr>
          <w:t/>
        </w:r>
      </w:hyperlink>
    </w:p>
    <w:p>
      <w:pPr>
        <w:pStyle w:val="Para 001"/>
      </w:pPr>
      <w:r>
        <w:t xml:space="preserve">điểm yếu, 17</w:t>
      </w:r>
      <w:hyperlink w:anchor="must">
        <w:r>
          <w:rPr>
            <w:rStyle w:val="Text1"/>
          </w:rPr>
          <w:t/>
        </w:r>
      </w:hyperlink>
    </w:p>
    <w:p>
      <w:pPr>
        <w:pStyle w:val="Para 001"/>
      </w:pPr>
      <w:r>
        <w:t xml:space="preserve">Weick, Karl E., 60, 142</w:t>
      </w:r>
      <w:hyperlink w:anchor="Andrew">
        <w:r>
          <w:rPr>
            <w:rStyle w:val="Text1"/>
          </w:rPr>
          <w:t/>
        </w:r>
      </w:hyperlink>
      <w:r>
        <w:t xml:space="preserve"/>
      </w:r>
      <w:hyperlink w:anchor="A">
        <w:r>
          <w:rPr>
            <w:rStyle w:val="Text1"/>
          </w:rPr>
          <w:t/>
        </w:r>
      </w:hyperlink>
    </w:p>
    <w:p>
      <w:pPr>
        <w:pStyle w:val="Para 001"/>
      </w:pPr>
      <w:r>
        <w:t xml:space="preserve">Welch, Jack, 175</w:t>
      </w:r>
      <w:hyperlink w:anchor="Those">
        <w:r>
          <w:rPr>
            <w:rStyle w:val="Text1"/>
          </w:rPr>
          <w:t/>
        </w:r>
      </w:hyperlink>
    </w:p>
    <w:p>
      <w:pPr>
        <w:pStyle w:val="Para 001"/>
      </w:pPr>
      <w:r>
        <w:t xml:space="preserve">chiến thắng bốn bề (four-way wins), 97–98</w:t>
      </w:r>
      <w:hyperlink w:anchor="Be">
        <w:r>
          <w:rPr>
            <w:rStyle w:val="Text1"/>
          </w:rPr>
          <w:t/>
        </w:r>
      </w:hyperlink>
    </w:p>
    <w:p>
      <w:pPr>
        <w:pStyle w:val="Para 001"/>
      </w:pPr>
      <w:r>
        <w:t xml:space="preserve">phong cách làm việc, 16, 17–21, 27</w:t>
      </w:r>
      <w:hyperlink w:anchor="Idea_1">
        <w:r>
          <w:rPr>
            <w:rStyle w:val="Text1"/>
          </w:rPr>
          <w:t/>
        </w:r>
      </w:hyperlink>
      <w:r>
        <w:t xml:space="preserve"/>
      </w:r>
      <w:hyperlink w:anchor="must">
        <w:r>
          <w:rPr>
            <w:rStyle w:val="Text1"/>
          </w:rPr>
          <w:t/>
        </w:r>
      </w:hyperlink>
      <w:r>
        <w:t xml:space="preserve"/>
      </w:r>
      <w:hyperlink w:anchor="values">
        <w:r>
          <w:rPr>
            <w:rStyle w:val="Text1"/>
          </w:rPr>
          <w:t/>
        </w:r>
      </w:hyperlink>
    </w:p>
    <w:p>
      <w:pPr>
        <w:pStyle w:val="Para 029"/>
      </w:pPr>
      <w:r>
        <w:t xml:space="preserve">nhà văn, phong cách học tập của, 19–20</w:t>
      </w:r>
      <w:hyperlink w:anchor="he">
        <w:r>
          <w:rPr>
            <w:rStyle w:val="Text1"/>
          </w:rPr>
          <w:t/>
        </w:r>
      </w:hyperlink>
    </w:p>
    <w:p>
      <w:pPr>
        <w:pStyle w:val="Para 001"/>
      </w:pPr>
      <w:r>
        <w:t xml:space="preserve">Yamamoto, Robert, 137, 138, 139–140, 141, 144–145</w:t>
      </w:r>
      <w:hyperlink w:anchor="confidence">
        <w:r>
          <w:rPr>
            <w:rStyle w:val="Text1"/>
          </w:rPr>
          <w:t/>
        </w:r>
      </w:hyperlink>
      <w:r>
        <w:t xml:space="preserve"/>
      </w:r>
      <w:hyperlink w:anchor="around">
        <w:r>
          <w:rPr>
            <w:rStyle w:val="Text1"/>
          </w:rPr>
          <w:t/>
        </w:r>
      </w:hyperlink>
      <w:r>
        <w:t xml:space="preserve"/>
      </w:r>
      <w:hyperlink w:anchor="have">
        <w:r>
          <w:rPr>
            <w:rStyle w:val="Text1"/>
          </w:rPr>
          <w:t/>
        </w:r>
      </w:hyperlink>
      <w:r>
        <w:t xml:space="preserve"/>
      </w:r>
      <w:hyperlink w:anchor="the_1">
        <w:r>
          <w:rPr>
            <w:rStyle w:val="Text1"/>
          </w:rPr>
          <w:t/>
        </w:r>
      </w:hyperlink>
      <w:r>
        <w:t xml:space="preserve"/>
      </w:r>
      <w:hyperlink w:anchor="identity">
        <w:r>
          <w:rPr>
            <w:rStyle w:val="Text1"/>
          </w:rPr>
          <w:t/>
        </w:r>
      </w:hyperlink>
    </w:p>
    <w:p>
      <w:bookmarkStart w:id="242" w:name="sbo_rt_content_1"/>
      <w:bookmarkStart w:id="243" w:name="Top_of_18_Back_Cov_xhtml"/>
      <w:pPr>
        <w:pStyle w:val="Para 050"/>
        <w:pageBreakBefore w:val="on"/>
      </w:pPr>
      <w:r>
        <w:bookmarkStart w:id="244" w:name="page_199"/>
        <w:t/>
        <w:bookmarkEnd w:id="244"/>
        <w:drawing>
          <wp:inline>
            <wp:extent cx="4965700" cy="8229600"/>
            <wp:effectExtent l="0" r="0" t="0" b="0"/>
            <wp:docPr id="15" name="MR_ad.png" descr="MR_ad.png"/>
            <wp:cNvGraphicFramePr>
              <a:graphicFrameLocks noChangeAspect="1"/>
            </wp:cNvGraphicFramePr>
            <a:graphic>
              <a:graphicData uri="http://schemas.openxmlformats.org/drawingml/2006/picture">
                <pic:pic>
                  <pic:nvPicPr>
                    <pic:cNvPr id="0" name="MR_ad.png" descr="MR_ad.png"/>
                    <pic:cNvPicPr/>
                  </pic:nvPicPr>
                  <pic:blipFill>
                    <a:blip r:embed="rId19"/>
                    <a:stretch>
                      <a:fillRect/>
                    </a:stretch>
                  </pic:blipFill>
                  <pic:spPr>
                    <a:xfrm>
                      <a:off x="0" y="0"/>
                      <a:ext cx="4965700" cy="8229600"/>
                    </a:xfrm>
                    <a:prstGeom prst="rect">
                      <a:avLst/>
                    </a:prstGeom>
                  </pic:spPr>
                </pic:pic>
              </a:graphicData>
            </a:graphic>
          </wp:inline>
        </w:drawing>
      </w:r>
      <w:bookmarkEnd w:id="242"/>
      <w:bookmarkEnd w:id="243"/>
    </w:p>
    <w:p>
      <w:bookmarkStart w:id="245" w:name="Top_of_cover_xhtml"/>
      <w:bookmarkStart w:id="246" w:name="sbo_rt_content_2"/>
      <w:pPr>
        <w:pStyle w:val="Para 076"/>
        <w:pageBreakBefore w:val="on"/>
      </w:pPr>
      <w:r>
        <w:t/>
        <w:bookmarkStart w:id="247" w:name="cover_1"/>
        <w:t/>
        <w:bookmarkEnd w:id="247"/>
        <w:t xml:space="preserve"> </w:t>
        <w:drawing>
          <wp:inline>
            <wp:extent cx="5486400" cy="8229600"/>
            <wp:effectExtent l="0" r="0" t="0" b="0"/>
            <wp:docPr id="16" name="cover.jpg" descr="cover.jpg"/>
            <wp:cNvGraphicFramePr>
              <a:graphicFrameLocks noChangeAspect="1"/>
            </wp:cNvGraphicFramePr>
            <a:graphic>
              <a:graphicData uri="http://schemas.openxmlformats.org/drawingml/2006/picture">
                <pic:pic>
                  <pic:nvPicPr>
                    <pic:cNvPr id="0" name="cover.jpg" descr="cover.jpg"/>
                    <pic:cNvPicPr/>
                  </pic:nvPicPr>
                  <pic:blipFill>
                    <a:blip r:embed="rId5"/>
                    <a:stretch>
                      <a:fillRect/>
                    </a:stretch>
                  </pic:blipFill>
                  <pic:spPr>
                    <a:xfrm>
                      <a:off x="0" y="0"/>
                      <a:ext cx="5486400" cy="8229600"/>
                    </a:xfrm>
                    <a:prstGeom prst="rect">
                      <a:avLst/>
                    </a:prstGeom>
                  </pic:spPr>
                </pic:pic>
              </a:graphicData>
            </a:graphic>
          </wp:inline>
        </w:drawing>
        <w:t xml:space="preserve"> </w:t>
      </w:r>
      <w:bookmarkEnd w:id="245"/>
      <w:bookmarkEnd w:id="246"/>
    </w:p>
    <w:p>
      <w:bookmarkStart w:id="248" w:name="Top_of_fm001_xhtml"/>
      <w:bookmarkStart w:id="249" w:name="HBR_s_10_Must_Reads_series_is_th"/>
      <w:pPr>
        <w:pStyle w:val="Para 012"/>
        <w:pageBreakBefore w:val="on"/>
      </w:pPr>
      <w:r>
        <w:t xml:space="preserve"> </w:t>
      </w:r>
      <w:bookmarkEnd w:id="248"/>
      <w:bookmarkEnd w:id="249"/>
    </w:p>
    <w:p>
      <w:pPr>
        <w:pStyle w:val="Para 003"/>
      </w:pPr>
      <w:r>
        <w:bookmarkStart w:id="250" w:name="page_iii_1"/>
        <w:t>Bộ sách HBR’s 10 Must Reads là tuyển tập chọn lọc những ý tưởng và phương pháp hay nhất dành cho cả những nhà lãnh đạo đầy tham vọng lẫn dày dạn kinh nghiệm. Những cuốn sách này cung cấp những bài đọc thiết yếu được chọn lọc từ các trang của Harvard Business Review về những chủ đề then chốt cho sự thành công của mọi nhà quản lý.</w:t>
        <w:bookmarkEnd w:id="250"/>
        <w:t xml:space="preserve"/>
      </w:r>
      <w:r>
        <w:rPr>
          <w:rStyle w:val="Text0"/>
        </w:rPr>
        <w:t/>
      </w:r>
      <w:r>
        <w:t xml:space="preserve"/>
      </w:r>
    </w:p>
    <w:p>
      <w:pPr>
        <w:pStyle w:val="Para 111"/>
      </w:pPr>
      <w:r>
        <w:t>Các tựa sách bao gồm:</w:t>
      </w:r>
    </w:p>
    <w:p>
      <w:pPr>
        <w:pStyle w:val="Para 013"/>
      </w:pPr>
      <w:hyperlink r:id="rId34">
        <w:r>
          <w:t>HBR’s 10 Must Reads 2015</w:t>
        </w:r>
      </w:hyperlink>
    </w:p>
    <w:p>
      <w:pPr>
        <w:pStyle w:val="Para 013"/>
      </w:pPr>
      <w:hyperlink r:id="rId35">
        <w:r>
          <w:t>HBR’s 10 Must Reads 2016</w:t>
        </w:r>
      </w:hyperlink>
    </w:p>
    <w:p>
      <w:pPr>
        <w:pStyle w:val="Para 013"/>
      </w:pPr>
      <w:hyperlink r:id="rId36">
        <w:r>
          <w:t>HBR’s 10 Must Reads 2017</w:t>
        </w:r>
      </w:hyperlink>
    </w:p>
    <w:p>
      <w:pPr>
        <w:pStyle w:val="Para 013"/>
      </w:pPr>
      <w:hyperlink r:id="rId37">
        <w:r>
          <w:t>HBR’s 10 Must Reads 2018</w:t>
        </w:r>
      </w:hyperlink>
    </w:p>
    <w:p>
      <w:pPr>
        <w:pStyle w:val="Para 013"/>
      </w:pPr>
      <w:hyperlink r:id="rId38">
        <w:r>
          <w:t>HBR’s 10 Must Reads 2019</w:t>
        </w:r>
      </w:hyperlink>
    </w:p>
    <w:p>
      <w:pPr>
        <w:pStyle w:val="Para 013"/>
      </w:pPr>
      <w:hyperlink r:id="rId39">
        <w:r>
          <w:t>HBR’s 10 Must Reads 2020</w:t>
        </w:r>
      </w:hyperlink>
    </w:p>
    <w:p>
      <w:pPr>
        <w:pStyle w:val="Para 013"/>
      </w:pPr>
      <w:hyperlink r:id="rId40">
        <w:r>
          <w:t>HBR’s 10 Must Reads 2021</w:t>
        </w:r>
      </w:hyperlink>
    </w:p>
    <w:p>
      <w:pPr>
        <w:pStyle w:val="Para 013"/>
      </w:pPr>
      <w:hyperlink r:id="rId41">
        <w:r>
          <w:t>HBR’s 10 Must Reads cho các CEO</w:t>
        </w:r>
      </w:hyperlink>
    </w:p>
    <w:p>
      <w:pPr>
        <w:pStyle w:val="Para 013"/>
      </w:pPr>
      <w:hyperlink r:id="rId42">
        <w:r>
          <w:t>HBR’s 10 Must Reads cho nhà quản lý mới</w:t>
        </w:r>
      </w:hyperlink>
    </w:p>
    <w:p>
      <w:pPr>
        <w:pStyle w:val="Para 013"/>
      </w:pPr>
      <w:hyperlink r:id="rId43">
        <w:r>
          <w:t>HBR’s 10 Must Reads về AI, Phân tích dữ liệu và Kỷ nguyên máy móc mới</w:t>
        </w:r>
      </w:hyperlink>
    </w:p>
    <w:p>
      <w:pPr>
        <w:pStyle w:val="Para 013"/>
      </w:pPr>
      <w:hyperlink r:id="rId44">
        <w:r>
          <w:t>HBR’s 10 Must Reads về Hội đồng quản trị</w:t>
        </w:r>
      </w:hyperlink>
    </w:p>
    <w:p>
      <w:pPr>
        <w:pStyle w:val="Para 013"/>
      </w:pPr>
      <w:hyperlink r:id="rId45">
        <w:r>
          <w:t>HBR’s 10 Must Reads về Xây dựng văn hóa tuyệt vời</w:t>
        </w:r>
      </w:hyperlink>
    </w:p>
    <w:p>
      <w:pPr>
        <w:pStyle w:val="Para 013"/>
      </w:pPr>
      <w:hyperlink r:id="rId46">
        <w:r>
          <w:t>HBR’s 10 Must Reads về Đổi mới mô hình kinh doanh</w:t>
        </w:r>
      </w:hyperlink>
    </w:p>
    <w:p>
      <w:pPr>
        <w:pStyle w:val="Para 003"/>
      </w:pPr>
      <w:r>
        <w:t>HBR’s 10 Must Reads về Khả năng phục hồi nghề nghiệp</w:t>
      </w:r>
    </w:p>
    <w:p>
      <w:pPr>
        <w:pStyle w:val="Para 013"/>
      </w:pPr>
      <w:hyperlink r:id="rId47">
        <w:r>
          <w:t>HBR’s 10 Must Reads về Quản trị thay đổi (Tập 1 và 2)</w:t>
        </w:r>
      </w:hyperlink>
      <w:r>
        <w:rPr>
          <w:rStyle w:val="Text6"/>
        </w:rPr>
        <w:t xml:space="preserve"/>
      </w:r>
    </w:p>
    <w:p>
      <w:pPr>
        <w:pStyle w:val="Para 013"/>
      </w:pPr>
      <w:hyperlink r:id="rId48">
        <w:r>
          <w:t>HBR’s 10 Must Reads về Hợp tác</w:t>
        </w:r>
      </w:hyperlink>
    </w:p>
    <w:p>
      <w:pPr>
        <w:pStyle w:val="Para 013"/>
      </w:pPr>
      <w:hyperlink r:id="rId49">
        <w:r>
          <w:t>HBR’s 10 Must Reads về Giao tiếp (Tập 1 và 2)</w:t>
        </w:r>
      </w:hyperlink>
      <w:r>
        <w:rPr>
          <w:rStyle w:val="Text6"/>
        </w:rPr>
        <w:t xml:space="preserve"/>
      </w:r>
    </w:p>
    <w:p>
      <w:pPr>
        <w:pStyle w:val="Para 013"/>
      </w:pPr>
      <w:hyperlink r:id="rId50">
        <w:r>
          <w:t>HBR’s 10 Must Reads về Sáng tạo</w:t>
        </w:r>
      </w:hyperlink>
    </w:p>
    <w:p>
      <w:pPr>
        <w:pStyle w:val="Para 013"/>
      </w:pPr>
      <w:hyperlink r:id="rId51">
        <w:r>
          <w:t>HBR’s 10 Must Reads về Tư duy thiết kế</w:t>
        </w:r>
      </w:hyperlink>
    </w:p>
    <w:p>
      <w:pPr>
        <w:pStyle w:val="Para 013"/>
      </w:pPr>
      <w:hyperlink r:id="rId52">
        <w:r>
          <w:t>HBR’s 10 Must Reads về Đa dạng</w:t>
        </w:r>
      </w:hyperlink>
    </w:p>
    <w:p>
      <w:pPr>
        <w:pStyle w:val="Para 013"/>
      </w:pPr>
      <w:hyperlink r:id="rId53">
        <w:r>
          <w:t>HBR’s 10 Must Reads về Trí tuệ cảm xúc</w:t>
        </w:r>
      </w:hyperlink>
    </w:p>
    <w:p>
      <w:pPr>
        <w:pStyle w:val="Para 013"/>
      </w:pPr>
      <w:hyperlink r:id="rId54">
        <w:r>
          <w:t>HBR’s 10 Must Reads về Khởi nghiệp và Startup</w:t>
        </w:r>
      </w:hyperlink>
    </w:p>
    <w:p>
      <w:pPr>
        <w:pStyle w:val="Para 013"/>
      </w:pPr>
      <w:hyperlink r:id="rId55">
        <w:r>
          <w:t>HBR’s 10 Must Reads về Đổi mới sáng tạo</w:t>
        </w:r>
      </w:hyperlink>
    </w:p>
    <w:p>
      <w:pPr>
        <w:pStyle w:val="Para 003"/>
      </w:pPr>
      <w:r>
        <w:t xml:space="preserve">HBR’s 10 Must Reads về Lãnh đạo (Tập 1 và 2)</w:t>
      </w:r>
      <w:hyperlink r:id="rId56">
        <w:r>
          <w:rPr>
            <w:rStyle w:val="Text1"/>
          </w:rPr>
          <w:t/>
        </w:r>
      </w:hyperlink>
      <w:r>
        <w:t xml:space="preserve"/>
      </w:r>
      <w:hyperlink r:id="rId57">
        <w:r>
          <w:rPr>
            <w:rStyle w:val="Text1"/>
          </w:rPr>
          <w:t/>
        </w:r>
      </w:hyperlink>
      <w:r>
        <w:t/>
      </w:r>
    </w:p>
    <w:p>
      <w:pPr>
        <w:pStyle w:val="Para 013"/>
      </w:pPr>
      <w:hyperlink r:id="rId58">
        <w:r>
          <w:t>HBR’s 10 Must Reads về Lãnh đạo trong Y tế</w:t>
        </w:r>
      </w:hyperlink>
    </w:p>
    <w:p>
      <w:pPr>
        <w:pStyle w:val="Para 013"/>
      </w:pPr>
      <w:hyperlink r:id="rId59">
        <w:r>
          <w:t>HBR’s 10 Must Reads về Bài học lãnh đạo từ Thể thao</w:t>
        </w:r>
      </w:hyperlink>
    </w:p>
    <w:p>
      <w:pPr>
        <w:pStyle w:val="Para 003"/>
      </w:pPr>
      <w:r>
        <w:t>HBR’s 10 Must Reads về Học tập suốt đời</w:t>
      </w:r>
    </w:p>
    <w:p>
      <w:pPr>
        <w:pStyle w:val="Para 013"/>
      </w:pPr>
      <w:hyperlink r:id="rId60">
        <w:r>
          <w:t>HBR’s 10 Must Reads về Ra quyết định thông minh</w:t>
        </w:r>
      </w:hyperlink>
    </w:p>
    <w:p>
      <w:pPr>
        <w:pStyle w:val="Para 013"/>
      </w:pPr>
      <w:hyperlink r:id="rId61">
        <w:r>
          <w:t>HBR’s 10 Must Reads về Quản lý xuyên văn hóa</w:t>
        </w:r>
      </w:hyperlink>
    </w:p>
    <w:p>
      <w:pPr>
        <w:pStyle w:val="Para 013"/>
      </w:pPr>
      <w:r>
        <w:rPr>
          <w:rStyle w:val="Text6"/>
        </w:rPr>
        <w:bookmarkStart w:id="251" w:name="page_iv"/>
        <w:t>HBR’s 10 Must Reads về Quản trị trong suy thoái, Bản mở rộng</w:t>
        <w:bookmarkEnd w:id="251"/>
      </w:r>
      <w:hyperlink r:id="rId62">
        <w:r>
          <w:t/>
        </w:r>
      </w:hyperlink>
    </w:p>
    <w:p>
      <w:pPr>
        <w:pStyle w:val="Para 003"/>
      </w:pPr>
      <w:r>
        <w:t xml:space="preserve">HBR’s 10 Must Reads về Quản lý con người (Tập 1 và 2)</w:t>
      </w:r>
      <w:hyperlink r:id="rId63">
        <w:r>
          <w:rPr>
            <w:rStyle w:val="Text1"/>
          </w:rPr>
          <w:t/>
        </w:r>
      </w:hyperlink>
      <w:r>
        <w:t xml:space="preserve"/>
      </w:r>
      <w:hyperlink r:id="rId64">
        <w:r>
          <w:rPr>
            <w:rStyle w:val="Text1"/>
          </w:rPr>
          <w:t/>
        </w:r>
      </w:hyperlink>
      <w:r>
        <w:t/>
      </w:r>
    </w:p>
    <w:p>
      <w:pPr>
        <w:pStyle w:val="Para 013"/>
      </w:pPr>
      <w:hyperlink r:id="rId65">
        <w:r>
          <w:t>HBR’s 10 Must Reads về Quản trị rủi ro</w:t>
        </w:r>
      </w:hyperlink>
    </w:p>
    <w:p>
      <w:pPr>
        <w:pStyle w:val="Para 013"/>
      </w:pPr>
      <w:hyperlink r:id="rId66">
        <w:r>
          <w:t>HBR’s 10 Must Reads về Quản trị bản thân (Tập 1 và 2)</w:t>
        </w:r>
      </w:hyperlink>
      <w:r>
        <w:rPr>
          <w:rStyle w:val="Text6"/>
        </w:rPr>
        <w:t xml:space="preserve"/>
      </w:r>
    </w:p>
    <w:p>
      <w:pPr>
        <w:pStyle w:val="Para 013"/>
      </w:pPr>
      <w:hyperlink r:id="rId67">
        <w:r>
          <w:t>HBR’s 10 Must Reads on Mental Toughness</w:t>
        </w:r>
      </w:hyperlink>
    </w:p>
    <w:p>
      <w:pPr>
        <w:pStyle w:val="Para 013"/>
      </w:pPr>
      <w:hyperlink r:id="rId68">
        <w:r>
          <w:t>HBR’s 10 Must Reads on Negotiation</w:t>
        </w:r>
      </w:hyperlink>
    </w:p>
    <w:p>
      <w:pPr>
        <w:pStyle w:val="Para 013"/>
      </w:pPr>
      <w:hyperlink r:id="rId69">
        <w:r>
          <w:t>HBR’s 10 Must Reads on Nonprofits and the Social Sectors</w:t>
        </w:r>
      </w:hyperlink>
    </w:p>
    <w:p>
      <w:pPr>
        <w:pStyle w:val="Para 013"/>
      </w:pPr>
      <w:hyperlink r:id="rId70">
        <w:r>
          <w:t>HBR’s 10 Must Reads on Organizational Resilience</w:t>
        </w:r>
      </w:hyperlink>
    </w:p>
    <w:p>
      <w:pPr>
        <w:pStyle w:val="Para 013"/>
      </w:pPr>
      <w:hyperlink r:id="rId71">
        <w:r>
          <w:t>HBR’s 10 Must Reads on Platforms and Ecosystems</w:t>
        </w:r>
      </w:hyperlink>
    </w:p>
    <w:p>
      <w:pPr>
        <w:pStyle w:val="Para 013"/>
      </w:pPr>
      <w:hyperlink r:id="rId72">
        <w:r>
          <w:t>HBR’s 10 Must Reads on Public Speaking and Presenting</w:t>
        </w:r>
      </w:hyperlink>
    </w:p>
    <w:p>
      <w:pPr>
        <w:pStyle w:val="Para 013"/>
      </w:pPr>
      <w:hyperlink r:id="rId73">
        <w:r>
          <w:t>HBR’s 10 Must Reads on Reinventing HR</w:t>
        </w:r>
      </w:hyperlink>
    </w:p>
    <w:p>
      <w:pPr>
        <w:pStyle w:val="Para 013"/>
      </w:pPr>
      <w:hyperlink r:id="rId74">
        <w:r>
          <w:t>HBR’s 10 Must Reads on Sales</w:t>
        </w:r>
      </w:hyperlink>
    </w:p>
    <w:p>
      <w:pPr>
        <w:pStyle w:val="Para 013"/>
      </w:pPr>
      <w:hyperlink r:id="rId75">
        <w:r>
          <w:t>HBR’s 10 Must Reads on Strategic Marketing</w:t>
        </w:r>
      </w:hyperlink>
    </w:p>
    <w:p>
      <w:pPr>
        <w:pStyle w:val="Para 003"/>
      </w:pPr>
      <w:r>
        <w:t xml:space="preserve">HBR’s 10 Must Reads on Strategy (Volumes 1 and 2)</w:t>
      </w:r>
      <w:hyperlink r:id="rId76">
        <w:r>
          <w:rPr>
            <w:rStyle w:val="Text1"/>
          </w:rPr>
          <w:t/>
        </w:r>
      </w:hyperlink>
      <w:r>
        <w:t xml:space="preserve"/>
      </w:r>
      <w:hyperlink r:id="rId77">
        <w:r>
          <w:rPr>
            <w:rStyle w:val="Text1"/>
          </w:rPr>
          <w:t/>
        </w:r>
      </w:hyperlink>
      <w:r>
        <w:t/>
      </w:r>
    </w:p>
    <w:p>
      <w:pPr>
        <w:pStyle w:val="Para 013"/>
      </w:pPr>
      <w:hyperlink r:id="rId78">
        <w:r>
          <w:t>HBR’s 10 Must Reads on Strategy for Healthcare</w:t>
        </w:r>
      </w:hyperlink>
    </w:p>
    <w:p>
      <w:pPr>
        <w:pStyle w:val="Para 013"/>
      </w:pPr>
      <w:hyperlink r:id="rId79">
        <w:r>
          <w:t>HBR’s 10 Must Reads on Teams</w:t>
        </w:r>
      </w:hyperlink>
    </w:p>
    <w:p>
      <w:pPr>
        <w:pStyle w:val="Para 013"/>
      </w:pPr>
      <w:hyperlink r:id="rId80">
        <w:r>
          <w:t>HBR’s 10 Must Reads on Women and Leadership</w:t>
        </w:r>
      </w:hyperlink>
    </w:p>
    <w:p>
      <w:pPr>
        <w:pStyle w:val="Para 013"/>
      </w:pPr>
      <w:hyperlink r:id="rId80">
        <w:r>
          <w:t>HBR’s 10 Must Reads: The Essentials</w:t>
        </w:r>
      </w:hyperlink>
    </w:p>
    <w:p>
      <w:pPr>
        <w:pStyle w:val="Para 012"/>
      </w:pPr>
      <w:r>
        <w:t xml:space="preserve"> </w:t>
      </w:r>
    </w:p>
    <w:p>
      <w:bookmarkStart w:id="252" w:name="Top_of_titlepage_xhtml"/>
      <w:bookmarkStart w:id="253" w:name="OnManagingYourself_Vol__2__HARVA"/>
      <w:pPr>
        <w:pStyle w:val="Para 012"/>
        <w:pageBreakBefore w:val="on"/>
      </w:pPr>
      <w:r>
        <w:t xml:space="preserve"> </w:t>
      </w:r>
      <w:bookmarkEnd w:id="252"/>
      <w:bookmarkEnd w:id="253"/>
    </w:p>
    <w:p>
      <w:pPr>
        <w:pStyle w:val="Para 112"/>
      </w:pPr>
      <w:r>
        <w:bookmarkStart w:id="254" w:name="page_v"/>
        <w:t/>
        <w:bookmarkEnd w:id="254"/>
        <w:drawing>
          <wp:inline>
            <wp:extent cx="3657600" cy="2146300"/>
            <wp:effectExtent l="0" r="0" t="0" b="0"/>
            <wp:docPr id="17" name="title.png" descr="image"/>
            <wp:cNvGraphicFramePr>
              <a:graphicFrameLocks noChangeAspect="1"/>
            </wp:cNvGraphicFramePr>
            <a:graphic>
              <a:graphicData uri="http://schemas.openxmlformats.org/drawingml/2006/picture">
                <pic:pic>
                  <pic:nvPicPr>
                    <pic:cNvPr id="0" name="title.png" descr="image"/>
                    <pic:cNvPicPr/>
                  </pic:nvPicPr>
                  <pic:blipFill>
                    <a:blip r:embed="rId6"/>
                    <a:stretch>
                      <a:fillRect/>
                    </a:stretch>
                  </pic:blipFill>
                  <pic:spPr>
                    <a:xfrm>
                      <a:off x="0" y="0"/>
                      <a:ext cx="3657600" cy="2146300"/>
                    </a:xfrm>
                    <a:prstGeom prst="rect">
                      <a:avLst/>
                    </a:prstGeom>
                  </pic:spPr>
                </pic:pic>
              </a:graphicData>
            </a:graphic>
          </wp:inline>
        </w:drawing>
      </w:r>
    </w:p>
    <w:p>
      <w:pPr>
        <w:pStyle w:val="Para 113"/>
      </w:pPr>
      <w:r>
        <w:rPr>
          <w:rStyle w:val="Text2"/>
        </w:rPr>
        <w:t>OnManagingYourself(Vol. 2)</w:t>
        <w:br w:clear="none"/>
      </w:r>
      <w:r>
        <w:t/>
        <w:br w:clear="none"/>
        <w:t/>
        <w:br w:clear="none"/>
        <w:t/>
      </w:r>
    </w:p>
    <w:p>
      <w:pPr>
        <w:pStyle w:val="Para 114"/>
      </w:pPr>
      <w:r>
        <w:t>HARVARD BUSINESS REVIEW PRESS</w:t>
      </w:r>
    </w:p>
    <w:p>
      <w:pPr>
        <w:pStyle w:val="Para 115"/>
      </w:pPr>
      <w:r>
        <w:t>Boston, Massachusetts</w:t>
      </w:r>
    </w:p>
    <w:p>
      <w:pPr>
        <w:pStyle w:val="Para 012"/>
      </w:pPr>
      <w:r>
        <w:t xml:space="preserve"> </w:t>
      </w:r>
    </w:p>
    <w:p>
      <w:bookmarkStart w:id="255" w:name="Top_of_copyright_xhtml"/>
      <w:bookmarkStart w:id="256" w:name="HBR_Press_Quantity_Sales_Discoun"/>
      <w:pPr>
        <w:pStyle w:val="Para 012"/>
        <w:pageBreakBefore w:val="on"/>
      </w:pPr>
      <w:r>
        <w:t xml:space="preserve"> </w:t>
      </w:r>
      <w:bookmarkEnd w:id="255"/>
      <w:bookmarkEnd w:id="256"/>
    </w:p>
    <w:p>
      <w:pPr>
        <w:pStyle w:val="Para 116"/>
      </w:pPr>
      <w:r>
        <w:bookmarkStart w:id="257" w:name="page_vi"/>
        <w:t>HBR Press Quantity Sales Discounts</w:t>
        <w:bookmarkEnd w:id="257"/>
        <w:t/>
      </w:r>
    </w:p>
    <w:p>
      <w:pPr>
        <w:pStyle w:val="Para 117"/>
      </w:pPr>
      <w:r>
        <w:t>Các đầu sách của Harvard Business Review Press được áp dụng chiết khấu đáng kể khi mua số lượng lớn để làm quà tặng khách hàng, khuyến mãi bán hàng và quà thưởng. Các ấn bản đặc biệt, bao gồm sách có logo công ty, bìa tùy chỉnh và thư từ công ty hoặc CEO được in ở phần đầu sách, cũng như các trích đoạn từ sách hiện có, cũng có thể được tạo ra với số lượng lớn cho các nhu cầu đặc biệt.</w:t>
      </w:r>
    </w:p>
    <w:p>
      <w:pPr>
        <w:pStyle w:val="Para 118"/>
      </w:pPr>
      <w:r>
        <w:t xml:space="preserve">Để biết chi tiết và thông tin chiết khấu cho cả định dạng in và ebook, hãy liên hệ booksales@harvardbusiness.org, điện thoại 800-988-0886, hoặc www.hbr.org/bulksales.</w:t>
      </w:r>
      <w:r>
        <w:rPr>
          <w:rStyle w:val="Text1"/>
        </w:rPr>
        <w:t/>
      </w:r>
      <w:r>
        <w:t xml:space="preserve"/>
      </w:r>
      <w:hyperlink r:id="rId81">
        <w:r>
          <w:rPr>
            <w:rStyle w:val="Text1"/>
          </w:rPr>
          <w:t/>
        </w:r>
      </w:hyperlink>
    </w:p>
    <w:p>
      <w:pPr>
        <w:pStyle w:val="Para 080"/>
      </w:pPr>
      <w:r>
        <w:t>Copyright 2021 Harvard Business School Publishing Corporation</w:t>
      </w:r>
    </w:p>
    <w:p>
      <w:pPr>
        <w:pStyle w:val="Para 081"/>
      </w:pPr>
      <w:r>
        <w:t>All rights reserved</w:t>
      </w:r>
    </w:p>
    <w:p>
      <w:pPr>
        <w:pStyle w:val="Para 082"/>
      </w:pPr>
      <w:r>
        <w:t xml:space="preserve">Không phần nào của ấn phẩm này được phép sao chép, lưu trữ hoặc đưa vào hệ thống truy xuất, hoặc truyền tải dưới bất kỳ hình thức nào, hoặc bằng bất kỳ phương tiện nào (điện tử, cơ học, photocopy, ghi âm, hoặc cách khác), mà không có sự cho phép trước của nhà xuất bản. Các yêu cầu xin phép nên được gửi đến permissions@harvardbusiness.org, hoặc gửi thư đến Permissions, Harvard Business School Publishing, 60 Harvard Way, Boston, Massachusetts 02163.</w:t>
      </w:r>
      <w:r>
        <w:rPr>
          <w:rStyle w:val="Text1"/>
        </w:rPr>
        <w:t/>
      </w:r>
      <w:r>
        <w:t/>
      </w:r>
    </w:p>
    <w:p>
      <w:pPr>
        <w:pStyle w:val="Para 082"/>
      </w:pPr>
      <w:r>
        <w:t>First eBook Edition: Mar 2021</w:t>
      </w:r>
    </w:p>
    <w:p>
      <w:pPr>
        <w:pStyle w:val="Para 080"/>
      </w:pPr>
      <w:r>
        <w:t>ISBN: 978-1-64782-080-0</w:t>
      </w:r>
    </w:p>
    <w:p>
      <w:pPr>
        <w:pStyle w:val="Para 081"/>
      </w:pPr>
      <w:r>
        <w:t>eISBN: 978-1-64782-081-7</w:t>
      </w:r>
    </w:p>
    <w:p>
      <w:pPr>
        <w:pStyle w:val="Para 012"/>
      </w:pPr>
      <w:r>
        <w:t xml:space="preserve"> </w:t>
      </w:r>
    </w:p>
    <w:p>
      <w:bookmarkStart w:id="258" w:name="Contents_Cover_Title_Page_Copyri"/>
      <w:bookmarkStart w:id="259" w:name="Top_of_toc_xhtml"/>
      <w:pPr>
        <w:pStyle w:val="Para 012"/>
        <w:pageBreakBefore w:val="on"/>
      </w:pPr>
      <w:r>
        <w:t xml:space="preserve"> </w:t>
      </w:r>
      <w:bookmarkEnd w:id="258"/>
      <w:bookmarkEnd w:id="259"/>
    </w:p>
    <w:p>
      <w:pPr>
        <w:pStyle w:val="Para 034"/>
      </w:pPr>
      <w:r>
        <w:bookmarkStart w:id="260" w:name="page_vii"/>
        <w:t>Contents</w:t>
        <w:bookmarkEnd w:id="260"/>
        <w:t/>
      </w:r>
    </w:p>
    <w:p>
      <w:pPr>
        <w:pStyle w:val="Para 083"/>
      </w:pPr>
      <w:r>
        <w:t>Cover</w:t>
      </w:r>
    </w:p>
    <w:p>
      <w:pPr>
        <w:pStyle w:val="Para 083"/>
      </w:pPr>
      <w:hyperlink w:anchor="Top_of_titlepage_xhtml">
        <w:r>
          <w:t>Title Page</w:t>
        </w:r>
      </w:hyperlink>
    </w:p>
    <w:p>
      <w:pPr>
        <w:pStyle w:val="Para 119"/>
      </w:pPr>
      <w:hyperlink w:anchor="Top_of_copyright_xhtml">
        <w:r>
          <w:t>Copyright</w:t>
        </w:r>
      </w:hyperlink>
    </w:p>
    <w:p>
      <w:pPr>
        <w:pStyle w:val="Para 037"/>
      </w:pPr>
      <w:hyperlink w:anchor="Top_of_ch01_xhtml">
        <w:r>
          <w:t>Từ Mục Đích Đến Tác Động</w:t>
        </w:r>
      </w:hyperlink>
    </w:p>
    <w:p>
      <w:pPr>
        <w:pStyle w:val="Para 038"/>
      </w:pPr>
      <w:hyperlink w:anchor="by_Nick_Craig_and_Scott_Snook">
        <w:r>
          <w:t>bởi Nick Craig và Scott A. Snook</w:t>
        </w:r>
      </w:hyperlink>
    </w:p>
    <w:p>
      <w:pPr>
        <w:pStyle w:val="Para 037"/>
      </w:pPr>
      <w:hyperlink w:anchor="Top_of_ch02_xhtml">
        <w:r>
          <w:t>Học Cách Học</w:t>
        </w:r>
      </w:hyperlink>
    </w:p>
    <w:p>
      <w:pPr>
        <w:pStyle w:val="Para 038"/>
      </w:pPr>
      <w:hyperlink w:anchor="by_Erika_Andersen">
        <w:r>
          <w:t>bởi Erika Andersen</w:t>
        </w:r>
      </w:hyperlink>
    </w:p>
    <w:p>
      <w:pPr>
        <w:pStyle w:val="Para 037"/>
      </w:pPr>
      <w:hyperlink w:anchor="Top_of_ch03_xhtml">
        <w:r>
          <w:t>Khiến Bản Thân Trở Nên Không Thể Thay Thế</w:t>
        </w:r>
      </w:hyperlink>
    </w:p>
    <w:p>
      <w:pPr>
        <w:pStyle w:val="Para 038"/>
      </w:pPr>
      <w:hyperlink w:anchor="by_John_H__Zenger__Joseph_R__Fol">
        <w:r>
          <w:t>bởi John H. Zenger, Joseph R. Folkman, và Scott K. Edinger</w:t>
        </w:r>
      </w:hyperlink>
    </w:p>
    <w:p>
      <w:pPr>
        <w:pStyle w:val="Para 037"/>
      </w:pPr>
      <w:hyperlink w:anchor="Top_of_ch04_xhtml">
        <w:r>
          <w:t>Dành Thời Gian Cho Công Việc Quan Trọng</w:t>
        </w:r>
      </w:hyperlink>
    </w:p>
    <w:p>
      <w:pPr>
        <w:pStyle w:val="Para 038"/>
      </w:pPr>
      <w:hyperlink w:anchor="by_Julian_Birkinshaw_and_Jordan">
        <w:r>
          <w:t>bởi Julian Birkinshaw và Jordan Cohen</w:t>
        </w:r>
      </w:hyperlink>
    </w:p>
    <w:p>
      <w:pPr>
        <w:pStyle w:val="Para 037"/>
      </w:pPr>
      <w:hyperlink w:anchor="Top_of_ch05_xhtml">
        <w:r>
          <w:t>Hợp Tác Mà Không Kiệt Sức</w:t>
        </w:r>
      </w:hyperlink>
    </w:p>
    <w:p>
      <w:pPr>
        <w:pStyle w:val="Para 038"/>
      </w:pPr>
      <w:hyperlink w:anchor="by_Rob_Cross__Scott_Taylor__and">
        <w:r>
          <w:t>bởi Rob Cross, Scott Taylor, và Deb Zehner</w:t>
        </w:r>
      </w:hyperlink>
    </w:p>
    <w:p>
      <w:pPr>
        <w:pStyle w:val="Para 037"/>
      </w:pPr>
      <w:hyperlink w:anchor="Top_of_ch06_xhtml">
        <w:r>
          <w:t>Sự Nhanh Nhẹn Cảm Xúc (Emotional Agility)</w:t>
        </w:r>
      </w:hyperlink>
    </w:p>
    <w:p>
      <w:pPr>
        <w:pStyle w:val="Para 038"/>
      </w:pPr>
      <w:hyperlink w:anchor="by_Susan_David_and_Christina_Con">
        <w:r>
          <w:t>bởi Susan David và Christina Congleton</w:t>
        </w:r>
      </w:hyperlink>
    </w:p>
    <w:p>
      <w:pPr>
        <w:pStyle w:val="Para 037"/>
      </w:pPr>
      <w:hyperlink w:anchor="Top_of_ch07_xhtml">
        <w:r>
          <w:t>Cách Giải Quyết Những Quyết Định Khó Khăn Nhất</w:t>
        </w:r>
      </w:hyperlink>
    </w:p>
    <w:p>
      <w:pPr>
        <w:pStyle w:val="Para 038"/>
      </w:pPr>
      <w:hyperlink w:anchor="by_Joseph_L__Badaracco">
        <w:r>
          <w:t>bởi Joseph L. Badaracco</w:t>
        </w:r>
      </w:hyperlink>
    </w:p>
    <w:p>
      <w:pPr>
        <w:pStyle w:val="Para 037"/>
      </w:pPr>
      <w:hyperlink w:anchor="Top_of_ch08_xhtml">
        <w:r>
          <w:t>Cách Các Cặp Đôi Sự Nghiệp Kép (Dual-Career Couples) Khiến Mọi Thứ Vận Hành</w:t>
        </w:r>
      </w:hyperlink>
    </w:p>
    <w:p>
      <w:pPr>
        <w:pStyle w:val="Para 038"/>
      </w:pPr>
      <w:hyperlink w:anchor="by_Jennifer_Petriglieri">
        <w:r>
          <w:t>bởi Jennifer Petriglieri</w:t>
        </w:r>
      </w:hyperlink>
    </w:p>
    <w:p>
      <w:pPr>
        <w:pStyle w:val="Para 037"/>
      </w:pPr>
      <w:hyperlink w:anchor="Top_of_ch09_xhtml">
        <w:r>
          <w:t>Nuôi Dưỡng Lòng Dũng Cảm Mỗi Ngày</w:t>
        </w:r>
      </w:hyperlink>
    </w:p>
    <w:p>
      <w:pPr>
        <w:pStyle w:val="Para 038"/>
      </w:pPr>
      <w:hyperlink w:anchor="by_James_R__Detert">
        <w:r>
          <w:t>bởi James R. Detert</w:t>
        </w:r>
      </w:hyperlink>
    </w:p>
    <w:p>
      <w:pPr>
        <w:pStyle w:val="Para 037"/>
      </w:pPr>
      <w:hyperlink w:anchor="Top_of_ch10_xhtml">
        <w:r>
          <w:t>BÀI VIẾT BỔ SUNGHãy Là Người Bảo Vệ Tốt Nhất Cho Chính Mình</w:t>
          <w:br w:clear="none"/>
          <w:t/>
        </w:r>
      </w:hyperlink>
    </w:p>
    <w:p>
      <w:pPr>
        <w:pStyle w:val="Para 038"/>
      </w:pPr>
      <w:hyperlink w:anchor="by_Deborah_M__Kolb">
        <w:r>
          <w:t>bởi Deborah M. Kolb</w:t>
        </w:r>
      </w:hyperlink>
    </w:p>
    <w:p>
      <w:pPr>
        <w:pStyle w:val="Para 037"/>
      </w:pPr>
      <w:hyperlink w:anchor="Top_of_ch11_xhtml">
        <w:r>
          <w:t>Xây Dựng Sự Nghiệp Có Đạo Đức</w:t>
        </w:r>
      </w:hyperlink>
    </w:p>
    <w:p>
      <w:pPr>
        <w:pStyle w:val="Para 038"/>
      </w:pPr>
      <w:hyperlink w:anchor="by_Maryam_Kouchaki_and_Isaac_H">
        <w:r>
          <w:t>bởi Maryam Kouchaki và Isaac H. Smith</w:t>
        </w:r>
      </w:hyperlink>
    </w:p>
    <w:p>
      <w:pPr>
        <w:pStyle w:val="Para 037"/>
      </w:pPr>
      <w:hyperlink w:anchor="Top_of_ch12_xhtml">
        <w:r>
          <w:t>BÀI VIẾT SỐ BỔ SUNGKhi Nào và Cách Phản Hồi Trước Những Hành Vi Phân Biệt Tế Vi (Microaggressions)</w:t>
          <w:br w:clear="none"/>
          <w:t/>
        </w:r>
      </w:hyperlink>
    </w:p>
    <w:p>
      <w:pPr>
        <w:pStyle w:val="Para 038"/>
      </w:pPr>
      <w:hyperlink w:anchor="by_Ella_F__Washington__Alison_Ha">
        <w:r>
          <w:t>bởi Ella F. Washington, Alison Hall Birch, và Laura Morgan Roberts</w:t>
        </w:r>
      </w:hyperlink>
    </w:p>
    <w:p>
      <w:pPr>
        <w:pStyle w:val="Para 120"/>
      </w:pPr>
      <w:hyperlink w:anchor="Top_of_ata_xhtml">
        <w:r>
          <w:t>Về Các Tác Giả</w:t>
        </w:r>
      </w:hyperlink>
    </w:p>
    <w:p>
      <w:pPr>
        <w:pStyle w:val="Para 121"/>
      </w:pPr>
      <w:hyperlink w:anchor="Top_of_index_xhtml">
        <w:r>
          <w:t>Mục Lục</w:t>
        </w:r>
      </w:hyperlink>
    </w:p>
    <w:p>
      <w:pPr>
        <w:pStyle w:val="Para 012"/>
      </w:pPr>
      <w:r>
        <w:t xml:space="preserve"> </w:t>
      </w:r>
    </w:p>
    <w:p>
      <w:bookmarkStart w:id="261" w:name="From_Purpose_to_Impact_by_Nick_C"/>
      <w:bookmarkStart w:id="262" w:name="Top_of_ch01_xhtml"/>
      <w:pPr>
        <w:pStyle w:val="Para 012"/>
        <w:pageBreakBefore w:val="on"/>
      </w:pPr>
      <w:r>
        <w:t xml:space="preserve"> </w:t>
      </w:r>
      <w:bookmarkEnd w:id="261"/>
      <w:bookmarkEnd w:id="262"/>
    </w:p>
    <w:p>
      <w:bookmarkStart w:id="263" w:name="From_Purpose_to_Impact"/>
      <w:pPr>
        <w:pStyle w:val="Para 039"/>
      </w:pPr>
      <w:r>
        <w:bookmarkStart w:id="264" w:name="page_1"/>
        <w:t>Từ Mục Đích Đến Tác Động</w:t>
        <w:bookmarkEnd w:id="264"/>
        <w:t/>
      </w:r>
      <w:bookmarkEnd w:id="263"/>
    </w:p>
    <w:p>
      <w:bookmarkStart w:id="265" w:name="by_Nick_Craig_and_Scott_Snook"/>
      <w:pPr>
        <w:pStyle w:val="Para 040"/>
      </w:pPr>
      <w:r>
        <w:t>bởi Nick Craig và Scott Snook</w:t>
      </w:r>
      <w:bookmarkEnd w:id="265"/>
    </w:p>
    <w:p>
      <w:pPr>
        <w:pStyle w:val="Para 067"/>
      </w:pPr>
      <w:r>
        <w:t>Hai ngày quan trọng nhất trong đời bạn là ngày bạn sinh ra và ngày bạn tìm ra lý do tại sao.</w:t>
      </w:r>
    </w:p>
    <w:p>
      <w:pPr>
        <w:pStyle w:val="Para 068"/>
      </w:pPr>
      <w:r>
        <w:t>—Mark Twain</w:t>
      </w:r>
    </w:p>
    <w:p>
      <w:pPr>
        <w:pStyle w:val="Para 016"/>
      </w:pPr>
      <w:r>
        <w:rPr>
          <w:rStyle w:val="Text4"/>
        </w:rPr>
        <w:t>TRONG NĂM NĂM QUA, sự quan tâm đến phong cách lãnh đạo theo mục đích (purpose-driven leadership) đã bùng nổ. Các học giả lập luận đầy thuyết phục rằng vai trò quan trọng nhất của một nhà điều hành là trở thành người quản lý mục đích của tổ chức. Các chuyên gia kinh doanh khẳng định mục đích là chìa khóa dẫn đến hiệu suất vượt trội, trong khi các nhà tâm lý học mô tả nó như con đường dẫn đến hạnh phúc lớn hơn.</w:t>
      </w:r>
      <w:r>
        <w:t/>
      </w:r>
    </w:p>
    <w:p>
      <w:pPr>
        <w:pStyle w:val="Para 003"/>
      </w:pPr>
      <w:r>
        <w:t>Các bác sĩ thậm chí còn phát hiện ra rằng những người có mục đích sống ít mắc bệnh hơn. Mục đích ngày càng được ca ngợi là chìa khóa để định hướng trong thế giới phức tạp, đầy biến động và mơ hồ mà chúng ta đang đối mặt ngày nay, nơi chiến lược luôn thay đổi và rất ít quyết định rõ ràng đúng hay sai.</w:t>
      </w:r>
    </w:p>
    <w:p>
      <w:pPr>
        <w:pStyle w:val="Para 003"/>
      </w:pPr>
      <w:r>
        <w:t xml:space="preserve">Tuy nhiên, dù hiểu biết ngày càng tăng, một thách thức lớn vẫn còn đó. Trong công việc đào tạo hàng nghìn nhà quản lý tại các tổ chức từ GE đến Hội Nữ Hướng đạo Mỹ (Girl Scouts), và giảng dạy số lượng tương đương các nhà điều hành và sinh viên tại Trường Kinh doanh Harvard, chúng tôi nhận thấy chưa đến 20% nhà lãnh đạo có cảm nhận rõ ràng về mục đích cá nhân của riêng mình. Thậm chí còn ít người hơn có thể cô đọng mục đích của mình thành một tuyên bố cụ thể. Họ có thể diễn đạt rõ ràng sứ mệnh của tổ chức mình: Hãy nghĩ đến “Sắp xếp thông tin của thế giới và làm cho nó có thể truy cập và hữu ích một cách phổ quát” của Google, hay “Một đồng minh không ngừng nghỉ cho nhà đầu tư cá nhân” của Charles Schwab. Nhưng khi được yêu cầu mô tả mục đích của chính mình, họ thường rơi vào những điều chung chung và mơ hồ: “Giúp người khác xuất sắc.” “Đảm bảo thành công.” “Trao quyền cho nhân viên của tôi.” Cũng đáng lo ngại không kém, hầu như không ai trong số họ có kế hoạch rõ ràng để biến mục đích thành hành động. Kết quả là, họ tự giới hạn khát vọng của mình và thường không đạt được những mục tiêu nghề nghiệp và cá nhân đầy tham vọng nhất.</w:t>
        <w:bookmarkStart w:id="266" w:name="page_2"/>
        <w:t/>
        <w:bookmarkEnd w:id="266"/>
        <w:t/>
      </w:r>
    </w:p>
    <w:p>
      <w:pPr>
        <w:pStyle w:val="Para 003"/>
      </w:pPr>
      <w:r>
        <w:t xml:space="preserve">Mục đích của chúng tôi là thay đổi điều đó—giúp các nhà điều hành tìm ra và xác định mục đích lãnh đạo của mình và đưa nó vào sử dụng. Dựa trên công trình tiên phong của đồng nghiệp Bill George, các chương trình của chúng tôi ban đầu bao gồm nhiều chủ đề liên quan đến lãnh đạo đích thực (authentic leadership), nhưng trong những năm gần đây, mục đích đã nổi lên như nền tảng của việc giảng dạy và huấn luyện của chúng tôi. Các nhà điều hành nói với chúng tôi rằng đó là chìa khóa để tăng tốc sự phát triển và làm sâu sắc thêm tác động của họ, trong cả đời sống nghề nghiệp lẫn cá nhân. Thật vậy, chúng tôi tin rằng quá trình diễn đạt mục đích của bạn và tìm thấy can đảm để sống với nó—điều mà chúng tôi gọi là từ mục đích đến tác động (purpose to impact)—là nhiệm vụ phát triển quan trọng nhất mà bạn có thể thực hiện với tư cách là một nhà lãnh đạo.</w:t>
      </w:r>
      <w:r>
        <w:rPr>
          <w:rStyle w:val="Text0"/>
        </w:rPr>
        <w:t/>
      </w:r>
      <w:r>
        <w:t/>
      </w:r>
    </w:p>
    <w:p>
      <w:pPr>
        <w:pStyle w:val="Para 003"/>
      </w:pPr>
      <w:r>
        <w:t>Hãy xem Dolf van den Brink, chủ tịch kiêm CEO của Heineken USA. Làm việc với chúng tôi, ông đã xác định một tuyên bố mục đích độc đáo rõ rệt—“Trở thành bậc thầy wuxia cứu vương quốc”—phản ánh tình yêu của ông dành cho phim võ thuật Trung Quốc, nguồn cảm hứng ông nhận được từ những chiến binh thông thái, điêu luyện trong phim, và nhận thức rằng ông cũng thích thú với những tình huống rủi ro cao buộc ông phải hành động. Với động lực đó, ông đã có thể tạo ra một kế hoạch để vực dậy một doanh nghiệp lâu đời đang gặp thách thức trong điều kiện kinh tế cực kỳ khó khăn. Chúng tôi cũng đã chứng kiến một giám đốc vận hành bán lẻ sử dụng mục đích mới được làm rõ của mình—“Bị thôi thúc phải làm mọi thứ tốt hơn, bất kể ai, bất kể ở đâu, bất kể bằng cách nào”—để thực hiện những “thay đổi khó khăn, làm rung chuyển cả hệ thống” cần thiết nhằm đánh bại một đối thủ toàn cầu. Và chúng tôi đã thấy một giám đốc nhà máy ở Ai Cập sử dụng mục đích của mình—“Tạo ra những gia đình xuất sắc”—để thuyết phục nhân viên rằng họ nên tôn vinh phong trào biểu tình năm 2012 không phải bằng cách tham gia tuần hành mà bằng cách duy trì lòng trung thành với nhau và giữ cho hoạt động chung của họ tiếp tục vận hành.</w:t>
      </w:r>
    </w:p>
    <w:p>
      <w:pPr>
        <w:pStyle w:val="Para 003"/>
      </w:pPr>
      <w:r>
        <w:t>Chúng tôi đã thấy những kết quả tương tự bên ngoài thế giới doanh nghiệp. Kathi Snook (vợ của Scott) là một đại tá quân đội đã nghỉ hưu, người từng chật vật tái hòa nhập công việc sau vài năm làm mẹ nội trợ. Nhưng sau khi xác định rõ tuyên bố mục đích của mình—“Trở thành lý do nhẹ nhàng, thầm lặng, nhưng thúc đẩy mạnh mẽ đằng sau thành công,” điều mà bà đã làm trong suốt sự nghiệp quân ngũ và với các con—bà quyết định tranh cử một ghế trong hội đồng trường học đầy cạnh tranh, và đã thắng.</w:t>
      </w:r>
    </w:p>
    <w:p>
      <w:pPr>
        <w:pStyle w:val="Para 034"/>
      </w:pPr>
      <w:r>
        <w:t>Ý tưởng tóm tắt</w:t>
      </w:r>
    </w:p>
    <w:p>
      <w:pPr>
        <w:pStyle w:val="Para 062"/>
      </w:pPr>
      <w:r>
        <w:rPr>
          <w:rStyle w:val="Text9"/>
        </w:rPr>
        <w:bookmarkStart w:id="267" w:name="page_3"/>
        <w:t>Vấn đề</w:t>
        <w:bookmarkEnd w:id="267"/>
      </w:r>
      <w:r>
        <w:t/>
      </w:r>
    </w:p>
    <w:p>
      <w:pPr>
        <w:pStyle w:val="Para 019"/>
      </w:pPr>
      <w:r>
        <w:t>Mục đích ngày càng được xem là chìa khóa để định hướng trong thế giới phức tạp mà chúng ta đang đối mặt ngày nay, nơi chiến lược luôn thay đổi và rất ít quyết định rõ ràng đúng hay sai. Đồng thời, rất ít nhà lãnh đạo có cảm nhận rõ ràng về mục đích lãnh đạo của riêng mình hoặc có kế hoạch rõ ràng để biến nó thành hành động. Kết quả là, họ thường không đạt được những mục tiêu nghề nghiệp và cá nhân đầy tham vọng nhất.</w:t>
      </w:r>
    </w:p>
    <w:p>
      <w:pPr>
        <w:pStyle w:val="Para 062"/>
      </w:pPr>
      <w:r>
        <w:t>Giải pháp</w:t>
      </w:r>
    </w:p>
    <w:p>
      <w:pPr>
        <w:pStyle w:val="Para 019"/>
      </w:pPr>
      <w:r>
        <w:t xml:space="preserve">Bước đầu tiên để khám phá mục đích lãnh đạo của bạn là đào sâu vào câu chuyện cuộc đời mình để tìm những chủ đề chính bộc lộ những đam mê và giá trị suốt đời của bạn. Tiếp theo, hãy tạo ra một tuyên bố mục đích ngắn gọn khiến bạn cảm thấy can đảm và tràn đầy năng lượng. Cuối cùng, phát triển một kế hoạch từ mục đích đến tác động. Các kế hoạch hiệu quả:</w:t>
      </w:r>
      <w:r>
        <w:rPr>
          <w:rStyle w:val="Text0"/>
        </w:rPr>
        <w:t/>
      </w:r>
      <w:r>
        <w:t xml:space="preserve"/>
      </w:r>
    </w:p>
    <w:p>
      <w:pPr>
        <w:numPr>
          <w:ilvl w:val="0"/>
          <w:numId w:val="1"/>
        </w:numPr>
        <w:pStyle w:val="Para 032"/>
      </w:pPr>
      <w:r>
        <w:t>Sử dụng ngôn ngữ có ý nghĩa độc đáo đối với riêng bạn</w:t>
      </w:r>
    </w:p>
    <w:p>
      <w:pPr>
        <w:numPr>
          <w:ilvl w:val="0"/>
          <w:numId w:val="1"/>
        </w:numPr>
        <w:pStyle w:val="Para 032"/>
      </w:pPr>
      <w:r>
        <w:t>Tập trung vào những khát vọng lớn lao rồi sau đó đặt ra các mục tiêu ngắn hạn hơn, làm việc ngược lại với mức độ cụ thể tăng dần</w:t>
      </w:r>
    </w:p>
    <w:p>
      <w:pPr>
        <w:numPr>
          <w:ilvl w:val="0"/>
          <w:numId w:val="1"/>
        </w:numPr>
        <w:pStyle w:val="Para 032"/>
      </w:pPr>
      <w:r>
        <w:t>Nhấn mạnh những điểm mạnh mà bạn mang đến</w:t>
      </w:r>
    </w:p>
    <w:p>
      <w:pPr>
        <w:numPr>
          <w:ilvl w:val="0"/>
          <w:numId w:val="1"/>
        </w:numPr>
        <w:pStyle w:val="Para 032"/>
      </w:pPr>
      <w:r>
        <w:t>Có cái nhìn toàn diện về công việc và gia đình</w:t>
      </w:r>
    </w:p>
    <w:p>
      <w:pPr>
        <w:pStyle w:val="Para 003"/>
      </w:pPr>
      <w:r>
        <w:t>Và chúng tôi đã triển khai tư duy này trên khắp các tổ chức. Unilever là một công ty cam kết với phong cách lãnh đạo theo mục đích, và Jonathan Donner, người đứng đầu bộ phận học tập toàn cầu tại đó, đã là đối tác quan trọng trong việc tinh chỉnh cách tiếp cận của chúng tôi. Làm việc với công ty của ông và một số tổ chức khác, chúng tôi đã giúp hơn 1.000 nhà lãnh đạo thông qua quy trình từ mục đích đến tác động và đã bắt đầu theo dõi và xem xét tiến trình của họ trong hai đến ba năm qua. Nhiều người đã thấy những kết quả đáng kể, từ việc thăng tiến vượt cấp đến sự cải thiện bền vững trong kết quả kinh doanh. Quan trọng nhất, đại đa số nói với chúng tôi rằng họ đã phát triển một khả năng mới để phát triển mạnh mẽ ngay cả trong những thời điểm thách thức nhất.</w:t>
      </w:r>
    </w:p>
    <w:p>
      <w:pPr>
        <w:pStyle w:val="Para 003"/>
      </w:pPr>
      <w:r>
        <w:bookmarkStart w:id="268" w:name="page_4"/>
        <w:t>Trong bài viết này, chúng tôi chia sẻ khuôn khổ từng bước của mình để giúp bạn bắt đầu trên con đường tương tự. Chúng tôi sẽ giải thích cách xác định mục đích của bạn và sau đó phát triển một kế hoạch tác động để đạt được những kết quả cụ thể.</w:t>
        <w:bookmarkEnd w:id="268"/>
        <w:t/>
      </w:r>
    </w:p>
    <w:p>
      <w:pPr>
        <w:pStyle w:val="Para 011"/>
      </w:pPr>
      <w:r>
        <w:t>Mục đích là gì?</w:t>
      </w:r>
    </w:p>
    <w:p>
      <w:pPr>
        <w:pStyle w:val="Para 067"/>
      </w:pPr>
      <w:r>
        <w:t>Hầu hết chúng ta xuống mồ với bản nhạc của mình vẫn còn ở bên trong, chưa được chơi.</w:t>
      </w:r>
    </w:p>
    <w:p>
      <w:pPr>
        <w:pStyle w:val="Para 068"/>
      </w:pPr>
      <w:r>
        <w:t>—Oliver Wendell Holmes</w:t>
      </w:r>
    </w:p>
    <w:p>
      <w:pPr>
        <w:pStyle w:val="Para 016"/>
      </w:pPr>
      <w:r>
        <w:t xml:space="preserve">Mục đích lãnh đạo của bạn là con người bạn và điều làm bạn trở nên khác biệt. Dù bạn là một doanh nhân tại một công ty khởi nghiệp hay CEO của một công ty Fortune 500, một nhân viên tổng đài hay một nhà phát triển phần mềm, mục đích của bạn chính là thương hiệu của bạn, điều bạn được thôi thúc để đạt được, phép màu khiến bạn hoạt động. Nó không phải là điều bạn làm, mà là cách bạn làm công việc của mình và tại sao—những điểm mạnh và đam mê bạn mang đến bất kể bạn ngồi ở vị trí nào. Mặc dù bạn có thể thể hiện mục đích của mình theo những cách khác nhau trong những bối cảnh khác nhau, đó là điều mà mọi người gần gũi với bạn nhận ra là độc nhất của bạn và sẽ nhớ nhất nếu bạn ra đi.</w:t>
      </w:r>
      <w:r>
        <w:rPr>
          <w:rStyle w:val="Text0"/>
        </w:rPr>
        <w:t/>
      </w:r>
      <w:r>
        <w:t xml:space="preserve"/>
      </w:r>
      <w:r>
        <w:rPr>
          <w:rStyle w:val="Text0"/>
        </w:rPr>
        <w:t/>
      </w:r>
      <w:r>
        <w:t xml:space="preserve"/>
      </w:r>
      <w:r>
        <w:rPr>
          <w:rStyle w:val="Text0"/>
        </w:rPr>
        <w:t/>
      </w:r>
      <w:r>
        <w:t xml:space="preserve"/>
      </w:r>
      <w:r>
        <w:rPr>
          <w:rStyle w:val="Text0"/>
        </w:rPr>
        <w:t/>
      </w:r>
      <w:r>
        <w:t/>
      </w:r>
    </w:p>
    <w:p>
      <w:pPr>
        <w:pStyle w:val="Para 003"/>
      </w:pPr>
      <w:r>
        <w:t>Khi Kathi chia sẻ tuyên bố mục đích của mình với gia đình và bạn bè, phản ứng ngay lập tức và mạnh mẽ: “Đúng vậy! Đó chính là bạn—lúc nào cũng tập trung vào công việc!” Trong mọi vai trò và mọi bối cảnh—làm đội trưởng đội thể dục dụng cụ quân đội, làm giáo viên toán tại West Point, một cách không chính thức với gia đình và bạn bè—bà luôn lãnh đạo từ phía sau, một chất xúc tác nhẹ nhàng nhưng mạnh mẽ cho thành công của người khác. Qua lăng kính mới này, bà có thể nhìn thấy bản thân—và tương lai của mình—rõ ràng hơn. Khi Dolf van den Brink tiết lộ mục đích mới được diễn đạt của mình cho vợ, bà dễ dàng nhận ra “bậc thầy wuxia” đã dẫn dắt nhân viên của mình vượt qua sự hỗn loạn của cuộc giao tranh và bất ổn nghiêm trọng ở Congo và giờ đã sẵn sàng đối mặt trực diện với những thách thức tại Heineken USA.</w:t>
      </w:r>
    </w:p>
    <w:p>
      <w:pPr>
        <w:pStyle w:val="Para 003"/>
      </w:pPr>
      <w:r>
        <w:t xml:space="preserve">Về cốt lõi, mục đích lãnh đạo của bạn bắt nguồn từ bản sắc của bạn, bản chất của con người bạn. Mục đích không phải là danh sách học vấn, kinh nghiệm và kỹ năng bạn đã tích lũy trong đời. Chúng tôi sẽ dùng chính mình làm ví dụ: Việc Scott là một đại tá quân đội đã nghỉ hưu với bằng MBA và tiến sĩ không phải là mục đích của anh ấy. Mục đích của anh ấy là “giúp người khác sống một cuộc đời 'đầy ý nghĩa' hơn.” Mục đích cũng không phải là một chức danh nghề nghiệp, giới hạn trong công việc hay tổ chức hiện tại của bạn. Mục đích của Nick không phải là “Lãnh đạo Viện Lãnh đạo Đích thực.” Đó là công việc của anh ấy. Mục đích của anh ấy là “Đánh thức bạn và giúp bạn nhận ra rằng bạn đang ở nhà.” Anh ấy đã làm đúng điều đó từ khi còn là thiếu niên, và nếu bạn ngồi cạnh anh ấy trên chuyến xe đưa đón từ Boston đến New York, anh ấy cũng sẽ đánh thức bạn (theo nghĩa bóng). Anh ấy đơn giản là không thể ngăn mình làm điều đó.</w:t>
        <w:bookmarkStart w:id="269" w:name="page_5"/>
        <w:t/>
        <w:bookmarkEnd w:id="269"/>
        <w:t/>
      </w:r>
    </w:p>
    <w:p>
      <w:pPr>
        <w:pStyle w:val="Para 003"/>
      </w:pPr>
      <w:r>
        <w:t>Mục đích chắc chắn không phải là một câu bao trùm đầy biệt ngữ (“Trao quyền cho nhóm của tôi để đạt được kết quả kinh doanh vượt trội trong khi làm hài lòng khách hàng”). Nó phải cụ thể và mang tính cá nhân, cộng hưởng với bạn và chỉ riêng bạn. Nó không nhất thiết phải mang tính khát vọng hay dựa trên lý tưởng (“Cứu cá voi” hay “Nuôi người đói”). Và nó không phải là điều bạn nghĩ mình nên trở thành. Nó là con người mà bạn không thể không trở thành. Thực tế, nó có thể không hẳn là điều gì đó hay ho cho lắm (“Hãy là cái gai trong mắt người khác để thúc đẩy họ tiến lên!”).</w:t>
      </w:r>
    </w:p>
    <w:p>
      <w:pPr>
        <w:pStyle w:val="Para 011"/>
      </w:pPr>
      <w:r>
        <w:t>Làm thế nào để tìm ra nó?</w:t>
      </w:r>
    </w:p>
    <w:p>
      <w:pPr>
        <w:pStyle w:val="Para 067"/>
      </w:pPr>
      <w:r>
        <w:t>Để không là ai khác ngoài chính mình trong một thế giới đang cố hết sức, ngày đêm, để biến bạn thành mọi người khác, có nghĩa là chiến đấu trận chiến khó khăn nhất mà bất kỳ con người nào có thể chiến đấu; và không bao giờ ngừng chiến đấu.</w:t>
      </w:r>
    </w:p>
    <w:p>
      <w:pPr>
        <w:pStyle w:val="Para 068"/>
      </w:pPr>
      <w:r>
        <w:t>—E.E. Cummings</w:t>
      </w:r>
    </w:p>
    <w:p>
      <w:pPr>
        <w:pStyle w:val="Para 016"/>
      </w:pPr>
      <w:r>
        <w:t>Tìm ra mục đích lãnh đạo của bạn không dễ dàng. Nếu dễ, tất cả chúng ta đều biết chính xác tại sao mình ở đây và sống với mục đích đó từng phút mỗi ngày. Như E.E. Cummings gợi ý, chúng ta liên tục bị bắn phá bởi những thông điệp mạnh mẽ (từ cha mẹ, sếp, các chuyên gia quản lý, nhà quảng cáo, người nổi tiếng) về việc chúng ta nên trở thành người như thế nào (thông minh hơn, mạnh mẽ hơn, giàu có hơn) và về cách lãnh đạo (trao quyền cho người khác, lãnh đạo từ phía sau, sống đích thực, phân phối quyền lực). Để tìm ra bạn là ai trong một thế giới như vậy, chứ đừng nói đến việc “không là ai khác ngoài chính mình,” thực sự là công việc khó khăn. Tuy nhiên, kinh nghiệm của chúng tôi cho thấy khi bạn có cảm nhận rõ ràng về con người mình, mọi thứ khác sẽ tự nhiên theo sau.</w:t>
      </w:r>
    </w:p>
    <w:p>
      <w:pPr>
        <w:pStyle w:val="Para 003"/>
      </w:pPr>
      <w:r>
        <w:t xml:space="preserve">Một số người sẽ đến với hành trình từ mục đích đến tác động với thiên hướng tự nhiên về nội quan và suy ngẫm. Những người khác sẽ thấy trải nghiệm này không thoải mái và gây lo lắng. Một vài người sẽ chỉ đảo mắt. Chúng tôi đã làm việc với các nhà lãnh đạo thuộc mọi loại và có thể khẳng định rằng ngay cả những người hoài nghi nhất cũng khám phá ra giá trị cá nhân và nghề nghiệp trong trải nghiệm này. Tại một tập đoàn đa quốc gia, chúng tôi đã làm việc với một luật sư cấp cao, người tự mô tả mình là “người ít có khả năng thấy thứ này hữu ích nhất.” Thế nhưng ông đã trở thành người ủng hộ đến mức yêu cầu tất cả nhân viên của mình tham gia chương trình. “Tôi chưa bao giờ đọc một cuốn sách self-help nào, và tôi cũng không có kế hoạch đọc,” ông nói với nhân viên của mình. “Nhưng nếu bạn muốn trở thành một nhà lãnh đạo xuất sắc, bạn phải biết mục đích lãnh đạo của mình.” Chìa khóa để thu hút cả những người mộng mơ lẫn những người hoài nghi là xây dựng một quy trình có không gian để thể hiện cá tính nhưng cũng đưa ra hướng dẫn thực tế từng bước.</w:t>
        <w:bookmarkStart w:id="270" w:name="page_6"/>
        <w:t/>
        <w:bookmarkEnd w:id="270"/>
        <w:t/>
      </w:r>
    </w:p>
    <w:p>
      <w:pPr>
        <w:pStyle w:val="Para 003"/>
      </w:pPr>
      <w:r>
        <w:t>Nhiệm vụ đầu tiên là đào sâu vào câu chuyện cuộc đời bạn để tìm những sợi chỉ chung và chủ đề chính. Mục đích là xác định những điểm mạnh, giá trị và đam mê cốt lõi suốt đời của bạn—những theo đuổi tiếp thêm năng lượng và mang lại niềm vui cho bạn. Chúng tôi sử dụng nhiều gợi ý khác nhau nhưng nhận thấy ba gợi ý sau là hiệu quả nhất:</w:t>
      </w:r>
    </w:p>
    <w:p>
      <w:pPr>
        <w:numPr>
          <w:ilvl w:val="0"/>
          <w:numId w:val="2"/>
        </w:numPr>
        <w:pStyle w:val="Para 003"/>
      </w:pPr>
      <w:r>
        <w:t>Khi còn bé, trước khi thế giới bảo bạn nên hay không nên thích hoặc làm điều gì, bạn đặc biệt thích làm gì nhất? Hãy mô tả một khoảnh khắc và cảm giác mà nó mang lại cho bạn.</w:t>
      </w:r>
    </w:p>
    <w:p>
      <w:pPr>
        <w:numPr>
          <w:ilvl w:val="0"/>
          <w:numId w:val="2"/>
        </w:numPr>
        <w:pStyle w:val="Para 003"/>
      </w:pPr>
      <w:r>
        <w:t>Hãy kể cho chúng tôi nghe về hai trải nghiệm thử thách nhất trong đời bạn. Chúng đã định hình con người bạn như thế nào?</w:t>
      </w:r>
    </w:p>
    <w:p>
      <w:pPr>
        <w:numPr>
          <w:ilvl w:val="0"/>
          <w:numId w:val="2"/>
        </w:numPr>
        <w:pStyle w:val="Para 003"/>
      </w:pPr>
      <w:r>
        <w:t>Bây giờ, bạn thích làm điều gì trong cuộc sống để giúp mình cất lên tiếng hát của chính mình?</w:t>
      </w:r>
    </w:p>
    <w:p>
      <w:pPr>
        <w:pStyle w:val="Para 003"/>
      </w:pPr>
      <w:r>
        <w:t>Chúng tôi đặc biệt khuyến khích bạn vật lộn với những câu hỏi này trong một nhóm nhỏ gồm vài đồng nghiệp, vì chúng tôi nhận thấy rằng mọi người gần như không thể tự mình xác định mục đích lãnh đạo (leadership purpose) của bản thân. Bạn không thể nhìn rõ chính mình nếu thiếu những đồng nghiệp hoặc bạn bè đáng tin cậy đóng vai trò như tấm gương phản chiếu.</w:t>
      </w:r>
    </w:p>
    <w:p>
      <w:pPr>
        <w:pStyle w:val="Para 003"/>
      </w:pPr>
      <w:r>
        <w:t>Sau quá trình suy ngẫm này, hãy thử viết một tuyên bố mục đích rõ ràng, súc tích và mang tính khẳng định: “Mục đích lãnh đạo của tôi là ______.” Những từ ngữ trong tuyên bố mục đích phải là của riêng bạn. Chúng phải nắm bắt được bản chất con người bạn. Và chúng phải thôi thúc bạn hành động.</w:t>
      </w:r>
    </w:p>
    <w:p>
      <w:pPr>
        <w:pStyle w:val="Para 003"/>
      </w:pPr>
      <w:r>
        <w:t>Để bạn hình dung quy trình này hoạt động thế nào, hãy xem trải nghiệm của một vài nhà điều hành. Khi chúng tôi hỏi một nữ quản lý về đam mê thời thơ ấu, cô kể về tuổi thơ ở vùng nông thôn Scotland và niềm vui với những chuyến “thám hiểm”. Một ngày nọ, cô và một người bạn quyết tâm đi tìm ếch và dành cả ngày đi hết ao này đến ao khác, lật từng hòn đá. Ngay trước khi trời tối, cô tìm thấy một con ếch duy nhất và vô cùng chiến thắng. Tuyên bố mục đích mà cô viết sau đó—“Luôn tìm thấy những con ếch!”—hoàn toàn phù hợp với vai trò hiện tại của cô là phó chủ tịch cấp cao phụ trách R&amp;D của công ty.</w:t>
      </w:r>
    </w:p>
    <w:p>
      <w:pPr>
        <w:pStyle w:val="Para 003"/>
      </w:pPr>
      <w:r>
        <w:t>Một nhà điều hành khác dùng hai trải nghiệm “thử lửa” (crucible) trong đời để viết nên mục đích của mình. Trải nghiệm đầu tiên mang tính cá nhân: Nhiều năm trước, là một bà mẹ trẻ đã ly hôn với hai con nhỏ, cô rơi vào cảnh vô gia cư và phải ăn xin trên phố, nhưng cô đã dùng trí thông minh của mình để đứng dậy. Trải nghiệm thứ hai mang tính nghề nghiệp: Trong cuộc khủng hoảng kinh tế năm 2008, cô phải giám sát việc thu hẹp hoạt động của công ty tại châu Á và được giao nhiệm vụ đóng cửa hoạt động chủ lực trong khu vực. Dù môi trường việc làm gần như vô vọng, cô vẫn giúp từng nhân viên của mình tìm được công việc khác trước khi cho họ nghỉ. Sau khi thảo luận những câu chuyện này với nhóm của mình, cô đã chuyển tuyên bố mục đích từ “Liên tục và nhất quán phát triển và tạo điều kiện cho sự trưởng thành và phát triển của bản thân và người khác để đạt hiệu suất vượt trội” thành “Với sự bền bỉ, tạo nên sự xuất sắc.”</w:t>
      </w:r>
    </w:p>
    <w:p>
      <w:pPr>
        <w:pStyle w:val="Para 003"/>
      </w:pPr>
      <w:r>
        <w:t xml:space="preserve">Dolf đến với tuyên bố “cao thủ wuxia” của mình sau khi khám phá không chỉ sở thích phim ảnh mà còn cả trải nghiệm thử lửa phi thường ở Congo, khi các tay súng đe dọa nhà máy bia mà anh quản lý và anh phải ra lệnh dựng rào chắn để bảo vệ nhân viên và ngăn chặn cướp bóc. Vị giám đốc nhà máy Ai Cập tập trung vào gia đình làm mục đích vì những câu chuyện của ông cho thấy tình yêu thương và sự hỗ trợ từ gia đình là chìa khóa để đối mặt với mọi thử thách trong đời, trong khi vị giám đốc vận hành bán lẻ dùng “Bị thôi thúc phải cải thiện” sau khi nhận ra rằng những thành tựu lớn nhất của mình luôn đến khi anh thúc đẩy bản thân và người khác ra khỏi vùng an toàn.</w:t>
        <w:bookmarkStart w:id="271" w:name="page_8"/>
        <w:t/>
        <w:bookmarkEnd w:id="271"/>
        <w:t/>
      </w:r>
    </w:p>
    <w:p>
      <w:pPr>
        <w:pStyle w:val="Para 003"/>
      </w:pPr>
      <w:r>
        <w:t>Khi xem lại những câu chuyện của mình, bạn sẽ thấy một sợi chỉ xuyên suốt, giống như những nhà điều hành này đã thấy. Hãy kéo sợi chỉ đó, và bạn sẽ khám phá ra mục đích của mình. (Bảng “Tuyên bố mục đích: từ dở đến hay” đưa ra một số ví dụ về tuyên bố mục đích.)</w:t>
      </w:r>
      <w:hyperlink w:anchor="purposebox">
        <w:r>
          <w:rPr>
            <w:rStyle w:val="Text1"/>
          </w:rPr>
          <w:t/>
        </w:r>
      </w:hyperlink>
      <w:r>
        <w:t/>
      </w:r>
    </w:p>
    <w:tbl>
      <w:tblPr>
        <w:tblW w:type="pct" w:w="4750"/>
      </w:tblPr>
      <w:tr>
        <w:tc>
          <w:tcPr>
            <w:tcW w:type="auto" w:w="0"/>
            <w:tcBorders>
              <w:top w:val="single" w:sz="2" w:color="000000"/>
              <w:bottom w:val="single" w:sz="2" w:color="auto"/>
            </w:tcBorders>
            <w:tcMar>
              <w:left w:type="dxa" w:w="100"/>
              <w:top w:type="dxa" w:w="180"/>
              <w:bottom w:type="dxa" w:w="180"/>
            </w:tcMar>
            <w:vAlign w:val="top"/>
            <w:hMerge w:val="restart"/>
          </w:tcPr>
          <w:p>
            <w:pPr>
              <w:pStyle w:val="Para 122"/>
            </w:pPr>
            <w:r>
              <w:t xml:space="preserve">Tuyên bố mục đích</w:t>
              <w:br w:clear="none"/>
            </w:r>
          </w:p>
        </w:tc>
        <w:tc>
          <w:tcPr>
            <w:hMerge w:val="continue"/>
          </w:tcPr>
          <w:p/>
        </w:tc>
      </w:tr>
      <w:tr>
        <w:tc>
          <w:tcPr>
            <w:tcW w:type="auto" w:w="0"/>
            <w:tcBorders>
              <w:top w:val="single" w:sz="2" w:color="auto"/>
              <w:bottom w:val="single" w:sz="2" w:color="auto"/>
            </w:tcBorders>
            <w:tcMar>
              <w:left w:type="dxa" w:w="100"/>
              <w:top w:type="dxa" w:w="180"/>
              <w:bottom w:type="dxa" w:w="180"/>
            </w:tcMar>
            <w:vAlign w:val="top"/>
          </w:tcPr>
          <w:p>
            <w:pPr>
              <w:pStyle w:val="Para 056"/>
            </w:pPr>
            <w:r>
              <w:rPr>
                <w:rStyle w:val="Text9"/>
              </w:rPr>
            </w:r>
            <w:r>
              <w:t xml:space="preserve">Từ dở …</w:t>
              <w:br w:clear="none"/>
            </w:r>
          </w:p>
        </w:tc>
        <w:tc>
          <w:tcPr>
            <w:tcW w:type="auto" w:w="0"/>
            <w:tcBorders>
              <w:top w:val="single" w:sz="2" w:color="auto"/>
              <w:bottom w:val="single" w:sz="2" w:color="auto"/>
            </w:tcBorders>
            <w:tcMar>
              <w:left w:type="dxa" w:w="100"/>
              <w:top w:type="dxa" w:w="180"/>
              <w:bottom w:type="dxa" w:w="180"/>
            </w:tcMar>
            <w:vAlign w:val="top"/>
          </w:tcPr>
          <w:p>
            <w:pPr>
              <w:pStyle w:val="Para 056"/>
            </w:pPr>
            <w:r>
              <w:t xml:space="preserve">Đến hay</w:t>
              <w:br w:clear="none"/>
            </w:r>
          </w:p>
        </w:tc>
      </w:tr>
      <w:tr>
        <w:tc>
          <w:tcPr>
            <w:tcW w:type="auto" w:w="0"/>
            <w:tcBorders>
              <w:top w:val="single" w:sz="2" w:color="auto"/>
            </w:tcBorders>
            <w:tcMar>
              <w:left w:type="dxa" w:w="100"/>
              <w:top w:type="dxa" w:w="180"/>
              <w:bottom w:type="dxa" w:w="180"/>
            </w:tcMar>
            <w:vAlign w:val="top"/>
          </w:tcPr>
          <w:p>
            <w:pPr>
              <w:pStyle w:val="Para 006"/>
            </w:pPr>
            <w:r>
              <w:t xml:space="preserve">Dẫn dắt bộ phận thị trường mới đạt kết quả kinh doanh vượt trội</w:t>
              <w:br w:clear="none"/>
            </w:r>
          </w:p>
        </w:tc>
        <w:tc>
          <w:tcPr>
            <w:tcW w:type="auto" w:w="0"/>
            <w:tcBorders>
              <w:top w:val="single" w:sz="2" w:color="auto"/>
            </w:tcBorders>
            <w:tcMar>
              <w:left w:type="dxa" w:w="100"/>
              <w:top w:type="dxa" w:w="180"/>
              <w:bottom w:type="dxa" w:w="180"/>
            </w:tcMar>
            <w:vAlign w:val="top"/>
          </w:tcPr>
          <w:p>
            <w:pPr>
              <w:pStyle w:val="Para 006"/>
            </w:pPr>
            <w:r>
              <w:t xml:space="preserve">Loại bỏ “hỗn loạn”</w:t>
              <w:br w:clear="none"/>
            </w:r>
          </w:p>
        </w:tc>
      </w:tr>
      <w:tr>
        <w:tc>
          <w:tcPr>
            <w:tcW w:type="auto" w:w="0"/>
            <w:tcMar>
              <w:left w:type="dxa" w:w="100"/>
              <w:top w:type="dxa" w:w="180"/>
              <w:bottom w:type="dxa" w:w="180"/>
            </w:tcMar>
            <w:vAlign w:val="top"/>
          </w:tcPr>
          <w:p>
            <w:pPr>
              <w:pStyle w:val="Para 006"/>
            </w:pPr>
            <w:r>
              <w:t xml:space="preserve">Trở thành người dẫn dắt trong ngành hạ tầng để mỗi người đạt được kết quả họ cần, đồng thời làm chủ những động lực mới của doanh nghiệp khi tôi cân bằng giữa gia đình và công việc</w:t>
              <w:br w:clear="none"/>
            </w:r>
          </w:p>
        </w:tc>
        <w:tc>
          <w:tcPr>
            <w:tcW w:type="auto" w:w="0"/>
            <w:tcMar>
              <w:left w:type="dxa" w:w="100"/>
              <w:top w:type="dxa" w:w="180"/>
              <w:bottom w:type="dxa" w:w="180"/>
            </w:tcMar>
            <w:vAlign w:val="top"/>
          </w:tcPr>
          <w:p>
            <w:pPr>
              <w:pStyle w:val="Para 006"/>
            </w:pPr>
            <w:r>
              <w:t xml:space="preserve">Mang nước và điện đến cho 2 tỷ người chưa có</w:t>
              <w:br w:clear="none"/>
            </w:r>
          </w:p>
        </w:tc>
      </w:tr>
      <w:tr>
        <w:tc>
          <w:tcPr>
            <w:tcW w:type="auto" w:w="0"/>
            <w:tcBorders>
              <w:bottom w:val="single" w:sz="2" w:color="000000"/>
            </w:tcBorders>
            <w:tcMar>
              <w:left w:type="dxa" w:w="100"/>
              <w:top w:type="dxa" w:w="180"/>
              <w:bottom w:type="dxa" w:w="180"/>
            </w:tcMar>
            <w:vAlign w:val="top"/>
          </w:tcPr>
          <w:p>
            <w:pPr>
              <w:pStyle w:val="Para 006"/>
            </w:pPr>
            <w:r>
              <w:t xml:space="preserve">Liên tục và nhất quán phát triển và tạo điều kiện cho sự trưởng thành và phát triển của bản thân và người khác, dẫn đến hiệu suất vượt trội</w:t>
              <w:br w:clear="none"/>
            </w:r>
          </w:p>
        </w:tc>
        <w:tc>
          <w:tcPr>
            <w:tcW w:type="auto" w:w="0"/>
            <w:tcBorders>
              <w:bottom w:val="single" w:sz="2" w:color="000000"/>
            </w:tcBorders>
            <w:tcMar>
              <w:left w:type="dxa" w:w="100"/>
              <w:top w:type="dxa" w:w="180"/>
              <w:bottom w:type="dxa" w:w="180"/>
            </w:tcMar>
            <w:vAlign w:val="top"/>
          </w:tcPr>
          <w:p>
            <w:pPr>
              <w:pStyle w:val="Para 006"/>
            </w:pPr>
            <w:r>
              <w:t xml:space="preserve">Với sự bền bỉ, tạo nên sự xuất sắc</w:t>
              <w:br w:clear="none"/>
            </w:r>
          </w:p>
        </w:tc>
      </w:tr>
    </w:tbl>
    <w:p>
      <w:pPr>
        <w:pStyle w:val="Para 011"/>
      </w:pPr>
      <w:r>
        <w:t>Làm Thế Nào Để Đưa Mục Đích Của Bạn Vào Hành Động?</w:t>
      </w:r>
    </w:p>
    <w:p>
      <w:pPr>
        <w:pStyle w:val="Para 067"/>
      </w:pPr>
      <w:r>
        <w:t>Đây là niềm vui đích thực trong cuộc sống, được sử dụng cho một mục đích mà chính bạn nhận ra là cao cả.</w:t>
      </w:r>
    </w:p>
    <w:p>
      <w:pPr>
        <w:pStyle w:val="Para 068"/>
      </w:pPr>
      <w:r>
        <w:rPr>
          <w:rStyle w:val="Text0"/>
        </w:rPr>
        <w:t>—George Bernard Shaw</w:t>
      </w:r>
      <w:r>
        <w:t/>
      </w:r>
    </w:p>
    <w:p>
      <w:pPr>
        <w:pStyle w:val="Para 016"/>
      </w:pPr>
      <w:r>
        <w:t>Làm rõ mục đích của bạn với tư cách một nhà lãnh đạo là điều cốt yếu, nhưng viết ra tuyên bố thôi thì chưa đủ. Bạn cũng phải hình dung tác động mà mình sẽ tạo ra cho thế giới xung quanh nhờ sống đúng với mục đích đó. Hành động của bạn—chứ không phải lời nói—mới là điều thực sự quan trọng. Tất nhiên, gần như không ai trong chúng ta có thể sống trọn vẹn 100% với mục đích của mình mọi lúc. Nhưng với nỗ lực và kế hoạch cẩn thận, chúng ta có thể làm điều đó thường xuyên hơn, có ý thức hơn, toàn tâm toàn ý và hiệu quả hơn.</w:t>
      </w:r>
    </w:p>
    <w:p>
      <w:pPr>
        <w:pStyle w:val="Para 003"/>
      </w:pPr>
      <w:r>
        <w:t>Các kế hoạch từ mục đích đến tác động (purpose-to-impact plans) khác với các kế hoạch phát triển truyền thống ở một số điểm quan trọng: Chúng bắt đầu bằng một tuyên bố về mục đích lãnh đạo thay vì một mục tiêu kinh doanh hay sự nghiệp. Chúng nhìn nhận cuộc sống nghề nghiệp và cá nhân một cách toàn diện thay vì phớt lờ việc bạn có gia đình hay những sở thích và cam kết bên ngoài. Chúng sử dụng ngôn ngữ giàu ý nghĩa, thấm đẫm mục đích để tạo ra một tài liệu nói với chính bạn, chứ không phải với bất kỳ ai ở vị trí hay vai trò của bạn. Chúng buộc bạn hình dung những cơ hội dài hạn để sống với mục đích của mình (tầm nhìn ba đến năm năm) rồi giúp bạn lùi lại từ đó (hai năm, một năm, sáu tháng, ba tháng, 30 ngày) để đặt ra các mục tiêu cụ thể nhằm đạt được chúng.</w:t>
      </w:r>
    </w:p>
    <w:p>
      <w:pPr>
        <w:pStyle w:val="Para 003"/>
      </w:pPr>
      <w:r>
        <w:t>Khi các nhà điều hành tiếp cận sự phát triển theo cách dẫn dắt bởi mục đích này, những khát vọng của họ—chẳng hạn như quyết định tham gia hội đồng trường học của Kathi, hay tham vọng điều hành mảng sản xuất và hậu cần khắp Trung Đông của vị giám đốc nhà máy Ai Cập—được thổi bùng lên. Các nhà lãnh đạo cũng trở nên tràn đầy năng lượng hơn trong vai trò hiện tại. Kế hoạch tác động của Dolf đã truyền cảm hứng để anh đảm nhận vai trò tại Heineken USA với bốn phương châm cho đội ngũ của mình: “Hãy dũng cảm,” “Quyết định và hành động,” “Săn như một bầy,” và “Hãy coi đó là chuyện của mình.” Khi giám đốc điều hành Unilever Jostein Solheim tạo ra một kế hoạch phát triển xoay quanh mục đích của mình—“Trở thành một phần của phong trào toàn cầu khiến việc thay đổi thế giới trở nên thú vị và khả thi”—ông nhận ra mình muốn tiếp tục làm CEO của mảng kinh doanh Ben &amp; Jerry’s thay vì leo lên nấc thang cao hơn trong tập đoàn.</w:t>
      </w:r>
    </w:p>
    <w:p>
      <w:pPr>
        <w:pStyle w:val="Para 003"/>
      </w:pPr>
      <w:r>
        <w:t>Giờ hãy cùng xem một kế hoạch từ mục đích đến tác động giả định (tổng hợp từ nhiều người mà chúng tôi đã làm việc cùng) để có cái nhìn sâu hơn về quy trình. “Richard” chỉ tìm ra mục đích của mình sau khi được khích lệ nói về niềm đam mê chèo thuyền suốt đời; đột nhiên, anh tìm thấy một tập hợp trải nghiệm và ngôn ngữ có thể định nghĩa lại cách anh nhìn nhận công việc thu mua của mình.</w:t>
      </w:r>
    </w:p>
    <w:tbl>
      <w:tblPr>
        <w:tblW w:type="pct" w:w="5000"/>
      </w:tblPr>
      <w:tr>
        <w:tc>
          <w:tcPr>
            <w:tcW w:type="pct" w:w="2500"/>
            <w:tcBorders>
              <w:top w:val="single" w:sz="2" w:color="auto"/>
              <w:bottom w:val="single" w:sz="2" w:color="auto"/>
            </w:tcBorders>
            <w:tcMar>
              <w:left w:type="dxa" w:w="100"/>
              <w:top w:type="dxa" w:w="180"/>
              <w:bottom w:type="dxa" w:w="180"/>
            </w:tcMar>
            <w:vAlign w:val="top"/>
          </w:tcPr>
          <w:p>
            <w:pPr>
              <w:pStyle w:val="Para 056"/>
            </w:pPr>
            <w:r>
              <w:rPr>
                <w:rStyle w:val="Text9"/>
              </w:rPr>
            </w:r>
            <w:r>
              <w:t xml:space="preserve">Lập kế hoạch từ mục đích đến tác động</w:t>
              <w:br w:clear="none"/>
            </w:r>
          </w:p>
        </w:tc>
        <w:tc>
          <w:tcPr>
            <w:tcW w:type="auto" w:w="0"/>
            <w:tcBorders>
              <w:top w:val="single" w:sz="2" w:color="auto"/>
              <w:bottom w:val="single" w:sz="2" w:color="auto"/>
            </w:tcBorders>
            <w:tcMar>
              <w:left w:type="dxa" w:w="100"/>
              <w:top w:type="dxa" w:w="180"/>
              <w:bottom w:type="dxa" w:w="180"/>
            </w:tcMar>
            <w:vAlign w:val="top"/>
          </w:tcPr>
          <w:p>
            <w:pPr>
              <w:pStyle w:val="Para 056"/>
            </w:pPr>
            <w:r>
              <w:t xml:space="preserve">Lập kế hoạch phát triển truyền thống</w:t>
              <w:br w:clear="none"/>
            </w:r>
          </w:p>
        </w:tc>
      </w:tr>
      <w:tr>
        <w:tc>
          <w:tcPr>
            <w:tcW w:type="auto" w:w="0"/>
            <w:tcBorders>
              <w:top w:val="single" w:sz="2" w:color="auto"/>
            </w:tcBorders>
            <w:tcMar>
              <w:left w:type="dxa" w:w="100"/>
              <w:top w:type="dxa" w:w="180"/>
              <w:bottom w:type="dxa" w:w="180"/>
            </w:tcMar>
            <w:vAlign w:val="top"/>
          </w:tcPr>
          <w:p>
            <w:pPr>
              <w:pStyle w:val="Para 006"/>
            </w:pPr>
            <w:r>
              <w:t xml:space="preserve">Sử dụng ngôn ngữ giàu ý nghĩa, thấm đẫm mục đích</w:t>
              <w:br w:clear="none"/>
            </w:r>
          </w:p>
        </w:tc>
        <w:tc>
          <w:tcPr>
            <w:tcW w:type="auto" w:w="0"/>
            <w:tcBorders>
              <w:top w:val="single" w:sz="2" w:color="auto"/>
            </w:tcBorders>
            <w:tcMar>
              <w:left w:type="dxa" w:w="100"/>
              <w:top w:type="dxa" w:w="180"/>
              <w:bottom w:type="dxa" w:w="180"/>
            </w:tcMar>
            <w:vAlign w:val="top"/>
          </w:tcPr>
          <w:p>
            <w:pPr>
              <w:pStyle w:val="Para 006"/>
            </w:pPr>
            <w:r>
              <w:t xml:space="preserve">Sử dụng ngôn ngữ kinh doanh chuẩn mực</w:t>
              <w:br w:clear="none"/>
            </w:r>
          </w:p>
        </w:tc>
      </w:tr>
      <w:tr>
        <w:tc>
          <w:tcPr>
            <w:tcW w:type="auto" w:w="0"/>
            <w:tcMar>
              <w:left w:type="dxa" w:w="100"/>
              <w:top w:type="dxa" w:w="180"/>
              <w:bottom w:type="dxa" w:w="180"/>
            </w:tcMar>
            <w:vAlign w:val="top"/>
          </w:tcPr>
          <w:p>
            <w:pPr>
              <w:pStyle w:val="Para 006"/>
            </w:pPr>
            <w:r>
              <w:t xml:space="preserve">Tập trung vào điểm mạnh để hiện thực hóa khát vọng sự nghiệp</w:t>
              <w:br w:clear="none"/>
            </w:r>
          </w:p>
        </w:tc>
        <w:tc>
          <w:tcPr>
            <w:tcW w:type="auto" w:w="0"/>
            <w:tcMar>
              <w:left w:type="dxa" w:w="100"/>
              <w:top w:type="dxa" w:w="180"/>
              <w:bottom w:type="dxa" w:w="180"/>
            </w:tcMar>
            <w:vAlign w:val="top"/>
          </w:tcPr>
          <w:p>
            <w:pPr>
              <w:pStyle w:val="Para 006"/>
            </w:pPr>
            <w:r>
              <w:t xml:space="preserve">Tập trung vào điểm yếu để cải thiện hiệu suất</w:t>
              <w:br w:clear="none"/>
            </w:r>
          </w:p>
        </w:tc>
      </w:tr>
      <w:tr>
        <w:tc>
          <w:tcPr>
            <w:tcW w:type="auto" w:w="0"/>
            <w:tcMar>
              <w:left w:type="dxa" w:w="100"/>
              <w:top w:type="dxa" w:w="180"/>
              <w:bottom w:type="dxa" w:w="180"/>
            </w:tcMar>
            <w:vAlign w:val="top"/>
          </w:tcPr>
          <w:p>
            <w:pPr>
              <w:pStyle w:val="Para 006"/>
            </w:pPr>
            <w:r>
              <w:t xml:space="preserve">Gợi ra một tuyên bố về mục đích lãnh đạo giải thích cách bạn sẽ lãnh đạo</w:t>
              <w:br w:clear="none"/>
            </w:r>
          </w:p>
        </w:tc>
        <w:tc>
          <w:tcPr>
            <w:tcW w:type="auto" w:w="0"/>
            <w:tcMar>
              <w:left w:type="dxa" w:w="100"/>
              <w:top w:type="dxa" w:w="180"/>
              <w:bottom w:type="dxa" w:w="180"/>
            </w:tcMar>
            <w:vAlign w:val="top"/>
          </w:tcPr>
          <w:p>
            <w:pPr>
              <w:pStyle w:val="Para 006"/>
            </w:pPr>
            <w:r>
              <w:t xml:space="preserve">Đặt ra mục tiêu hướng tới kinh doanh hoặc sự nghiệp</w:t>
              <w:br w:clear="none"/>
            </w:r>
          </w:p>
        </w:tc>
      </w:tr>
      <w:tr>
        <w:tc>
          <w:tcPr>
            <w:tcW w:type="auto" w:w="0"/>
            <w:tcMar>
              <w:left w:type="dxa" w:w="100"/>
              <w:top w:type="dxa" w:w="180"/>
              <w:bottom w:type="dxa" w:w="180"/>
            </w:tcMar>
            <w:vAlign w:val="top"/>
          </w:tcPr>
          <w:p>
            <w:pPr>
              <w:pStyle w:val="Para 006"/>
            </w:pPr>
            <w:r>
              <w:t xml:space="preserve">Đặt các mục tiêu nhỏ dần liên quan đến việc sống đúng với mục đích lãnh đạo của bạn</w:t>
              <w:br w:clear="none"/>
            </w:r>
          </w:p>
        </w:tc>
        <w:tc>
          <w:tcPr>
            <w:tcW w:type="auto" w:w="0"/>
            <w:tcMar>
              <w:left w:type="dxa" w:w="100"/>
              <w:top w:type="dxa" w:w="180"/>
              <w:bottom w:type="dxa" w:w="180"/>
            </w:tcMar>
            <w:vAlign w:val="top"/>
          </w:tcPr>
          <w:p>
            <w:pPr>
              <w:pStyle w:val="Para 006"/>
            </w:pPr>
            <w:r>
              <w:t xml:space="preserve">Đo lường thành công bằng các chỉ số gắn với sứ mệnh và mục tiêu của công ty</w:t>
              <w:br w:clear="none"/>
            </w:r>
          </w:p>
        </w:tc>
      </w:tr>
      <w:tr>
        <w:tc>
          <w:tcPr>
            <w:tcW w:type="auto" w:w="0"/>
            <w:tcMar>
              <w:left w:type="dxa" w:w="100"/>
              <w:top w:type="dxa" w:w="180"/>
              <w:bottom w:type="dxa" w:w="180"/>
            </w:tcMar>
            <w:vAlign w:val="top"/>
          </w:tcPr>
          <w:p>
            <w:pPr>
              <w:pStyle w:val="Para 006"/>
            </w:pPr>
            <w:r>
              <w:t xml:space="preserve">Tập trung vào tương lai, làm việc ngược từ mục tiêu</w:t>
              <w:br w:clear="none"/>
            </w:r>
          </w:p>
        </w:tc>
        <w:tc>
          <w:tcPr>
            <w:tcW w:type="auto" w:w="0"/>
            <w:tcMar>
              <w:left w:type="dxa" w:w="100"/>
              <w:top w:type="dxa" w:w="180"/>
              <w:bottom w:type="dxa" w:w="180"/>
            </w:tcMar>
            <w:vAlign w:val="top"/>
          </w:tcPr>
          <w:p>
            <w:pPr>
              <w:pStyle w:val="Para 006"/>
            </w:pPr>
            <w:r>
              <w:t xml:space="preserve">Tập trung vào hiện tại, làm việc tiến về phía trước</w:t>
              <w:br w:clear="none"/>
            </w:r>
          </w:p>
        </w:tc>
      </w:tr>
      <w:tr>
        <w:tc>
          <w:tcPr>
            <w:tcW w:type="auto" w:w="0"/>
            <w:tcMar>
              <w:left w:type="dxa" w:w="100"/>
              <w:top w:type="dxa" w:w="180"/>
              <w:bottom w:type="dxa" w:w="180"/>
            </w:tcMar>
            <w:vAlign w:val="top"/>
          </w:tcPr>
          <w:p>
            <w:pPr>
              <w:pStyle w:val="Para 006"/>
            </w:pPr>
            <w:r>
              <w:t xml:space="preserve">Là duy nhất với bạn; nói về con người lãnh đạo của bạn</w:t>
              <w:br w:clear="none"/>
            </w:r>
          </w:p>
        </w:tc>
        <w:tc>
          <w:tcPr>
            <w:tcW w:type="auto" w:w="0"/>
            <w:tcMar>
              <w:left w:type="dxa" w:w="100"/>
              <w:top w:type="dxa" w:w="180"/>
              <w:bottom w:type="dxa" w:w="180"/>
            </w:tcMar>
            <w:vAlign w:val="top"/>
          </w:tcPr>
          <w:p>
            <w:pPr>
              <w:pStyle w:val="Para 006"/>
            </w:pPr>
            <w:r>
              <w:t xml:space="preserve">Là chung chung; nói về công việc hay vai trò</w:t>
              <w:br w:clear="none"/>
            </w:r>
          </w:p>
        </w:tc>
      </w:tr>
      <w:tr>
        <w:tc>
          <w:tcPr>
            <w:tcW w:type="auto" w:w="0"/>
            <w:tcBorders>
              <w:bottom w:val="single" w:sz="2" w:color="000000"/>
            </w:tcBorders>
            <w:tcMar>
              <w:left w:type="dxa" w:w="100"/>
              <w:top w:type="dxa" w:w="180"/>
              <w:bottom w:type="dxa" w:w="180"/>
            </w:tcMar>
            <w:vAlign w:val="top"/>
          </w:tcPr>
          <w:p>
            <w:pPr>
              <w:pStyle w:val="Para 006"/>
            </w:pPr>
            <w:r>
              <w:t xml:space="preserve">Có cái nhìn toàn diện về công việc và gia đình</w:t>
              <w:br w:clear="none"/>
            </w:r>
          </w:p>
        </w:tc>
        <w:tc>
          <w:tcPr>
            <w:tcW w:type="auto" w:w="0"/>
            <w:tcBorders>
              <w:bottom w:val="single" w:sz="2" w:color="000000"/>
            </w:tcBorders>
            <w:tcMar>
              <w:left w:type="dxa" w:w="100"/>
              <w:top w:type="dxa" w:w="180"/>
              <w:bottom w:type="dxa" w:w="180"/>
            </w:tcMar>
            <w:vAlign w:val="top"/>
          </w:tcPr>
          <w:p>
            <w:pPr>
              <w:pStyle w:val="Para 006"/>
            </w:pPr>
            <w:r>
              <w:t xml:space="preserve">Bỏ qua các mục tiêu và trách nhiệm ngoài văn phòng</w:t>
              <w:br w:clear="none"/>
            </w:r>
          </w:p>
        </w:tc>
      </w:tr>
    </w:tbl>
    <w:p>
      <w:pPr>
        <w:pStyle w:val="Para 003"/>
      </w:pPr>
      <w:r>
        <w:bookmarkStart w:id="272" w:name="page_12"/>
        <w:t>Kế hoạch phát triển của Richard bắt đầu bằng tuyên bố mục đích mà anh ấy đã tạo ra: “Tận dụng mọi yếu tố để chiến thắng cuộc đua.” Tiếp theo là lời giải thích vì sao đó là mục đích của anh: Nghiên cứu cho thấy việc hiểu điều gì thúc đẩy chúng ta làm tăng đáng kể khả năng đạt được các mục tiêu lớn.</w:t>
        <w:bookmarkEnd w:id="272"/>
        <w:t xml:space="preserve"/>
      </w:r>
      <w:r>
        <w:rPr>
          <w:rStyle w:val="Text7"/>
        </w:rPr>
        <w:t/>
      </w:r>
      <w:r>
        <w:t xml:space="preserve"/>
      </w:r>
      <w:r>
        <w:rPr>
          <w:rStyle w:val="Text7"/>
        </w:rPr>
        <w:t/>
      </w:r>
      <w:r>
        <w:t xml:space="preserve"/>
      </w:r>
    </w:p>
    <w:p>
      <w:bookmarkStart w:id="273" w:name="A_Purpose_to_Impact_Plan"/>
      <w:pPr>
        <w:pStyle w:val="Para 123"/>
      </w:pPr>
      <w:r>
        <w:bookmarkStart w:id="274" w:name="page_10"/>
        <w:t>Kế hoạch Từ Mục đích đến Tác động (Purpose-to-Impact Plan)</w:t>
        <w:bookmarkEnd w:id="274"/>
        <w:t/>
      </w:r>
      <w:bookmarkEnd w:id="273"/>
    </w:p>
    <w:p>
      <w:pPr>
        <w:pStyle w:val="Para 020"/>
      </w:pPr>
      <w:r>
        <w:rPr>
          <w:rStyle w:val="Text3"/>
        </w:rPr>
        <w:t>KẾ HOẠCH MẪU NÀY cho thấy cách “Richard” sử dụng mục đích lãnh đạo độc đáo của mình để hình dung những khát vọng lớn rồi làm việc ngược lại để đặt ra các mục tiêu cụ thể hơn.</w:t>
      </w:r>
      <w:r>
        <w:t xml:space="preserve"/>
      </w:r>
    </w:p>
    <w:p>
      <w:pPr>
        <w:pStyle w:val="Para 035"/>
      </w:pPr>
      <w:r>
        <w:t>1. Tạo tuyên bố mục đích</w:t>
      </w:r>
    </w:p>
    <w:p>
      <w:pPr>
        <w:pStyle w:val="Para 052"/>
      </w:pPr>
      <w:r>
        <w:t>Tận dụng mọi yếu tố để chiến thắng cuộc đua</w:t>
      </w:r>
    </w:p>
    <w:p>
      <w:pPr>
        <w:pStyle w:val="Para 035"/>
      </w:pPr>
      <w:r>
        <w:t>2. Viết lời giải thích</w:t>
      </w:r>
    </w:p>
    <w:p>
      <w:pPr>
        <w:pStyle w:val="Para 052"/>
      </w:pPr>
      <w:r>
        <w:t>Tôi thích chèo thuyền. Hồi thiếu niên và đôi mươi, tôi từng đua thuyền ba người hiệu suất cao và suýt lọt vào Thế vận hội. Giờ đây chèo thuyền là sở thích và đam mê của tôi—một thử thách đòi hỏi kỷ luật, sự cân bằng và phối hợp. Bạn không bao giờ biết gió sẽ đổi hướng thế nào tiếp theo, và cuối cùng, bạn chỉ thắng cuộc đua khi dựa vào năng lực tổng hợp, trực giác và sự ăn ý của cả đội. Tất cả nằm ở cách bạn đọc các yếu tố.</w:t>
      </w:r>
    </w:p>
    <w:p>
      <w:pPr>
        <w:pStyle w:val="Para 035"/>
      </w:pPr>
      <w:r>
        <w:t>3. Đặt mục tiêu ba đến năm năm</w:t>
      </w:r>
    </w:p>
    <w:p>
      <w:pPr>
        <w:pStyle w:val="Para 052"/>
      </w:pPr>
      <w:r>
        <w:rPr>
          <w:rStyle w:val="Text3"/>
        </w:rPr>
        <w:t>Được biết đến là người đào tạo những đội giỏi nhất và thắng các cuộc đua lớn: Đảm nhận vai trò thu mua toàn cầu và dùng cơ hội đó để đưa tổ chức của tôi vượt lên trước đối thủ</w:t>
      </w:r>
      <w:r>
        <w:t xml:space="preserve"/>
      </w:r>
    </w:p>
    <w:p>
      <w:pPr>
        <w:pStyle w:val="Para 069"/>
      </w:pPr>
      <w:r>
        <w:t>Tôi sẽ làm điều đó bằng cách nào?</w:t>
      </w:r>
    </w:p>
    <w:p>
      <w:pPr>
        <w:numPr>
          <w:ilvl w:val="0"/>
          <w:numId w:val="3"/>
        </w:numPr>
        <w:pStyle w:val="Para 004"/>
      </w:pPr>
      <w:r>
        <w:t>Khiến mọi người cảm thấy họ cùng thuộc một đội</w:t>
      </w:r>
    </w:p>
    <w:p>
      <w:pPr>
        <w:numPr>
          <w:ilvl w:val="0"/>
          <w:numId w:val="3"/>
        </w:numPr>
        <w:pStyle w:val="Para 004"/>
      </w:pPr>
      <w:r>
        <w:t>Điều hướng các điều kiện khó lường bằng cách nhìn ra những cơn gió xoáy trước người khác</w:t>
      </w:r>
    </w:p>
    <w:p>
      <w:pPr>
        <w:numPr>
          <w:ilvl w:val="0"/>
          <w:numId w:val="3"/>
        </w:numPr>
        <w:pStyle w:val="Para 004"/>
      </w:pPr>
      <w:r>
        <w:t>Giữ bình tĩnh khi thua từng cuộc đua nhỏ; học hỏi và chuẩn bị cho những cuộc đua tiếp theo</w:t>
      </w:r>
    </w:p>
    <w:p>
      <w:pPr>
        <w:pStyle w:val="Para 020"/>
      </w:pPr>
      <w:r>
        <w:rPr>
          <w:rStyle w:val="Text3"/>
        </w:rPr>
        <w:t>Trân trọng đội hậu cần của mình: Đảm bảo gia đình có một điều gắn kết chúng tôi với nhau</w:t>
      </w:r>
      <w:r>
        <w:t xml:space="preserve"/>
      </w:r>
    </w:p>
    <w:p>
      <w:pPr>
        <w:pStyle w:val="Para 035"/>
      </w:pPr>
      <w:r>
        <w:t>4. Đặt mục tiêu hai năm</w:t>
      </w:r>
    </w:p>
    <w:p>
      <w:pPr>
        <w:pStyle w:val="Para 052"/>
      </w:pPr>
      <w:r>
        <w:rPr>
          <w:rStyle w:val="Text3"/>
        </w:rPr>
        <w:t>Giành huy chương vàng: Triển khai mô hình thu mua mới, tái định nghĩa mối quan hệ với nhà cung cấp và tạo ra 10% tiết kiệm chi phí cho công ty</w:t>
      </w:r>
      <w:r>
        <w:t xml:space="preserve"/>
      </w:r>
    </w:p>
    <w:p>
      <w:pPr>
        <w:pStyle w:val="Para 020"/>
      </w:pPr>
      <w:r>
        <w:rPr>
          <w:rStyle w:val="Text3"/>
        </w:rPr>
        <w:t>Đón nhận thử thách đua cấp độ cao hơn: Chuyển sang một vai trò ở châu Âu với trách nhiệm rộng hơn</w:t>
      </w:r>
      <w:r>
        <w:t xml:space="preserve"/>
      </w:r>
    </w:p>
    <w:p>
      <w:pPr>
        <w:pStyle w:val="Para 069"/>
      </w:pPr>
      <w:r>
        <w:t>Tôi sẽ làm điều đó bằng cách nào?</w:t>
      </w:r>
    </w:p>
    <w:p>
      <w:pPr>
        <w:numPr>
          <w:ilvl w:val="0"/>
          <w:numId w:val="4"/>
        </w:numPr>
        <w:pStyle w:val="Para 004"/>
      </w:pPr>
      <w:r>
        <w:t>Lường trước và sau đó đối mặt với những thử thách khó khăn</w:t>
      </w:r>
    </w:p>
    <w:p>
      <w:pPr>
        <w:numPr>
          <w:ilvl w:val="0"/>
          <w:numId w:val="4"/>
        </w:numPr>
        <w:pStyle w:val="Para 004"/>
      </w:pPr>
      <w:r>
        <w:t>Kiên trì với những giải pháp sáng tạo nhưng chặt chẽ và thực tế</w:t>
      </w:r>
    </w:p>
    <w:p>
      <w:pPr>
        <w:numPr>
          <w:ilvl w:val="0"/>
          <w:numId w:val="4"/>
        </w:numPr>
        <w:pStyle w:val="Para 004"/>
      </w:pPr>
      <w:r>
        <w:t>Tập hợp và huấn luyện đội ngũ chiến thắng</w:t>
      </w:r>
    </w:p>
    <w:p>
      <w:pPr>
        <w:pStyle w:val="Para 020"/>
      </w:pPr>
      <w:r>
        <w:rPr>
          <w:rStyle w:val="Text3"/>
        </w:rPr>
        <w:t>Phát triển đội hậu cần của tôi: Dạy các chàng trai cách chèo lái</w:t>
      </w:r>
      <w:r>
        <w:t xml:space="preserve"/>
      </w:r>
    </w:p>
    <w:p>
      <w:pPr>
        <w:pStyle w:val="Para 035"/>
      </w:pPr>
      <w:r>
        <w:rPr>
          <w:rStyle w:val="Text9"/>
        </w:rPr>
        <w:bookmarkStart w:id="275" w:name="page_11"/>
        <w:t>5. Đặt mục tiêu một năm</w:t>
        <w:bookmarkEnd w:id="275"/>
      </w:r>
      <w:r>
        <w:t/>
      </w:r>
    </w:p>
    <w:p>
      <w:pPr>
        <w:pStyle w:val="Para 052"/>
      </w:pPr>
      <w:r>
        <w:rPr>
          <w:rStyle w:val="Text3"/>
        </w:rPr>
        <w:t>Nhắm đến giải vàng: Bắt đầu phát triển quy trình mua sắm mới</w:t>
      </w:r>
      <w:r>
        <w:t xml:space="preserve"/>
      </w:r>
    </w:p>
    <w:p>
      <w:pPr>
        <w:pStyle w:val="Para 020"/>
      </w:pPr>
      <w:r>
        <w:rPr>
          <w:rStyle w:val="Text3"/>
        </w:rPr>
        <w:t>Thắng cuộc đua ngắn: Bàn giao dự án Sympix vượt kỳ vọng</w:t>
      </w:r>
      <w:r>
        <w:t xml:space="preserve"/>
      </w:r>
    </w:p>
    <w:p>
      <w:pPr>
        <w:pStyle w:val="Para 020"/>
      </w:pPr>
      <w:r>
        <w:rPr>
          <w:rStyle w:val="Text3"/>
        </w:rPr>
        <w:t>Đóng một con thuyền vững chãi: Giữ quy trình TFLS trong phạm vi chi phí và dự báo tiền mặt</w:t>
      </w:r>
      <w:r>
        <w:t xml:space="preserve"/>
      </w:r>
    </w:p>
    <w:p>
      <w:pPr>
        <w:pStyle w:val="Para 069"/>
      </w:pPr>
      <w:r>
        <w:t>Tôi sẽ làm điều đó bằng cách nào?</w:t>
      </w:r>
    </w:p>
    <w:p>
      <w:pPr>
        <w:numPr>
          <w:ilvl w:val="0"/>
          <w:numId w:val="5"/>
        </w:numPr>
        <w:pStyle w:val="Para 004"/>
      </w:pPr>
      <w:r>
        <w:t>Đẩy nhanh việc tái cấu trúc đội ngũ</w:t>
      </w:r>
    </w:p>
    <w:p>
      <w:pPr>
        <w:numPr>
          <w:ilvl w:val="0"/>
          <w:numId w:val="5"/>
        </w:numPr>
        <w:pStyle w:val="Para 004"/>
      </w:pPr>
      <w:r>
        <w:t>Nhận được sự ủng hộ từ ban lãnh đạo cho phương pháp mua sắm mới</w:t>
      </w:r>
    </w:p>
    <w:p>
      <w:pPr>
        <w:pStyle w:val="Para 020"/>
      </w:pPr>
      <w:r>
        <w:rPr>
          <w:rStyle w:val="Text3"/>
        </w:rPr>
        <w:t xml:space="preserve">Đầu tư cho đội hậu cần của tôi: Nghỉ phép hai tuần, không email</w:t>
      </w:r>
      <w:r>
        <w:t/>
      </w:r>
    </w:p>
    <w:p>
      <w:pPr>
        <w:pStyle w:val="Para 035"/>
      </w:pPr>
      <w:r>
        <w:t>6. Vạch ra các bước tiếp theo quan trọng</w:t>
      </w:r>
    </w:p>
    <w:p>
      <w:pPr>
        <w:pStyle w:val="Para 052"/>
      </w:pPr>
      <w:r>
        <w:rPr>
          <w:rStyle w:val="Text3"/>
        </w:rPr>
        <w:t>Tập hợp đội ngũ: Chốt các vị trí tuyển dụng quan trọng</w:t>
      </w:r>
      <w:r>
        <w:t xml:space="preserve"/>
      </w:r>
    </w:p>
    <w:p>
      <w:pPr>
        <w:pStyle w:val="Para 020"/>
      </w:pPr>
      <w:r>
        <w:rPr>
          <w:rStyle w:val="Text3"/>
        </w:rPr>
        <w:t>Vẽ lộ trình: Đặt nền móng cho các dự án Sympix và TFLS</w:t>
      </w:r>
      <w:r>
        <w:t xml:space="preserve"/>
      </w:r>
    </w:p>
    <w:p>
      <w:pPr>
        <w:pStyle w:val="Para 069"/>
      </w:pPr>
      <w:r>
        <w:t>Tôi sẽ làm điều đó bằng cách nào?</w:t>
      </w:r>
    </w:p>
    <w:p>
      <w:pPr>
        <w:pStyle w:val="Para 124"/>
      </w:pPr>
      <w:r>
        <w:t>Sáu tháng:</w:t>
      </w:r>
    </w:p>
    <w:p>
      <w:pPr>
        <w:numPr>
          <w:ilvl w:val="0"/>
          <w:numId w:val="6"/>
        </w:numPr>
        <w:pStyle w:val="Para 004"/>
      </w:pPr>
      <w:r>
        <w:t>Hoàn thiện kế hoạch kế nhiệm</w:t>
      </w:r>
    </w:p>
    <w:p>
      <w:pPr>
        <w:numPr>
          <w:ilvl w:val="0"/>
          <w:numId w:val="6"/>
        </w:numPr>
        <w:pStyle w:val="Para 004"/>
      </w:pPr>
      <w:r>
        <w:t>Đặt ra mốc thời gian cho Sympix</w:t>
      </w:r>
    </w:p>
    <w:p>
      <w:pPr>
        <w:pStyle w:val="Para 035"/>
      </w:pPr>
      <w:r>
        <w:t>Ba tháng:</w:t>
      </w:r>
    </w:p>
    <w:p>
      <w:pPr>
        <w:numPr>
          <w:ilvl w:val="0"/>
          <w:numId w:val="7"/>
        </w:numPr>
        <w:pStyle w:val="Para 004"/>
      </w:pPr>
      <w:r>
        <w:t>Tìm được người thay thế đẳng cấp thế giới cho Jim</w:t>
      </w:r>
    </w:p>
    <w:p>
      <w:pPr>
        <w:numPr>
          <w:ilvl w:val="0"/>
          <w:numId w:val="7"/>
        </w:numPr>
        <w:pStyle w:val="Para 004"/>
      </w:pPr>
      <w:r>
        <w:t>Lên lịch các “khung giờ hành động” để tập trung không email</w:t>
      </w:r>
    </w:p>
    <w:p>
      <w:pPr>
        <w:pStyle w:val="Para 035"/>
      </w:pPr>
      <w:r>
        <w:t>30 ngày:</w:t>
      </w:r>
    </w:p>
    <w:p>
      <w:pPr>
        <w:numPr>
          <w:ilvl w:val="0"/>
          <w:numId w:val="8"/>
        </w:numPr>
        <w:pStyle w:val="Para 004"/>
      </w:pPr>
      <w:r>
        <w:t>Đưa Alex ở Thượng Hải vào cuộc</w:t>
      </w:r>
    </w:p>
    <w:p>
      <w:pPr>
        <w:numPr>
          <w:ilvl w:val="0"/>
          <w:numId w:val="8"/>
        </w:numPr>
        <w:pStyle w:val="Para 004"/>
      </w:pPr>
      <w:r>
        <w:t>Thống nhất các chỉ số TFLS</w:t>
      </w:r>
    </w:p>
    <w:p>
      <w:pPr>
        <w:numPr>
          <w:ilvl w:val="0"/>
          <w:numId w:val="8"/>
        </w:numPr>
        <w:pStyle w:val="Para 004"/>
      </w:pPr>
      <w:r>
        <w:t>Tổ chức một buổi offsite Sympix trong một ngày</w:t>
      </w:r>
    </w:p>
    <w:p>
      <w:pPr>
        <w:pStyle w:val="Para 020"/>
      </w:pPr>
      <w:r>
        <w:rPr>
          <w:rStyle w:val="Text3"/>
        </w:rPr>
        <w:t>Kết nối lại với đội hậu cần của tôi: Hiện diện nhiều hơn với Jill và các con</w:t>
      </w:r>
      <w:r>
        <w:t xml:space="preserve"/>
      </w:r>
    </w:p>
    <w:p>
      <w:pPr>
        <w:pStyle w:val="Para 035"/>
      </w:pPr>
      <w:r>
        <w:t>7. Xem xét các mối quan hệ then chốt</w:t>
      </w:r>
    </w:p>
    <w:p>
      <w:pPr>
        <w:pStyle w:val="Para 052"/>
      </w:pPr>
      <w:r>
        <w:t>Sarah, quản lý nhân sự</w:t>
      </w:r>
    </w:p>
    <w:p>
      <w:pPr>
        <w:pStyle w:val="Para 052"/>
      </w:pPr>
      <w:r>
        <w:t>Jill, quản lý “đội hậu cần” của tôi</w:t>
      </w:r>
    </w:p>
    <w:p>
      <w:pPr>
        <w:pStyle w:val="Para 003"/>
      </w:pPr>
      <w:r>
        <w:t xml:space="preserve">Tiếp theo, Richard đề cập đến các mục tiêu ba đến năm năm của mình bằng ngôn ngữ trong tuyên bố mục đích. Chúng tôi nhận thấy đây là khung thời gian tốt để nhắm đến trước tiên; vài năm là đủ dài để ngay cả những nhà quản lý vỡ mộng nhất cũng có thể tưởng tượng rằng đến lúc đó họ thực sự sẽ sống đúng với mục đích của mình. Nhưng nó cũng không quá xa đến mức tạo ra sự tự mãn. Một mục tiêu có thể là đạt được một vị trí hàng đầu—trong trường hợp của Richard là vai trò mua sắm toàn cầu—nhưng trọng tâm nên là cách bạn sẽ làm điều đó, bạn sẽ trở thành kiểu lãnh đạo như thế nào.</w:t>
      </w:r>
      <w:r>
        <w:rPr>
          <w:rStyle w:val="Text7"/>
        </w:rPr>
        <w:t/>
      </w:r>
      <w:r>
        <w:t xml:space="preserve"/>
      </w:r>
    </w:p>
    <w:p>
      <w:pPr>
        <w:pStyle w:val="Para 003"/>
      </w:pPr>
      <w:r>
        <w:t xml:space="preserve">Sau đó, anh ấy xem xét các mục tiêu hai năm. Đây là khung thời gian mà tương lai lớn và thực tại hiện tại bắt đầu hòa vào nhau. Bạn sẽ đảm nhận trách nhiệm mới nào? Bạn phải làm gì để chuẩn bị cho chặng đường dài hơn? Hãy nhớ quan tâm đến cả cuộc sống cá nhân nữa, vì bạn nên sống trọn vẹn hơn với mục đích của mình ở mọi nơi. Các mục tiêu của Richard đề cập rõ ràng đến gia đình anh ấy, hay còn gọi là “đội hậu cần trên bờ (shore team)”.</w:t>
      </w:r>
      <w:r>
        <w:rPr>
          <w:rStyle w:val="Text7"/>
        </w:rPr>
        <w:t/>
      </w:r>
      <w:r>
        <w:t/>
      </w:r>
    </w:p>
    <w:p>
      <w:pPr>
        <w:pStyle w:val="Para 003"/>
      </w:pPr>
      <w:r>
        <w:t xml:space="preserve">Bước thứ năm—đặt mục tiêu một năm—thường là bước khó khăn nhất. Nhiều người hỏi: “Nếu hầu hết những gì tôi đang làm hôm nay không hề thẳng hàng với mục đích lãnh đạo của tôi thì sao? Làm thế nào tôi đi từ đây đến đó?” Chúng tôi tìm ra hai cách để giải quyết vấn đề này. Thứ nhất, hãy nghĩ xem liệu bạn có thể viết lại câu chuyện về một phần công việc của mình, hoặc thay đổi cách bạn làm một số nhiệm vụ, để chúng trở thành biểu hiện của mục đích của bạn. Ví dụ, cụm từ “con thuyền đủ khả năng đi biển (seaworthy boat)” giúp Richard thấy được ý nghĩa trong việc quản lý một quy trình mua sắm cơ bản. Thứ hai, hãy cân nhắc liệu bạn có thể thêm một hoạt động nào đó thẳng hàng 100% với mục đích của mình. Chúng tôi nhận thấy hầu hết mọi người có thể dành 5% đến 10% thời gian cho điều gì đó tiếp thêm năng lượng cho họ và giúp người khác thấy được điểm mạnh của họ. Hãy xem quyết định của Richard tham gia vào nỗ lực mua sắm chiến lược toàn cầu: Đó không phải là một phần “công việc hàng ngày” của anh ấy, nhưng nó giúp anh ấy tham gia vào một dự án thiên về mục đích hơn.</w:t>
      </w:r>
      <w:r>
        <w:rPr>
          <w:rStyle w:val="Text7"/>
        </w:rPr>
        <w:t/>
      </w:r>
      <w:r>
        <w:t/>
      </w:r>
    </w:p>
    <w:p>
      <w:pPr>
        <w:pStyle w:val="Para 003"/>
      </w:pPr>
      <w:r>
        <w:bookmarkStart w:id="276" w:name="page_13"/>
        <w:t>Giờ chúng ta đi vào chi tiết cụ thể. Những bước tiếp theo quan trọng mà bạn phải thực hiện trong sáu tháng, ba tháng và 30 ngày tới để hoàn thành các mục tiêu một năm bạn đã đặt ra là gì? Tầm quan trọng của những chiến thắng nhỏ đã được ghi nhận rõ ràng trong hầu hết mọi lĩnh vực quản lý, từ các sáng kiến thay đổi đến đổi mới. Khi liệt kê chi tiết các bước tiếp theo, đừng viết ra tất cả các yêu cầu của công việc. Hãy liệt kê những hoạt động hoặc kết quả quan trọng nhất dựa trên mục đích lãnh đạo và tham vọng mới được làm rõ của bạn. Bạn có thể sẽ nhận thấy một số nhiệm vụ của mình dường như ít cấp bách hơn trước đây, trong khi những nhiệm vụ khác mà bạn từng gạt sang một bên lại trở nên ưu tiên.</w:t>
        <w:bookmarkEnd w:id="276"/>
        <w:t xml:space="preserve"/>
      </w:r>
      <w:r>
        <w:rPr>
          <w:rStyle w:val="Text7"/>
        </w:rPr>
        <w:t/>
      </w:r>
      <w:r>
        <w:t xml:space="preserve"/>
      </w:r>
    </w:p>
    <w:p>
      <w:pPr>
        <w:pStyle w:val="Para 003"/>
      </w:pPr>
      <w:r>
        <w:t xml:space="preserve">Cuối cùng, chúng ta xem xét các mối quan hệ then chốt cần thiết để biến kế hoạch của bạn thành hiện thực. Hãy xác định hai hoặc ba người có thể giúp bạn sống trọn vẹn hơn với mục đích lãnh đạo của mình. Với Richard, đó là Sarah, người quản lý nhân sự sẽ giúp anh ấy tập hợp đội ngũ của mình, và vợ anh ấy, Jill, người quản lý “đội hậu cần trên bờ” của anh ấy.</w:t>
      </w:r>
      <w:r>
        <w:rPr>
          <w:rStyle w:val="Text7"/>
        </w:rPr>
        <w:t/>
      </w:r>
      <w:r>
        <w:t xml:space="preserve"/>
      </w:r>
    </w:p>
    <w:p>
      <w:pPr>
        <w:pStyle w:val="Para 003"/>
      </w:pPr>
      <w:r>
        <w:t>Các nhà điều hành nói với chúng tôi rằng các kế hoạch từ mục đích đến tác động (purpose-to-impact) của cá nhân họ giúp họ trung thành với các mục tiêu ngắn hạn và dài hạn, truyền cảm hứng cho lòng can đảm, sự cam kết và tập trung. Khi họ nản lòng hoặc đuối sức, họ lấy các kế hoạch ra để nhắc nhở bản thân điều họ muốn đạt được và cách họ sẽ thành công. Sau khi lập kế hoạch của mình, vị giám đốc vận hành bán lẻ đối mặt với cạnh tranh toàn cầu cho biết ông không còn “né tránh những điều quá khó” nữa. Dolf van den Brink nói: “Tôi rõ ràng hơn nhiều về nơi tôi thực sự có thể đóng góp và nơi không thể. Tôi hoàn toàn rõ ràng về loại vai trò mà tôi khao khát và có thể đưa ra những lựa chọn rõ ràng trên đường đi.”</w:t>
      </w:r>
    </w:p>
    <w:p>
      <w:pPr>
        <w:pStyle w:val="Para 048"/>
      </w:pPr>
      <w:r>
        <w:drawing>
          <wp:anchor distL="0" distR="0" distT="0" distB="0" simplePos="0" relativeHeight="1" behindDoc="0" locked="0" layoutInCell="1" allowOverlap="1">
            <wp:simplePos x="0" y="0"/>
            <wp:positionH relativeFrom="margin">
              <wp:align>center</wp:align>
            </wp:positionH>
            <wp:positionV relativeFrom="line">
              <wp:align>top</wp:align>
            </wp:positionV>
            <wp:extent cx="1778000" cy="0"/>
            <wp:effectExtent l="0" r="0" t="0" b="0"/>
            <wp:wrapTopAndBottom/>
            <wp:docPr id="18" name="line.png" descr="image"/>
            <wp:cNvGraphicFramePr>
              <a:graphicFrameLocks noChangeAspect="1"/>
            </wp:cNvGraphicFramePr>
            <a:graphic>
              <a:graphicData uri="http://schemas.openxmlformats.org/drawingml/2006/picture">
                <pic:pic>
                  <pic:nvPicPr>
                    <pic:cNvPr id="0" name="line.png" descr="image"/>
                    <pic:cNvPicPr/>
                  </pic:nvPicPr>
                  <pic:blipFill>
                    <a:blip r:embed="rId20"/>
                    <a:stretch>
                      <a:fillRect/>
                    </a:stretch>
                  </pic:blipFill>
                  <pic:spPr>
                    <a:xfrm>
                      <a:off x="0" y="0"/>
                      <a:ext cx="1778000" cy="0"/>
                    </a:xfrm>
                    <a:prstGeom prst="rect">
                      <a:avLst/>
                    </a:prstGeom>
                  </pic:spPr>
                </pic:pic>
              </a:graphicData>
            </a:graphic>
          </wp:anchor>
        </w:drawing>
      </w:r>
    </w:p>
    <w:p>
      <w:pPr>
        <w:pStyle w:val="Para 016"/>
      </w:pPr>
      <w:r>
        <w:t>Điều gì tạo nên những nhà lãnh đạo và công ty vĩ đại nhất? Mỗi người trong số họ vận hành từ một tập hợp giả định hơi khác nhau về thế giới, ngành của họ, điều gì có thể hoặc không thể làm được. Góc nhìn cá nhân đó cho phép họ tạo ra giá trị lớn và có tác động đáng kể. Tất cả họ đều vận hành với một mục đích lãnh đạo độc đáo. Để trở thành một nhà lãnh đạo thực sự hiệu quả, bạn phải làm điều tương tự. Hãy làm rõ mục đích của bạn và đưa nó vào hành động.</w:t>
      </w:r>
    </w:p>
    <w:p>
      <w:pPr>
        <w:pStyle w:val="Para 084"/>
      </w:pPr>
      <w:r>
        <w:t>Xuất bản lần đầu vào tháng 5 năm 2014. Tái bản R1405H</w:t>
      </w:r>
      <w:r>
        <w:rPr>
          <w:rStyle w:val="Text15"/>
        </w:rPr>
        <w:t xml:space="preserve"/>
      </w:r>
      <w:r>
        <w:rPr>
          <w:rStyle w:val="Text9"/>
        </w:rPr>
        <w:t/>
      </w:r>
    </w:p>
    <w:p>
      <w:pPr>
        <w:pStyle w:val="Para 012"/>
      </w:pPr>
      <w:r>
        <w:t xml:space="preserve"> </w:t>
      </w:r>
    </w:p>
    <w:p>
      <w:bookmarkStart w:id="277" w:name="Learning_to_Learn_by_Erika_Ander"/>
      <w:bookmarkStart w:id="278" w:name="Top_of_ch02_xhtml"/>
      <w:pPr>
        <w:pStyle w:val="Para 012"/>
        <w:pageBreakBefore w:val="on"/>
      </w:pPr>
      <w:r>
        <w:t xml:space="preserve"> </w:t>
      </w:r>
      <w:bookmarkEnd w:id="277"/>
      <w:bookmarkEnd w:id="278"/>
    </w:p>
    <w:p>
      <w:bookmarkStart w:id="279" w:name="Learning_to_Learn"/>
      <w:pPr>
        <w:pStyle w:val="Para 039"/>
      </w:pPr>
      <w:r>
        <w:bookmarkStart w:id="280" w:name="page_14"/>
        <w:t>Học cách học</w:t>
        <w:bookmarkEnd w:id="280"/>
        <w:bookmarkStart w:id="281" w:name="page_15"/>
        <w:t/>
        <w:bookmarkEnd w:id="281"/>
        <w:t/>
      </w:r>
      <w:bookmarkEnd w:id="279"/>
    </w:p>
    <w:p>
      <w:bookmarkStart w:id="282" w:name="by_Erika_Andersen"/>
      <w:pPr>
        <w:pStyle w:val="Para 040"/>
      </w:pPr>
      <w:r>
        <w:t>của Erika Andersen</w:t>
      </w:r>
      <w:bookmarkEnd w:id="282"/>
    </w:p>
    <w:p>
      <w:pPr>
        <w:pStyle w:val="Para 003"/>
      </w:pPr>
      <w:r>
        <w:rPr>
          <w:rStyle w:val="Text4"/>
        </w:rPr>
        <w:t>CÁC TỔ CHỨC NGÀY NAY LUÔN TRONG TRẠNG THÁI BIẾN ĐỘNG KHÔNG NGỪNG. Các ngành công nghiệp đang hợp nhất, các mô hình kinh doanh mới đang xuất hiện, các công nghệ mới đang được phát triển, và hành vi người tiêu dùng đang tiến hóa. Đối với các nhà điều hành, tốc độ thay đổi ngày càng tăng có thể đặc biệt khắt khe. Nó buộc họ phải hiểu và phản ứng nhanh với những dịch chuyển lớn trong cách các công ty vận hành và cách công việc phải được hoàn thành. Theo lời của Arie de Geus, một nhà lý thuyết kinh doanh: “Khả năng học nhanh hơn đối thủ cạnh tranh có thể là lợi thế cạnh tranh bền vững duy nhất.”</w:t>
      </w:r>
      <w:r>
        <w:t xml:space="preserve"/>
      </w:r>
    </w:p>
    <w:p>
      <w:pPr>
        <w:pStyle w:val="Para 003"/>
      </w:pPr>
      <w:r>
        <w:t>Tôi không nói về việc học thư giãn trên ghế bành hay thậm chí là học có cấu trúc trong lớp học. Tôi đang nói về việc chống lại thiên kiến chống lại việc làm điều mới, quét đường chân trời để tìm cơ hội phát triển, và thúc ép bản thân đạt được những năng lực hoàn toàn khác biệt—trong khi vẫn hoàn thành công việc hiện tại. Điều đó đòi hỏi sự sẵn sàng thử nghiệm và trở thành người mới hết lần này đến lần khác: một ý niệm cực kỳ khó chịu đối với hầu hết chúng ta.</w:t>
      </w:r>
    </w:p>
    <w:p>
      <w:pPr>
        <w:pStyle w:val="Para 003"/>
      </w:pPr>
      <w:r>
        <w:t>Tuy nhiên, qua nhiều thập kỷ huấn luyện và tư vấn cho hàng nghìn nhà điều hành trong nhiều ngành công nghiệp khác nhau, tôi và các đồng nghiệp đã gặp những người thành công với kiểu học tập này. Chúng tôi xác định được bốn phẩm chất mà họ có rất nhiều: khát vọng (aspiration), tự nhận thức (self-awareness), tò mò (curiosity) và sự dễ bị tổn thương (vulnerability). Họ thực sự muốn hiểu và làm chủ các kỹ năng mới; họ nhìn nhận bản thân rất rõ ràng; họ liên tục nghĩ ra và đặt những câu hỏi hay; và họ chấp nhận sai lầm của chính mình khi tiến lên trên đường cong học tập.</w:t>
      </w:r>
    </w:p>
    <w:p>
      <w:pPr>
        <w:pStyle w:val="Para 003"/>
      </w:pPr>
      <w:r>
        <w:bookmarkStart w:id="283" w:name="page_16"/>
        <w:t>Tất nhiên, những điều này đến với một số người tự nhiên hơn những người khác. Nhưng dựa trên nghiên cứu về tâm lý học và quản lý cũng như công việc của chúng tôi với khách hàng, chúng tôi đã xác định được một số công cụ tinh thần khá đơn giản mà bất kỳ ai cũng có thể phát triển để nâng cao cả bốn phẩm chất—kể cả những phẩm chất thường được coi là cố định (khát vọng, tò mò và sự dễ bị tổn thương).</w:t>
        <w:bookmarkEnd w:id="283"/>
        <w:t/>
      </w:r>
    </w:p>
    <w:p>
      <w:pPr>
        <w:pStyle w:val="Para 011"/>
      </w:pPr>
      <w:r>
        <w:t>Khát vọng</w:t>
      </w:r>
    </w:p>
    <w:p>
      <w:pPr>
        <w:pStyle w:val="Para 016"/>
      </w:pPr>
      <w:r>
        <w:t>Thật dễ để xem khát vọng là thứ hoặc có hoặc không: Bạn muốn học một kỹ năng mới hoặc không; bạn có tham vọng và động lực hoặc thiếu chúng. Nhưng những người học giỏi có thể nâng mức khát vọng của họ—và đó là điều then chốt, bởi vì ai cũng từng mắc lỗi đôi khi chống lại sự phát triển vốn rất quan trọng cho thành công.</w:t>
      </w:r>
    </w:p>
    <w:p>
      <w:pPr>
        <w:pStyle w:val="Para 003"/>
      </w:pPr>
      <w:r>
        <w:t>Hãy nghĩ về lần gần đây nhất công ty bạn áp dụng một cách tiếp cận mới—đại tu hệ thống báo cáo, thay thế nền tảng CRM, cải tổ chuỗi cung ứng. Bạn có háo hức tham gia không? Tôi nghi ngờ điều đó. Phản ứng ban đầu của bạn có lẽ là biện minh cho việc không học. (Sẽ mất quá nhiều thời gian. Cách cũ vẫn ổn với tôi. Tôi cá đó chỉ là trào lưu nhất thời.) Khi đối mặt với việc học mới, đây thường là rào cản đầu tiên của chúng ta: Chúng ta tập trung vào mặt tiêu cực và vô thức củng cố sự thiếu khát vọng của mình.</w:t>
      </w:r>
      <w:r>
        <w:rPr>
          <w:rStyle w:val="Text0"/>
        </w:rPr>
        <w:t/>
      </w:r>
      <w:r>
        <w:t/>
      </w:r>
    </w:p>
    <w:p>
      <w:pPr>
        <w:pStyle w:val="Para 003"/>
      </w:pPr>
      <w:r>
        <w:t xml:space="preserve">Khi chúng ta thực sự muốn học điều gì đó, chúng ta tập trung vào mặt tích cực—những gì chúng ta sẽ đạt được từ việc học nó—và hình dung một tương lai hạnh phúc trong đó chúng ta đang gặt hái những phần thưởng đó. Điều đó thúc đẩy chúng ta hành động. Các nhà nghiên cứu phát hiện ra rằng chuyển sự tập trung của bạn từ thách thức sang lợi ích là một cách tốt để tăng khát vọng làm những việc ban đầu có vẻ kém hấp dẫn. Ví dụ, khi Nicole Detling, một nhà tâm lý học tại Đại học Utah, khuyến khích các vận động viên nhào lộn trên không và trượt băng tốc độ hình dung bản thân được hưởng lợi từ một kỹ năng cụ thể, họ có động lực luyện tập nó hơn nhiều.</w:t>
      </w:r>
      <w:r>
        <w:rPr>
          <w:rStyle w:val="Text0"/>
        </w:rPr>
        <w:t/>
      </w:r>
      <w:r>
        <w:t xml:space="preserve"/>
      </w:r>
    </w:p>
    <w:p>
      <w:pPr>
        <w:pStyle w:val="Para 003"/>
      </w:pPr>
      <w:r>
        <w:t>Vài năm trước, tôi huấn luyện một giám đốc tiếp thị (CMO) còn do dự trong việc học về dữ liệu lớn (big data). Mặc dù hầu hết các đồng nghiệp của anh ấy đã trở thành người tin dùng, anh ấy tự thuyết phục mình rằng anh ấy không có thời gian để tìm hiểu nó và nó sẽ không quá quan trọng đối với ngành của anh ấy. Cuối cùng tôi nhận ra đây là một vấn đề về khát vọng và khuyến khích anh ấy nghĩ về những cách mà việc bắt kịp tốc độ với tiếp thị dựa trên dữ liệu có thể giúp ích cho cá nhân anh ấy. Anh ấy thừa nhận rằng sẽ hữu ích nếu biết thêm về cách các phân khúc khác nhau trong tệp khách hàng của anh ấy phản ứng với quảng cáo trực tuyến và các chiến dịch tiếp thị tại cửa hàng của nhóm anh ấy. Sau đó tôi mời anh ấy tưởng tượng tình huống anh ấy sẽ ở trong đó một năm sau nếu anh ấy có được dữ liệu đó. Anh ấy bắt đầu thể hiện sự hào hứng, nói rằng: “Chúng tôi sẽ thử nghiệm các cách tiếp cận khác nhau cùng lúc, cả tại cửa hàng lẫn trực tuyến; chúng tôi sẽ có thông tin tốt, chắc chắn về cách nào hiệu quả và hiệu quả với ai; và chúng tôi có thể tiết kiệm rất nhiều thời gian và tiền bạc bằng cách loại bỏ nhanh hơn các cách tiếp cận kém hiệu quả.” Tôi gần như có thể cảm nhận được khát vọng của anh ấy đang tăng lên. Trong vòng vài tháng, anh ấy đã thuê một chuyên gia phân tích dữ liệu, cố tình học hỏi từ cô ấy hàng ngày, và bắt đầu suy nghĩ lại các chiến dịch quan trọng dưới góc nhìn và kỹ năng mới của mình.</w:t>
      </w:r>
    </w:p>
    <w:p>
      <w:pPr>
        <w:pStyle w:val="Para 034"/>
      </w:pPr>
      <w:r>
        <w:t>Ý tưởng tóm tắt</w:t>
      </w:r>
    </w:p>
    <w:p>
      <w:pPr>
        <w:pStyle w:val="Para 019"/>
      </w:pPr>
      <w:r>
        <w:bookmarkStart w:id="284" w:name="page_17"/>
        <w:t>Tốc độ thay đổi ngày càng tăng trong các tổ chức ngày nay đòi hỏi các nhà điều hành phải hiểu và sau đó phản ứng nhanh với những dịch chuyển liên tục trong cách doanh nghiệp của họ vận hành và cách công việc phải được hoàn thành. Điều đó có nghĩa là bạn phải chống lại những thiên kiến bẩm sinh chống lại việc làm điều mới theo cách mới, quét đường chân trời để tìm cơ hội phát triển, và thúc ép bản thân đạt được những năng lực khác biệt rõ rệt—trong khi vẫn làm công việc hiện tại. Để thành công, bạn phải sẵn sàng thử nghiệm và trở thành người mới hết lần này đến lần khác, điều mà đối với hầu hết chúng ta là một đề xuất cực kỳ khó chịu.</w:t>
        <w:bookmarkEnd w:id="284"/>
        <w:t/>
      </w:r>
    </w:p>
    <w:p>
      <w:pPr>
        <w:pStyle w:val="Para 019"/>
      </w:pPr>
      <w:r>
        <w:t>Qua nhiều thập kỷ làm việc với các nhà quản lý, tác giả nhận thấy những người thực sự thành công với kiểu học tập này có bốn phẩm chất được phát triển tốt: khát vọng, tự nhận thức, tò mò và sự dễ bị tổn thương. Họ có mong muốn sâu sắc được hiểu và làm chủ các kỹ năng mới; họ nhìn nhận bản thân rất rõ ràng; họ liên tục nghĩ ra và đặt những câu hỏi hay; và họ chấp nhận sai lầm của chính mình khi tiến lên trên đường cong. Andersen đã xác định được một số chiến lược tinh thần khá đơn giản mà bất kỳ ai cũng có thể dùng để nâng cao những phẩm chất này.</w:t>
      </w:r>
    </w:p>
    <w:p>
      <w:pPr>
        <w:pStyle w:val="Para 011"/>
      </w:pPr>
      <w:r>
        <w:bookmarkStart w:id="285" w:name="page_18"/>
        <w:t>Tự nhận thức</w:t>
        <w:bookmarkEnd w:id="285"/>
        <w:t/>
      </w:r>
    </w:p>
    <w:p>
      <w:pPr>
        <w:pStyle w:val="Para 016"/>
      </w:pPr>
      <w:r>
        <w:t>Trong khoảng hơn một thập kỷ qua, hầu hết các nhà lãnh đạo đã trở nên quen thuộc với khái niệm tự nhận thức. Họ hiểu rằng họ cần chủ động xin phản hồi và nhận ra cách người khác nhìn nhận họ. Nhưng khi nói đến nhu cầu học tập, những đánh giá của chúng ta về bản thân—điều chúng ta biết và không biết, kỹ năng chúng ta có và không có—vẫn có thể sai lệch một cách đáng buồn. Trong một nghiên cứu do David Dunning, một nhà tâm lý học tại Đại học Cornell, thực hiện, 94% giáo sư đại học cho biết họ đang làm “công việc trên mức trung bình”. Rõ ràng, gần một nửa đã sai—nhiều người sai rất nhiều—và sự tự lừa dối của họ chắc chắn làm giảm bất kỳ sự khao khát phát triển nào. Chỉ 6% người trả lời thấy bản thân có nhiều điều phải học để trở thành một giáo viên hiệu quả.</w:t>
      </w:r>
    </w:p>
    <w:p>
      <w:pPr>
        <w:pStyle w:val="Para 003"/>
      </w:pPr>
      <w:r>
        <w:t>Trong công việc của mình, tôi nhận thấy những người đánh giá bản thân chính xác nhất bắt đầu quá trình từ bên trong đầu họ: Họ chấp nhận rằng góc nhìn của họ thường thiên vị hoặc có sai sót và sau đó phấn đấu để có tính khách quan cao hơn, điều này khiến họ cởi mở hơn nhiều với việc lắng nghe và hành động theo ý kiến của người khác. Mẹo là hãy chú ý đến cách bạn nói chuyện với chính mình về bản thân và sau đó đặt câu hỏi về tính xác thực của “lời tự thoại (self-talk)” đó.</w:t>
      </w:r>
    </w:p>
    <w:p>
      <w:pPr>
        <w:pStyle w:val="Para 003"/>
      </w:pPr>
      <w:r>
        <w:t xml:space="preserve">Giả sử sếp của bạn nói với bạn rằng nhóm của bạn chưa đủ mạnh và bạn cần cải thiện khả năng đánh giá và phát triển nhân tài. Phản ứng ban đầu của bạn có thể là kiểu như Cái gì? Cô ấy sai rồi. Nhóm của tôi mạnh mà. Hầu hết chúng ta phản ứng phòng thủ trước kiểu chỉ trích đó. Nhưng ngay khi bạn nhận ra mình đang nghĩ gì, hãy tự hỏi: Điều đó có chính xác không? Tôi có sự thật nào để ủng hộ nó? Trong quá trình suy ngẫm, bạn có thể phát hiện ra rằng bạn sai và sếp bạn đúng, hoặc sự thật nằm ở đâu đó giữa hai điều đó—bạn che chắn cho một số nhân viên của mình bằng cách tự làm mọi việc, và một trong số họ không nhất quán trong việc đáp ứng thời hạn; tuy nhiên, hai người khác là những ngôi sao. Tiếng nói bên trong của bạn hữu ích nhất khi nó báo cáo các sự kiện của một tình huống theo cách cân bằng như vậy. Nó nên đóng vai trò như một “nhân chứng công bằng (fair witness)” để bạn cởi mở nhìn thấy những lĩnh vực mà bạn có thể cải thiện và cách để làm điều đó.</w:t>
      </w:r>
      <w:r>
        <w:rPr>
          <w:rStyle w:val="Text0"/>
        </w:rPr>
        <w:t/>
      </w:r>
      <w:r>
        <w:t xml:space="preserve"/>
      </w:r>
      <w:r>
        <w:rPr>
          <w:rStyle w:val="Text0"/>
        </w:rPr>
        <w:t/>
      </w:r>
      <w:r>
        <w:t xml:space="preserve"/>
      </w:r>
    </w:p>
    <w:p>
      <w:pPr>
        <w:pStyle w:val="Para 003"/>
      </w:pPr>
      <w:r>
        <w:t>Một CEO mà tôi biết tin chắc rằng ông ấy là một nhà quản lý và lãnh đạo tuyệt vời. Ông ấy thực sự có kiến thức ngành to lớn và trực giác tuyệt vời về việc phát triển doanh nghiệp của mình, và hội đồng quản trị của ông ấy thừa nhận những điểm mạnh đó. Nhưng ông ấy chỉ lắng nghe những người khẳng định quan điểm của ông ấy về bản thân và bỏ qua những ý kiến về điểm yếu; nhóm của ông ấy không cảm thấy được gắn kết hay được truyền cảm hứng. Khi cuối cùng ông ấy bắt đầu đặt câu hỏi về các giả định của mình (Có phải mọi người trong nhóm tôi đều tập trung và năng suất không? Nếu không, có điều gì tôi có thể làm khác đi không?), ông ấy trở nên nhận thức rõ hơn nhiều về nhu cầu phát triển của mình và cởi mở với phản hồi. Ông ấy nhận ra rằng chỉ có hiểu biết chiến lược thôi là chưa đủ; ông ấy phải chia sẻ chúng với nhân viên của mình và mời thảo luận, rồi đặt ra các ưu tiên rõ ràng—được hỗ trợ bởi các mục tiêu hàng quý cho nhóm và cá nhân, kiểm tra tiến độ thường xuyên và các buổi giải quyết vấn đề.</w:t>
      </w:r>
      <w:r>
        <w:rPr>
          <w:rStyle w:val="Text0"/>
        </w:rPr>
        <w:t/>
      </w:r>
      <w:r>
        <w:t/>
      </w:r>
    </w:p>
    <w:p>
      <w:pPr>
        <w:pStyle w:val="Para 057"/>
      </w:pPr>
      <w:r>
        <w:bookmarkStart w:id="286" w:name="page_19"/>
        <w:t>Thay đổi câu chuyện bên trong của bạn</w:t>
        <w:bookmarkEnd w:id="286"/>
        <w:t/>
      </w:r>
    </w:p>
    <w:tbl>
      <w:tblPr>
        <w:tblW w:type="pct" w:w="5000"/>
      </w:tblPr>
      <w:tr>
        <w:tc>
          <w:tcPr>
            <w:tcW w:type="pct" w:w="2000"/>
            <w:tcBorders>
              <w:top w:val="single" w:sz="2" w:color="auto"/>
              <w:bottom w:val="single" w:sz="2" w:color="auto"/>
            </w:tcBorders>
            <w:tcMar>
              <w:left w:type="dxa" w:w="100"/>
              <w:top w:type="dxa" w:w="180"/>
              <w:bottom w:type="dxa" w:w="180"/>
            </w:tcMar>
            <w:vAlign w:val="top"/>
          </w:tcPr>
          <w:p>
            <w:pPr>
              <w:pStyle w:val="Para 056"/>
            </w:pPr>
            <w:r>
              <w:t xml:space="preserve">Lời tự thoại không hỗ trợ</w:t>
              <w:br w:clear="none"/>
            </w:r>
          </w:p>
        </w:tc>
        <w:tc>
          <w:tcPr>
            <w:tcW w:type="auto" w:w="0"/>
            <w:tcBorders>
              <w:top w:val="single" w:sz="2" w:color="auto"/>
              <w:bottom w:val="single" w:sz="2" w:color="auto"/>
            </w:tcBorders>
            <w:tcMar>
              <w:left w:type="dxa" w:w="100"/>
              <w:top w:type="dxa" w:w="180"/>
              <w:bottom w:type="dxa" w:w="180"/>
            </w:tcMar>
            <w:vAlign w:val="top"/>
          </w:tcPr>
          <w:p>
            <w:pPr>
              <w:pStyle w:val="Para 056"/>
            </w:pPr>
            <w:r>
              <w:t xml:space="preserve">Lời tự thoại hỗ trợ</w:t>
              <w:br w:clear="none"/>
            </w:r>
          </w:p>
        </w:tc>
      </w:tr>
      <w:tr>
        <w:tc>
          <w:tcPr>
            <w:tcW w:type="auto" w:w="0"/>
            <w:tcBorders>
              <w:top w:val="single" w:sz="2" w:color="auto"/>
            </w:tcBorders>
            <w:tcMar>
              <w:left w:type="dxa" w:w="100"/>
              <w:top w:type="dxa" w:w="180"/>
              <w:bottom w:type="dxa" w:w="180"/>
            </w:tcMar>
            <w:vAlign w:val="top"/>
          </w:tcPr>
          <w:p>
            <w:pPr>
              <w:pStyle w:val="Para 006"/>
            </w:pPr>
            <w:r>
              <w:t xml:space="preserve">Tôi không cần học điều này.</w:t>
              <w:br w:clear="none"/>
            </w:r>
          </w:p>
        </w:tc>
        <w:tc>
          <w:tcPr>
            <w:tcW w:type="auto" w:w="0"/>
            <w:tcBorders>
              <w:top w:val="single" w:sz="2" w:color="auto"/>
            </w:tcBorders>
            <w:tcMar>
              <w:left w:type="dxa" w:w="100"/>
              <w:top w:type="dxa" w:w="180"/>
              <w:bottom w:type="dxa" w:w="180"/>
            </w:tcMar>
            <w:vAlign w:val="top"/>
          </w:tcPr>
          <w:p>
            <w:pPr>
              <w:pStyle w:val="Para 006"/>
            </w:pPr>
            <w:r>
              <w:t xml:space="preserve">Tương lai của tôi sẽ ra sao nếu tôi làm điều đó?</w:t>
              <w:br w:clear="none"/>
            </w:r>
          </w:p>
        </w:tc>
      </w:tr>
      <w:tr>
        <w:tc>
          <w:tcPr>
            <w:tcW w:type="auto" w:w="0"/>
            <w:tcMar>
              <w:left w:type="dxa" w:w="100"/>
              <w:top w:type="dxa" w:w="180"/>
              <w:bottom w:type="dxa" w:w="180"/>
            </w:tcMar>
            <w:vAlign w:val="top"/>
          </w:tcPr>
          <w:p>
            <w:pPr>
              <w:pStyle w:val="Para 006"/>
            </w:pPr>
            <w:r>
              <w:t xml:space="preserve">Tôi vốn đã giỏi việc này rồi.</w:t>
              <w:br w:clear="none"/>
            </w:r>
          </w:p>
        </w:tc>
        <w:tc>
          <w:tcPr>
            <w:tcW w:type="auto" w:w="0"/>
            <w:tcMar>
              <w:left w:type="dxa" w:w="100"/>
              <w:top w:type="dxa" w:w="180"/>
              <w:bottom w:type="dxa" w:w="180"/>
            </w:tcMar>
            <w:vAlign w:val="top"/>
          </w:tcPr>
          <w:p>
            <w:pPr>
              <w:pStyle w:val="Para 006"/>
            </w:pPr>
            <w:r>
              <w:t xml:space="preserve">Thật vậy sao? Tôi so với đồng nghiệp thì thế nào?</w:t>
              <w:br w:clear="none"/>
            </w:r>
          </w:p>
        </w:tc>
      </w:tr>
      <w:tr>
        <w:tc>
          <w:tcPr>
            <w:tcW w:type="auto" w:w="0"/>
            <w:tcMar>
              <w:left w:type="dxa" w:w="100"/>
              <w:top w:type="dxa" w:w="180"/>
              <w:bottom w:type="dxa" w:w="180"/>
            </w:tcMar>
            <w:vAlign w:val="top"/>
          </w:tcPr>
          <w:p>
            <w:pPr>
              <w:pStyle w:val="Para 006"/>
            </w:pPr>
            <w:r>
              <w:t xml:space="preserve">Chán quá đi mất.</w:t>
              <w:br w:clear="none"/>
            </w:r>
          </w:p>
        </w:tc>
        <w:tc>
          <w:tcPr>
            <w:tcW w:type="auto" w:w="0"/>
            <w:tcMar>
              <w:left w:type="dxa" w:w="100"/>
              <w:top w:type="dxa" w:w="180"/>
              <w:bottom w:type="dxa" w:w="180"/>
            </w:tcMar>
            <w:vAlign w:val="top"/>
          </w:tcPr>
          <w:p>
            <w:pPr>
              <w:pStyle w:val="Para 006"/>
            </w:pPr>
            <w:r>
              <w:t xml:space="preserve">Không hiểu sao người khác lại thấy nó thú vị nhỉ.</w:t>
              <w:br w:clear="none"/>
            </w:r>
          </w:p>
        </w:tc>
      </w:tr>
      <w:tr>
        <w:tc>
          <w:tcPr>
            <w:tcW w:type="auto" w:w="0"/>
            <w:tcMar>
              <w:left w:type="dxa" w:w="100"/>
              <w:top w:type="dxa" w:w="180"/>
              <w:bottom w:type="dxa" w:w="180"/>
            </w:tcMar>
            <w:vAlign w:val="top"/>
          </w:tcPr>
          <w:p>
            <w:pPr>
              <w:pStyle w:val="Para 006"/>
            </w:pPr>
            <w:r>
              <w:t xml:space="preserve">Tôi dở tệ việc này.</w:t>
              <w:br w:clear="none"/>
            </w:r>
          </w:p>
        </w:tc>
        <w:tc>
          <w:tcPr>
            <w:tcW w:type="auto" w:w="0"/>
            <w:tcMar>
              <w:left w:type="dxa" w:w="100"/>
              <w:top w:type="dxa" w:w="180"/>
              <w:bottom w:type="dxa" w:w="180"/>
            </w:tcMar>
            <w:vAlign w:val="top"/>
          </w:tcPr>
          <w:p>
            <w:pPr>
              <w:pStyle w:val="Para 006"/>
            </w:pPr>
            <w:r>
              <w:t xml:space="preserve">Tôi đang mắc những lỗi của người mới bắt đầu, nhưng tôi sẽ tiến bộ hơn.</w:t>
              <w:br w:clear="none"/>
            </w:r>
          </w:p>
        </w:tc>
      </w:tr>
    </w:tbl>
    <w:p>
      <w:pPr>
        <w:pStyle w:val="Para 011"/>
      </w:pPr>
      <w:r>
        <w:t>Sự tò mò (Curiosity)</w:t>
      </w:r>
    </w:p>
    <w:p>
      <w:pPr>
        <w:pStyle w:val="Para 016"/>
      </w:pPr>
      <w:r>
        <w:t xml:space="preserve">Trẻ con không ngừng thôi thúc học hỏi và làm chủ mọi thứ. Như John Medina viết trong Brain Rules, “Nhu cầu được giải thích này được khâu chặt vào trải nghiệm của chúng mạnh đến mức một số nhà khoa học mô tả nó như một động lực bản năng (drive), giống như đói, khát và tình dục vậy.” Sự tò mò là thứ khiến ta thử làm điều gì đó cho đến khi làm được, hoặc nghĩ về điều gì đó cho đến khi hiểu được. Những người học giỏi giữ lại động lực trẻ thơ này, hoặc lấy lại nó qua một cách áp dụng khác của việc tự trò chuyện với bản thân (self-talk). Thay vì tập trung vào và củng cố sự không hứng thú ban đầu với một chủ đề mới, họ học cách tự đặt ra những “câu hỏi tò mò” về chủ đề đó và biến những câu hỏi ấy thành hành động. Carol Sansone, một nhà nghiên cứu tâm lý học, chẳng hạn, đã phát hiện rằng mọi người có thể tăng mức sẵn sàng xử lý những nhiệm vụ bắt buộc bằng cách nghĩ về cách họ có thể làm công việc đó khác đi để khiến nó thú vị hơn. Nói cách khác, họ chuyển lời tự trò chuyện từ Chán quá đi mất thành Tự hỏi liệu mình có thể … ?</w:t>
      </w:r>
      <w:r>
        <w:rPr>
          <w:rStyle w:val="Text0"/>
        </w:rPr>
        <w:t/>
      </w:r>
      <w:r>
        <w:t xml:space="preserve"/>
        <w:bookmarkStart w:id="287" w:name="page_20"/>
        <w:t/>
        <w:bookmarkEnd w:id="287"/>
        <w:t xml:space="preserve"/>
      </w:r>
      <w:r>
        <w:rPr>
          <w:rStyle w:val="Text0"/>
        </w:rPr>
        <w:t/>
      </w:r>
      <w:r>
        <w:t xml:space="preserve"/>
      </w:r>
      <w:r>
        <w:rPr>
          <w:rStyle w:val="Text0"/>
        </w:rPr>
        <w:t xml:space="preserve"/>
      </w:r>
      <w:r>
        <w:t/>
      </w:r>
      <w:r>
        <w:rPr>
          <w:rStyle w:val="Text0"/>
        </w:rPr>
        <w:t xml:space="preserve"/>
      </w:r>
    </w:p>
    <w:p>
      <w:pPr>
        <w:pStyle w:val="Para 003"/>
      </w:pPr>
      <w:r>
        <w:t>Bạn có thể áp dụng cùng chiến lược đó trong đời sống công việc của mình bằng cách chú ý đến ngôn ngữ bạn dùng khi nghĩ về những thứ vốn đã khiến bạn hứng thú—Làm thế nào … ? Tại sao … ? Tự hỏi … ?—và vận dụng nó khi bạn cần trở nên tò mò. Rồi chỉ cần bước một bước để trả lời một câu hỏi bạn đã tự đặt ra: Đọc một bài báo, hỏi một chuyên gia, tìm một người thầy, tham gia một nhóm—bất cứ điều gì thấy dễ nhất.</w:t>
      </w:r>
      <w:r>
        <w:rPr>
          <w:rStyle w:val="Text0"/>
        </w:rPr>
        <w:t/>
      </w:r>
      <w:r>
        <w:t/>
      </w:r>
    </w:p>
    <w:p>
      <w:pPr>
        <w:pStyle w:val="Para 003"/>
      </w:pPr>
      <w:r>
        <w:t>Gần đây tôi làm việc với một luật sư doanh nghiệp được công ty đề nghị một vị trí lớn hơn đòi hỏi kiến thức về luật lao động—một lĩnh vực cô coi là “khía cạnh nhàm chán nhất của nghề luật.” Thay vì cố thuyết phục cô nghĩ khác, tôi hỏi cô tò mò về điều gì và vì sao. “Nhảy swing,” cô nói. “Tôi bị mê hoặc bởi lịch sử của nó. Tôi tự hỏi nó đã phát triển thế nào, và liệu nó có phải là phản ứng với cuộc Đại suy thoái không—nó là một loại hình nghệ thuật vui vẻ đến thế. Tôi xem những vũ công giỏi và nghĩ về lý do họ làm những động tác nhất định.”</w:t>
      </w:r>
    </w:p>
    <w:p>
      <w:pPr>
        <w:pStyle w:val="Para 003"/>
      </w:pPr>
      <w:r>
        <w:t>Tôi giải thích rằng “ngôn ngữ tò mò” của cô có thể áp dụng vào luật lao động. “Tôi tự hỏi làm sao có ai thấy nó thú vị nhỉ?” cô nói đùa. Tôi bảo cô rằng đó thực ra là một điểm khởi đầu ổn. Cô bắt đầu nghĩ to về những câu trả lời khả dĩ (“Có lẽ một số luật sư xem nó như một cách để bảo vệ cả nhân viên lẫn công ty của họ …”) rồi đề xuất thêm vài câu hỏi tò mò khác (“Biết thêm về điều này có thể giúp tôi trở thành một luật sư giỏi hơn như thế nào?”).</w:t>
      </w:r>
    </w:p>
    <w:p>
      <w:pPr>
        <w:pStyle w:val="Para 003"/>
      </w:pPr>
      <w:r>
        <w:t>Chẳng bao lâu sau, cô đã đủ hứng thú để kết nối với một đồng nghiệp giàu kinh nghiệm về luật lao động. Cô hỏi anh ta điều gì khiến anh thấy lĩnh vực này thú vị và anh đã tích lũy kiến thức bằng cách nào, và câu trả lời của anh lại gợi ra những câu hỏi khác. Trong những tháng tiếp theo, cô đã học được những gì cần biết cho khía cạnh đó của vai trò mới.</w:t>
      </w:r>
    </w:p>
    <w:p>
      <w:pPr>
        <w:pStyle w:val="Para 003"/>
      </w:pPr>
      <w:r>
        <w:t>Lần tới khi bạn được yêu cầu học điều gì đó ở công sở, hoặc cảm thấy mình nên học vì đồng nghiệp đang làm vậy, hãy khuyến khích bản thân đặt ra và trả lời vài câu hỏi tò mò về nó—Vì sao người khác lại hào hứng với điều này đến thế? Điều này có thể giúp công việc của tôi dễ dàng hơn như thế nào?—rồi tìm kiếm câu trả lời. Bạn chỉ cần tìm ra một điều duy nhất về một chủ đề “nhàm chán” có thể khơi dậy sự tò mò của bạn.</w:t>
      </w:r>
      <w:r>
        <w:rPr>
          <w:rStyle w:val="Text0"/>
        </w:rPr>
        <w:t xml:space="preserve"/>
        <w:bookmarkStart w:id="288" w:name="page_21"/>
        <w:t/>
        <w:bookmarkEnd w:id="288"/>
        <w:t/>
      </w:r>
      <w:r>
        <w:t/>
      </w:r>
    </w:p>
    <w:p>
      <w:pPr>
        <w:pStyle w:val="Para 011"/>
      </w:pPr>
      <w:r>
        <w:t>Sự dễ bị tổn thương (Vulnerability)</w:t>
      </w:r>
    </w:p>
    <w:p>
      <w:pPr>
        <w:pStyle w:val="Para 016"/>
      </w:pPr>
      <w:r>
        <w:t xml:space="preserve">Một khi đã giỏi hoặc thậm chí xuất sắc ở một số việc, chúng ta hiếm khi muốn quay lại trạng thái không giỏi ở những việc khác. Đúng là giờ đây chúng ta được dạy phải đón nhận thử nghiệm và “thất bại nhanh” (fast failure) trong công việc. Nhưng chúng ta cũng được dạy phải phát huy điểm mạnh của mình. Vậy nên ý nghĩ phải kém cỏi ở một việc gì đó trong nhiều tuần hoặc nhiều tháng; cảm thấy vụng về và chậm chạp; phải hỏi những câu “ngớ ngẩn”, “tôi không biết bạn đang nói gì”; và cần được hướng dẫn từng bước hết lần này đến lần khác là cực kỳ đáng sợ. Những người học giỏi cho phép bản thân đủ dễ bị tổn thương để chấp nhận trạng thái người mới bắt đầu đó. Thực tế, họ trở nên khá thoải mái trong trạng thái ấy—bằng cách quản lý lời tự trò chuyện của mình.</w:t>
      </w:r>
      <w:r>
        <w:rPr>
          <w:rStyle w:val="Text0"/>
        </w:rPr>
        <w:t/>
      </w:r>
      <w:r>
        <w:t xml:space="preserve"/>
      </w:r>
    </w:p>
    <w:p>
      <w:pPr>
        <w:pStyle w:val="Para 003"/>
      </w:pPr>
      <w:r>
        <w:t xml:space="preserve">Thông thường, khi thử điều gì đó mới và làm không tốt, chúng ta nghĩ những suy nghĩ kinh khủng: Tôi ghét việc này. Tôi đúng là đồ ngốc. Tôi sẽ chẳng bao giờ làm đúng được. Bực bội quá đi! Đám nhiễu đó trong não chúng ta để lại rất ít băng thông cho việc học. Tư duy lý tưởng cho người mới bắt đầu vừa dễ bị tổn thương vừa cân bằng: Ban đầu tôi sẽ kém việc này, vì tôi chưa từng làm nó bao giờ. VÀ tôi biết mình có thể học để làm được theo thời gian. Thực tế, các nhà nghiên cứu Robert Wood và Albert Bandura đã phát hiện vào cuối những năm 1980 rằng khi mọi người được khuyến khích kỳ vọng sẽ mắc sai lầm và học hỏi từ chúng sớm trong quá trình tiếp thu kỹ năng mới, kết quả là “sự hứng thú, kiên trì và hiệu suất tốt hơn.”</w:t>
      </w:r>
      <w:r>
        <w:rPr>
          <w:rStyle w:val="Text0"/>
        </w:rPr>
        <w:t/>
      </w:r>
      <w:r>
        <w:t xml:space="preserve"/>
      </w:r>
      <w:r>
        <w:rPr>
          <w:rStyle w:val="Text0"/>
        </w:rPr>
        <w:t/>
      </w:r>
      <w:r>
        <w:t xml:space="preserve"/>
      </w:r>
    </w:p>
    <w:p>
      <w:pPr>
        <w:pStyle w:val="Para 003"/>
      </w:pPr>
      <w:r>
        <w:t xml:space="preserve">Tôi biết một giám đốc bán hàng cấp cao người Mỹ gần đây được chọn để điều hành khu vực châu Á - Thái Bình Dương cho công ty của anh. Anh gặp khó khăn trong việc thích nghi với cuộc sống ở nước ngoài và làm việc với đồng nghiệp từ các nền văn hóa khác, và anh phản ứng bằng cách dựa vào chuyên môn bán hàng của mình thay vì thừa nhận vị thế người mới bắt đầu trong môi trường mới. Tôi đã giúp anh nhận ra sự kháng cự của mình với việc trở thành một người mới về văn hóa, và anh đã có thể chuyển lời tự trò chuyện từ Khó chịu quá—tôi sẽ chỉ tập trung vào những gì mình đã biết thành Tôi có rất nhiều điều phải học về các nền văn hóa châu Á. Tôi là người học nhanh, nên tôi sẽ nắm bắt được thôi. Anh nói với tôi rằng đó là một sự nhẹ nhõm ngay lập tức: Chỉ cần thừa nhận vị thế người mới của mình cũng khiến anh cảm thấy bớt ngớ ngẩn và thư giãn hơn. Anh bắt đầu đặt những câu hỏi cần thiết, và chẳng bao lâu sau anh được xem là cởi mở, quan tâm và bắt đầu hiểu môi trường mới của mình.</w:t>
      </w:r>
      <w:r>
        <w:rPr>
          <w:rStyle w:val="Text0"/>
        </w:rPr>
        <w:t/>
      </w:r>
      <w:r>
        <w:t xml:space="preserve"/>
      </w:r>
      <w:r>
        <w:rPr>
          <w:rStyle w:val="Text0"/>
        </w:rPr>
        <w:t xml:space="preserve"/>
        <w:bookmarkStart w:id="289" w:name="page_22"/>
        <w:t/>
        <w:bookmarkEnd w:id="289"/>
        <w:t/>
      </w:r>
      <w:r>
        <w:t xml:space="preserve"/>
      </w:r>
    </w:p>
    <w:p>
      <w:pPr>
        <w:pStyle w:val="Para 048"/>
      </w:pPr>
      <w:r>
        <w:drawing>
          <wp:anchor distL="0" distR="0" distT="0" distB="0" simplePos="0" relativeHeight="1" behindDoc="0" locked="0" layoutInCell="1" allowOverlap="1">
            <wp:simplePos x="0" y="0"/>
            <wp:positionH relativeFrom="margin">
              <wp:align>center</wp:align>
            </wp:positionH>
            <wp:positionV relativeFrom="line">
              <wp:align>top</wp:align>
            </wp:positionV>
            <wp:extent cx="1778000" cy="0"/>
            <wp:effectExtent l="0" r="0" t="0" b="0"/>
            <wp:wrapTopAndBottom/>
            <wp:docPr id="19" name="line.png" descr="image"/>
            <wp:cNvGraphicFramePr>
              <a:graphicFrameLocks noChangeAspect="1"/>
            </wp:cNvGraphicFramePr>
            <a:graphic>
              <a:graphicData uri="http://schemas.openxmlformats.org/drawingml/2006/picture">
                <pic:pic>
                  <pic:nvPicPr>
                    <pic:cNvPr id="0" name="line.png" descr="image"/>
                    <pic:cNvPicPr/>
                  </pic:nvPicPr>
                  <pic:blipFill>
                    <a:blip r:embed="rId20"/>
                    <a:stretch>
                      <a:fillRect/>
                    </a:stretch>
                  </pic:blipFill>
                  <pic:spPr>
                    <a:xfrm>
                      <a:off x="0" y="0"/>
                      <a:ext cx="1778000" cy="0"/>
                    </a:xfrm>
                    <a:prstGeom prst="rect">
                      <a:avLst/>
                    </a:prstGeom>
                  </pic:spPr>
                </pic:pic>
              </a:graphicData>
            </a:graphic>
          </wp:anchor>
        </w:drawing>
      </w:r>
    </w:p>
    <w:p>
      <w:pPr>
        <w:pStyle w:val="Para 016"/>
      </w:pPr>
      <w:r>
        <w:t>Khả năng tiếp thu kỹ năng và kiến thức mới một cách nhanh chóng và liên tục là yếu tố sống còn để thành công trong một thế giới thay đổi chóng mặt. Nếu hiện tại bạn chưa có khát vọng, sự tự nhận thức, sự tò mò và sự dễ bị tổn thương để trở thành một người học hiệu quả, những công cụ đơn giản này có thể giúp bạn đạt được điều đó.</w:t>
      </w:r>
    </w:p>
    <w:p>
      <w:pPr>
        <w:pStyle w:val="Para 125"/>
      </w:pPr>
      <w:r>
        <w:t>Xuất bản lần đầu vào tháng 3 năm 2016. Tái bản R1603J</w:t>
      </w:r>
      <w:r>
        <w:rPr>
          <w:rStyle w:val="Text2"/>
        </w:rPr>
        <w:t xml:space="preserve"/>
      </w:r>
      <w:r>
        <w:rPr>
          <w:rStyle w:val="Text9"/>
        </w:rPr>
        <w:t/>
      </w:r>
    </w:p>
    <w:p>
      <w:pPr>
        <w:pStyle w:val="Para 012"/>
      </w:pPr>
      <w:r>
        <w:t xml:space="preserve"> </w:t>
      </w:r>
    </w:p>
    <w:p>
      <w:bookmarkStart w:id="290" w:name="Making_Yourself_Indispensable_by"/>
      <w:bookmarkStart w:id="291" w:name="Top_of_ch03_xhtml"/>
      <w:pPr>
        <w:pStyle w:val="Para 012"/>
        <w:pageBreakBefore w:val="on"/>
      </w:pPr>
      <w:r>
        <w:t xml:space="preserve"> </w:t>
      </w:r>
      <w:bookmarkEnd w:id="290"/>
      <w:bookmarkEnd w:id="291"/>
    </w:p>
    <w:p>
      <w:bookmarkStart w:id="292" w:name="Making_Yourself_Indispensable"/>
      <w:pPr>
        <w:pStyle w:val="Para 039"/>
      </w:pPr>
      <w:r>
        <w:bookmarkStart w:id="293" w:name="page_23"/>
        <w:t>Khiến Bản Thân Trở Nên Không Thể Thay Thế</w:t>
        <w:bookmarkEnd w:id="293"/>
        <w:t/>
      </w:r>
      <w:bookmarkEnd w:id="292"/>
    </w:p>
    <w:p>
      <w:bookmarkStart w:id="294" w:name="by_John_H__Zenger__Joseph_R__Fol"/>
      <w:pPr>
        <w:pStyle w:val="Para 040"/>
      </w:pPr>
      <w:r>
        <w:t>của John H. Zenger, Joseph R. Folkman và Scott K. Edinger</w:t>
      </w:r>
      <w:bookmarkEnd w:id="294"/>
    </w:p>
    <w:p>
      <w:pPr>
        <w:pStyle w:val="Para 003"/>
      </w:pPr>
      <w:r>
        <w:rPr>
          <w:rStyle w:val="Text4"/>
        </w:rPr>
        <w:t>MỘT NHÀ QUẢN LÝ mà chúng ta sẽ gọi là Tom là một giám đốc bán hàng cấp trung tại một công ty Fortune 500. Sau khoảng hơn chục năm làm việc ở đó, anh đang trên đà phát triển—anh đạt chỉ tiêu, được mọi người quý mến, liên tục nhận được những đánh giá tích cực. Anh ứng tuyển một vị trí thăng tiến sẽ giúp anh phụ trách một sáng kiến điều phối sản phẩm toàn cầu nổi bật, tự tin rằng mình là ứng viên hàng đầu và đây là bước tiến hợp lý tiếp theo dành cho anh, một sự phù hợp tưởng như hoàn hảo với kỹ năng và tham vọng của anh. Thành tích của anh rất vững chắc. Anh chưa từng mắc sai lầm ngớ ngẩn hay có những bước đi giới hạn sự nghiệp, và chưa từng có xung đột với ban lãnh đạo cấp cao. Vậy nên anh đã bị sốc khi một đồng nghiệp ít kinh nghiệm hơn được nhận công việc đó. Vấn đề là gì?</w:t>
      </w:r>
      <w:r>
        <w:t xml:space="preserve"/>
      </w:r>
      <w:r>
        <w:rPr>
          <w:rStyle w:val="Text0"/>
        </w:rPr>
        <w:t/>
      </w:r>
      <w:r>
        <w:t xml:space="preserve"/>
      </w:r>
    </w:p>
    <w:p>
      <w:pPr>
        <w:pStyle w:val="Para 003"/>
      </w:pPr>
      <w:r>
        <w:t>Theo như Tom có thể nhận thấy, chẳng có vấn đề gì cả. Mọi người đều hài lòng với công việc của anh, người quản lý của anh trấn an anh như vậy, và một bản đánh giá 360 độ gần đây đã xác nhận quan điểm của bà. Tom ở mức chuẩn hoặc trên chuẩn trong mọi lĩnh vực, mạnh không chỉ ở việc mang lại kết quả mà còn ở giải quyết vấn đề, tư duy chiến lược và truyền cảm hứng cho người khác đạt hiệu suất cao nhất. “Không cần phải tái tạo lại bản thân đâu,” bà nói. “Cứ tiếp tục làm những gì anh đang làm. Hãy phát huy điểm mạnh của anh.”</w:t>
      </w:r>
    </w:p>
    <w:p>
      <w:pPr>
        <w:pStyle w:val="Para 003"/>
      </w:pPr>
      <w:r>
        <w:t>Nhưng bằng cách nào? Tom bối rối. Anh có nên suy nghĩ chiến lược hơn không? Trở nên truyền cảm hứng hơn nữa? Rèn luyện giải quyết vấn đề chăm chú hơn?</w:t>
      </w:r>
    </w:p>
    <w:p>
      <w:pPr>
        <w:pStyle w:val="Para 003"/>
      </w:pPr>
      <w:r>
        <w:bookmarkStart w:id="295" w:name="page_24"/>
        <w:t>Việc cải thiện một điểm yếu khá dễ dàng và trực tiếp; bạn có thể đạt được kết quả ổn định, đo lường được thông qua phát triển tuyến tính—tức là bằng cách học và thực hành các kỹ thuật cơ bản. Nhưng dữ liệu từ hàng chục năm làm việc của chúng tôi với hàng chục nghìn nhà điều hành trên khắp thế giới đã cho chúng tôi thấy rằng phát triển điểm mạnh thì rất khác. Làm nhiều hơn những gì bạn vốn đã làm tốt chỉ mang lại sự cải thiện nhỏ giọt. Để trở nên tốt hơn đáng kể, bạn phải rèn luyện các kỹ năng bổ trợ—cái mà chúng tôi gọi là phát triển phi tuyến tính. Điều này từ lâu đã quen thuộc với các vận động viên dưới tên gọi tập luyện chéo (cross-training). Chẳng hạn, một người mới chạy bộ được hưởng lợi từ việc tập giãn cơ và chạy vài lần một tuần, tăng dần quãng đường để xây dựng sức bền và trí nhớ cơ bắp. Nhưng một vận động viên marathon giàu kinh nghiệm sẽ không chạy nhanh hơn đáng kể chỉ bằng cách chạy những quãng đường ngày càng dài hơn. Để đạt đến cấp độ tiếp theo, anh ta cần bổ sung chế độ tập luyện đó bằng cách xây dựng các kỹ năng bổ trợ thông qua tập tạ, bơi lội, đạp xe, tập ngắt quãng, yoga và những thứ tương tự.</w:t>
        <w:bookmarkEnd w:id="295"/>
        <w:t xml:space="preserve"/>
      </w:r>
      <w:r>
        <w:rPr>
          <w:rStyle w:val="Text0"/>
        </w:rPr>
        <w:t/>
      </w:r>
      <w:r>
        <w:t xml:space="preserve"/>
      </w:r>
    </w:p>
    <w:p>
      <w:pPr>
        <w:pStyle w:val="Para 003"/>
      </w:pPr>
      <w:r>
        <w:t>Năng lực lãnh đạo cũng vậy. Để chuyển từ tốt sang tốt hơn nhiều, bạn cần tham gia vào thứ tương đương với tập luyện chéo trong kinh doanh. Chẳng hạn, nếu bạn giỏi về kỹ thuật, việc đào sâu hơn nữa vào các tài liệu kỹ thuật sẽ không đưa bạn đi xa bằng việc mài giũa một kỹ năng bổ trợ như giao tiếp, thứ sẽ khiến chuyên môn của bạn trở nên rõ ràng và dễ tiếp cận hơn với đồng nghiệp.</w:t>
      </w:r>
    </w:p>
    <w:p>
      <w:pPr>
        <w:pStyle w:val="Para 003"/>
      </w:pPr>
      <w:r>
        <w:t>Trong bài viết này, chúng tôi cung cấp một hướng dẫn đơn giản để trở thành một nhà lãnh đạo hiệu quả hơn nhiều. Chúng ta sẽ xem Tom đã xác định điểm mạnh của mình như thế nào, quyết định tập trung vào điểm nào và phát triển kỹ năng bổ trợ nào, và kết quả ra sao. Quy trình này rất trực tiếp, nhưng các kỹ năng bổ trợ không phải lúc nào cũng rõ ràng. Vì vậy, trước tiên chúng ta sẽ xem xét kỹ hơn thứ tương đương với tập luyện chéo trong lãnh đạo.</w:t>
      </w:r>
    </w:p>
    <w:p>
      <w:pPr>
        <w:pStyle w:val="Para 011"/>
      </w:pPr>
      <w:r>
        <w:t>Hiệu ứng tương tác (The Interaction Effect)</w:t>
      </w:r>
    </w:p>
    <w:p>
      <w:pPr>
        <w:pStyle w:val="Para 016"/>
      </w:pPr>
      <w:r>
        <w:t xml:space="preserve">Trong tập luyện chéo, sự kết hợp của hai hoạt động tạo ra một sự cải thiện—một hiệu ứng tương tác—lớn hơn đáng kể so với mức mà từng hoạt động có thể tự tạo ra. Chẳng có gì bí ẩn ở đây. Chẳng hạn, việc kết hợp chế độ ăn uống với tập thể dục từ lâu đã được biết là hiệu quả giảm cân hơn đáng kể so với chỉ ăn kiêng hoặc chỉ tập thể dục.</w:t>
      </w:r>
      <w:r>
        <w:rPr>
          <w:rStyle w:val="Text0"/>
        </w:rPr>
        <w:t/>
      </w:r>
      <w:r>
        <w:t/>
      </w:r>
    </w:p>
    <w:p>
      <w:pPr>
        <w:pStyle w:val="Para 034"/>
      </w:pPr>
      <w:r>
        <w:t>Ý tưởng ngắn gọn</w:t>
      </w:r>
    </w:p>
    <w:p>
      <w:pPr>
        <w:pStyle w:val="Para 019"/>
      </w:pPr>
      <w:r>
        <w:bookmarkStart w:id="296" w:name="page_25"/>
        <w:t>Người lãnh đạo giỏi có thể trở nên xuất chúng bằng cách phát triển chỉ một vài điểm mạnh của mình lên tầm cao nhất—nhưng không phải chỉ đơn thuần làm nhiều hơn những điều cũ.</w:t>
        <w:bookmarkEnd w:id="296"/>
        <w:t/>
      </w:r>
    </w:p>
    <w:p>
      <w:pPr>
        <w:pStyle w:val="Para 019"/>
      </w:pPr>
      <w:r>
        <w:t>Thay vào đó, họ cần tham gia vào một kiểu “tập chéo” trong kinh doanh (cross-training)—tức là nâng cao những kỹ năng bổ trợ giúp họ tận dụng trọn vẹn hơn các điểm mạnh của mình.</w:t>
      </w:r>
    </w:p>
    <w:p>
      <w:pPr>
        <w:pStyle w:val="Para 019"/>
      </w:pPr>
      <w:r>
        <w:t>Ví dụ, kỹ năng chuyên môn có thể trở nên hiệu quả hơn khi kỹ năng giao tiếp được cải thiện, giúp chuyên môn của người lãnh đạo trở nên rõ ràng và dễ tiếp cận hơn.</w:t>
      </w:r>
    </w:p>
    <w:p>
      <w:pPr>
        <w:pStyle w:val="Para 019"/>
      </w:pPr>
      <w:r>
        <w:t>Một khi một vài điểm mạnh của họ đạt đến mức xuất sắc, người lãnh đạo trở nên không thể thiếu đối với tổ chức dù họ vẫn có thể còn những điểm yếu.</w:t>
      </w:r>
    </w:p>
    <w:p>
      <w:pPr>
        <w:pStyle w:val="Para 003"/>
      </w:pPr>
      <w:r>
        <w:t>Trong nghiên cứu trước đây, chúng tôi đã tìm ra 16 năng lực lãnh đạo khác biệt có mối tương quan mạnh mẽ với các kết quả kinh doanh tích cực như lợi nhuận tăng, mức độ gắn kết của nhân viên, doanh thu và sự hài lòng của khách hàng. Trong số 16 năng lực đó, chúng tôi tự hỏi liệu có thể tìm ra những cặp đôi tạo ra hiệu ứng tương tác đáng kể hay không?</w:t>
      </w:r>
    </w:p>
    <w:p>
      <w:pPr>
        <w:pStyle w:val="Para 003"/>
      </w:pPr>
      <w:r>
        <w:t>Chúng tôi đã tìm kiếm trong cơ sở dữ liệu hơn một phần tư triệu bản khảo sát 360 độ của khoảng 30.000 nhà lãnh đạo đang phát triển để tìm những cặp kết hợp mang lại điểm số tổng thể về hiệu quả lãnh đạo cao hơn hẳn so với từng thuộc tính riêng lẻ. Kết quả rất rõ ràng. Lấy ví dụ hai năng lực “tập trung vào kết quả” và “xây dựng mối quan hệ”. Chỉ 14% nhà lãnh đạo khá mạnh (tức đạt bách phân vị thứ 75) ở khả năng tập trung vào kết quả nhưng kém hơn ở khả năng xây dựng mối quan hệ đạt đến cấp độ lãnh đạo phi thường: bách phân vị thứ 90 về hiệu quả lãnh đạo tổng thể. Tương tự, chỉ 12% những người khá mạnh ở khả năng xây dựng mối quan hệ nhưng kém hơn ở khả năng tập trung vào kết quả đạt đến cấp độ đó. Nhưng khi một cá nhân thể hiện tốt ở cả hai hạng mục, điều gì đó ngoạn mục đã xảy ra: Có tới 72% những người ở bách phân vị thứ 75 ở cả hai hạng mục đạt đến bách phân vị thứ 90 về hiệu quả lãnh đạo tổng thể.</w:t>
      </w:r>
    </w:p>
    <w:p>
      <w:pPr>
        <w:pStyle w:val="Para 003"/>
      </w:pPr>
      <w:r>
        <w:t xml:space="preserve">Chúng tôi đã đo mức độ tương quan giữa hiệu quả lãnh đạo tổng thể và tất cả các cặp kết hợp có thể có của 16 năng lực khác biệt để tìm hiểu cặp nào có sức mạnh nhất. Chúng tôi cũng ghép 16 năng lực này với các kỹ năng lãnh đạo khác và đo mức độ tương quan của những cặp đó với hiệu quả lãnh đạo tổng thể. Chúng tôi phát hiện ra rằng mỗi năng lực trong số 16 năng lực này có tới cả chục hành vi liên quan—mà chúng tôi gọi là “bạn đồng hành năng lực” (competency companions)—có mối tương quan cao với sự xuất sắc trong lãnh đạo khi được kết hợp với năng lực khác biệt đó. (Để xem danh sách đầy đủ các năng lực và bạn đồng hành của chúng, hãy xem bảng “Những kỹ năng nào sẽ khuếch đại điểm mạnh của tôi?”)</w:t>
        <w:bookmarkStart w:id="297" w:name="page_26"/>
        <w:t/>
        <w:bookmarkEnd w:id="297"/>
        <w:t xml:space="preserve"/>
      </w:r>
      <w:r>
        <w:rPr>
          <w:rStyle w:val="Text0"/>
        </w:rPr>
        <w:t/>
      </w:r>
      <w:r>
        <w:t xml:space="preserve"/>
      </w:r>
      <w:hyperlink w:anchor="page_27">
        <w:r>
          <w:rPr>
            <w:rStyle w:val="Text1"/>
          </w:rPr>
          <w:t/>
        </w:r>
      </w:hyperlink>
      <w:r>
        <w:t/>
      </w:r>
    </w:p>
    <w:p>
      <w:pPr>
        <w:pStyle w:val="Para 057"/>
      </w:pPr>
      <w:r>
        <w:bookmarkStart w:id="298" w:name="page_27"/>
        <w:t>Những kỹ năng nào sẽ khuếch đại điểm mạnh của tôi?</w:t>
        <w:bookmarkEnd w:id="298"/>
        <w:t/>
      </w:r>
    </w:p>
    <w:p>
      <w:pPr>
        <w:pStyle w:val="Para 058"/>
      </w:pPr>
      <w:r>
        <w:t>Nghiên cứu của chúng tôi cho thấy 16 năng lực lãnh đạo có mối tương quan mạnh mẽ với các kết quả kinh doanh tích cực. Mỗi năng lực trong số đó có tới cả chục “bạn đồng hành năng lực” mà việc phát triển chúng sẽ củng cố kỹ năng cốt lõi.</w:t>
      </w:r>
    </w:p>
    <w:p>
      <w:pPr>
        <w:pStyle w:val="Para 063"/>
      </w:pPr>
      <w:r>
        <w:t>Tính cách</w:t>
      </w:r>
    </w:p>
    <w:p>
      <w:pPr>
        <w:pStyle w:val="Para 033"/>
      </w:pPr>
      <w:r>
        <w:t>Thể hiện sự trung thực và chính trực</w:t>
      </w:r>
    </w:p>
    <w:p>
      <w:pPr>
        <w:numPr>
          <w:ilvl w:val="0"/>
          <w:numId w:val="9"/>
        </w:numPr>
        <w:pStyle w:val="Para 004"/>
      </w:pPr>
      <w:r>
        <w:t>Thể hiện sự quan tâm và chu đáo với người khác</w:t>
      </w:r>
    </w:p>
    <w:p>
      <w:pPr>
        <w:numPr>
          <w:ilvl w:val="0"/>
          <w:numId w:val="9"/>
        </w:numPr>
        <w:pStyle w:val="Para 004"/>
      </w:pPr>
      <w:r>
        <w:t>Đáng tin cậy</w:t>
      </w:r>
    </w:p>
    <w:p>
      <w:pPr>
        <w:numPr>
          <w:ilvl w:val="0"/>
          <w:numId w:val="9"/>
        </w:numPr>
        <w:pStyle w:val="Para 004"/>
      </w:pPr>
      <w:r>
        <w:t>Thể hiện sự lạc quan</w:t>
      </w:r>
    </w:p>
    <w:p>
      <w:pPr>
        <w:numPr>
          <w:ilvl w:val="0"/>
          <w:numId w:val="9"/>
        </w:numPr>
        <w:pStyle w:val="Para 004"/>
      </w:pPr>
      <w:r>
        <w:t>Quyết đoán</w:t>
      </w:r>
    </w:p>
    <w:p>
      <w:pPr>
        <w:numPr>
          <w:ilvl w:val="0"/>
          <w:numId w:val="9"/>
        </w:numPr>
        <w:pStyle w:val="Para 004"/>
      </w:pPr>
      <w:r>
        <w:t>Truyền cảm hứng và động viên người khác</w:t>
      </w:r>
    </w:p>
    <w:p>
      <w:pPr>
        <w:numPr>
          <w:ilvl w:val="0"/>
          <w:numId w:val="9"/>
        </w:numPr>
        <w:pStyle w:val="Para 004"/>
      </w:pPr>
      <w:r>
        <w:t>Xử lý tốt những điều mơ hồ</w:t>
      </w:r>
    </w:p>
    <w:p>
      <w:pPr>
        <w:numPr>
          <w:ilvl w:val="0"/>
          <w:numId w:val="9"/>
        </w:numPr>
        <w:pStyle w:val="Para 004"/>
      </w:pPr>
      <w:r>
        <w:t>Quyết đoán</w:t>
      </w:r>
    </w:p>
    <w:p>
      <w:pPr>
        <w:numPr>
          <w:ilvl w:val="0"/>
          <w:numId w:val="9"/>
        </w:numPr>
        <w:pStyle w:val="Para 004"/>
      </w:pPr>
      <w:r>
        <w:t>Tập trung vào kết quả</w:t>
      </w:r>
    </w:p>
    <w:p>
      <w:pPr>
        <w:pStyle w:val="Para 063"/>
      </w:pPr>
      <w:r>
        <w:t>Năng lực cá nhân</w:t>
      </w:r>
    </w:p>
    <w:p>
      <w:pPr>
        <w:pStyle w:val="Para 033"/>
      </w:pPr>
      <w:r>
        <w:t>Thể hiện chuyên môn kỹ thuật/nghiệp vụ</w:t>
      </w:r>
    </w:p>
    <w:p>
      <w:pPr>
        <w:numPr>
          <w:ilvl w:val="0"/>
          <w:numId w:val="10"/>
        </w:numPr>
        <w:pStyle w:val="Para 004"/>
      </w:pPr>
      <w:r>
        <w:t>Giải quyết vấn đề và phân tích tình huống</w:t>
      </w:r>
    </w:p>
    <w:p>
      <w:pPr>
        <w:numPr>
          <w:ilvl w:val="0"/>
          <w:numId w:val="10"/>
        </w:numPr>
        <w:pStyle w:val="Para 004"/>
      </w:pPr>
      <w:r>
        <w:t>Xây dựng mối quan hệ và mạng lưới</w:t>
      </w:r>
    </w:p>
    <w:p>
      <w:pPr>
        <w:numPr>
          <w:ilvl w:val="0"/>
          <w:numId w:val="10"/>
        </w:numPr>
        <w:pStyle w:val="Para 004"/>
      </w:pPr>
      <w:r>
        <w:t>Giao tiếp mạnh mẽ và rộng khắp</w:t>
      </w:r>
    </w:p>
    <w:p>
      <w:pPr>
        <w:numPr>
          <w:ilvl w:val="0"/>
          <w:numId w:val="10"/>
        </w:numPr>
        <w:pStyle w:val="Para 004"/>
      </w:pPr>
      <w:r>
        <w:t>Theo đuổi sự xuất sắc</w:t>
      </w:r>
    </w:p>
    <w:p>
      <w:pPr>
        <w:numPr>
          <w:ilvl w:val="0"/>
          <w:numId w:val="10"/>
        </w:numPr>
        <w:pStyle w:val="Para 004"/>
      </w:pPr>
      <w:r>
        <w:t>Chủ động</w:t>
      </w:r>
    </w:p>
    <w:p>
      <w:pPr>
        <w:numPr>
          <w:ilvl w:val="0"/>
          <w:numId w:val="10"/>
        </w:numPr>
        <w:pStyle w:val="Para 004"/>
      </w:pPr>
      <w:r>
        <w:t>Phát triển người khác</w:t>
      </w:r>
    </w:p>
    <w:p>
      <w:pPr>
        <w:numPr>
          <w:ilvl w:val="0"/>
          <w:numId w:val="10"/>
        </w:numPr>
        <w:pStyle w:val="Para 004"/>
      </w:pPr>
      <w:r>
        <w:t>Thể hiện sự trung thực và chính trực</w:t>
      </w:r>
    </w:p>
    <w:p>
      <w:pPr>
        <w:numPr>
          <w:ilvl w:val="0"/>
          <w:numId w:val="10"/>
        </w:numPr>
        <w:pStyle w:val="Para 004"/>
      </w:pPr>
      <w:r>
        <w:t>Hành động vì lợi ích tốt nhất của nhóm</w:t>
      </w:r>
    </w:p>
    <w:p>
      <w:pPr>
        <w:pStyle w:val="Para 033"/>
      </w:pPr>
      <w:r>
        <w:t>Giải quyết vấn đề và phân tích tình huống</w:t>
      </w:r>
    </w:p>
    <w:p>
      <w:pPr>
        <w:numPr>
          <w:ilvl w:val="0"/>
          <w:numId w:val="11"/>
        </w:numPr>
        <w:pStyle w:val="Para 004"/>
      </w:pPr>
      <w:r>
        <w:t>Chủ động (takes initiative)</w:t>
      </w:r>
    </w:p>
    <w:p>
      <w:pPr>
        <w:numPr>
          <w:ilvl w:val="0"/>
          <w:numId w:val="11"/>
        </w:numPr>
        <w:pStyle w:val="Para 004"/>
      </w:pPr>
      <w:r>
        <w:t>Có tổ chức và giỏi lập kế hoạch</w:t>
      </w:r>
    </w:p>
    <w:p>
      <w:pPr>
        <w:numPr>
          <w:ilvl w:val="0"/>
          <w:numId w:val="11"/>
        </w:numPr>
        <w:pStyle w:val="Para 004"/>
      </w:pPr>
      <w:r>
        <w:t>Quyết đoán</w:t>
      </w:r>
    </w:p>
    <w:p>
      <w:pPr>
        <w:numPr>
          <w:ilvl w:val="0"/>
          <w:numId w:val="11"/>
        </w:numPr>
        <w:pStyle w:val="Para 004"/>
      </w:pPr>
      <w:r>
        <w:t>Đổi mới sáng tạo</w:t>
      </w:r>
    </w:p>
    <w:p>
      <w:pPr>
        <w:numPr>
          <w:ilvl w:val="0"/>
          <w:numId w:val="11"/>
        </w:numPr>
        <w:pStyle w:val="Para 004"/>
      </w:pPr>
      <w:r>
        <w:t>Muốn đương đầu với thử thách</w:t>
      </w:r>
    </w:p>
    <w:p>
      <w:pPr>
        <w:numPr>
          <w:ilvl w:val="0"/>
          <w:numId w:val="11"/>
        </w:numPr>
        <w:pStyle w:val="Para 004"/>
      </w:pPr>
      <w:r>
        <w:t>Phát triển tầm nhìn chiến lược (strategic perspective)</w:t>
      </w:r>
    </w:p>
    <w:p>
      <w:pPr>
        <w:numPr>
          <w:ilvl w:val="0"/>
          <w:numId w:val="11"/>
        </w:numPr>
        <w:pStyle w:val="Para 004"/>
      </w:pPr>
      <w:r>
        <w:t>Hành động độc lập</w:t>
      </w:r>
    </w:p>
    <w:p>
      <w:pPr>
        <w:numPr>
          <w:ilvl w:val="0"/>
          <w:numId w:val="11"/>
        </w:numPr>
        <w:pStyle w:val="Para 004"/>
      </w:pPr>
      <w:r>
        <w:t>Có chuyên môn kỹ thuật</w:t>
      </w:r>
    </w:p>
    <w:p>
      <w:pPr>
        <w:numPr>
          <w:ilvl w:val="0"/>
          <w:numId w:val="11"/>
        </w:numPr>
        <w:pStyle w:val="Para 004"/>
      </w:pPr>
      <w:r>
        <w:t>Giao tiếp mạnh mẽ và rộng khắp</w:t>
      </w:r>
    </w:p>
    <w:p>
      <w:pPr>
        <w:pStyle w:val="Para 033"/>
      </w:pPr>
      <w:r>
        <w:t>Đổi mới sáng tạo</w:t>
      </w:r>
    </w:p>
    <w:p>
      <w:pPr>
        <w:numPr>
          <w:ilvl w:val="0"/>
          <w:numId w:val="12"/>
        </w:numPr>
        <w:pStyle w:val="Para 004"/>
      </w:pPr>
      <w:r>
        <w:t>Sẵn sàng chấp nhận rủi ro và thách thức hiện trạng</w:t>
      </w:r>
    </w:p>
    <w:p>
      <w:pPr>
        <w:numPr>
          <w:ilvl w:val="0"/>
          <w:numId w:val="12"/>
        </w:numPr>
        <w:pStyle w:val="Para 004"/>
      </w:pPr>
      <w:r>
        <w:t>Hỗ trợ người khác dám chấp nhận rủi ro</w:t>
      </w:r>
    </w:p>
    <w:p>
      <w:pPr>
        <w:numPr>
          <w:ilvl w:val="0"/>
          <w:numId w:val="12"/>
        </w:numPr>
        <w:pStyle w:val="Para 004"/>
      </w:pPr>
      <w:r>
        <w:t>Giải quyết vấn đề và phân tích tình huống</w:t>
      </w:r>
    </w:p>
    <w:p>
      <w:pPr>
        <w:numPr>
          <w:ilvl w:val="0"/>
          <w:numId w:val="12"/>
        </w:numPr>
        <w:pStyle w:val="Para 004"/>
      </w:pPr>
      <w:r>
        <w:t>Tiên phong cho sự thay đổi</w:t>
      </w:r>
    </w:p>
    <w:p>
      <w:pPr>
        <w:numPr>
          <w:ilvl w:val="0"/>
          <w:numId w:val="12"/>
        </w:numPr>
        <w:pStyle w:val="Para 004"/>
      </w:pPr>
      <w:r>
        <w:t>Học hỏi nhanh từ thành công và thất bại</w:t>
      </w:r>
    </w:p>
    <w:p>
      <w:pPr>
        <w:numPr>
          <w:ilvl w:val="0"/>
          <w:numId w:val="12"/>
        </w:numPr>
        <w:pStyle w:val="Para 004"/>
      </w:pPr>
      <w:r>
        <w:t>Phát triển tầm nhìn chiến lược (strategic perspective)</w:t>
      </w:r>
    </w:p>
    <w:p>
      <w:pPr>
        <w:numPr>
          <w:ilvl w:val="0"/>
          <w:numId w:val="12"/>
        </w:numPr>
        <w:pStyle w:val="Para 004"/>
      </w:pPr>
      <w:r>
        <w:t>Chủ động (takes initiative)</w:t>
      </w:r>
    </w:p>
    <w:p>
      <w:pPr>
        <w:pStyle w:val="Para 033"/>
      </w:pPr>
      <w:r>
        <w:t>Tự phát triển bản thân</w:t>
      </w:r>
    </w:p>
    <w:p>
      <w:pPr>
        <w:numPr>
          <w:ilvl w:val="0"/>
          <w:numId w:val="13"/>
        </w:numPr>
        <w:pStyle w:val="Para 004"/>
      </w:pPr>
      <w:r>
        <w:t>Biết lắng nghe</w:t>
      </w:r>
    </w:p>
    <w:p>
      <w:pPr>
        <w:numPr>
          <w:ilvl w:val="0"/>
          <w:numId w:val="13"/>
        </w:numPr>
        <w:pStyle w:val="Para 004"/>
      </w:pPr>
      <w:r>
        <w:t>Cởi mở với ý tưởng của người khác</w:t>
      </w:r>
    </w:p>
    <w:p>
      <w:pPr>
        <w:numPr>
          <w:ilvl w:val="0"/>
          <w:numId w:val="13"/>
        </w:numPr>
        <w:pStyle w:val="Para 004"/>
      </w:pPr>
      <w:r>
        <w:t>Tôn trọng người khác</w:t>
      </w:r>
    </w:p>
    <w:p>
      <w:pPr>
        <w:numPr>
          <w:ilvl w:val="0"/>
          <w:numId w:val="13"/>
        </w:numPr>
        <w:pStyle w:val="Para 004"/>
      </w:pPr>
      <w:r>
        <w:t>Thể hiện sự trung thực và chính trực</w:t>
      </w:r>
    </w:p>
    <w:p>
      <w:pPr>
        <w:numPr>
          <w:ilvl w:val="0"/>
          <w:numId w:val="13"/>
        </w:numPr>
        <w:pStyle w:val="Para 004"/>
      </w:pPr>
      <w:r>
        <w:t>Truyền cảm hứng và động viên người khác</w:t>
      </w:r>
    </w:p>
    <w:p>
      <w:pPr>
        <w:numPr>
          <w:ilvl w:val="0"/>
          <w:numId w:val="13"/>
        </w:numPr>
        <w:pStyle w:val="Para 004"/>
      </w:pPr>
      <w:r>
        <w:t>Đưa ra phản hồi hiệu quả và giúp phát triển</w:t>
      </w:r>
    </w:p>
    <w:p>
      <w:pPr>
        <w:numPr>
          <w:ilvl w:val="0"/>
          <w:numId w:val="13"/>
        </w:numPr>
        <w:pStyle w:val="Para 004"/>
      </w:pPr>
      <w:r>
        <w:t>Chủ động (takes initiative)</w:t>
      </w:r>
    </w:p>
    <w:p>
      <w:pPr>
        <w:numPr>
          <w:ilvl w:val="0"/>
          <w:numId w:val="13"/>
        </w:numPr>
        <w:pStyle w:val="Para 004"/>
      </w:pPr>
      <w:r>
        <w:t>Sẵn sàng chấp nhận rủi ro và thách thức hiện trạng</w:t>
      </w:r>
    </w:p>
    <w:p>
      <w:pPr>
        <w:pStyle w:val="Para 063"/>
      </w:pPr>
      <w:r>
        <w:t>Đạt được kết quả</w:t>
      </w:r>
    </w:p>
    <w:p>
      <w:pPr>
        <w:pStyle w:val="Para 033"/>
      </w:pPr>
      <w:r>
        <w:t>Tập trung vào kết quả</w:t>
      </w:r>
    </w:p>
    <w:p>
      <w:pPr>
        <w:numPr>
          <w:ilvl w:val="0"/>
          <w:numId w:val="14"/>
        </w:numPr>
        <w:pStyle w:val="Para 004"/>
      </w:pPr>
      <w:r>
        <w:t>Có tổ chức và giỏi lập kế hoạch</w:t>
      </w:r>
    </w:p>
    <w:p>
      <w:pPr>
        <w:numPr>
          <w:ilvl w:val="0"/>
          <w:numId w:val="14"/>
        </w:numPr>
        <w:pStyle w:val="Para 004"/>
      </w:pPr>
      <w:r>
        <w:t>Thể hiện sự trung thực và chính trực</w:t>
      </w:r>
    </w:p>
    <w:p>
      <w:pPr>
        <w:numPr>
          <w:ilvl w:val="0"/>
          <w:numId w:val="14"/>
        </w:numPr>
        <w:pStyle w:val="Para 004"/>
      </w:pPr>
      <w:r>
        <w:t>Lường trước vấn đề</w:t>
      </w:r>
    </w:p>
    <w:p>
      <w:pPr>
        <w:numPr>
          <w:ilvl w:val="0"/>
          <w:numId w:val="14"/>
        </w:numPr>
        <w:pStyle w:val="Para 004"/>
      </w:pPr>
      <w:r>
        <w:t>Nhìn rõ kết quả mong muốn</w:t>
      </w:r>
    </w:p>
    <w:p>
      <w:pPr>
        <w:numPr>
          <w:ilvl w:val="0"/>
          <w:numId w:val="14"/>
        </w:numPr>
        <w:pStyle w:val="Para 004"/>
      </w:pPr>
      <w:r>
        <w:t>Đưa ra phản hồi và định hướng phát triển hiệu quả</w:t>
      </w:r>
    </w:p>
    <w:p>
      <w:pPr>
        <w:numPr>
          <w:ilvl w:val="0"/>
          <w:numId w:val="14"/>
        </w:numPr>
        <w:pStyle w:val="Para 004"/>
      </w:pPr>
      <w:r>
        <w:t>Đặt ra các mục tiêu thách thức (stretch goals)</w:t>
      </w:r>
    </w:p>
    <w:p>
      <w:pPr>
        <w:numPr>
          <w:ilvl w:val="0"/>
          <w:numId w:val="14"/>
        </w:numPr>
        <w:pStyle w:val="Para 004"/>
      </w:pPr>
      <w:r>
        <w:t>Chịu trách nhiệm cá nhân</w:t>
      </w:r>
    </w:p>
    <w:p>
      <w:pPr>
        <w:numPr>
          <w:ilvl w:val="0"/>
          <w:numId w:val="14"/>
        </w:numPr>
        <w:pStyle w:val="Para 004"/>
      </w:pPr>
      <w:r>
        <w:t>Hành động nhanh chóng</w:t>
      </w:r>
    </w:p>
    <w:p>
      <w:pPr>
        <w:numPr>
          <w:ilvl w:val="0"/>
          <w:numId w:val="14"/>
        </w:numPr>
        <w:pStyle w:val="Para 004"/>
      </w:pPr>
      <w:r>
        <w:t>Có khen thưởng và ghi nhận</w:t>
      </w:r>
    </w:p>
    <w:p>
      <w:pPr>
        <w:numPr>
          <w:ilvl w:val="0"/>
          <w:numId w:val="14"/>
        </w:numPr>
        <w:pStyle w:val="Para 004"/>
      </w:pPr>
      <w:r>
        <w:t>Xây dựng đội ngũ hiệu suất cao</w:t>
      </w:r>
    </w:p>
    <w:p>
      <w:pPr>
        <w:numPr>
          <w:ilvl w:val="0"/>
          <w:numId w:val="14"/>
        </w:numPr>
        <w:pStyle w:val="Para 004"/>
      </w:pPr>
      <w:r>
        <w:t>Huy động đủ nguồn lực</w:t>
      </w:r>
    </w:p>
    <w:p>
      <w:pPr>
        <w:numPr>
          <w:ilvl w:val="0"/>
          <w:numId w:val="14"/>
        </w:numPr>
        <w:pStyle w:val="Para 004"/>
      </w:pPr>
      <w:r>
        <w:t>Đổi mới sáng tạo</w:t>
      </w:r>
    </w:p>
    <w:p>
      <w:pPr>
        <w:pStyle w:val="Para 033"/>
      </w:pPr>
      <w:r>
        <w:t>Đặt ra các mục tiêu thách thức (stretch goals)</w:t>
      </w:r>
    </w:p>
    <w:p>
      <w:pPr>
        <w:numPr>
          <w:ilvl w:val="0"/>
          <w:numId w:val="15"/>
        </w:numPr>
        <w:pStyle w:val="Para 004"/>
      </w:pPr>
      <w:r>
        <w:t>Truyền cảm hứng và tạo động lực cho người khác</w:t>
      </w:r>
    </w:p>
    <w:p>
      <w:pPr>
        <w:numPr>
          <w:ilvl w:val="0"/>
          <w:numId w:val="15"/>
        </w:numPr>
        <w:pStyle w:val="Para 004"/>
      </w:pPr>
      <w:r>
        <w:t>Sẵn sàng chấp nhận rủi ro và thách thức hiện trạng</w:t>
      </w:r>
    </w:p>
    <w:p>
      <w:pPr>
        <w:numPr>
          <w:ilvl w:val="0"/>
          <w:numId w:val="15"/>
        </w:numPr>
        <w:pStyle w:val="Para 004"/>
      </w:pPr>
      <w:r>
        <w:t>Nhận được sự ủng hộ của người khác</w:t>
      </w:r>
    </w:p>
    <w:p>
      <w:pPr>
        <w:numPr>
          <w:ilvl w:val="0"/>
          <w:numId w:val="15"/>
        </w:numPr>
        <w:pStyle w:val="Para 004"/>
      </w:pPr>
      <w:r>
        <w:t>Phát triển tầm nhìn chiến lược (strategic perspective)</w:t>
      </w:r>
    </w:p>
    <w:p>
      <w:pPr>
        <w:numPr>
          <w:ilvl w:val="0"/>
          <w:numId w:val="15"/>
        </w:numPr>
        <w:pStyle w:val="Para 004"/>
      </w:pPr>
      <w:r>
        <w:t>Tiên phong thúc đẩy thay đổi</w:t>
      </w:r>
    </w:p>
    <w:p>
      <w:pPr>
        <w:numPr>
          <w:ilvl w:val="0"/>
          <w:numId w:val="15"/>
        </w:numPr>
        <w:pStyle w:val="Para 004"/>
      </w:pPr>
      <w:r>
        <w:t>Quyết đoán</w:t>
      </w:r>
    </w:p>
    <w:p>
      <w:pPr>
        <w:numPr>
          <w:ilvl w:val="0"/>
          <w:numId w:val="15"/>
        </w:numPr>
        <w:pStyle w:val="Para 004"/>
      </w:pPr>
      <w:r>
        <w:t>Có chuyên môn kỹ thuật và kinh doanh</w:t>
      </w:r>
    </w:p>
    <w:p>
      <w:pPr>
        <w:numPr>
          <w:ilvl w:val="0"/>
          <w:numId w:val="15"/>
        </w:numPr>
        <w:pStyle w:val="Para 004"/>
      </w:pPr>
      <w:r>
        <w:t>Tập trung vào kết quả</w:t>
      </w:r>
    </w:p>
    <w:p>
      <w:pPr>
        <w:pStyle w:val="Para 033"/>
      </w:pPr>
      <w:r>
        <w:t>Chủ động</w:t>
      </w:r>
    </w:p>
    <w:p>
      <w:pPr>
        <w:numPr>
          <w:ilvl w:val="0"/>
          <w:numId w:val="16"/>
        </w:numPr>
        <w:pStyle w:val="Para 004"/>
      </w:pPr>
      <w:r>
        <w:t>Lường trước vấn đề</w:t>
      </w:r>
    </w:p>
    <w:p>
      <w:pPr>
        <w:numPr>
          <w:ilvl w:val="0"/>
          <w:numId w:val="16"/>
        </w:numPr>
        <w:pStyle w:val="Para 004"/>
      </w:pPr>
      <w:r>
        <w:t>Chú trọng tốc độ</w:t>
      </w:r>
    </w:p>
    <w:p>
      <w:pPr>
        <w:numPr>
          <w:ilvl w:val="0"/>
          <w:numId w:val="16"/>
        </w:numPr>
        <w:pStyle w:val="Para 004"/>
      </w:pPr>
      <w:r>
        <w:t>Có tổ chức và giỏi lập kế hoạch</w:t>
      </w:r>
    </w:p>
    <w:p>
      <w:pPr>
        <w:numPr>
          <w:ilvl w:val="0"/>
          <w:numId w:val="16"/>
        </w:numPr>
        <w:pStyle w:val="Para 004"/>
      </w:pPr>
      <w:r>
        <w:t>Nâng đỡ người khác</w:t>
      </w:r>
    </w:p>
    <w:p>
      <w:pPr>
        <w:numPr>
          <w:ilvl w:val="0"/>
          <w:numId w:val="16"/>
        </w:numPr>
        <w:pStyle w:val="Para 004"/>
      </w:pPr>
      <w:r>
        <w:t>Xử lý tốt những điều mơ hồ</w:t>
      </w:r>
    </w:p>
    <w:p>
      <w:pPr>
        <w:numPr>
          <w:ilvl w:val="0"/>
          <w:numId w:val="16"/>
        </w:numPr>
        <w:pStyle w:val="Para 004"/>
      </w:pPr>
      <w:r>
        <w:t>Theo đuổi đến cùng</w:t>
      </w:r>
    </w:p>
    <w:p>
      <w:pPr>
        <w:numPr>
          <w:ilvl w:val="0"/>
          <w:numId w:val="16"/>
        </w:numPr>
        <w:pStyle w:val="Para 004"/>
      </w:pPr>
      <w:r>
        <w:t>Truyền cảm hứng và tạo động lực cho người khác</w:t>
      </w:r>
    </w:p>
    <w:p>
      <w:pPr>
        <w:numPr>
          <w:ilvl w:val="0"/>
          <w:numId w:val="16"/>
        </w:numPr>
        <w:pStyle w:val="Para 004"/>
      </w:pPr>
      <w:r>
        <w:t>Đặt ra các mục tiêu thách thức (stretch goals)</w:t>
      </w:r>
    </w:p>
    <w:p>
      <w:pPr>
        <w:numPr>
          <w:ilvl w:val="0"/>
          <w:numId w:val="16"/>
        </w:numPr>
        <w:pStyle w:val="Para 004"/>
      </w:pPr>
      <w:r>
        <w:t>Thể hiện sự trung thực và chính trực</w:t>
      </w:r>
    </w:p>
    <w:p>
      <w:pPr>
        <w:pStyle w:val="Para 063"/>
      </w:pPr>
      <w:r>
        <w:rPr>
          <w:rStyle w:val="Text9"/>
        </w:rPr>
        <w:bookmarkStart w:id="299" w:name="page_28"/>
        <w:t>Kỹ năng tương tác giữa người với người (interpersonal skills)</w:t>
        <w:bookmarkEnd w:id="299"/>
      </w:r>
      <w:r>
        <w:t/>
      </w:r>
    </w:p>
    <w:p>
      <w:pPr>
        <w:pStyle w:val="Para 033"/>
      </w:pPr>
      <w:r>
        <w:t>Giao tiếp mạnh mẽ và rộng khắp</w:t>
      </w:r>
    </w:p>
    <w:p>
      <w:pPr>
        <w:numPr>
          <w:ilvl w:val="0"/>
          <w:numId w:val="17"/>
        </w:numPr>
        <w:pStyle w:val="Para 004"/>
      </w:pPr>
      <w:r>
        <w:t>Truyền cảm hứng và tạo động lực cho người khác</w:t>
      </w:r>
    </w:p>
    <w:p>
      <w:pPr>
        <w:numPr>
          <w:ilvl w:val="0"/>
          <w:numId w:val="17"/>
        </w:numPr>
        <w:pStyle w:val="Para 004"/>
      </w:pPr>
      <w:r>
        <w:t>Phát triển tầm nhìn chiến lược (strategic perspective)</w:t>
      </w:r>
    </w:p>
    <w:p>
      <w:pPr>
        <w:numPr>
          <w:ilvl w:val="0"/>
          <w:numId w:val="17"/>
        </w:numPr>
        <w:pStyle w:val="Para 004"/>
      </w:pPr>
      <w:r>
        <w:t>Đặt ra các mục tiêu thách thức (stretch goals)</w:t>
      </w:r>
    </w:p>
    <w:p>
      <w:pPr>
        <w:numPr>
          <w:ilvl w:val="0"/>
          <w:numId w:val="17"/>
        </w:numPr>
        <w:pStyle w:val="Para 004"/>
      </w:pPr>
      <w:r>
        <w:t>Xử lý hiệu quả với thế giới bên ngoài</w:t>
      </w:r>
    </w:p>
    <w:p>
      <w:pPr>
        <w:numPr>
          <w:ilvl w:val="0"/>
          <w:numId w:val="17"/>
        </w:numPr>
        <w:pStyle w:val="Para 004"/>
      </w:pPr>
      <w:r>
        <w:t>Đáng tin cậy</w:t>
      </w:r>
    </w:p>
    <w:p>
      <w:pPr>
        <w:numPr>
          <w:ilvl w:val="0"/>
          <w:numId w:val="17"/>
        </w:numPr>
        <w:pStyle w:val="Para 004"/>
      </w:pPr>
      <w:r>
        <w:t>Lôi kéo người khác tham gia</w:t>
      </w:r>
    </w:p>
    <w:p>
      <w:pPr>
        <w:numPr>
          <w:ilvl w:val="0"/>
          <w:numId w:val="17"/>
        </w:numPr>
        <w:pStyle w:val="Para 004"/>
      </w:pPr>
      <w:r>
        <w:t>Diễn giải thông điệp cho rõ ràng</w:t>
      </w:r>
    </w:p>
    <w:p>
      <w:pPr>
        <w:numPr>
          <w:ilvl w:val="0"/>
          <w:numId w:val="17"/>
        </w:numPr>
        <w:pStyle w:val="Para 004"/>
      </w:pPr>
      <w:r>
        <w:t>Giải quyết vấn đề và phân tích tình huống</w:t>
      </w:r>
    </w:p>
    <w:p>
      <w:pPr>
        <w:numPr>
          <w:ilvl w:val="0"/>
          <w:numId w:val="17"/>
        </w:numPr>
        <w:pStyle w:val="Para 004"/>
      </w:pPr>
      <w:r>
        <w:t>Chủ động hành động (takes initiative)</w:t>
      </w:r>
    </w:p>
    <w:p>
      <w:pPr>
        <w:numPr>
          <w:ilvl w:val="0"/>
          <w:numId w:val="17"/>
        </w:numPr>
        <w:pStyle w:val="Para 004"/>
      </w:pPr>
      <w:r>
        <w:t>Đổi mới sáng tạo</w:t>
      </w:r>
    </w:p>
    <w:p>
      <w:pPr>
        <w:numPr>
          <w:ilvl w:val="0"/>
          <w:numId w:val="17"/>
        </w:numPr>
        <w:pStyle w:val="Para 004"/>
      </w:pPr>
      <w:r>
        <w:t>Phát triển năng lực người khác</w:t>
      </w:r>
    </w:p>
    <w:p>
      <w:pPr>
        <w:pStyle w:val="Para 033"/>
      </w:pPr>
      <w:r>
        <w:t>Truyền cảm hứng và tạo động lực cho người khác</w:t>
      </w:r>
    </w:p>
    <w:p>
      <w:pPr>
        <w:numPr>
          <w:ilvl w:val="0"/>
          <w:numId w:val="18"/>
        </w:numPr>
        <w:pStyle w:val="Para 004"/>
      </w:pPr>
      <w:r>
        <w:t>Kết nối cảm xúc với người khác</w:t>
      </w:r>
    </w:p>
    <w:p>
      <w:pPr>
        <w:numPr>
          <w:ilvl w:val="0"/>
          <w:numId w:val="18"/>
        </w:numPr>
        <w:pStyle w:val="Para 004"/>
      </w:pPr>
      <w:r>
        <w:t>Đặt ra các mục tiêu thách thức (stretch goals)</w:t>
      </w:r>
    </w:p>
    <w:p>
      <w:pPr>
        <w:numPr>
          <w:ilvl w:val="0"/>
          <w:numId w:val="18"/>
        </w:numPr>
        <w:pStyle w:val="Para 004"/>
      </w:pPr>
      <w:r>
        <w:t>Thể hiện tầm nhìn và định hướng rõ ràng</w:t>
      </w:r>
    </w:p>
    <w:p>
      <w:pPr>
        <w:numPr>
          <w:ilvl w:val="0"/>
          <w:numId w:val="18"/>
        </w:numPr>
        <w:pStyle w:val="Para 004"/>
      </w:pPr>
      <w:r>
        <w:t>Giao tiếp mạnh mẽ và rộng khắp</w:t>
      </w:r>
    </w:p>
    <w:p>
      <w:pPr>
        <w:numPr>
          <w:ilvl w:val="0"/>
          <w:numId w:val="18"/>
        </w:numPr>
        <w:pStyle w:val="Para 004"/>
      </w:pPr>
      <w:r>
        <w:t>Phát triển năng lực người khác</w:t>
      </w:r>
    </w:p>
    <w:p>
      <w:pPr>
        <w:numPr>
          <w:ilvl w:val="0"/>
          <w:numId w:val="18"/>
        </w:numPr>
        <w:pStyle w:val="Para 004"/>
      </w:pPr>
      <w:r>
        <w:t>Hợp tác và thúc đẩy tinh thần làm việc nhóm</w:t>
      </w:r>
    </w:p>
    <w:p>
      <w:pPr>
        <w:numPr>
          <w:ilvl w:val="0"/>
          <w:numId w:val="18"/>
        </w:numPr>
        <w:pStyle w:val="Para 004"/>
      </w:pPr>
      <w:r>
        <w:t>Nuôi dưỡng sự đổi mới</w:t>
      </w:r>
    </w:p>
    <w:p>
      <w:pPr>
        <w:numPr>
          <w:ilvl w:val="0"/>
          <w:numId w:val="18"/>
        </w:numPr>
        <w:pStyle w:val="Para 004"/>
      </w:pPr>
      <w:r>
        <w:t>Chủ động hành động (takes initiative)</w:t>
      </w:r>
    </w:p>
    <w:p>
      <w:pPr>
        <w:numPr>
          <w:ilvl w:val="0"/>
          <w:numId w:val="18"/>
        </w:numPr>
        <w:pStyle w:val="Para 004"/>
      </w:pPr>
      <w:r>
        <w:t>Tiên phong thúc đẩy thay đổi (champions change)</w:t>
      </w:r>
    </w:p>
    <w:p>
      <w:pPr>
        <w:numPr>
          <w:ilvl w:val="0"/>
          <w:numId w:val="18"/>
        </w:numPr>
        <w:pStyle w:val="Para 004"/>
      </w:pPr>
      <w:r>
        <w:t>Là hình mẫu mạnh mẽ</w:t>
      </w:r>
    </w:p>
    <w:p>
      <w:pPr>
        <w:pStyle w:val="Para 033"/>
      </w:pPr>
      <w:r>
        <w:t>Xây dựng các mối quan hệ</w:t>
      </w:r>
    </w:p>
    <w:p>
      <w:pPr>
        <w:numPr>
          <w:ilvl w:val="0"/>
          <w:numId w:val="19"/>
        </w:numPr>
        <w:pStyle w:val="Para 004"/>
      </w:pPr>
      <w:r>
        <w:t>Hợp tác và thúc đẩy tinh thần làm việc nhóm</w:t>
      </w:r>
    </w:p>
    <w:p>
      <w:pPr>
        <w:numPr>
          <w:ilvl w:val="0"/>
          <w:numId w:val="19"/>
        </w:numPr>
        <w:pStyle w:val="Para 004"/>
      </w:pPr>
      <w:r>
        <w:t>Thể hiện sự trung thực và chính trực</w:t>
      </w:r>
    </w:p>
    <w:p>
      <w:pPr>
        <w:numPr>
          <w:ilvl w:val="0"/>
          <w:numId w:val="19"/>
        </w:numPr>
        <w:pStyle w:val="Para 004"/>
      </w:pPr>
      <w:r>
        <w:t>Phát triển năng lực người khác</w:t>
      </w:r>
    </w:p>
    <w:p>
      <w:pPr>
        <w:numPr>
          <w:ilvl w:val="0"/>
          <w:numId w:val="19"/>
        </w:numPr>
        <w:pStyle w:val="Para 004"/>
      </w:pPr>
      <w:r>
        <w:t>Biết lắng nghe</w:t>
      </w:r>
    </w:p>
    <w:p>
      <w:pPr>
        <w:numPr>
          <w:ilvl w:val="0"/>
          <w:numId w:val="19"/>
        </w:numPr>
        <w:pStyle w:val="Para 004"/>
      </w:pPr>
      <w:r>
        <w:t>Giao tiếp mạnh mẽ và rộng khắp</w:t>
      </w:r>
    </w:p>
    <w:p>
      <w:pPr>
        <w:numPr>
          <w:ilvl w:val="0"/>
          <w:numId w:val="19"/>
        </w:numPr>
        <w:pStyle w:val="Para 004"/>
      </w:pPr>
      <w:r>
        <w:t>Đưa ra phần thưởng và sự ghi nhận</w:t>
      </w:r>
    </w:p>
    <w:p>
      <w:pPr>
        <w:numPr>
          <w:ilvl w:val="0"/>
          <w:numId w:val="19"/>
        </w:numPr>
        <w:pStyle w:val="Para 004"/>
      </w:pPr>
      <w:r>
        <w:t>Thực hành sự hòa nhập và coi trọng sự đa dạng</w:t>
      </w:r>
    </w:p>
    <w:p>
      <w:pPr>
        <w:numPr>
          <w:ilvl w:val="0"/>
          <w:numId w:val="19"/>
        </w:numPr>
        <w:pStyle w:val="Para 004"/>
      </w:pPr>
      <w:r>
        <w:t>Thể hiện sự lạc quan</w:t>
      </w:r>
    </w:p>
    <w:p>
      <w:pPr>
        <w:numPr>
          <w:ilvl w:val="0"/>
          <w:numId w:val="19"/>
        </w:numPr>
        <w:pStyle w:val="Para 004"/>
      </w:pPr>
      <w:r>
        <w:t>Thực hành phát triển bản thân</w:t>
      </w:r>
    </w:p>
    <w:p>
      <w:pPr>
        <w:pStyle w:val="Para 033"/>
      </w:pPr>
      <w:r>
        <w:t>Phát triển người khác</w:t>
      </w:r>
    </w:p>
    <w:p>
      <w:pPr>
        <w:numPr>
          <w:ilvl w:val="0"/>
          <w:numId w:val="20"/>
        </w:numPr>
        <w:pStyle w:val="Para 004"/>
      </w:pPr>
      <w:r>
        <w:t>Thực hành phát triển bản thân</w:t>
      </w:r>
    </w:p>
    <w:p>
      <w:pPr>
        <w:numPr>
          <w:ilvl w:val="0"/>
          <w:numId w:val="20"/>
        </w:numPr>
        <w:pStyle w:val="Para 004"/>
      </w:pPr>
      <w:r>
        <w:t>Thể hiện sự quan tâm và để ý đến người khác</w:t>
      </w:r>
    </w:p>
    <w:p>
      <w:pPr>
        <w:numPr>
          <w:ilvl w:val="0"/>
          <w:numId w:val="20"/>
        </w:numPr>
        <w:pStyle w:val="Para 004"/>
      </w:pPr>
      <w:r>
        <w:t>Được thúc đẩy bởi thành công của người khác</w:t>
      </w:r>
    </w:p>
    <w:p>
      <w:pPr>
        <w:numPr>
          <w:ilvl w:val="0"/>
          <w:numId w:val="20"/>
        </w:numPr>
        <w:pStyle w:val="Para 004"/>
      </w:pPr>
      <w:r>
        <w:t>Thực hành sự hòa nhập và coi trọng sự đa dạng</w:t>
      </w:r>
    </w:p>
    <w:p>
      <w:pPr>
        <w:numPr>
          <w:ilvl w:val="0"/>
          <w:numId w:val="20"/>
        </w:numPr>
        <w:pStyle w:val="Para 004"/>
      </w:pPr>
      <w:r>
        <w:t>Phát triển tầm nhìn chiến lược (strategic perspective)</w:t>
      </w:r>
    </w:p>
    <w:p>
      <w:pPr>
        <w:numPr>
          <w:ilvl w:val="0"/>
          <w:numId w:val="20"/>
        </w:numPr>
        <w:pStyle w:val="Para 004"/>
      </w:pPr>
      <w:r>
        <w:t>Đưa ra phản hồi và định hướng phát triển hiệu quả</w:t>
      </w:r>
    </w:p>
    <w:p>
      <w:pPr>
        <w:numPr>
          <w:ilvl w:val="0"/>
          <w:numId w:val="20"/>
        </w:numPr>
        <w:pStyle w:val="Para 004"/>
      </w:pPr>
      <w:r>
        <w:t>Truyền cảm hứng và tạo động lực cho người khác</w:t>
      </w:r>
    </w:p>
    <w:p>
      <w:pPr>
        <w:numPr>
          <w:ilvl w:val="0"/>
          <w:numId w:val="20"/>
        </w:numPr>
        <w:pStyle w:val="Para 004"/>
      </w:pPr>
      <w:r>
        <w:t>Đổi mới sáng tạo</w:t>
      </w:r>
    </w:p>
    <w:p>
      <w:pPr>
        <w:numPr>
          <w:ilvl w:val="0"/>
          <w:numId w:val="20"/>
        </w:numPr>
        <w:pStyle w:val="Para 004"/>
      </w:pPr>
      <w:r>
        <w:t>Đưa ra phần thưởng và sự ghi nhận</w:t>
      </w:r>
    </w:p>
    <w:p>
      <w:pPr>
        <w:numPr>
          <w:ilvl w:val="0"/>
          <w:numId w:val="20"/>
        </w:numPr>
        <w:pStyle w:val="Para 004"/>
      </w:pPr>
      <w:r>
        <w:t>Thể hiện sự trung thực và chính trực</w:t>
      </w:r>
    </w:p>
    <w:p>
      <w:pPr>
        <w:pStyle w:val="Para 033"/>
      </w:pPr>
      <w:r>
        <w:t>Hợp tác và thúc đẩy tinh thần làm việc nhóm</w:t>
      </w:r>
    </w:p>
    <w:p>
      <w:pPr>
        <w:numPr>
          <w:ilvl w:val="0"/>
          <w:numId w:val="21"/>
        </w:numPr>
        <w:pStyle w:val="Para 004"/>
      </w:pPr>
      <w:r>
        <w:t>Đáng tin cậy</w:t>
      </w:r>
    </w:p>
    <w:p>
      <w:pPr>
        <w:numPr>
          <w:ilvl w:val="0"/>
          <w:numId w:val="21"/>
        </w:numPr>
        <w:pStyle w:val="Para 004"/>
      </w:pPr>
      <w:r>
        <w:t>Xây dựng các mối quan hệ và mạng lưới</w:t>
      </w:r>
    </w:p>
    <w:p>
      <w:pPr>
        <w:numPr>
          <w:ilvl w:val="0"/>
          <w:numId w:val="21"/>
        </w:numPr>
        <w:pStyle w:val="Para 004"/>
      </w:pPr>
      <w:r>
        <w:t>Thực hành sự hòa nhập và coi trọng sự đa dạng</w:t>
      </w:r>
    </w:p>
    <w:p>
      <w:pPr>
        <w:numPr>
          <w:ilvl w:val="0"/>
          <w:numId w:val="21"/>
        </w:numPr>
        <w:pStyle w:val="Para 004"/>
      </w:pPr>
      <w:r>
        <w:t>Phát triển tầm nhìn chiến lược (strategic perspective)</w:t>
      </w:r>
    </w:p>
    <w:p>
      <w:pPr>
        <w:numPr>
          <w:ilvl w:val="0"/>
          <w:numId w:val="21"/>
        </w:numPr>
        <w:pStyle w:val="Para 004"/>
      </w:pPr>
      <w:r>
        <w:t>Đặt ra các mục tiêu đầy thách thức (stretch goals)</w:t>
      </w:r>
    </w:p>
    <w:p>
      <w:pPr>
        <w:numPr>
          <w:ilvl w:val="0"/>
          <w:numId w:val="21"/>
        </w:numPr>
        <w:pStyle w:val="Para 004"/>
      </w:pPr>
      <w:r>
        <w:t>Giao tiếp một cách mạnh mẽ và rộng khắp</w:t>
      </w:r>
    </w:p>
    <w:p>
      <w:pPr>
        <w:numPr>
          <w:ilvl w:val="0"/>
          <w:numId w:val="21"/>
        </w:numPr>
        <w:pStyle w:val="Para 004"/>
      </w:pPr>
      <w:r>
        <w:t>Thể hiện sự trung thực và chính trực</w:t>
      </w:r>
    </w:p>
    <w:p>
      <w:pPr>
        <w:numPr>
          <w:ilvl w:val="0"/>
          <w:numId w:val="21"/>
        </w:numPr>
        <w:pStyle w:val="Para 004"/>
      </w:pPr>
      <w:r>
        <w:t>Thích ứng với sự thay đổi</w:t>
      </w:r>
    </w:p>
    <w:p>
      <w:pPr>
        <w:numPr>
          <w:ilvl w:val="0"/>
          <w:numId w:val="21"/>
        </w:numPr>
        <w:pStyle w:val="Para 004"/>
      </w:pPr>
      <w:r>
        <w:t>Truyền cảm hứng và tạo động lực cho người khác</w:t>
      </w:r>
    </w:p>
    <w:p>
      <w:pPr>
        <w:numPr>
          <w:ilvl w:val="0"/>
          <w:numId w:val="21"/>
        </w:numPr>
        <w:pStyle w:val="Para 004"/>
      </w:pPr>
      <w:r>
        <w:t>Phát triển người khác</w:t>
      </w:r>
    </w:p>
    <w:p>
      <w:pPr>
        <w:pStyle w:val="Para 063"/>
      </w:pPr>
      <w:r>
        <w:t>Dẫn dắt sự thay đổi</w:t>
      </w:r>
    </w:p>
    <w:p>
      <w:pPr>
        <w:pStyle w:val="Para 033"/>
      </w:pPr>
      <w:r>
        <w:t>Phát triển tầm nhìn chiến lược (strategic perspective)</w:t>
      </w:r>
    </w:p>
    <w:p>
      <w:pPr>
        <w:numPr>
          <w:ilvl w:val="0"/>
          <w:numId w:val="22"/>
        </w:numPr>
        <w:pStyle w:val="Para 004"/>
      </w:pPr>
      <w:r>
        <w:t>Tập trung vào khách hàng</w:t>
      </w:r>
    </w:p>
    <w:p>
      <w:pPr>
        <w:numPr>
          <w:ilvl w:val="0"/>
          <w:numId w:val="22"/>
        </w:numPr>
        <w:pStyle w:val="Para 004"/>
      </w:pPr>
      <w:r>
        <w:t>Đổi mới sáng tạo</w:t>
      </w:r>
    </w:p>
    <w:p>
      <w:pPr>
        <w:numPr>
          <w:ilvl w:val="0"/>
          <w:numId w:val="22"/>
        </w:numPr>
        <w:pStyle w:val="Para 004"/>
      </w:pPr>
      <w:r>
        <w:t>Giải quyết vấn đề và phân tích tình huống</w:t>
      </w:r>
    </w:p>
    <w:p>
      <w:pPr>
        <w:numPr>
          <w:ilvl w:val="0"/>
          <w:numId w:val="22"/>
        </w:numPr>
        <w:pStyle w:val="Para 004"/>
      </w:pPr>
      <w:r>
        <w:t>Giao tiếp mạnh mẽ và rộng khắp</w:t>
      </w:r>
    </w:p>
    <w:p>
      <w:pPr>
        <w:numPr>
          <w:ilvl w:val="0"/>
          <w:numId w:val="22"/>
        </w:numPr>
        <w:pStyle w:val="Para 004"/>
      </w:pPr>
      <w:r>
        <w:t>Đặt ra các mục tiêu đầy thách thức (stretch goals)</w:t>
      </w:r>
    </w:p>
    <w:p>
      <w:pPr>
        <w:numPr>
          <w:ilvl w:val="0"/>
          <w:numId w:val="22"/>
        </w:numPr>
        <w:pStyle w:val="Para 004"/>
      </w:pPr>
      <w:r>
        <w:t>Thể hiện sự nhạy bén trong kinh doanh (business acumen)</w:t>
      </w:r>
    </w:p>
    <w:p>
      <w:pPr>
        <w:numPr>
          <w:ilvl w:val="0"/>
          <w:numId w:val="22"/>
        </w:numPr>
        <w:pStyle w:val="Para 004"/>
      </w:pPr>
      <w:r>
        <w:t>Tiên phong thúc đẩy thay đổi (champions change)</w:t>
      </w:r>
    </w:p>
    <w:p>
      <w:pPr>
        <w:numPr>
          <w:ilvl w:val="0"/>
          <w:numId w:val="22"/>
        </w:numPr>
        <w:pStyle w:val="Para 004"/>
      </w:pPr>
      <w:r>
        <w:t>Truyền cảm hứng và tạo động lực cho người khác</w:t>
      </w:r>
    </w:p>
    <w:p>
      <w:pPr>
        <w:pStyle w:val="Para 033"/>
      </w:pPr>
      <w:r>
        <w:t>Tiên phong thúc đẩy thay đổi (champions change)</w:t>
      </w:r>
    </w:p>
    <w:p>
      <w:pPr>
        <w:numPr>
          <w:ilvl w:val="0"/>
          <w:numId w:val="23"/>
        </w:numPr>
        <w:pStyle w:val="Para 004"/>
      </w:pPr>
      <w:r>
        <w:t>Truyền cảm hứng và tạo động lực cho người khác</w:t>
      </w:r>
    </w:p>
    <w:p>
      <w:pPr>
        <w:numPr>
          <w:ilvl w:val="0"/>
          <w:numId w:val="23"/>
        </w:numPr>
        <w:pStyle w:val="Para 004"/>
      </w:pPr>
      <w:r>
        <w:t>Xây dựng các mối quan hệ và mạng lưới</w:t>
      </w:r>
    </w:p>
    <w:p>
      <w:pPr>
        <w:numPr>
          <w:ilvl w:val="0"/>
          <w:numId w:val="23"/>
        </w:numPr>
        <w:pStyle w:val="Para 004"/>
      </w:pPr>
      <w:r>
        <w:t>Phát triển năng lực cho người khác</w:t>
      </w:r>
    </w:p>
    <w:p>
      <w:pPr>
        <w:numPr>
          <w:ilvl w:val="0"/>
          <w:numId w:val="23"/>
        </w:numPr>
        <w:pStyle w:val="Para 004"/>
      </w:pPr>
      <w:r>
        <w:t>Đưa ra phần thưởng và sự ghi nhận</w:t>
      </w:r>
    </w:p>
    <w:p>
      <w:pPr>
        <w:numPr>
          <w:ilvl w:val="0"/>
          <w:numId w:val="23"/>
        </w:numPr>
        <w:pStyle w:val="Para 004"/>
      </w:pPr>
      <w:r>
        <w:t>Thực hành sự hòa nhập và coi trọng sự đa dạng</w:t>
      </w:r>
    </w:p>
    <w:p>
      <w:pPr>
        <w:numPr>
          <w:ilvl w:val="0"/>
          <w:numId w:val="23"/>
        </w:numPr>
        <w:pStyle w:val="Para 004"/>
      </w:pPr>
      <w:r>
        <w:t>Đổi mới sáng tạo</w:t>
      </w:r>
    </w:p>
    <w:p>
      <w:pPr>
        <w:numPr>
          <w:ilvl w:val="0"/>
          <w:numId w:val="23"/>
        </w:numPr>
        <w:pStyle w:val="Para 004"/>
      </w:pPr>
      <w:r>
        <w:t>Tập trung vào kết quả</w:t>
      </w:r>
    </w:p>
    <w:p>
      <w:pPr>
        <w:numPr>
          <w:ilvl w:val="0"/>
          <w:numId w:val="23"/>
        </w:numPr>
        <w:pStyle w:val="Para 004"/>
      </w:pPr>
      <w:r>
        <w:t>Sẵn sàng chấp nhận rủi ro và thách thức hiện trạng</w:t>
      </w:r>
    </w:p>
    <w:p>
      <w:pPr>
        <w:numPr>
          <w:ilvl w:val="0"/>
          <w:numId w:val="23"/>
        </w:numPr>
        <w:pStyle w:val="Para 004"/>
      </w:pPr>
      <w:r>
        <w:t>Phát triển tầm nhìn chiến lược (strategic perspective)</w:t>
      </w:r>
    </w:p>
    <w:p>
      <w:pPr>
        <w:pStyle w:val="Para 033"/>
      </w:pPr>
      <w:r>
        <w:t>Kết nối nhóm với thế giới bên ngoài</w:t>
      </w:r>
    </w:p>
    <w:p>
      <w:pPr>
        <w:numPr>
          <w:ilvl w:val="0"/>
          <w:numId w:val="24"/>
        </w:numPr>
        <w:pStyle w:val="Para 004"/>
      </w:pPr>
      <w:r>
        <w:t>Phát triển góc nhìn rộng mở</w:t>
      </w:r>
    </w:p>
    <w:p>
      <w:pPr>
        <w:numPr>
          <w:ilvl w:val="0"/>
          <w:numId w:val="24"/>
        </w:numPr>
        <w:pStyle w:val="Para 004"/>
      </w:pPr>
      <w:r>
        <w:t>Phát triển tầm nhìn chiến lược (strategic perspective)</w:t>
      </w:r>
    </w:p>
    <w:p>
      <w:pPr>
        <w:numPr>
          <w:ilvl w:val="0"/>
          <w:numId w:val="24"/>
        </w:numPr>
        <w:pStyle w:val="Para 004"/>
      </w:pPr>
      <w:r>
        <w:t>Truyền cảm hứng và tạo động lực cho người khác</w:t>
      </w:r>
    </w:p>
    <w:p>
      <w:pPr>
        <w:numPr>
          <w:ilvl w:val="0"/>
          <w:numId w:val="24"/>
        </w:numPr>
        <w:pStyle w:val="Para 004"/>
      </w:pPr>
      <w:r>
        <w:t>Có kỹ năng giao tiếp liên nhân cách (interpersonal skills) tốt</w:t>
      </w:r>
    </w:p>
    <w:p>
      <w:pPr>
        <w:numPr>
          <w:ilvl w:val="0"/>
          <w:numId w:val="24"/>
        </w:numPr>
        <w:pStyle w:val="Para 004"/>
      </w:pPr>
      <w:r>
        <w:t>Chủ động nắm bắt cơ hội</w:t>
      </w:r>
    </w:p>
    <w:p>
      <w:pPr>
        <w:numPr>
          <w:ilvl w:val="0"/>
          <w:numId w:val="24"/>
        </w:numPr>
        <w:pStyle w:val="Para 004"/>
      </w:pPr>
      <w:r>
        <w:t>Thu thập và tiếp thu thông tin</w:t>
      </w:r>
    </w:p>
    <w:p>
      <w:pPr>
        <w:numPr>
          <w:ilvl w:val="0"/>
          <w:numId w:val="24"/>
        </w:numPr>
        <w:pStyle w:val="Para 004"/>
      </w:pPr>
      <w:r>
        <w:t>Tiên phong thúc đẩy thay đổi (champions change)</w:t>
      </w:r>
    </w:p>
    <w:p>
      <w:pPr>
        <w:numPr>
          <w:ilvl w:val="0"/>
          <w:numId w:val="24"/>
        </w:numPr>
        <w:pStyle w:val="Para 004"/>
      </w:pPr>
      <w:r>
        <w:t>Giao tiếp mạnh mẽ và rộng khắp</w:t>
      </w:r>
    </w:p>
    <w:p>
      <w:pPr>
        <w:pStyle w:val="Para 003"/>
      </w:pPr>
      <w:r>
        <w:t>Hãy xem xét năng lực cốt lõi “thể hiện sự trung thực và chính trực.” Một nhà lãnh đạo sẽ cải thiện một điểm mạnh tương đối trong lĩnh vực này bằng cách nào? Bằng cách trung thực hơn ư? (Chúng tôi đã nghe câu trả lời đó cho câu hỏi này rất nhiều lần rồi.) Đó không phải là lời khuyên hữu ích cho lắm. Nếu một nhà điều hành yếu ở lĩnh vực này, chúng tôi có thể đề xuất nhiều cách khác nhau để cải thiện: Hãy hành xử nhất quán hơn, tránh nói một đằng làm một nẻo, thực hiện đúng những cam kết đã đưa ra, v.v. Nhưng một nhà lãnh đạo có tính chính trực cao rất có thể đã và đang làm những điều đó rồi.</w:t>
      </w:r>
    </w:p>
    <w:p>
      <w:pPr>
        <w:pStyle w:val="Para 003"/>
      </w:pPr>
      <w:r>
        <w:t>Nghiên cứu về năng lực bổ trợ (competency-companion) của chúng tôi gợi ý một hướng đi thực tế. Ví dụ, sự quyết đoán (assertiveness) nằm trong số những hành vi mà khi kết hợp với sự trung thực và chính trực có mối tương quan mạnh nhất với mức độ hiệu quả lãnh đạo tổng thể cao. Chúng tôi không có ý ám chỉ mối quan hệ nhân quả ở đây: Sự quyết đoán không làm cho ai đó trở nên trung thực, và sự chính trực không tạo ra sự quyết đoán. Nhưng nếu một nhà lãnh đạo có nguyên tắc cao học cách trở nên quyết đoán hơn, anh ta có thể sẽ lên tiếng và hành động với lòng can đảm theo niềm tin của mình nhiều hơn, từ đó áp dụng điểm mạnh của mình rộng rãi hơn hoặc thường xuyên hơn để trở thành một nhà lãnh đạo hiệu quả hơn.</w:t>
      </w:r>
    </w:p>
    <w:p>
      <w:pPr>
        <w:pStyle w:val="Para 003"/>
      </w:pPr>
      <w:r>
        <w:t>Dữ liệu của chúng tôi gợi ý những cách khác mà một năng lực bổ trợ có thể củng cố một điểm mạnh lãnh đạo. Nó có thể làm cho điểm mạnh trở nên rõ ràng hơn, như trong trường hợp nhà lãnh đạo giỏi kỹ thuật cải thiện khả năng giao tiếp của mình. Hoặc các kỹ năng học được khi phát triển năng lực bổ trợ có thể được áp dụng một cách hiệu quả cho năng lực chính. Chẳng hạn, một nhà lãnh đạo mạnh về sự đổi mới có thể học cách tiên phong thúc đẩy thay đổi, từ đó khuyến khích nhóm của mình đạt được kết quả theo những cách mới mẻ và sáng tạo hơn.</w:t>
      </w:r>
    </w:p>
    <w:p>
      <w:pPr>
        <w:pStyle w:val="Para 011"/>
      </w:pPr>
      <w:r>
        <w:bookmarkStart w:id="300" w:name="page_29"/>
        <w:t>Xây dựng điểm mạnh, từng bước một</w:t>
        <w:bookmarkEnd w:id="300"/>
        <w:t/>
      </w:r>
    </w:p>
    <w:p>
      <w:pPr>
        <w:pStyle w:val="Para 016"/>
      </w:pPr>
      <w:r>
        <w:t>Về mặt thực tiễn, việc rèn luyện chéo (cross-training) cho các kỹ năng lãnh đạo rất rõ ràng: (1) Xác định điểm mạnh của bạn. (2) Chọn một điểm mạnh để tập trung dựa trên tầm quan trọng của nó đối với tổ chức và mức độ đam mê của bạn dành cho nó. (3) Chọn một hành vi bổ trợ mà bạn muốn nâng cao. (4) Phát triển nó theo cách tuần tự.</w:t>
      </w:r>
    </w:p>
    <w:p>
      <w:pPr>
        <w:pStyle w:val="Para 023"/>
      </w:pPr>
      <w:r>
        <w:t>Xác định điểm mạnh của bạn</w:t>
      </w:r>
    </w:p>
    <w:p>
      <w:pPr>
        <w:pStyle w:val="Para 003"/>
      </w:pPr>
      <w:r>
        <w:t>Có thể nói điểm mạnh có thể được xác định bằng nhiều cách khác nhau. Nhưng chúng tôi cho rằng trong bối cảnh lãnh đạo hiệu quả, cách bạn nhìn nhận bản thân (hoặc thậm chí một góc nhìn hoàn toàn khách quan nào đó, giả sử có thể có) ít quan trọng hơn cách người khác nhìn nhận bạn, bởi vì lãnh đạo suy cho cùng là tác động của bạn lên người khác. Đó là lý do chúng tôi bắt đầu bằng đánh giá 360 độ — như Tom đã làm.</w:t>
      </w:r>
    </w:p>
    <w:p>
      <w:pPr>
        <w:pStyle w:val="Para 003"/>
      </w:pPr>
      <w:r>
        <w:t>Lý tưởng nhất, bạn nên thực hiện việc này theo cách đảm bảo giá trị tâm lý học (psychometrically valid), thông qua một quy trình chính thức trong đó bạn và cấp dưới trực tiếp, đồng nghiệp, và sếp của bạn điền ẩn danh các bảng câu hỏi xếp hạng các phẩm chất lãnh đạo của bạn trên thang điểm định lượng. Bạn và họ cũng nên trả lời một số câu hỏi định tính, mở liên quan đến điểm mạnh của bạn, những điểm yếu chí mạng (nếu có), và tầm quan trọng tương đối của những phẩm chất đó đối với công ty. Khi nói “điểm yếu chí mạng”, chúng tôi muốn nói đến những điểm yếu nghiêm trọng đến mức có thể lấn át bất kỳ điểm mạnh nào bạn đang có hoặc có thể phát triển — những điểm yếu có thể làm chệch hướng sự nghiệp của bạn.</w:t>
      </w:r>
    </w:p>
    <w:p>
      <w:pPr>
        <w:pStyle w:val="Para 003"/>
      </w:pPr>
      <w:r>
        <w:t xml:space="preserve">Không phải tổ chức nào cũng có thể hoặc sẵn lòng thực hiện đánh giá 360 độ cho tất cả mọi người. Vậy nên nếu điều đó không khả thi, bạn có thể thu thập dữ liệu định tính từ đồng nghiệp nếu — và đây là một lưu ý lớn — bạn có thể khiến họ cảm thấy đủ thoải mái để thành thật trong phản hồi của mình. Bạn có thể tự tạo biểu mẫu phản hồi và nhờ mọi người gửi lại ẩn danh. (Xem khung “Đánh giá 360 độ không chính thức” để tham khảo bộ câu hỏi gợi ý.) Chúng tôi cũng từng thấy những cuộc trò chuyện một-một chân thành có hiệu quả cho mục đích này; ít nhất thì chúng cho đồng nghiệp thấy rằng bạn thực sự quan tâm đến việc hoàn thiện bản thân. (Tuy nhiên, khó có ai sẽ nói thẳng với bạn nếu bạn có điểm yếu chí mạng.)</w:t>
      </w:r>
      <w:hyperlink w:anchor="page_30">
        <w:r>
          <w:rPr>
            <w:rStyle w:val="Text1"/>
          </w:rPr>
          <w:t/>
        </w:r>
      </w:hyperlink>
      <w:r>
        <w:t xml:space="preserve"/>
      </w:r>
    </w:p>
    <w:p>
      <w:pPr>
        <w:pStyle w:val="Para 054"/>
      </w:pPr>
      <w:r>
        <w:bookmarkStart w:id="301" w:name="page_30"/>
        <w:t>Đánh giá 360 độ không chính thức</w:t>
        <w:bookmarkEnd w:id="301"/>
        <w:t/>
      </w:r>
    </w:p>
    <w:p>
      <w:pPr>
        <w:pStyle w:val="Para 020"/>
      </w:pPr>
      <w:r>
        <w:rPr>
          <w:rStyle w:val="Text3"/>
        </w:rPr>
        <w:t>TRƯỚC KHI BẠN CÓ THỂ PHÁT HUY ĐIỂM MẠNH CỦA MÌNH, bạn cần một góc nhìn khách quan về việc chúng là gì. Lý tưởng nhất, điều này đến từ một đánh giá 360 độ chính thức và bảo mật. Nhưng nếu điều đó không khả thi, một cách tiếp cận trực tiếp có thể hiệu quả. Hãy thử đơn giản hỏi các thành viên trong nhóm, đồng nghiệp, và sếp của bạn những câu hỏi đơn giản sau, trực tiếp hoặc bằng văn bản.</w:t>
      </w:r>
      <w:r>
        <w:t/>
      </w:r>
    </w:p>
    <w:p>
      <w:pPr>
        <w:numPr>
          <w:ilvl w:val="0"/>
          <w:numId w:val="25"/>
        </w:numPr>
        <w:pStyle w:val="Para 004"/>
      </w:pPr>
      <w:r>
        <w:t>Kỹ năng lãnh đạo nào bạn nghĩ là điểm mạnh của tôi?</w:t>
      </w:r>
    </w:p>
    <w:p>
      <w:pPr>
        <w:numPr>
          <w:ilvl w:val="0"/>
          <w:numId w:val="25"/>
        </w:numPr>
        <w:pStyle w:val="Para 004"/>
      </w:pPr>
      <w:r>
        <w:t>Có điều gì tôi làm có thể bị coi là điểm yếu chí mạng — có thể làm chệch hướng sự nghiệp của tôi hoặc khiến tôi thất bại trong công việc hiện tại nếu không được giải quyết không?</w:t>
      </w:r>
    </w:p>
    <w:p>
      <w:pPr>
        <w:numPr>
          <w:ilvl w:val="0"/>
          <w:numId w:val="25"/>
        </w:numPr>
        <w:pStyle w:val="Para 004"/>
      </w:pPr>
      <w:r>
        <w:t>Khả năng lãnh đạo nào, nếu xuất sắc, sẽ có tác động đáng kể nhất đến năng suất hoặc hiệu quả của tổ chức?</w:t>
      </w:r>
    </w:p>
    <w:p>
      <w:pPr>
        <w:numPr>
          <w:ilvl w:val="0"/>
          <w:numId w:val="25"/>
        </w:numPr>
        <w:pStyle w:val="Para 004"/>
      </w:pPr>
      <w:r>
        <w:t>Những khả năng lãnh đạo nào của tôi có tác động đáng kể nhất đến bạn?</w:t>
      </w:r>
    </w:p>
    <w:p>
      <w:pPr>
        <w:pStyle w:val="Para 020"/>
      </w:pPr>
      <w:r>
        <w:t>Hãy cố gắng hết sức thể hiện sự cởi mở và tạo cảm giác an toàn (đặc biệt với cấp dưới trực tiếp). Hãy nói rõ rằng bạn đang tìm kiếm sự hoàn thiện bản thân. Nói thẳng với đồng nghiệp rằng bạn sẵn sàng đón nhận phản hồi tiêu cực và sẽ tiếp thu một cách chuyên nghiệp, phù hợp — và không trả đũa. Tất nhiên, bạn cần thực hiện đúng lời hứa này, nếu không toàn bộ quá trình sẽ thất bại.</w:t>
      </w:r>
    </w:p>
    <w:p>
      <w:pPr>
        <w:pStyle w:val="Para 003"/>
      </w:pPr>
      <w:r>
        <w:t>Khi diễn giải kết quả, mọi người thường tập trung trước tiên vào những điểm số thấp nhất của mình. Nhưng trừ khi những điểm đó cực kỳ thấp (ở phân vị thứ 10), đó là một sai lầm. (Chúng tôi phát hiện rằng 20% nhà điều hành thường thực sự phát hiện ra một vấn đề nghiêm trọng như vậy trong đánh giá 360 độ của họ; nếu bạn nằm trong số đó, bạn phải khắc phục điểm yếu đó, và bạn có thể làm điều đó theo cách tuyến tính.)</w:t>
      </w:r>
    </w:p>
    <w:p>
      <w:pPr>
        <w:pStyle w:val="Para 003"/>
      </w:pPr>
      <w:r>
        <w:t xml:space="preserve">Điều khiến các nhà lãnh đạo trở nên không thể thiếu đối với tổ chức của họ, dữ liệu của chúng tôi cho thấy rõ ràng, không phải là giỏi nhiều thứ mà là xuất sắc một cách độc đáo ở một vài thứ. Những điểm mạnh như vậy cho phép những điểm yếu không thể tránh khỏi của một nhà lãnh đạo được bỏ qua. Các nhà điều hành trong cơ sở dữ liệu của chúng tôi không thể hiện điểm mạnh sâu sắc nào (tức là ở phân vị thứ 90) chỉ đạt trung bình phân vị thứ 34 về hiệu quả lãnh đạo tổng thể. Nhưng nếu họ có chỉ một điểm mạnh xuất sắc, điểm hiệu quả lãnh đạo tổng thể của họ tăng lên trung bình phân vị thứ 64. Nói cách khác, sự khác biệt giữa việc nằm ở một phần ba dưới cùng của các nhà lãnh đạo và gần như ở một phần ba trên cùng là một điểm mạnh phi thường duy nhất. Hai điểm mạnh sâu sắc đưa các nhà lãnh đạo đến gần nhóm tứ phân vị trên cùng, ba điểm đưa họ vào nhóm ngũ phân vị trên cùng, và bốn điểm đưa họ gần như vào nhóm thập phân vị trên cùng. (Xem biểu đồ “Một điểm mạnh duy nhất có thể tạo ra khác biệt gì?”)</w:t>
      </w:r>
      <w:hyperlink w:anchor="page_31">
        <w:r>
          <w:rPr>
            <w:rStyle w:val="Text1"/>
          </w:rPr>
          <w:t/>
        </w:r>
      </w:hyperlink>
      <w:r>
        <w:t/>
      </w:r>
    </w:p>
    <w:p>
      <w:pPr>
        <w:pStyle w:val="Para 057"/>
      </w:pPr>
      <w:r>
        <w:bookmarkStart w:id="302" w:name="page_31"/>
        <w:t>Một điểm mạnh duy nhất có thể tạo ra khác biệt gì?</w:t>
        <w:bookmarkEnd w:id="302"/>
        <w:t/>
      </w:r>
    </w:p>
    <w:p>
      <w:pPr>
        <w:pStyle w:val="Para 058"/>
      </w:pPr>
      <w:r>
        <w:t>Chỉ cần nâng một năng lực lên mức xuất sắc có thể đưa thứ hạng hiệu quả lãnh đạo tổng thể của bạn từ một phần ba dưới cùng lên gần một phần ba trên cùng.</w:t>
      </w:r>
    </w:p>
    <w:p>
      <w:pPr>
        <w:pStyle w:val="Para 085"/>
      </w:pPr>
      <w:r>
        <w:drawing>
          <wp:anchor distL="0" distR="0" distT="0" distB="0" simplePos="0" relativeHeight="1" behindDoc="0" locked="0" layoutInCell="1" allowOverlap="1">
            <wp:simplePos x="0" y="0"/>
            <wp:positionH relativeFrom="margin">
              <wp:align>center</wp:align>
            </wp:positionH>
            <wp:positionV relativeFrom="line">
              <wp:align>top</wp:align>
            </wp:positionV>
            <wp:extent cx="1778000" cy="3975100"/>
            <wp:effectExtent l="0" r="0" t="0" b="0"/>
            <wp:wrapTopAndBottom/>
            <wp:docPr id="20" name="pg41.jpg" descr="image"/>
            <wp:cNvGraphicFramePr>
              <a:graphicFrameLocks noChangeAspect="1"/>
            </wp:cNvGraphicFramePr>
            <a:graphic>
              <a:graphicData uri="http://schemas.openxmlformats.org/drawingml/2006/picture">
                <pic:pic>
                  <pic:nvPicPr>
                    <pic:cNvPr id="0" name="pg41.jpg" descr="image"/>
                    <pic:cNvPicPr/>
                  </pic:nvPicPr>
                  <pic:blipFill>
                    <a:blip r:embed="rId21"/>
                    <a:stretch>
                      <a:fillRect/>
                    </a:stretch>
                  </pic:blipFill>
                  <pic:spPr>
                    <a:xfrm>
                      <a:off x="0" y="0"/>
                      <a:ext cx="1778000" cy="3975100"/>
                    </a:xfrm>
                    <a:prstGeom prst="rect">
                      <a:avLst/>
                    </a:prstGeom>
                  </pic:spPr>
                </pic:pic>
              </a:graphicData>
            </a:graphic>
          </wp:anchor>
        </w:drawing>
      </w:r>
    </w:p>
    <w:p>
      <w:pPr>
        <w:pStyle w:val="Para 003"/>
      </w:pPr>
      <w:r>
        <w:t xml:space="preserve">Trong bối cảnh này, việc xem xét kết quả 360 độ của Tom làm sáng tỏ câu hỏi vì sao anh bị bỏ qua cho một nhiệm vụ hấp dẫn. Tom không có điểm yếu chí mạng nào, nhưng anh cũng chưa thể hiện được điểm mạnh xuất sắc nào. Không có điểm mạnh nào trên phân vị thứ 70, anh không đạt mức “tốt”, chứ đừng nói đến “xuất sắc”, về khả năng lãnh đạo tổng thể. Bất kỳ ai trong tổ chức có một điểm mạnh đáng chú ý duy nhất đều có khả năng vượt qua anh về cơ hội thăng tiến. Nhưng nếu Tom có thể nâng chỉ một vài điểm mạnh tương đối của mình từ phân vị thứ 70 lên thứ 80 rồi thứ 90, hiệu quả lãnh đạo tổng thể của anh có thể đi từ trên trung bình đến tốt rồi xuất sắc. Rõ ràng, những điểm mạnh đó xứng đáng được xem xét kỹ hơn.</w:t>
        <w:bookmarkStart w:id="303" w:name="page_32"/>
        <w:t/>
        <w:bookmarkEnd w:id="303"/>
        <w:t/>
      </w:r>
    </w:p>
    <w:p>
      <w:pPr>
        <w:pStyle w:val="Para 003"/>
      </w:pPr>
      <w:r>
        <w:t>Tuy nhiên, giống như nhiều người, ban đầu Tom bị kích động bởi những cột thấp trên biểu đồ của mình, điều gợi lên một hỗn hợp cảm giác tội lỗi và phủ nhận. Điểm tương đối thấp của anh về xây dựng mối quan hệ gợi lại những ký ức khó chịu thời trung học — điều anh không đề cập khi xem xét kết quả cùng sếp. Nhưng anh có nói rằng anh không thể tin mình không được chấm điểm cao hơn về tính đổi mới, và anh bắt đầu liệt kê những sáng kiến mà anh cảm thấy mình xứng đáng được ghi nhận. Có thể anh có tính đổi mới, và có thể không. Việc tự đánh giá của bạn khác biệt rõ rệt so với đánh giá của mọi người về bạn là chuyện thường thấy. Nhưng hãy nhớ rằng ý kiến của người khác mới là điều quan trọng.</w:t>
      </w:r>
    </w:p>
    <w:p>
      <w:pPr>
        <w:pStyle w:val="Para 003"/>
      </w:pPr>
      <w:r>
        <w:t>Khi Tom thực sự chuyển sự chú ý sang các điểm mạnh của mình, anh không ngạc nhiên khi thấy mình đạt điểm cao ở việc tập trung vào kết quả và giải quyết vấn đề, phân tích tình huống. Ít rõ ràng hơn với anh, và có lẽ đáng mừng hơn, là những điểm tương đối cao của anh trong việc phát triển tầm nhìn chiến lược và truyền cảm hứng, thúc đẩy người khác. Giờ anh có thể chuyển sang bước tiếp theo.</w:t>
      </w:r>
    </w:p>
    <w:p>
      <w:pPr>
        <w:pStyle w:val="Para 011"/>
      </w:pPr>
      <w:r>
        <w:t>Chọn một điểm mạnh để tập trung</w:t>
      </w:r>
    </w:p>
    <w:p>
      <w:pPr>
        <w:pStyle w:val="Para 016"/>
      </w:pPr>
      <w:r>
        <w:t>Lựa chọn giữa tốt và xấu thì dễ. Nhưng lựa chọn giữa tốt và tốt khiến chúng ta phải cân nhắc và nghi ngờ bản thân. Có thể không quan trọng Tom chọn năng lực nào, vì việc nâng cao bất kỳ năng lực nào trong số đó cũng sẽ cải thiện rõ rệt hiệu quả lãnh đạo của anh. Tuy nhiên, chúng tôi khuyến nghị các nhà lãnh đạo đang phát triển nên tập trung vào một năng lực quan trọng với tổ chức và khiến họ cảm thấy đam mê, bởi vì một điểm mạnh bạn đam mê nhưng không quan trọng với tổ chức về cơ bản chỉ là sở thích cá nhân, và một điểm mạnh tổ chức cần nhưng bạn không đam mê chỉ là việc vặt.</w:t>
      </w:r>
    </w:p>
    <w:p>
      <w:pPr>
        <w:pStyle w:val="Para 003"/>
      </w:pPr>
      <w:r>
        <w:t>Bạn có thể dùng xếp hạng tầm quan trọng của đồng nghiệp từ đánh giá 360 độ để có góc nhìn tương đối khách quan về nhu cầu của tổ chức. Nhưng viễn cảnh theo đuổi đam mê khiến Tom lo lắng, vì anh không biết bắt đầu từ đâu. Việc trả lời một loạt câu hỏi khiến khái niệm này trở nên cụ thể hơn. Với mỗi trong 16 năng lực, anh xem xét danh sách sau:</w:t>
      </w:r>
    </w:p>
    <w:p>
      <w:pPr>
        <w:numPr>
          <w:ilvl w:val="0"/>
          <w:numId w:val="26"/>
        </w:numPr>
        <w:pStyle w:val="Para 003"/>
      </w:pPr>
      <w:r>
        <w:t>Tôi có tìm cách để nâng cao kỹ năng này không?</w:t>
      </w:r>
    </w:p>
    <w:p>
      <w:pPr>
        <w:numPr>
          <w:ilvl w:val="0"/>
          <w:numId w:val="26"/>
        </w:numPr>
        <w:pStyle w:val="Para 003"/>
      </w:pPr>
      <w:r>
        <w:bookmarkStart w:id="304" w:name="page_33"/>
        <w:t>Tôi có tìm những cách mới để sử dụng nó không?</w:t>
        <w:bookmarkEnd w:id="304"/>
        <w:t/>
      </w:r>
    </w:p>
    <w:p>
      <w:pPr>
        <w:numPr>
          <w:ilvl w:val="0"/>
          <w:numId w:val="26"/>
        </w:numPr>
        <w:pStyle w:val="Para 003"/>
      </w:pPr>
      <w:r>
        <w:t>Tôi có cảm thấy tràn đầy năng lượng, không kiệt sức, khi sử dụng nó không?</w:t>
      </w:r>
    </w:p>
    <w:p>
      <w:pPr>
        <w:numPr>
          <w:ilvl w:val="0"/>
          <w:numId w:val="26"/>
        </w:numPr>
        <w:pStyle w:val="Para 003"/>
      </w:pPr>
      <w:r>
        <w:t>Tôi có theo đuổi các dự án mà tôi có thể áp dụng điểm mạnh này không?</w:t>
      </w:r>
    </w:p>
    <w:p>
      <w:pPr>
        <w:numPr>
          <w:ilvl w:val="0"/>
          <w:numId w:val="26"/>
        </w:numPr>
        <w:pStyle w:val="Para 003"/>
      </w:pPr>
      <w:r>
        <w:t>Tôi có thể tưởng tượng việc dành thời gian để cải thiện nó không?</w:t>
      </w:r>
    </w:p>
    <w:p>
      <w:pPr>
        <w:numPr>
          <w:ilvl w:val="0"/>
          <w:numId w:val="26"/>
        </w:numPr>
        <w:pStyle w:val="Para 003"/>
      </w:pPr>
      <w:r>
        <w:t>Tôi có thích việc trở nên giỏi hơn ở kỹ năng này không?</w:t>
      </w:r>
    </w:p>
    <w:p>
      <w:pPr>
        <w:pStyle w:val="Para 003"/>
      </w:pPr>
      <w:r>
        <w:t xml:space="preserve">Việc đếm số câu trả lời “có” cho Tom một cách chắc chắn để định lượng đam mê của mình. Một bảng tính đơn giản cho anh thấy các kỹ năng, đam mê, và nhu cầu của tổ chức khớp nối với nhau như thế nào (xem biểu đồ “Thu hẹp các lựa chọn”). Khi Tom đánh dấu năm năng lực hàng đầu, năm đam mê của mình, và các ưu tiên hàng đầu của tổ chức, anh có thể thấy một sự hội tụ rõ ràng. Anh quyết định tập trung vào điểm mạnh mà, thật trùng hợp, chúng tôi nhận thấy có liên hệ phổ quát nhất với khả năng lãnh đạo phi thường: “truyền cảm hứng và thúc đẩy người khác.”</w:t>
      </w:r>
      <w:hyperlink w:anchor="Narrowing_down_the_options">
        <w:r>
          <w:rPr>
            <w:rStyle w:val="Text1"/>
          </w:rPr>
          <w:t/>
        </w:r>
      </w:hyperlink>
      <w:r>
        <w:t/>
      </w:r>
    </w:p>
    <w:p>
      <w:bookmarkStart w:id="305" w:name="Narrowing_down_the_options"/>
      <w:pPr>
        <w:pStyle w:val="Para 057"/>
      </w:pPr>
      <w:r>
        <w:t>Thu hẹp các lựa chọn</w:t>
      </w:r>
      <w:bookmarkEnd w:id="305"/>
    </w:p>
    <w:p>
      <w:pPr>
        <w:pStyle w:val="Para 058"/>
      </w:pPr>
      <w:r>
        <w:t>Điểm mạnh bạn tập trung vào nên vừa quan trọng với tổ chức vừa quan trọng với bạn. Một bảng tính đơn giản (như của Tom, bên dưới) có thể giúp bạn thấy nơi các điểm mạnh, sở thích của bạn và nhu cầu của tổ chức hội tụ. Hãy chọn năm năng lực trong mỗi trong ba hạng mục.</w:t>
      </w:r>
    </w:p>
    <w:p>
      <w:pPr>
        <w:pStyle w:val="Para 072"/>
      </w:pPr>
      <w:r>
        <w:drawing>
          <wp:anchor distL="0" distR="0" distT="0" distB="0" simplePos="0" relativeHeight="1" behindDoc="0" locked="0" layoutInCell="1" allowOverlap="1">
            <wp:simplePos x="0" y="0"/>
            <wp:positionH relativeFrom="margin">
              <wp:align>center</wp:align>
            </wp:positionH>
            <wp:positionV relativeFrom="line">
              <wp:align>top</wp:align>
            </wp:positionV>
            <wp:extent cx="4749800" cy="5562600"/>
            <wp:effectExtent l="0" r="0" t="0" b="0"/>
            <wp:wrapTopAndBottom/>
            <wp:docPr id="21" name="pg44.png" descr="image"/>
            <wp:cNvGraphicFramePr>
              <a:graphicFrameLocks noChangeAspect="1"/>
            </wp:cNvGraphicFramePr>
            <a:graphic>
              <a:graphicData uri="http://schemas.openxmlformats.org/drawingml/2006/picture">
                <pic:pic>
                  <pic:nvPicPr>
                    <pic:cNvPr id="0" name="pg44.png" descr="image"/>
                    <pic:cNvPicPr/>
                  </pic:nvPicPr>
                  <pic:blipFill>
                    <a:blip r:embed="rId22"/>
                    <a:stretch>
                      <a:fillRect/>
                    </a:stretch>
                  </pic:blipFill>
                  <pic:spPr>
                    <a:xfrm>
                      <a:off x="0" y="0"/>
                      <a:ext cx="4749800" cy="5562600"/>
                    </a:xfrm>
                    <a:prstGeom prst="rect">
                      <a:avLst/>
                    </a:prstGeom>
                  </pic:spPr>
                </pic:pic>
              </a:graphicData>
            </a:graphic>
          </wp:anchor>
        </w:drawing>
      </w:r>
    </w:p>
    <w:p>
      <w:pPr>
        <w:pStyle w:val="Para 023"/>
      </w:pPr>
      <w:r>
        <w:t>Chọn một hành vi bổ trợ</w:t>
      </w:r>
    </w:p>
    <w:p>
      <w:pPr>
        <w:pStyle w:val="Para 003"/>
      </w:pPr>
      <w:r>
        <w:t>Những người giỏi tạo động lực cho người khác thường rất thuyết phục trong việc khiến người khác hành động và nỗ lực hết mình. Họ sử dụng quyền lực một cách hiệu quả để tác động đến những quyết định quan trọng vì lợi ích của tổ chức. Họ biết cách tạo động lực cho những người khác nhau theo những cách khác nhau. Vì vậy, không có gì ngạc nhiên khi Tom đã làm những điều đó khá tốt. Anh ấy xem qua danh sách các năng lực đồng hành (competency companions):</w:t>
      </w:r>
    </w:p>
    <w:p>
      <w:pPr>
        <w:numPr>
          <w:ilvl w:val="0"/>
          <w:numId w:val="27"/>
        </w:numPr>
        <w:pStyle w:val="Para 003"/>
      </w:pPr>
      <w:r>
        <w:t>Kết nối cảm xúc với người khác</w:t>
      </w:r>
    </w:p>
    <w:p>
      <w:pPr>
        <w:numPr>
          <w:ilvl w:val="0"/>
          <w:numId w:val="27"/>
        </w:numPr>
        <w:pStyle w:val="Para 003"/>
      </w:pPr>
      <w:r>
        <w:t>Đặt ra các mục tiêu vươn xa (stretch goals)</w:t>
      </w:r>
    </w:p>
    <w:p>
      <w:pPr>
        <w:numPr>
          <w:ilvl w:val="0"/>
          <w:numId w:val="27"/>
        </w:numPr>
        <w:pStyle w:val="Para 003"/>
      </w:pPr>
      <w:r>
        <w:t>Thể hiện tầm nhìn và định hướng rõ ràng</w:t>
      </w:r>
    </w:p>
    <w:p>
      <w:pPr>
        <w:numPr>
          <w:ilvl w:val="0"/>
          <w:numId w:val="27"/>
        </w:numPr>
        <w:pStyle w:val="Para 003"/>
      </w:pPr>
      <w:r>
        <w:t>Giao tiếp mạnh mẽ và rộng khắp</w:t>
      </w:r>
    </w:p>
    <w:p>
      <w:pPr>
        <w:numPr>
          <w:ilvl w:val="0"/>
          <w:numId w:val="27"/>
        </w:numPr>
        <w:pStyle w:val="Para 003"/>
      </w:pPr>
      <w:r>
        <w:t>Phát triển người khác</w:t>
      </w:r>
    </w:p>
    <w:p>
      <w:pPr>
        <w:numPr>
          <w:ilvl w:val="0"/>
          <w:numId w:val="27"/>
        </w:numPr>
        <w:pStyle w:val="Para 003"/>
      </w:pPr>
      <w:r>
        <w:t>Hợp tác và thúc đẩy tinh thần làm việc nhóm</w:t>
      </w:r>
    </w:p>
    <w:p>
      <w:pPr>
        <w:numPr>
          <w:ilvl w:val="0"/>
          <w:numId w:val="27"/>
        </w:numPr>
        <w:pStyle w:val="Para 003"/>
      </w:pPr>
      <w:r>
        <w:t>Nuôi dưỡng sự đổi mới</w:t>
      </w:r>
    </w:p>
    <w:p>
      <w:pPr>
        <w:numPr>
          <w:ilvl w:val="0"/>
          <w:numId w:val="27"/>
        </w:numPr>
        <w:pStyle w:val="Para 003"/>
      </w:pPr>
      <w:r>
        <w:t>Chủ động hành động</w:t>
      </w:r>
    </w:p>
    <w:p>
      <w:pPr>
        <w:numPr>
          <w:ilvl w:val="0"/>
          <w:numId w:val="27"/>
        </w:numPr>
        <w:pStyle w:val="Para 003"/>
      </w:pPr>
      <w:r>
        <w:t>Tiên phong cho sự thay đổi</w:t>
      </w:r>
    </w:p>
    <w:p>
      <w:pPr>
        <w:numPr>
          <w:ilvl w:val="0"/>
          <w:numId w:val="27"/>
        </w:numPr>
        <w:pStyle w:val="Para 003"/>
      </w:pPr>
      <w:r>
        <w:bookmarkStart w:id="306" w:name="page_34"/>
        <w:t>Là hình mẫu mạnh mẽ</w:t>
        <w:bookmarkEnd w:id="306"/>
        <w:t/>
      </w:r>
    </w:p>
    <w:p>
      <w:pPr>
        <w:pStyle w:val="Para 003"/>
      </w:pPr>
      <w:r>
        <w:t>Bạn nên chọn một hành vi bổ trợ mà, giống như một điểm mạnh tốt, quan trọng với tổ chức và khiến bạn cảm thấy hào hứng khi giải quyết nó. Nhưng ở thời điểm này, cũng nên cân nhắc đến những điểm số thấp hơn của bạn. Khi trao đổi những điểm này với quản lý của mình, Tom quyết định cải thiện kỹ năng giao tiếp, vốn không đạt điểm quá cao nhưng đủ cao để chỉ cần nâng lên một chút cũng có thể tạo ra khác biệt đáng kể.</w:t>
        <w:bookmarkStart w:id="307" w:name="page_35"/>
        <w:t/>
        <w:bookmarkEnd w:id="307"/>
        <w:t/>
      </w:r>
    </w:p>
    <w:p>
      <w:pPr>
        <w:pStyle w:val="Para 023"/>
      </w:pPr>
      <w:r>
        <w:t>Phát triển nó theo cách tuyến tính</w:t>
      </w:r>
    </w:p>
    <w:p>
      <w:pPr>
        <w:pStyle w:val="Para 003"/>
      </w:pPr>
      <w:r>
        <w:t>Sau khi chọn được năng lực đồng hành, Tom giờ có thể tập trung cải thiện trực tiếp các kỹ năng cơ bản của mình trong lĩnh vực đó. Người giao tiếp giỏi nói ngắn gọn và thuyết trình hiệu quả. Chỉ dẫn của họ rõ ràng. Họ viết tốt. Họ có thể giải thích các khái niệm mới một cách dễ hiểu. Họ giúp mọi người hiểu công việc của mình đóng góp thế nào vào các mục tiêu kinh doanh lớn hơn. Họ có thể chuyển đổi thuật ngữ giữa những người ở các bộ phận khác nhau. Tom thấy mình còn nhiều chỗ cần cải thiện: Không ai gọi anh là người nói ngắn gọn; anh không phải lúc nào cũng nói hết câu mình bắt đầu; và anh thấy viết lách là một thử thách.</w:t>
      </w:r>
    </w:p>
    <w:p>
      <w:pPr>
        <w:pStyle w:val="Para 003"/>
      </w:pPr>
      <w:r>
        <w:t>Chúng tôi đã khuyên anh ấy nên tìm càng nhiều cơ hội càng tốt, cả trong và ngoài công việc, để cải thiện khả năng giao tiếp. Anh có thể tham gia một khóa học về viết trong kinh doanh. Anh có thể luyện tập với bạn bè và gia đình, ở nhà thờ hoặc trong cộng đồng. Anh có thể tình nguyện thuyết trình trước ban lãnh đạo cấp cao hoặc nhờ đồng nghiệp góp ý cho một số bản ghi nhớ và e-mail của mình. Anh có thể tình nguyện giúp học sinh trung học viết bài luận xin vào đại học. Anh có thể tự quay video khi diễn thuyết hoặc tham gia một câu lạc bộ Toastmasters địa phương.</w:t>
      </w:r>
    </w:p>
    <w:p>
      <w:pPr>
        <w:pStyle w:val="Para 003"/>
      </w:pPr>
      <w:r>
        <w:t>Tom quyết định xin lời khuyên từ một đồng nghiệp có kỹ năng giao tiếp mà anh ngưỡng mộ. Người đồng nghiệp gợi ý (trong số những điều khác) rằng vì viết không phải là điểm mạnh, Tom nên luyện tập giao tiếp nhiều hơn qua gặp mặt trực tiếp hoặc qua điện thoại. Điều này hóa ra lại đầy thử thách: Tom nhận ra trước khi có thể bắt đầu, anh phải thay đổi cách dùng e-mail, vì anh có thói quen liên tục kiểm tra và trả lời e-mail suốt cả ngày. Không phải lúc nào anh cũng có thể thay thế bằng điện thoại, vì anh không thể gọi khi đang họp hoặc đang nói chuyện với người khác. Anh bắt đầu dành ra những khung giờ cụ thể trong ngày cho e-mail để có thể trả lời qua điện thoại hoặc gặp trực tiếp—một thay đổi nhỏ nhưng mang lại những hệ quả bất ngờ. Thay vì bị gián đoạn và phân tâm vào những lúc ngẫu nhiên trong ngày (và cả buổi tối), nhân viên của anh có những tương tác tập trung và trực tiếp với anh. Họ thấy cách này hiệu quả và năng suất hơn, dù họ không còn được chọn thời điểm (hoặc có nên) trả lời những e-mail khó hiểu của Tom nữa. Tom thấy mình kết nối tốt hơn với những người anh nói chuyện, vừa vì sự chú ý của anh không còn bị chia đôi giữa họ và chiếc BlackBerry, vừa vì anh có thể đọc được giọng điệu và ngôn ngữ cơ thể của họ. Nhờ đó, anh tiếp thu được nhiều thông tin hơn, và đồng nghiệp cảm thấy anh chú tâm hơn đến quan điểm của họ.</w:t>
        <w:bookmarkStart w:id="308" w:name="page_36"/>
        <w:t/>
        <w:bookmarkEnd w:id="308"/>
        <w:t/>
      </w:r>
    </w:p>
    <w:p>
      <w:pPr>
        <w:pStyle w:val="Para 003"/>
      </w:pPr>
      <w:r>
        <w:t>Tom cũng bắt đầu chú ý hơn không chỉ đến cách anh giao tiếp mà còn đến nội dung anh nói. Người đồng nghiệp gợi ý Tom bắt đầu theo dõi tần suất anh ra chỉ thị so với tần suất anh đặt câu hỏi. Tom cũng ghi nhận xem những gì anh nói có bao nhiêu phần là phê bình (mang tính xây dựng hay không) và bao nhiêu phần là động viên. Việc tăng tỷ lệ câu hỏi và lời động viên có hiệu quả ngay lập tức: Nhóm của anh bắt đầu hiểu anh nhanh hơn, nên anh không phải lặp lại thường xuyên như trước. Một số thành viên trong nhóm còn cảm ơn anh vì đã cho họ cơ hội bày tỏ quan điểm của mình.</w:t>
      </w:r>
    </w:p>
    <w:p>
      <w:pPr>
        <w:pStyle w:val="Para 003"/>
      </w:pPr>
      <w:r>
        <w:t>Giống như Tom, bạn nên kỳ vọng thấy một số bằng chứng cụ thể về sự cải thiện trong vòng 30 đến 60 ngày. Nếu không thấy, thì điều bạn đang làm chưa hiệu quả. Dù vậy, các hành vi bổ trợ sẽ cải thiện đều đặn qua luyện tập, và tiến bộ của Tom là điển hình: Mười lăm tháng sau, khi thực hiện một bài đánh giá 360 độ khác, anh thấy mình đã đạt đến phân vị thứ 82 về khả năng truyền cảm hứng. Anh chưa thực sự xuất sắc, nhưng đang tiến gần đến mức đó. Lời khuyên của chúng tôi là hãy tiếp tục—cải thiện thêm một hoặc hai năng lực đồng hành nữa cho đến khi anh đạt phân vị thứ 90 và trở nên thực sự xuất chúng trong việc truyền cảm hứng cho người khác. Sau đó, anh có thể bắt đầu lại toàn bộ quá trình với một điểm mạnh khác và các yếu tố bổ trợ của nó, rồi thêm một điểm mạnh nữa—lúc đó anh sẽ tạo ra đóng góp độc đáo và quý giá cho công ty của mình.</w:t>
      </w:r>
    </w:p>
    <w:p>
      <w:pPr>
        <w:pStyle w:val="Para 011"/>
      </w:pPr>
      <w:r>
        <w:t>Bạn có thể làm quá lên không?</w:t>
      </w:r>
    </w:p>
    <w:p>
      <w:pPr>
        <w:pStyle w:val="Para 016"/>
      </w:pPr>
      <w:r>
        <w:bookmarkStart w:id="309" w:name="page_37"/>
        <w:t>Ai cũng biết một người nào đó quá quyết đoán, quá thiên về kỹ thuật, hoặc quá tập trung vào việc chạy theo kết quả. Nhiều người lấy những ví dụ như vậy để phản đối quan điểm cho rằng nên nâng cao hiệu quả lãnh đạo bằng cách củng cố các điểm mạnh của bạn. Nghiên cứu của chúng tôi thực sự cho thấy có một điểm mà ở đó sự cân bằng trở nên quan trọng. Dữ liệu gợi ý rằng khác biệt giữa việc có bốn điểm mạnh sâu sắc và có năm điểm mạnh chỉ là mức tăng vỏn vẹn 2 điểm phần trăm trong hiệu quả lãnh đạo tổng thể. Vì vậy, những nhà lãnh đạo vốn đã xuất sắc nên cân nhắc thêm một biến số nữa.</w:t>
        <w:bookmarkEnd w:id="309"/>
        <w:t/>
      </w:r>
    </w:p>
    <w:p>
      <w:pPr>
        <w:pStyle w:val="Para 003"/>
      </w:pPr>
      <w:r>
        <w:t>Bạn sẽ nhận thấy trong biểu đồ “Những kỹ năng nào sẽ khuếch đại điểm mạnh của tôi?” rằng 16 năng lực khác biệt rơi vào năm nhóm lớn hơn: phẩm chất cá nhân, năng lực cá nhân, đạt được kết quả, kỹ năng giao tiếp liên nhân, và dẫn dắt sự thay đổi. Những người có nhiều điểm mạnh nên xem xét cách các điểm mạnh đó phân bố giữa các nhóm và tập trung nỗ lực cải thiện vào nhóm còn ít được đại diện.</w:t>
      </w:r>
      <w:hyperlink w:anchor="page_27">
        <w:r>
          <w:rPr>
            <w:rStyle w:val="Text1"/>
          </w:rPr>
          <w:t/>
        </w:r>
      </w:hyperlink>
      <w:r>
        <w:t/>
      </w:r>
    </w:p>
    <w:p>
      <w:pPr>
        <w:pStyle w:val="Para 003"/>
      </w:pPr>
      <w:r>
        <w:t>Nhưng chúng tôi không thể nghĩ ra cách tiếp cận nào kém xây dựng hơn cho việc nâng cao hiệu quả lãnh đạo của bạn bằng cách coi điểm mạnh như điểm yếu. Bạn đã bao giờ biết ai đó có quá nhiều sự chính trực chưa? Giao tiếp quá hiệu quả? Truyền cảm hứng quá mức? Việc phát triển các năng lực đồng hành hiệu quả chính là vì, thay vì chỉ đơn giản làm nhiều hơn những điều cũ, bạn đang nâng cao cách bạn vốn hành xử bằng những cách làm việc và tương tác mới, giúp hành vi đó trở nên hiệu quả hơn.</w:t>
      </w:r>
    </w:p>
    <w:p>
      <w:pPr>
        <w:pStyle w:val="Para 126"/>
      </w:pPr>
      <w:r>
        <w:drawing>
          <wp:anchor distL="0" distR="0" distT="0" distB="0" simplePos="0" relativeHeight="1" behindDoc="0" locked="0" layoutInCell="1" allowOverlap="1">
            <wp:simplePos x="0" y="0"/>
            <wp:positionH relativeFrom="margin">
              <wp:align>center</wp:align>
            </wp:positionH>
            <wp:positionV relativeFrom="line">
              <wp:align>top</wp:align>
            </wp:positionV>
            <wp:extent cx="1778000" cy="0"/>
            <wp:effectExtent l="0" r="0" t="0" b="0"/>
            <wp:wrapTopAndBottom/>
            <wp:docPr id="22" name="line.png" descr="image"/>
            <wp:cNvGraphicFramePr>
              <a:graphicFrameLocks noChangeAspect="1"/>
            </wp:cNvGraphicFramePr>
            <a:graphic>
              <a:graphicData uri="http://schemas.openxmlformats.org/drawingml/2006/picture">
                <pic:pic>
                  <pic:nvPicPr>
                    <pic:cNvPr id="0" name="line.png" descr="image"/>
                    <pic:cNvPicPr/>
                  </pic:nvPicPr>
                  <pic:blipFill>
                    <a:blip r:embed="rId20"/>
                    <a:stretch>
                      <a:fillRect/>
                    </a:stretch>
                  </pic:blipFill>
                  <pic:spPr>
                    <a:xfrm>
                      <a:off x="0" y="0"/>
                      <a:ext cx="1778000" cy="0"/>
                    </a:xfrm>
                    <a:prstGeom prst="rect">
                      <a:avLst/>
                    </a:prstGeom>
                  </pic:spPr>
                </pic:pic>
              </a:graphicData>
            </a:graphic>
          </wp:anchor>
        </w:drawing>
      </w:r>
    </w:p>
    <w:p>
      <w:pPr>
        <w:pStyle w:val="Para 016"/>
      </w:pPr>
      <w:r>
        <w:t xml:space="preserve">Tập trung vào điểm mạnh của bạn không phải là ý tưởng mới. Bốn mươi bốn năm trước, Peter Drucker đã lập luận một cách hùng hồn cho quan điểm kinh doanh này trong cuốn The Effective Executive: “Trừ khi … một nhà điều hành tìm kiếm điểm mạnh và nỗ lực biến điểm mạnh thành năng suất, anh ta sẽ chỉ nhận được tác động của những gì một người không thể làm, của những thiếu sót, điểm yếu, những trở ngại của anh ta đối với hiệu suất và hiệu quả. Bố trí nhân sự dựa trên những gì không có và tập trung vào điểm yếu là lãng phí—một sự sử dụng sai, nếu không muốn nói là lạm dụng, nguồn nhân lực.” Kể từ đó, một khối lượng nghiên cứu đã phát triển ủng hộ và cổ vũ cách tiếp cận của Drucker. Nghiên cứu của chính chúng tôi cho thấy việc phát triển một vài điểm mạnh có thể tạo ra khác biệt lớn đến mức nào. Thật đáng buồn khi thấy chưa đến 10% các nhà điều hành mà chúng tôi làm việc cùng có bất kỳ kế hoạch nào để làm điều đó.</w:t>
      </w:r>
      <w:r>
        <w:rPr>
          <w:rStyle w:val="Text0"/>
        </w:rPr>
        <w:t/>
      </w:r>
      <w:r>
        <w:t xml:space="preserve"/>
        <w:bookmarkStart w:id="310" w:name="page_38"/>
        <w:t/>
        <w:bookmarkEnd w:id="310"/>
        <w:t/>
      </w:r>
    </w:p>
    <w:p>
      <w:pPr>
        <w:pStyle w:val="Para 003"/>
      </w:pPr>
      <w:r>
        <w:t>Chúng tôi tin chắc rằng vấn đề ít nằm ở niềm tin mà nằm ở cách thực hiện. Các nhà điều hành cần một lộ trình để nâng cao điểm mạnh của mình rõ ràng như lộ trình khắc phục điểm yếu. Chúng tôi tin rằng đó chính là giá trị lớn nhất của cách tiếp cận luyện tập chéo (cross-training): Nó cho phép mọi người sử dụng các kỹ thuật cải thiện tuyến tính mà họ biết và hiểu để tạo ra một kết quả phi tuyến tính.</w:t>
      </w:r>
    </w:p>
    <w:p>
      <w:pPr>
        <w:pStyle w:val="Para 003"/>
      </w:pPr>
      <w:r>
        <w:t>Các nhà điều hành thường than phiền với chúng tôi rằng tổ chức của họ không có đủ nhà lãnh đạo giỏi. Chúng tôi cho rằng thực ra có quá nhiều nhà lãnh đạo chỉ dừng ở mức giỏi. Thách thức không phải là thay thế nhà lãnh đạo tồi bằng nhà lãnh đạo giỏi; mà là biến những người như Tom—những nhà điều hành chăm chỉ, có năng lực và làm việc khá tốt—thành những nhà lãnh đạo xuất chúng với những điểm mạnh khác biệt.</w:t>
      </w:r>
    </w:p>
    <w:p>
      <w:pPr>
        <w:pStyle w:val="Para 084"/>
      </w:pPr>
      <w:r>
        <w:t>Xuất bản lần đầu vào tháng 10 năm 2011. Mã tái bản R1110E</w:t>
      </w:r>
      <w:r>
        <w:rPr>
          <w:rStyle w:val="Text15"/>
        </w:rPr>
        <w:t xml:space="preserve"/>
      </w:r>
      <w:r>
        <w:rPr>
          <w:rStyle w:val="Text9"/>
        </w:rPr>
        <w:t/>
      </w:r>
    </w:p>
    <w:p>
      <w:pPr>
        <w:pStyle w:val="Para 012"/>
      </w:pPr>
      <w:r>
        <w:t xml:space="preserve"> </w:t>
      </w:r>
    </w:p>
    <w:p>
      <w:bookmarkStart w:id="311" w:name="Top_of_ch04_xhtml"/>
      <w:bookmarkStart w:id="312" w:name="Make_Time_for_the_Work_That_Matt"/>
      <w:pPr>
        <w:pStyle w:val="Para 012"/>
        <w:pageBreakBefore w:val="on"/>
      </w:pPr>
      <w:r>
        <w:t xml:space="preserve"> </w:t>
      </w:r>
      <w:bookmarkEnd w:id="311"/>
      <w:bookmarkEnd w:id="312"/>
    </w:p>
    <w:p>
      <w:bookmarkStart w:id="313" w:name="Make_Time_for_the_Work_That_Matt_1"/>
      <w:pPr>
        <w:pStyle w:val="Para 039"/>
      </w:pPr>
      <w:r>
        <w:bookmarkStart w:id="314" w:name="page_39"/>
        <w:t>Hãy dành thời gian cho công việc thực sự quan trọng</w:t>
        <w:bookmarkEnd w:id="314"/>
        <w:t/>
      </w:r>
      <w:bookmarkEnd w:id="313"/>
    </w:p>
    <w:p>
      <w:bookmarkStart w:id="315" w:name="by_Julian_Birkinshaw_and_Jordan"/>
      <w:pPr>
        <w:pStyle w:val="Para 040"/>
      </w:pPr>
      <w:r>
        <w:t>bởi Julian Birkinshaw và Jordan Cohen</w:t>
      </w:r>
      <w:bookmarkEnd w:id="315"/>
    </w:p>
    <w:p>
      <w:pPr>
        <w:pStyle w:val="Para 003"/>
      </w:pPr>
      <w:r>
        <w:rPr>
          <w:rStyle w:val="Text4"/>
        </w:rPr>
        <w:t>THÊM GIỜ TRONG NGÀY. Đó là điều ai cũng muốn, nhưng lại không thể đạt được. Nhưng nếu bạn có thể giải phóng một lượng thời gian đáng kể—có thể lên tới 20% ngày làm việc—để tập trung vào những trách nhiệm thực sự quan trọng thì sao?</w:t>
      </w:r>
      <w:r>
        <w:t xml:space="preserve"/>
      </w:r>
    </w:p>
    <w:p>
      <w:pPr>
        <w:pStyle w:val="Para 003"/>
      </w:pPr>
      <w:r>
        <w:t>Chúng tôi đã dành ba năm qua để nghiên cứu cách những người làm công việc tri thức (knowledge workers) có thể trở nên năng suất hơn và nhận ra rằng câu trả lời rất đơn giản: Hãy loại bỏ hoặc giao phó những nhiệm vụ không quan trọng và thay thế chúng bằng những nhiệm vụ tạo ra giá trị gia tăng. Nghiên cứu của chúng tôi chỉ ra rằng những người làm công việc tri thức dành rất nhiều thời gian — trung bình 41% — cho các hoạt động tùy ý mang lại ít sự hài lòng cá nhân và người khác hoàn toàn có thể xử lý tốt. Vậy tại sao họ cứ tiếp tục làm những việc đó? Bởi vì thoát khỏi công việc thì nói dễ hơn làm. Chúng ta theo bản năng bám víu vào những nhiệm vụ khiến mình cảm thấy bận rộn và vì thế thấy mình quan trọng, trong khi sếp của chúng ta, luôn cố gắng làm nhiều hơn với ít nguồn lực hơn, chất thêm bao nhiêu trách nhiệm tùy theo mức chúng ta sẵn sàng nhận.</w:t>
      </w:r>
    </w:p>
    <w:p>
      <w:pPr>
        <w:pStyle w:val="Para 003"/>
      </w:pPr>
      <w:r>
        <w:t xml:space="preserve">Tuy nhiên, chúng tôi tin rằng vẫn có lối thoát. Những người làm công việc tri thức có thể tự làm mình năng suất hơn bằng cách suy nghĩ có ý thức về cách họ sử dụng thời gian; quyết định nhiệm vụ nào quan trọng nhất với họ và tổ chức của họ; rồi bỏ đi hoặc khéo léo giao phần còn lại cho người khác. Chúng tôi đã thử biện pháp can thiệp này với 15 nhà điều hành ở các công ty khác nhau, và họ đã có thể giảm đáng kể sự can dự vào các nhiệm vụ giá trị thấp: Họ cắt giảm công việc bàn giấy trung bình sáu giờ mỗi tuần và thời gian họp trung bình hai giờ mỗi tuần. Và lợi ích thì rõ ràng. Ví dụ, khi Lotta Laitinen, một quản lý tại If, một công ty môi giới bảo hiểm Scandinavia, bỏ bớt các cuộc họp và công việc hành chính để dành nhiều thời gian hơn hỗ trợ đội ngũ của mình, điều đó đã giúp doanh số của đơn vị cô tăng 5% trong vòng ba tuần.</w:t>
        <w:bookmarkStart w:id="316" w:name="page_40"/>
        <w:t/>
        <w:bookmarkEnd w:id="316"/>
        <w:t/>
      </w:r>
    </w:p>
    <w:p>
      <w:pPr>
        <w:pStyle w:val="Para 003"/>
      </w:pPr>
      <w:r>
        <w:t>Dù không phải ai trong nghiên cứu của chúng tôi cũng thành công đến vậy, kết quả vẫn khiến chúng tôi kinh ngạc. Chỉ đơn giản bằng cách yêu cầu những người làm công việc tri thức suy nghĩ lại và dịch chuyển cán cân công việc, chúng tôi đã giúp họ giải phóng gần một phần năm thời gian — trung bình một ngày làm việc trọn vẹn mỗi tuần — và tập trung vào những nhiệm vụ đáng giá hơn với số giờ tiết kiệm được.</w:t>
      </w:r>
    </w:p>
    <w:p>
      <w:pPr>
        <w:pStyle w:val="Para 011"/>
      </w:pPr>
      <w:r>
        <w:t>Vì sao khó đến vậy</w:t>
      </w:r>
    </w:p>
    <w:p>
      <w:pPr>
        <w:pStyle w:val="Para 016"/>
      </w:pPr>
      <w:r>
        <w:t>Những người làm công việc tri thức là một thách thức thực sự đối với các nhà quản lý. Công việc họ làm rất khó quan sát (vì phần lớn diễn ra trong đầu họ), và chất lượng của nó thường mang tính chủ quan. Một nhà quản lý có thể nghi ngờ rằng nhân viên đang dùng thời gian không hiệu quả nhưng lại khó lòng chẩn đoán vấn đề, chứ đừng nói đến việc nghĩ ra giải pháp.</w:t>
      </w:r>
    </w:p>
    <w:p>
      <w:pPr>
        <w:pStyle w:val="Para 003"/>
      </w:pPr>
      <w:r>
        <w:t>Chúng tôi đã phỏng vấn 45 người làm công việc tri thức tại 39 công ty thuộc tám ngành ở Hoa Kỳ và châu Âu để xem họ trải qua ngày làm việc thế nào. Chúng tôi nhận thấy ngay cả những người tận tụy và ấn tượng nhất cũng dành lượng lớn thời gian cho các hoạt động tẻ nhạt, không tạo giá trị gia tăng như công việc bàn giấy và “quản lý chéo” trong tổ chức (ví dụ, họp với những người ở phòng ban khác). Đây là những nhiệm vụ mà chính những người làm công việc tri thức đánh giá là mang lại ít lợi ích cá nhân và giá trị thấp cho công ty.</w:t>
      </w:r>
    </w:p>
    <w:p>
      <w:pPr>
        <w:pStyle w:val="Para 003"/>
      </w:pPr>
      <w:r>
        <w:t>Có nhiều lý do khiến điều này xảy ra. Hầu hết chúng ta cảm thấy bị vướng vào một mạng lưới các cam kết mà việc tự gỡ mình ra có thể rất khó chịu: Chúng ta lo rằng mình sẽ làm đồng nghiệp hoặc sếp thất vọng nếu ngừng làm một số việc. “Tôi muốn tỏ ra bận rộn và năng suất — công ty coi trọng người biết phối hợp nhóm,” một người tham gia nhận xét. Ngoài ra, những mục ít quan trọng hơn trong danh sách việc cần làm cũng không hoàn toàn vô ích. Nghiên cứu đã chỉ ra rằng tiến triển ở bất kỳ nhiệm vụ nào — kể cả nhiệm vụ không thiết yếu — đều làm tăng cảm giác gắn kết và hài lòng của chúng ta. Và dù các cuộc họp thường bị chê là lãng phí thời gian, chúng vẫn mang đến cơ hội giao lưu và kết nối với đồng nghiệp. “Tôi thực ra khá mong chờ các cuộc họp trực tiếp,” một người trả lời phỏng vấn nói với chúng tôi. “Gọi điện thì hiệu quả hơn, nhưng đó là một phương tiện lạnh lẽo, vô hồn.”</w:t>
      </w:r>
    </w:p>
    <w:p>
      <w:pPr>
        <w:pStyle w:val="Para 034"/>
      </w:pPr>
      <w:r>
        <w:t>Ý tưởng ngắn gọn</w:t>
      </w:r>
    </w:p>
    <w:p>
      <w:pPr>
        <w:pStyle w:val="Para 019"/>
      </w:pPr>
      <w:r>
        <w:t>Thêm giờ trong ngày. Đó là điều ai cũng muốn, nhưng lại không thể đạt được. Nhưng sẽ thế nào nếu bạn có thể giải phóng một lượng thời gian đáng kể — có thể tới 20% ngày làm việc — để tập trung vào những trách nhiệm thực sự quan trọng? Nghiên cứu của các tác giả cho thấy những người làm công việc tri thức dành trung bình 41% thời gian cho các hoạt động mang lại ít sự hài lòng cá nhân và người khác hoàn toàn có thể xử lý tốt.</w:t>
      </w:r>
    </w:p>
    <w:p>
      <w:pPr>
        <w:pStyle w:val="Para 019"/>
      </w:pPr>
      <w:r>
        <w:t>Những người làm công việc tri thức có thể trở nên năng suất hơn bằng cách suy nghĩ có ý thức về cách họ sử dụng thời gian, quyết định nhiệm vụ nào quan trọng nhất với họ và tổ chức của họ, rồi bỏ đi hoặc khéo léo giao phần còn lại cho người khác.</w:t>
      </w:r>
    </w:p>
    <w:p>
      <w:pPr>
        <w:pStyle w:val="Para 019"/>
      </w:pPr>
      <w:r>
        <w:t>Các nhiệm vụ cần bỏ được phân loại thành:</w:t>
      </w:r>
    </w:p>
    <w:p>
      <w:pPr>
        <w:numPr>
          <w:ilvl w:val="0"/>
          <w:numId w:val="28"/>
        </w:numPr>
        <w:pStyle w:val="Para 032"/>
      </w:pPr>
      <w:r>
        <w:rPr>
          <w:rStyle w:val="Text3"/>
        </w:rPr>
        <w:t>những thứ bỏ ngay được (quick kills) (những việc bạn có thể ngừng làm ngay bây giờ mà không gây tác động tiêu cực nào)</w:t>
      </w:r>
      <w:r>
        <w:t xml:space="preserve"/>
      </w:r>
    </w:p>
    <w:p>
      <w:pPr>
        <w:numPr>
          <w:ilvl w:val="0"/>
          <w:numId w:val="28"/>
        </w:numPr>
        <w:pStyle w:val="Para 032"/>
      </w:pPr>
      <w:r>
        <w:rPr>
          <w:rStyle w:val="Text3"/>
        </w:rPr>
        <w:t>cơ hội chuyển giao (off-load opportunities) (công việc có thể giao phó với nỗ lực tối thiểu)</w:t>
      </w:r>
      <w:r>
        <w:t xml:space="preserve"/>
      </w:r>
    </w:p>
    <w:p>
      <w:pPr>
        <w:numPr>
          <w:ilvl w:val="0"/>
          <w:numId w:val="28"/>
        </w:numPr>
        <w:pStyle w:val="Para 032"/>
      </w:pPr>
      <w:r>
        <w:rPr>
          <w:rStyle w:val="Text3"/>
        </w:rPr>
        <w:t>thiết kế lại dài hạn (long-term redesign) (công việc cần được nhìn nhận lại hoặc tái cấu trúc)</w:t>
      </w:r>
      <w:r>
        <w:t xml:space="preserve"/>
      </w:r>
    </w:p>
    <w:p>
      <w:pPr>
        <w:pStyle w:val="Para 019"/>
      </w:pPr>
      <w:r>
        <w:t>Một khi các nhiệm vụ được xử lý xong, thời gian giải phóng được dành để tập trung vào công việc quan trọng hơn.</w:t>
      </w:r>
    </w:p>
    <w:p>
      <w:pPr>
        <w:pStyle w:val="Para 019"/>
      </w:pPr>
      <w:r>
        <w:t>Khi 15 nhà điều hành thử cách này, họ đã có thể giảm công việc bàn giấy trung bình sáu giờ mỗi tuần và họp hành hai giờ mỗi tuần. Họ lấp đầy thời gian đó bằng các nhiệm vụ giá trị gia tăng như huấn luyện và hoạch định chiến lược.</w:t>
      </w:r>
    </w:p>
    <w:p>
      <w:pPr>
        <w:pStyle w:val="Para 003"/>
      </w:pPr>
      <w:r>
        <w:bookmarkStart w:id="317" w:name="page_41"/>
        <w:t>Các tổ chức cũng chia sẻ một phần trách nhiệm cho năng suất chưa tối ưu. Việc cắt giảm chi phí đã phổ biến suốt thập kỷ qua, và những người làm công việc tri thức, như hầu hết nhân viên, đã phải nhận thêm một số nhiệm vụ giá trị thấp — chẳng hạn như sắp xếp đi lại — khiến họ xao nhãng khỏi công việc quan trọng hơn. Dù niềm tin kinh doanh đang hồi phục, nhiều công ty vẫn ngần ngại bổ sung lại nguồn lực, đặc biệt là nguồn lực hành chính. Hơn nữa, môi trường pháp lý ngày càng phức tạp và các hệ thống kiểm soát chặt chẽ hơn ở nhiều ngành đã góp phần tạo nên văn hóa doanh nghiệp ngại rủi ro, khiến những người cấp cao không muốn giao việc cho đồng nghiệp ít kinh nghiệm hơn. Hệ quả thì ai cũng đoán được: “Nhóm của tôi thiếu người và thiếu kỹ năng, nên lịch của tôi là cơn ác mộng và tôi bị kéo vào nhiều cuộc họp hơn mức cần thiết,” một đối tượng nghiên cứu cho biết. Một người khác nhận xét, “Tôi gặp phải hạn chế về năng lực làm việc của những người mà tôi giao việc.”</w:t>
        <w:bookmarkEnd w:id="317"/>
        <w:t/>
      </w:r>
    </w:p>
    <w:p>
      <w:pPr>
        <w:pStyle w:val="Para 057"/>
      </w:pPr>
      <w:r>
        <w:t>Công việc mà những người làm công việc tri thức đảm nhận</w:t>
      </w:r>
    </w:p>
    <w:p>
      <w:pPr>
        <w:pStyle w:val="Para 058"/>
      </w:pPr>
      <w:r>
        <w:t>Nghiên cứu của chúng tôi cho thấy công việc bàn giấy và “quản lý chéo” chiếm trung bình hai phần ba thời gian của những người làm công việc tri thức …</w:t>
      </w:r>
    </w:p>
    <w:p>
      <w:pPr>
        <w:pStyle w:val="Para 072"/>
      </w:pPr>
      <w:r>
        <w:drawing>
          <wp:anchor distL="0" distR="0" distT="0" distB="0" simplePos="0" relativeHeight="1" behindDoc="0" locked="0" layoutInCell="1" allowOverlap="1">
            <wp:simplePos x="0" y="0"/>
            <wp:positionH relativeFrom="margin">
              <wp:align>center</wp:align>
            </wp:positionH>
            <wp:positionV relativeFrom="line">
              <wp:align>top</wp:align>
            </wp:positionV>
            <wp:extent cx="3860800" cy="3365500"/>
            <wp:effectExtent l="0" r="0" t="0" b="0"/>
            <wp:wrapTopAndBottom/>
            <wp:docPr id="23" name="pg52.png" descr="image"/>
            <wp:cNvGraphicFramePr>
              <a:graphicFrameLocks noChangeAspect="1"/>
            </wp:cNvGraphicFramePr>
            <a:graphic>
              <a:graphicData uri="http://schemas.openxmlformats.org/drawingml/2006/picture">
                <pic:pic>
                  <pic:nvPicPr>
                    <pic:cNvPr id="0" name="pg52.png" descr="image"/>
                    <pic:cNvPicPr/>
                  </pic:nvPicPr>
                  <pic:blipFill>
                    <a:blip r:embed="rId23"/>
                    <a:stretch>
                      <a:fillRect/>
                    </a:stretch>
                  </pic:blipFill>
                  <pic:spPr>
                    <a:xfrm>
                      <a:off x="0" y="0"/>
                      <a:ext cx="3860800" cy="3365500"/>
                    </a:xfrm>
                    <a:prstGeom prst="rect">
                      <a:avLst/>
                    </a:prstGeom>
                  </pic:spPr>
                </pic:pic>
              </a:graphicData>
            </a:graphic>
          </wp:anchor>
        </w:drawing>
      </w:r>
    </w:p>
    <w:p>
      <w:pPr>
        <w:pStyle w:val="Para 058"/>
      </w:pPr>
      <w:r>
        <w:bookmarkStart w:id="318" w:name="page_42"/>
        <w:t>… vậy mà những nhiệm vụ đó lại được đánh giá là dễ chuyển giao nhất và gây mệt mỏi nhất.</w:t>
        <w:bookmarkEnd w:id="318"/>
        <w:t/>
      </w:r>
    </w:p>
    <w:p>
      <w:pPr>
        <w:pStyle w:val="Para 072"/>
      </w:pPr>
      <w:r>
        <w:drawing>
          <wp:anchor distL="0" distR="0" distT="0" distB="0" simplePos="0" relativeHeight="1" behindDoc="0" locked="0" layoutInCell="1" allowOverlap="1">
            <wp:simplePos x="0" y="0"/>
            <wp:positionH relativeFrom="margin">
              <wp:align>center</wp:align>
            </wp:positionH>
            <wp:positionV relativeFrom="line">
              <wp:align>top</wp:align>
            </wp:positionV>
            <wp:extent cx="4152900" cy="2984500"/>
            <wp:effectExtent l="0" r="0" t="0" b="0"/>
            <wp:wrapTopAndBottom/>
            <wp:docPr id="24" name="pg52a.png" descr="image"/>
            <wp:cNvGraphicFramePr>
              <a:graphicFrameLocks noChangeAspect="1"/>
            </wp:cNvGraphicFramePr>
            <a:graphic>
              <a:graphicData uri="http://schemas.openxmlformats.org/drawingml/2006/picture">
                <pic:pic>
                  <pic:nvPicPr>
                    <pic:cNvPr id="0" name="pg52a.png" descr="image"/>
                    <pic:cNvPicPr/>
                  </pic:nvPicPr>
                  <pic:blipFill>
                    <a:blip r:embed="rId24"/>
                    <a:stretch>
                      <a:fillRect/>
                    </a:stretch>
                  </pic:blipFill>
                  <pic:spPr>
                    <a:xfrm>
                      <a:off x="0" y="0"/>
                      <a:ext cx="4152900" cy="2984500"/>
                    </a:xfrm>
                    <a:prstGeom prst="rect">
                      <a:avLst/>
                    </a:prstGeom>
                  </pic:spPr>
                </pic:pic>
              </a:graphicData>
            </a:graphic>
          </wp:anchor>
        </w:drawing>
      </w:r>
    </w:p>
    <w:p>
      <w:pPr>
        <w:pStyle w:val="Para 058"/>
      </w:pPr>
      <w:r>
        <w:bookmarkStart w:id="319" w:name="page_43"/>
        <w:t>Với hiểu biết này, những người tham gia nghiên cứu đã bỏ, giao phó, thuê ngoài, hoặc hoãn các nhiệm vụ giá trị thấp để giải phóng thời gian cho công việc quan trọng hơn.</w:t>
        <w:bookmarkEnd w:id="319"/>
        <w:t/>
      </w:r>
    </w:p>
    <w:p>
      <w:pPr>
        <w:pStyle w:val="Para 085"/>
      </w:pPr>
      <w:r>
        <w:drawing>
          <wp:anchor distL="0" distR="0" distT="0" distB="0" simplePos="0" relativeHeight="1" behindDoc="0" locked="0" layoutInCell="1" allowOverlap="1">
            <wp:simplePos x="0" y="0"/>
            <wp:positionH relativeFrom="margin">
              <wp:align>center</wp:align>
            </wp:positionH>
            <wp:positionV relativeFrom="line">
              <wp:align>top</wp:align>
            </wp:positionV>
            <wp:extent cx="5346700" cy="3060700"/>
            <wp:effectExtent l="0" r="0" t="0" b="0"/>
            <wp:wrapTopAndBottom/>
            <wp:docPr id="25" name="pg53.png" descr="image"/>
            <wp:cNvGraphicFramePr>
              <a:graphicFrameLocks noChangeAspect="1"/>
            </wp:cNvGraphicFramePr>
            <a:graphic>
              <a:graphicData uri="http://schemas.openxmlformats.org/drawingml/2006/picture">
                <pic:pic>
                  <pic:nvPicPr>
                    <pic:cNvPr id="0" name="pg53.png" descr="image"/>
                    <pic:cNvPicPr/>
                  </pic:nvPicPr>
                  <pic:blipFill>
                    <a:blip r:embed="rId25"/>
                    <a:stretch>
                      <a:fillRect/>
                    </a:stretch>
                  </pic:blipFill>
                  <pic:spPr>
                    <a:xfrm>
                      <a:off x="0" y="0"/>
                      <a:ext cx="5346700" cy="3060700"/>
                    </a:xfrm>
                    <a:prstGeom prst="rect">
                      <a:avLst/>
                    </a:prstGeom>
                  </pic:spPr>
                </pic:pic>
              </a:graphicData>
            </a:graphic>
          </wp:anchor>
        </w:drawing>
      </w:r>
    </w:p>
    <w:p>
      <w:pPr>
        <w:pStyle w:val="Para 003"/>
      </w:pPr>
      <w:r>
        <w:t>Một số công ty thực sự cố gắng giúp những người làm công việc tri thức tập trung vào phần tạo giá trị gia tăng trong công việc của họ. Ví dụ, một người trong nhóm chúng tôi (Jordan Cohen) đã giúp Pfizer tạo ra một dịch vụ mang tên pfizerWorks, cho phép nhân viên thuê ngoài những nhiệm vụ ít quan trọng hơn. Chúng tôi cũng từng thấy các sáng kiến nội bộ cấm email vào thứ Sáu, đặt giới hạn thời gian cho các cuộc họp, và cấm thuyết trình PowerPoint nội bộ. Nhưng rất khó để thay đổi các chuẩn mực thể chế, và khi những người làm công việc tri thức không thực sự đồng thuận với những chỉ thị từ trên xuống như vậy, họ tìm ra những cách sáng tạo để chống lại hoặc lách luật, điều này chỉ khiến mọi chuyện tệ hơn. Chúng tôi đề xuất một giải pháp trung dung hợp lý: những can thiệp khôn ngoan, tự định hướng, được ban lãnh đạo hỗ trợ, giúp những người làm công việc tri thức tự giúp chính mình.</w:t>
      </w:r>
    </w:p>
    <w:p>
      <w:pPr>
        <w:pStyle w:val="Para 011"/>
      </w:pPr>
      <w:r>
        <w:t>Người lao động có thể làm gì</w:t>
      </w:r>
    </w:p>
    <w:p>
      <w:pPr>
        <w:pStyle w:val="Para 016"/>
      </w:pPr>
      <w:r>
        <w:t>Quy trình của chúng tôi, một biến thể của bài tập kinh điển Bắt đầu/Dừng lại/Tiếp tục (Start/Stop/Continue), được thiết kế để giúp bạn tạo ra những thay đổi nhỏ nhưng đáng kể trong lịch làm việc hằng ngày. Chúng tôi đã điều phối bài tập này với 15 nhà điều hành nói trên, và họ đã đạt được một số kết quả đáng chú ý.</w:t>
      </w:r>
    </w:p>
    <w:p>
      <w:pPr>
        <w:pStyle w:val="Para 054"/>
      </w:pPr>
      <w:r>
        <w:t>Tự đánh giá: Xác định các nhiệm vụ giá trị thấp</w:t>
      </w:r>
    </w:p>
    <w:p>
      <w:pPr>
        <w:pStyle w:val="Para 020"/>
      </w:pPr>
      <w:r>
        <w:rPr>
          <w:rStyle w:val="Text3"/>
        </w:rPr>
        <w:t>HÃY LẬP DANH SÁCH MỌI VIỆC BẠN ĐÃ LÀM ngày hôm qua hoặc ngày hôm kia, chia thành các khối 30 hoặc 60 phút. Với mỗi nhiệm vụ, hãy tự hỏi bốn câu:</w:t>
      </w:r>
      <w:r>
        <w:t xml:space="preserve"/>
      </w:r>
    </w:p>
    <w:p>
      <w:pPr>
        <w:pStyle w:val="Para 035"/>
      </w:pPr>
      <w:r>
        <w:t>Hoạt động này có giá trị thế nào đối với công ty?</w:t>
      </w:r>
    </w:p>
    <w:p>
      <w:pPr>
        <w:pStyle w:val="Para 020"/>
      </w:pPr>
      <w:r>
        <w:t>Giả sử bạn đang cập nhật cho sếp hoặc một lãnh đạo cấp cao về hiệu suất của mình. Bạn có nhắc đến nhiệm vụ này không? Bạn có thể biện minh cho việc dành thời gian cho nó không?</w:t>
      </w:r>
    </w:p>
    <w:tbl>
      <w:tblPr>
        <w:tblW w:type="pct" w:w="4750"/>
      </w:tblPr>
      <w:tr>
        <w:tc>
          <w:tcPr>
            <w:tcW w:type="auto" w:w="0"/>
            <w:vAlign w:val="center"/>
          </w:tcPr>
          <w:p>
            <w:pPr>
              <w:pStyle w:val="0 Block"/>
            </w:pPr>
          </w:p>
        </w:tc>
        <w:tc>
          <w:tcPr>
            <w:tcW w:type="auto" w:w="0"/>
            <w:vAlign w:val="center"/>
          </w:tcPr>
          <w:p>
            <w:pPr>
              <w:pStyle w:val="Para 086"/>
            </w:pPr>
            <w:r>
              <w:t xml:space="preserve">Chấm điểm</w:t>
              <w:br w:clear="none"/>
            </w:r>
          </w:p>
        </w:tc>
      </w:tr>
      <w:tr>
        <w:tc>
          <w:tcPr>
            <w:tcW w:type="auto" w:w="0"/>
            <w:tcBorders>
              <w:bottom w:val="single" w:sz="2" w:color="auto"/>
            </w:tcBorders>
            <w:tcMar>
              <w:left w:type="dxa" w:w="100"/>
              <w:top w:type="dxa" w:w="180"/>
              <w:bottom w:type="dxa" w:w="180"/>
            </w:tcMar>
            <w:vAlign w:val="top"/>
          </w:tcPr>
          <w:p>
            <w:pPr>
              <w:pStyle w:val="Para 006"/>
            </w:pPr>
            <w:r>
              <w:t xml:space="preserve">Nó đóng góp một cách đáng kể vào các mục tiêu chung của công ty</w:t>
              <w:br w:clear="none"/>
            </w:r>
          </w:p>
        </w:tc>
        <w:tc>
          <w:tcPr>
            <w:tcW w:type="auto" w:w="0"/>
            <w:tcBorders>
              <w:bottom w:val="single" w:sz="2" w:color="auto"/>
            </w:tcBorders>
            <w:tcMar>
              <w:left w:type="dxa" w:w="100"/>
              <w:top w:type="dxa" w:w="180"/>
              <w:bottom w:type="dxa" w:w="180"/>
            </w:tcMar>
            <w:vAlign w:val="top"/>
          </w:tcPr>
          <w:p>
            <w:pPr>
              <w:pStyle w:val="Para 006"/>
            </w:pPr>
            <w:r>
              <w:t xml:space="preserve">4</w:t>
              <w:br w:clear="none"/>
            </w:r>
          </w:p>
        </w:tc>
      </w:tr>
      <w:tr>
        <w:tc>
          <w:tcPr>
            <w:tcW w:type="auto" w:w="0"/>
            <w:tcBorders>
              <w:top w:val="single" w:sz="2" w:color="auto"/>
              <w:bottom w:val="single" w:sz="2" w:color="auto"/>
            </w:tcBorders>
            <w:tcMar>
              <w:left w:type="dxa" w:w="100"/>
              <w:top w:type="dxa" w:w="180"/>
              <w:bottom w:type="dxa" w:w="180"/>
            </w:tcMar>
            <w:vAlign w:val="top"/>
          </w:tcPr>
          <w:p>
            <w:pPr>
              <w:pStyle w:val="Para 006"/>
            </w:pPr>
            <w:r>
              <w:t xml:space="preserve">Nó đóng góp một phần nhỏ</w:t>
              <w:br w:clear="none"/>
            </w:r>
          </w:p>
        </w:tc>
        <w:tc>
          <w:tcPr>
            <w:tcW w:type="auto" w:w="0"/>
            <w:tcBorders>
              <w:top w:val="single" w:sz="2" w:color="auto"/>
              <w:bottom w:val="single" w:sz="2" w:color="auto"/>
            </w:tcBorders>
            <w:tcMar>
              <w:left w:type="dxa" w:w="100"/>
              <w:top w:type="dxa" w:w="180"/>
              <w:bottom w:type="dxa" w:w="180"/>
            </w:tcMar>
            <w:vAlign w:val="top"/>
          </w:tcPr>
          <w:p>
            <w:pPr>
              <w:pStyle w:val="Para 006"/>
            </w:pPr>
            <w:r>
              <w:t xml:space="preserve">3</w:t>
              <w:br w:clear="none"/>
            </w:r>
          </w:p>
        </w:tc>
      </w:tr>
      <w:tr>
        <w:tc>
          <w:tcPr>
            <w:tcW w:type="auto" w:w="0"/>
            <w:tcBorders>
              <w:top w:val="single" w:sz="2" w:color="auto"/>
              <w:bottom w:val="single" w:sz="2" w:color="auto"/>
            </w:tcBorders>
            <w:tcMar>
              <w:left w:type="dxa" w:w="100"/>
              <w:top w:type="dxa" w:w="180"/>
              <w:bottom w:type="dxa" w:w="180"/>
            </w:tcMar>
            <w:vAlign w:val="top"/>
          </w:tcPr>
          <w:p>
            <w:pPr>
              <w:pStyle w:val="Para 006"/>
            </w:pPr>
            <w:r>
              <w:t xml:space="preserve">Không có tác động gì, dù tích cực hay tiêu cực</w:t>
              <w:br w:clear="none"/>
            </w:r>
          </w:p>
        </w:tc>
        <w:tc>
          <w:tcPr>
            <w:tcW w:type="auto" w:w="0"/>
            <w:tcBorders>
              <w:top w:val="single" w:sz="2" w:color="auto"/>
              <w:bottom w:val="single" w:sz="2" w:color="auto"/>
            </w:tcBorders>
            <w:tcMar>
              <w:left w:type="dxa" w:w="100"/>
              <w:top w:type="dxa" w:w="180"/>
              <w:bottom w:type="dxa" w:w="180"/>
            </w:tcMar>
            <w:vAlign w:val="top"/>
          </w:tcPr>
          <w:p>
            <w:pPr>
              <w:pStyle w:val="Para 006"/>
            </w:pPr>
            <w:r>
              <w:t xml:space="preserve">2</w:t>
              <w:br w:clear="none"/>
            </w:r>
          </w:p>
        </w:tc>
      </w:tr>
      <w:tr>
        <w:tc>
          <w:tcPr>
            <w:tcW w:type="auto" w:w="0"/>
            <w:tcBorders>
              <w:top w:val="single" w:sz="2" w:color="auto"/>
              <w:bottom w:val="single" w:sz="2" w:color="auto"/>
            </w:tcBorders>
            <w:tcMar>
              <w:left w:type="dxa" w:w="100"/>
              <w:top w:type="dxa" w:w="180"/>
              <w:bottom w:type="dxa" w:w="180"/>
            </w:tcMar>
            <w:vAlign w:val="top"/>
          </w:tcPr>
          <w:p>
            <w:pPr>
              <w:pStyle w:val="Para 006"/>
            </w:pPr>
            <w:r>
              <w:t xml:space="preserve">Có tác động tiêu cực</w:t>
              <w:br w:clear="none"/>
            </w:r>
          </w:p>
        </w:tc>
        <w:tc>
          <w:tcPr>
            <w:tcW w:type="auto" w:w="0"/>
            <w:tcBorders>
              <w:top w:val="single" w:sz="2" w:color="auto"/>
              <w:bottom w:val="single" w:sz="2" w:color="auto"/>
            </w:tcBorders>
            <w:tcMar>
              <w:left w:type="dxa" w:w="100"/>
              <w:top w:type="dxa" w:w="180"/>
              <w:bottom w:type="dxa" w:w="180"/>
            </w:tcMar>
            <w:vAlign w:val="top"/>
          </w:tcPr>
          <w:p>
            <w:pPr>
              <w:pStyle w:val="Para 006"/>
            </w:pPr>
            <w:r>
              <w:t xml:space="preserve">1</w:t>
              <w:br w:clear="none"/>
            </w:r>
          </w:p>
        </w:tc>
      </w:tr>
    </w:tbl>
    <w:p>
      <w:pPr>
        <w:pStyle w:val="Para 035"/>
      </w:pPr>
      <w:r>
        <w:t>Tôi có thể buông bỏ việc này đến mức nào?</w:t>
      </w:r>
    </w:p>
    <w:p>
      <w:pPr>
        <w:pStyle w:val="Para 020"/>
      </w:pPr>
      <w:r>
        <w:t>Hãy tưởng tượng vì có việc gia đình khẩn cấp, bạn đến công ty trễ hai tiếng và phải ưu tiên các hoạt động trong ngày. Hoạt động này sẽ rơi vào nhóm nào?</w:t>
      </w:r>
    </w:p>
    <w:tbl>
      <w:tblPr>
        <w:tblW w:type="pct" w:w="4750"/>
      </w:tblPr>
      <w:tr>
        <w:tc>
          <w:tcPr>
            <w:tcW w:type="auto" w:w="0"/>
            <w:tcBorders>
              <w:bottom w:val="single" w:sz="2" w:color="auto"/>
            </w:tcBorders>
            <w:tcMar>
              <w:left w:type="dxa" w:w="100"/>
              <w:top w:type="dxa" w:w="180"/>
              <w:bottom w:type="dxa" w:w="180"/>
            </w:tcMar>
            <w:vAlign w:val="top"/>
          </w:tcPr>
          <w:p>
            <w:pPr>
              <w:pStyle w:val="Para 006"/>
            </w:pPr>
            <w:r>
              <w:t xml:space="preserve">Thiết yếu: Đây là ưu tiên hàng đầu</w:t>
              <w:br w:clear="none"/>
            </w:r>
          </w:p>
        </w:tc>
        <w:tc>
          <w:tcPr>
            <w:tcW w:type="auto" w:w="0"/>
            <w:tcBorders>
              <w:bottom w:val="single" w:sz="2" w:color="auto"/>
            </w:tcBorders>
            <w:tcMar>
              <w:left w:type="dxa" w:w="100"/>
              <w:top w:type="dxa" w:w="180"/>
              <w:bottom w:type="dxa" w:w="180"/>
            </w:tcMar>
            <w:vAlign w:val="top"/>
          </w:tcPr>
          <w:p>
            <w:pPr>
              <w:pStyle w:val="Para 006"/>
            </w:pPr>
            <w:r>
              <w:t xml:space="preserve">4</w:t>
              <w:br w:clear="none"/>
            </w:r>
          </w:p>
        </w:tc>
      </w:tr>
      <w:tr>
        <w:tc>
          <w:tcPr>
            <w:tcW w:type="auto" w:w="0"/>
            <w:tcBorders>
              <w:top w:val="single" w:sz="2" w:color="auto"/>
              <w:bottom w:val="single" w:sz="2" w:color="auto"/>
            </w:tcBorders>
            <w:tcMar>
              <w:left w:type="dxa" w:w="100"/>
              <w:top w:type="dxa" w:w="180"/>
              <w:bottom w:type="dxa" w:w="180"/>
            </w:tcMar>
            <w:vAlign w:val="top"/>
          </w:tcPr>
          <w:p>
            <w:pPr>
              <w:pStyle w:val="Para 006"/>
            </w:pPr>
            <w:r>
              <w:t xml:space="preserve">Quan trọng: Tôi cần hoàn thành việc này trong hôm nay</w:t>
              <w:br w:clear="none"/>
            </w:r>
          </w:p>
        </w:tc>
        <w:tc>
          <w:tcPr>
            <w:tcW w:type="auto" w:w="0"/>
            <w:tcBorders>
              <w:top w:val="single" w:sz="2" w:color="auto"/>
              <w:bottom w:val="single" w:sz="2" w:color="auto"/>
            </w:tcBorders>
            <w:tcMar>
              <w:left w:type="dxa" w:w="100"/>
              <w:top w:type="dxa" w:w="180"/>
              <w:bottom w:type="dxa" w:w="180"/>
            </w:tcMar>
            <w:vAlign w:val="top"/>
          </w:tcPr>
          <w:p>
            <w:pPr>
              <w:pStyle w:val="Para 006"/>
            </w:pPr>
            <w:r>
              <w:t xml:space="preserve">3</w:t>
              <w:br w:clear="none"/>
            </w:r>
          </w:p>
        </w:tc>
      </w:tr>
      <w:tr>
        <w:tc>
          <w:tcPr>
            <w:tcW w:type="auto" w:w="0"/>
            <w:tcBorders>
              <w:top w:val="single" w:sz="2" w:color="auto"/>
              <w:bottom w:val="single" w:sz="2" w:color="auto"/>
            </w:tcBorders>
            <w:tcMar>
              <w:left w:type="dxa" w:w="100"/>
              <w:top w:type="dxa" w:w="180"/>
              <w:bottom w:type="dxa" w:w="180"/>
            </w:tcMar>
            <w:vAlign w:val="top"/>
          </w:tcPr>
          <w:p>
            <w:pPr>
              <w:pStyle w:val="Para 006"/>
            </w:pPr>
            <w:r>
              <w:t xml:space="preserve">Tùy ý: Tôi sẽ làm nếu còn thời gian</w:t>
              <w:br w:clear="none"/>
            </w:r>
          </w:p>
        </w:tc>
        <w:tc>
          <w:tcPr>
            <w:tcW w:type="auto" w:w="0"/>
            <w:tcBorders>
              <w:top w:val="single" w:sz="2" w:color="auto"/>
              <w:bottom w:val="single" w:sz="2" w:color="auto"/>
            </w:tcBorders>
            <w:tcMar>
              <w:left w:type="dxa" w:w="100"/>
              <w:top w:type="dxa" w:w="180"/>
              <w:bottom w:type="dxa" w:w="180"/>
            </w:tcMar>
            <w:vAlign w:val="top"/>
          </w:tcPr>
          <w:p>
            <w:pPr>
              <w:pStyle w:val="Para 006"/>
            </w:pPr>
            <w:r>
              <w:t xml:space="preserve">2</w:t>
              <w:br w:clear="none"/>
            </w:r>
          </w:p>
        </w:tc>
      </w:tr>
      <w:tr>
        <w:tc>
          <w:tcPr>
            <w:tcW w:type="auto" w:w="0"/>
            <w:tcBorders>
              <w:top w:val="single" w:sz="2" w:color="auto"/>
              <w:bottom w:val="single" w:sz="2" w:color="auto"/>
            </w:tcBorders>
            <w:tcMar>
              <w:left w:type="dxa" w:w="100"/>
              <w:top w:type="dxa" w:w="180"/>
              <w:bottom w:type="dxa" w:w="180"/>
            </w:tcMar>
            <w:vAlign w:val="top"/>
          </w:tcPr>
          <w:p>
            <w:pPr>
              <w:pStyle w:val="Para 006"/>
            </w:pPr>
            <w:r>
              <w:t xml:space="preserve">Không quan trọng/không bắt buộc: Tôi có thể cắt bỏ ngay lập tức</w:t>
              <w:br w:clear="none"/>
            </w:r>
          </w:p>
        </w:tc>
        <w:tc>
          <w:tcPr>
            <w:tcW w:type="auto" w:w="0"/>
            <w:tcBorders>
              <w:top w:val="single" w:sz="2" w:color="auto"/>
              <w:bottom w:val="single" w:sz="2" w:color="auto"/>
            </w:tcBorders>
            <w:tcMar>
              <w:left w:type="dxa" w:w="100"/>
              <w:top w:type="dxa" w:w="180"/>
              <w:bottom w:type="dxa" w:w="180"/>
            </w:tcMar>
            <w:vAlign w:val="top"/>
          </w:tcPr>
          <w:p>
            <w:pPr>
              <w:pStyle w:val="Para 006"/>
            </w:pPr>
            <w:r>
              <w:t xml:space="preserve">1</w:t>
              <w:br w:clear="none"/>
            </w:r>
          </w:p>
        </w:tc>
      </w:tr>
    </w:tbl>
    <w:p>
      <w:pPr>
        <w:pStyle w:val="Para 035"/>
      </w:pPr>
      <w:r>
        <w:t>Tôi nhận được bao nhiêu giá trị cá nhân khi làm việc này?</w:t>
      </w:r>
    </w:p>
    <w:p>
      <w:pPr>
        <w:pStyle w:val="Para 020"/>
      </w:pPr>
      <w:r>
        <w:t>Hãy tưởng tượng bạn đã độc lập về tài chính và đang tạo ra công việc mơ ước của mình. Bạn sẽ giữ nhiệm vụ này hay vứt bỏ nó?</w:t>
      </w:r>
    </w:p>
    <w:tbl>
      <w:tblPr>
        <w:tblW w:type="pct" w:w="4750"/>
      </w:tblPr>
      <w:tr>
        <w:tc>
          <w:tcPr>
            <w:tcW w:type="auto" w:w="0"/>
            <w:tcBorders>
              <w:bottom w:val="single" w:sz="2" w:color="auto"/>
            </w:tcBorders>
            <w:tcMar>
              <w:left w:type="dxa" w:w="100"/>
              <w:top w:type="dxa" w:w="180"/>
              <w:bottom w:type="dxa" w:w="180"/>
            </w:tcMar>
            <w:vAlign w:val="top"/>
          </w:tcPr>
          <w:p>
            <w:pPr>
              <w:pStyle w:val="Para 006"/>
            </w:pPr>
            <w:r>
              <w:t xml:space="preserve">Chắc chắn giữ: Đây là một trong những phần tuyệt vời nhất trong công việc của tôi</w:t>
              <w:br w:clear="none"/>
            </w:r>
          </w:p>
        </w:tc>
        <w:tc>
          <w:tcPr>
            <w:tcW w:type="auto" w:w="0"/>
            <w:tcBorders>
              <w:bottom w:val="single" w:sz="2" w:color="auto"/>
            </w:tcBorders>
            <w:tcMar>
              <w:left w:type="dxa" w:w="100"/>
              <w:top w:type="dxa" w:w="180"/>
              <w:bottom w:type="dxa" w:w="180"/>
            </w:tcMar>
            <w:vAlign w:val="top"/>
          </w:tcPr>
          <w:p>
            <w:pPr>
              <w:pStyle w:val="Para 006"/>
            </w:pPr>
            <w:r>
              <w:t xml:space="preserve">5</w:t>
              <w:br w:clear="none"/>
            </w:r>
          </w:p>
        </w:tc>
      </w:tr>
      <w:tr>
        <w:tc>
          <w:tcPr>
            <w:tcW w:type="auto" w:w="0"/>
            <w:tcBorders>
              <w:top w:val="single" w:sz="2" w:color="auto"/>
              <w:bottom w:val="single" w:sz="2" w:color="auto"/>
            </w:tcBorders>
            <w:tcMar>
              <w:left w:type="dxa" w:w="100"/>
              <w:top w:type="dxa" w:w="180"/>
              <w:bottom w:type="dxa" w:w="180"/>
            </w:tcMar>
            <w:vAlign w:val="top"/>
          </w:tcPr>
          <w:p>
            <w:pPr>
              <w:pStyle w:val="Para 006"/>
            </w:pPr>
            <w:r>
              <w:t xml:space="preserve">Có lẽ sẽ giữ: Tôi thích hoạt động này</w:t>
              <w:br w:clear="none"/>
            </w:r>
          </w:p>
        </w:tc>
        <w:tc>
          <w:tcPr>
            <w:tcW w:type="auto" w:w="0"/>
            <w:tcBorders>
              <w:top w:val="single" w:sz="2" w:color="auto"/>
              <w:bottom w:val="single" w:sz="2" w:color="auto"/>
            </w:tcBorders>
            <w:tcMar>
              <w:left w:type="dxa" w:w="100"/>
              <w:top w:type="dxa" w:w="180"/>
              <w:bottom w:type="dxa" w:w="180"/>
            </w:tcMar>
            <w:vAlign w:val="top"/>
          </w:tcPr>
          <w:p>
            <w:pPr>
              <w:pStyle w:val="Para 006"/>
            </w:pPr>
            <w:r>
              <w:t xml:space="preserve">4</w:t>
              <w:br w:clear="none"/>
            </w:r>
          </w:p>
        </w:tc>
      </w:tr>
      <w:tr>
        <w:tc>
          <w:tcPr>
            <w:tcW w:type="auto" w:w="0"/>
            <w:tcBorders>
              <w:top w:val="single" w:sz="2" w:color="auto"/>
              <w:bottom w:val="single" w:sz="2" w:color="auto"/>
            </w:tcBorders>
            <w:tcMar>
              <w:left w:type="dxa" w:w="100"/>
              <w:top w:type="dxa" w:w="180"/>
              <w:bottom w:type="dxa" w:w="180"/>
            </w:tcMar>
            <w:vAlign w:val="top"/>
          </w:tcPr>
          <w:p>
            <w:pPr>
              <w:pStyle w:val="Para 006"/>
            </w:pPr>
            <w:r>
              <w:t xml:space="preserve">Không chắc: Nhiệm vụ này có cả điểm tốt lẫn điểm xấu</w:t>
              <w:br w:clear="none"/>
            </w:r>
          </w:p>
        </w:tc>
        <w:tc>
          <w:tcPr>
            <w:tcW w:type="auto" w:w="0"/>
            <w:tcBorders>
              <w:top w:val="single" w:sz="2" w:color="auto"/>
              <w:bottom w:val="single" w:sz="2" w:color="auto"/>
            </w:tcBorders>
            <w:tcMar>
              <w:left w:type="dxa" w:w="100"/>
              <w:top w:type="dxa" w:w="180"/>
              <w:bottom w:type="dxa" w:w="180"/>
            </w:tcMar>
            <w:vAlign w:val="top"/>
          </w:tcPr>
          <w:p>
            <w:pPr>
              <w:pStyle w:val="Para 006"/>
            </w:pPr>
            <w:r>
              <w:t xml:space="preserve">3</w:t>
              <w:br w:clear="none"/>
            </w:r>
          </w:p>
        </w:tc>
      </w:tr>
      <w:tr>
        <w:tc>
          <w:tcPr>
            <w:tcW w:type="auto" w:w="0"/>
            <w:tcBorders>
              <w:top w:val="single" w:sz="2" w:color="auto"/>
              <w:bottom w:val="single" w:sz="2" w:color="auto"/>
            </w:tcBorders>
            <w:tcMar>
              <w:left w:type="dxa" w:w="100"/>
              <w:top w:type="dxa" w:w="180"/>
              <w:bottom w:type="dxa" w:w="180"/>
            </w:tcMar>
            <w:vAlign w:val="top"/>
          </w:tcPr>
          <w:p>
            <w:pPr>
              <w:pStyle w:val="Para 006"/>
            </w:pPr>
            <w:r>
              <w:t xml:space="preserve">Có lẽ sẽ bỏ: Tôi thấy hoạt động này hơi mệt mỏi</w:t>
              <w:br w:clear="none"/>
            </w:r>
          </w:p>
        </w:tc>
        <w:tc>
          <w:tcPr>
            <w:tcW w:type="auto" w:w="0"/>
            <w:tcBorders>
              <w:top w:val="single" w:sz="2" w:color="auto"/>
              <w:bottom w:val="single" w:sz="2" w:color="auto"/>
            </w:tcBorders>
            <w:tcMar>
              <w:left w:type="dxa" w:w="100"/>
              <w:top w:type="dxa" w:w="180"/>
              <w:bottom w:type="dxa" w:w="180"/>
            </w:tcMar>
            <w:vAlign w:val="top"/>
          </w:tcPr>
          <w:p>
            <w:pPr>
              <w:pStyle w:val="Para 006"/>
            </w:pPr>
            <w:r>
              <w:t xml:space="preserve">2</w:t>
              <w:br w:clear="none"/>
            </w:r>
          </w:p>
        </w:tc>
      </w:tr>
      <w:tr>
        <w:tc>
          <w:tcPr>
            <w:tcW w:type="auto" w:w="0"/>
            <w:tcBorders>
              <w:top w:val="single" w:sz="2" w:color="auto"/>
              <w:bottom w:val="single" w:sz="2" w:color="auto"/>
            </w:tcBorders>
            <w:tcMar>
              <w:left w:type="dxa" w:w="100"/>
              <w:top w:type="dxa" w:w="180"/>
              <w:bottom w:type="dxa" w:w="180"/>
            </w:tcMar>
            <w:vAlign w:val="top"/>
          </w:tcPr>
          <w:p>
            <w:pPr>
              <w:pStyle w:val="Para 006"/>
            </w:pPr>
            <w:r>
              <w:t xml:space="preserve">Chắc chắn vứt bỏ: Tôi không thích làm việc này</w:t>
              <w:br w:clear="none"/>
            </w:r>
          </w:p>
        </w:tc>
        <w:tc>
          <w:tcPr>
            <w:tcW w:type="auto" w:w="0"/>
            <w:tcBorders>
              <w:top w:val="single" w:sz="2" w:color="auto"/>
              <w:bottom w:val="single" w:sz="2" w:color="auto"/>
            </w:tcBorders>
            <w:tcMar>
              <w:left w:type="dxa" w:w="100"/>
              <w:top w:type="dxa" w:w="180"/>
              <w:bottom w:type="dxa" w:w="180"/>
            </w:tcMar>
            <w:vAlign w:val="top"/>
          </w:tcPr>
          <w:p>
            <w:pPr>
              <w:pStyle w:val="Para 006"/>
            </w:pPr>
            <w:r>
              <w:t xml:space="preserve">1</w:t>
              <w:br w:clear="none"/>
            </w:r>
          </w:p>
        </w:tc>
      </w:tr>
    </w:tbl>
    <w:p>
      <w:pPr>
        <w:pStyle w:val="Para 035"/>
      </w:pPr>
      <w:r>
        <w:t>Người khác có thể làm thay tôi việc này đến mức nào?</w:t>
      </w:r>
    </w:p>
    <w:p>
      <w:pPr>
        <w:pStyle w:val="Para 020"/>
      </w:pPr>
      <w:r>
        <w:t>Giả sử bạn được chọn để xử lý một sáng kiến quan trọng, cần gấp rút và phải giao bớt một phần công việc của mình cho đồng nghiệp trong ba tháng. Bạn sẽ bỏ, giao việc, hay giữ lại nhiệm vụ này?</w:t>
      </w:r>
    </w:p>
    <w:tbl>
      <w:tblPr>
        <w:tblW w:type="pct" w:w="4750"/>
      </w:tblPr>
      <w:tr>
        <w:tc>
          <w:tcPr>
            <w:tcW w:type="auto" w:w="0"/>
            <w:tcBorders>
              <w:bottom w:val="single" w:sz="2" w:color="auto"/>
            </w:tcBorders>
            <w:tcMar>
              <w:left w:type="dxa" w:w="100"/>
              <w:top w:type="dxa" w:w="180"/>
              <w:bottom w:type="dxa" w:w="180"/>
            </w:tcMar>
            <w:vAlign w:val="top"/>
          </w:tcPr>
          <w:p>
            <w:pPr>
              <w:pStyle w:val="Para 006"/>
            </w:pPr>
            <w:r>
              <w:t xml:space="preserve">Chỉ tôi (hoặc người cấp cao hơn tôi) mới có thể xử lý nhiệm vụ này</w:t>
              <w:br w:clear="none"/>
            </w:r>
          </w:p>
        </w:tc>
        <w:tc>
          <w:tcPr>
            <w:tcW w:type="auto" w:w="0"/>
            <w:tcBorders>
              <w:bottom w:val="single" w:sz="2" w:color="auto"/>
            </w:tcBorders>
            <w:tcMar>
              <w:left w:type="dxa" w:w="100"/>
              <w:top w:type="dxa" w:w="180"/>
              <w:bottom w:type="dxa" w:w="180"/>
            </w:tcMar>
            <w:vAlign w:val="top"/>
          </w:tcPr>
          <w:p>
            <w:pPr>
              <w:pStyle w:val="Para 006"/>
            </w:pPr>
            <w:r>
              <w:t xml:space="preserve">5</w:t>
              <w:br w:clear="none"/>
            </w:r>
          </w:p>
        </w:tc>
      </w:tr>
      <w:tr>
        <w:tc>
          <w:tcPr>
            <w:tcW w:type="auto" w:w="0"/>
            <w:tcBorders>
              <w:top w:val="single" w:sz="2" w:color="auto"/>
              <w:bottom w:val="single" w:sz="2" w:color="auto"/>
            </w:tcBorders>
            <w:tcMar>
              <w:left w:type="dxa" w:w="100"/>
              <w:top w:type="dxa" w:w="180"/>
              <w:bottom w:type="dxa" w:w="180"/>
            </w:tcMar>
            <w:vAlign w:val="top"/>
          </w:tcPr>
          <w:p>
            <w:pPr>
              <w:pStyle w:val="Para 006"/>
            </w:pPr>
            <w:r>
              <w:t xml:space="preserve">Nhiệm vụ này tốt nhất do tôi làm vì bộ kỹ năng đặc thù của tôi và các trách nhiệm liên quan khác</w:t>
              <w:br w:clear="none"/>
            </w:r>
          </w:p>
        </w:tc>
        <w:tc>
          <w:tcPr>
            <w:tcW w:type="auto" w:w="0"/>
            <w:tcBorders>
              <w:top w:val="single" w:sz="2" w:color="auto"/>
              <w:bottom w:val="single" w:sz="2" w:color="auto"/>
            </w:tcBorders>
            <w:tcMar>
              <w:left w:type="dxa" w:w="100"/>
              <w:top w:type="dxa" w:w="180"/>
              <w:bottom w:type="dxa" w:w="180"/>
            </w:tcMar>
            <w:vAlign w:val="top"/>
          </w:tcPr>
          <w:p>
            <w:pPr>
              <w:pStyle w:val="Para 006"/>
            </w:pPr>
            <w:r>
              <w:t xml:space="preserve">4</w:t>
              <w:br w:clear="none"/>
            </w:r>
          </w:p>
        </w:tc>
      </w:tr>
      <w:tr>
        <w:tc>
          <w:tcPr>
            <w:tcW w:type="auto" w:w="0"/>
            <w:tcBorders>
              <w:top w:val="single" w:sz="2" w:color="auto"/>
              <w:bottom w:val="single" w:sz="2" w:color="auto"/>
            </w:tcBorders>
            <w:tcMar>
              <w:left w:type="dxa" w:w="100"/>
              <w:top w:type="dxa" w:w="180"/>
              <w:bottom w:type="dxa" w:w="180"/>
            </w:tcMar>
            <w:vAlign w:val="top"/>
          </w:tcPr>
          <w:p>
            <w:pPr>
              <w:pStyle w:val="Para 006"/>
            </w:pPr>
            <w:r>
              <w:t xml:space="preserve">Nếu được sắp xếp hợp lý, nhiệm vụ này có thể do người cấp dưới tôi xử lý một cách ổn thỏa</w:t>
              <w:br w:clear="none"/>
            </w:r>
          </w:p>
        </w:tc>
        <w:tc>
          <w:tcPr>
            <w:tcW w:type="auto" w:w="0"/>
            <w:tcBorders>
              <w:top w:val="single" w:sz="2" w:color="auto"/>
              <w:bottom w:val="single" w:sz="2" w:color="auto"/>
            </w:tcBorders>
            <w:tcMar>
              <w:left w:type="dxa" w:w="100"/>
              <w:top w:type="dxa" w:w="180"/>
              <w:bottom w:type="dxa" w:w="180"/>
            </w:tcMar>
            <w:vAlign w:val="top"/>
          </w:tcPr>
          <w:p>
            <w:pPr>
              <w:pStyle w:val="Para 006"/>
            </w:pPr>
            <w:r>
              <w:t xml:space="preserve">3</w:t>
              <w:br w:clear="none"/>
            </w:r>
          </w:p>
        </w:tc>
      </w:tr>
      <w:tr>
        <w:tc>
          <w:tcPr>
            <w:tcW w:type="auto" w:w="0"/>
            <w:tcBorders>
              <w:top w:val="single" w:sz="2" w:color="auto"/>
              <w:bottom w:val="single" w:sz="2" w:color="auto"/>
            </w:tcBorders>
            <w:tcMar>
              <w:left w:type="dxa" w:w="100"/>
              <w:top w:type="dxa" w:w="180"/>
              <w:bottom w:type="dxa" w:w="180"/>
            </w:tcMar>
            <w:vAlign w:val="top"/>
          </w:tcPr>
          <w:p>
            <w:pPr>
              <w:pStyle w:val="Para 006"/>
            </w:pPr>
            <w:r>
              <w:t xml:space="preserve">Nhiệm vụ này có thể dễ dàng do một nhân viên cấp dưới xử lý hoặc thuê ngoài cho bên thứ ba</w:t>
              <w:br w:clear="none"/>
            </w:r>
          </w:p>
        </w:tc>
        <w:tc>
          <w:tcPr>
            <w:tcW w:type="auto" w:w="0"/>
            <w:tcBorders>
              <w:top w:val="single" w:sz="2" w:color="auto"/>
              <w:bottom w:val="single" w:sz="2" w:color="auto"/>
            </w:tcBorders>
            <w:tcMar>
              <w:left w:type="dxa" w:w="100"/>
              <w:top w:type="dxa" w:w="180"/>
              <w:bottom w:type="dxa" w:w="180"/>
            </w:tcMar>
            <w:vAlign w:val="top"/>
          </w:tcPr>
          <w:p>
            <w:pPr>
              <w:pStyle w:val="Para 006"/>
            </w:pPr>
            <w:r>
              <w:t xml:space="preserve">2</w:t>
              <w:br w:clear="none"/>
            </w:r>
          </w:p>
        </w:tc>
      </w:tr>
      <w:tr>
        <w:tc>
          <w:tcPr>
            <w:tcW w:type="auto" w:w="0"/>
            <w:tcBorders>
              <w:top w:val="single" w:sz="2" w:color="auto"/>
              <w:bottom w:val="single" w:sz="2" w:color="auto"/>
            </w:tcBorders>
            <w:tcMar>
              <w:left w:type="dxa" w:w="100"/>
              <w:top w:type="dxa" w:w="180"/>
              <w:bottom w:type="dxa" w:w="180"/>
            </w:tcMar>
            <w:vAlign w:val="top"/>
          </w:tcPr>
          <w:p>
            <w:pPr>
              <w:pStyle w:val="Para 006"/>
            </w:pPr>
            <w:r>
              <w:t xml:space="preserve">Nhiệm vụ này có thể bỏ hẳn</w:t>
              <w:br w:clear="none"/>
            </w:r>
          </w:p>
        </w:tc>
        <w:tc>
          <w:tcPr>
            <w:tcW w:type="auto" w:w="0"/>
            <w:tcBorders>
              <w:top w:val="single" w:sz="2" w:color="auto"/>
              <w:bottom w:val="single" w:sz="2" w:color="auto"/>
            </w:tcBorders>
            <w:tcMar>
              <w:left w:type="dxa" w:w="100"/>
              <w:top w:type="dxa" w:w="180"/>
              <w:bottom w:type="dxa" w:w="180"/>
            </w:tcMar>
            <w:vAlign w:val="top"/>
          </w:tcPr>
          <w:p>
            <w:pPr>
              <w:pStyle w:val="Para 006"/>
            </w:pPr>
            <w:r>
              <w:t xml:space="preserve">1</w:t>
              <w:br w:clear="none"/>
            </w:r>
          </w:p>
        </w:tc>
      </w:tr>
      <w:tr>
        <w:tc>
          <w:tcPr>
            <w:tcW w:type="auto" w:w="0"/>
            <w:tcBorders>
              <w:top w:val="single" w:sz="2" w:color="auto"/>
            </w:tcBorders>
            <w:vAlign w:val="center"/>
          </w:tcPr>
          <w:p>
            <w:pPr>
              <w:pStyle w:val="Para 086"/>
            </w:pPr>
            <w:r>
              <w:t xml:space="preserve">Tính tổng điểm của bạn</w:t>
              <w:br w:clear="none"/>
            </w:r>
          </w:p>
        </w:tc>
        <w:tc>
          <w:tcPr>
            <w:tcW w:type="auto" w:w="0"/>
            <w:tcBorders>
              <w:top w:val="single" w:sz="2" w:color="auto"/>
            </w:tcBorders>
            <w:vAlign w:val="center"/>
          </w:tcPr>
          <w:p>
            <w:pPr>
              <w:pStyle w:val="Para 127"/>
            </w:pPr>
            <w:r>
              <w:drawing>
                <wp:anchor distL="0" distR="0" distT="0" distB="0" simplePos="0" relativeHeight="1" behindDoc="0" locked="0" layoutInCell="1" allowOverlap="1">
                  <wp:simplePos x="0" y="0"/>
                  <wp:positionH relativeFrom="margin">
                    <wp:align>center</wp:align>
                  </wp:positionH>
                  <wp:positionV relativeFrom="line">
                    <wp:align>top</wp:align>
                  </wp:positionV>
                  <wp:extent cx="1968500" cy="1968500"/>
                  <wp:effectExtent l="0" r="0" t="0" b="0"/>
                  <wp:wrapTopAndBottom/>
                  <wp:docPr id="26" name="pg55.png" descr="image"/>
                  <wp:cNvGraphicFramePr>
                    <a:graphicFrameLocks noChangeAspect="1"/>
                  </wp:cNvGraphicFramePr>
                  <a:graphic>
                    <a:graphicData uri="http://schemas.openxmlformats.org/drawingml/2006/picture">
                      <pic:pic>
                        <pic:nvPicPr>
                          <pic:cNvPr id="0" name="pg55.png" descr="image"/>
                          <pic:cNvPicPr/>
                        </pic:nvPicPr>
                        <pic:blipFill>
                          <a:blip r:embed="rId26"/>
                          <a:stretch>
                            <a:fillRect/>
                          </a:stretch>
                        </pic:blipFill>
                        <pic:spPr>
                          <a:xfrm>
                            <a:off x="0" y="0"/>
                            <a:ext cx="1968500" cy="1968500"/>
                          </a:xfrm>
                          <a:prstGeom prst="rect">
                            <a:avLst/>
                          </a:prstGeom>
                        </pic:spPr>
                      </pic:pic>
                    </a:graphicData>
                  </a:graphic>
                </wp:anchor>
              </w:drawing>
            </w:r>
          </w:p>
        </w:tc>
      </w:tr>
    </w:tbl>
    <w:p>
      <w:pPr>
        <w:pStyle w:val="Para 020"/>
      </w:pPr>
      <w:r>
        <w:t>Tổng điểm thấp (10 điểm trở xuống) phản ánh một nhiệm vụ có khả năng cao nên được giao bớt hoặc loại bỏ.</w:t>
      </w:r>
    </w:p>
    <w:p>
      <w:pPr>
        <w:pStyle w:val="Para 128"/>
      </w:pPr>
      <w:r>
        <w:t xml:space="preserve">Để xem bạn đang ở mức nào và nhận lời khuyên cải thiện năng suất, hãy truy cập hbr.org/web/2013/08/assessment/make-time-for-work-that-matters để dùng công cụ đánh giá tương tác.</w:t>
      </w:r>
      <w:hyperlink r:id="rId82">
        <w:r>
          <w:rPr>
            <w:rStyle w:val="Text1"/>
          </w:rPr>
          <w:t/>
        </w:r>
      </w:hyperlink>
      <w:r>
        <w:t xml:space="preserve"/>
      </w:r>
    </w:p>
    <w:p>
      <w:pPr>
        <w:pStyle w:val="Para 023"/>
      </w:pPr>
      <w:r>
        <w:bookmarkStart w:id="320" w:name="page_44"/>
        <w:t>Xác định các nhiệm vụ giá trị thấp</w:t>
        <w:bookmarkEnd w:id="320"/>
        <w:t/>
      </w:r>
    </w:p>
    <w:p>
      <w:pPr>
        <w:pStyle w:val="Para 003"/>
      </w:pPr>
      <w:r>
        <w:t xml:space="preserve">Dùng bài tự đánh giá của chúng tôi, hãy nhìn vào tất cả hoạt động hằng ngày của bạn và quyết định xem hoạt động nào (a) không quá quan trọng với bạn hoặc công ty và (b) tương đối dễ bỏ, giao bớt, hoặc thuê ngoài. Nghiên cứu của chúng tôi cho thấy ít nhất một phần tư hoạt động của một nhân viên tri thức (knowledge worker) điển hình rơi vào cả hai nhóm này, vì vậy bạn nên đặt mục tiêu tìm ra tối đa 10 giờ mỗi tuần. Những người tham gia nghiên cứu của chúng tôi đã chỉ ra một loạt nhiệm vụ có thể cắt bỏ. Lotta Laitinen, quản lý tại If, nhanh chóng xác định vài cuộc họp và nhiệm vụ hành chính thường nhật mà cô có thể bỏ qua. Shantanu Kumar, CEO của một công ty công nghệ nhỏ ở London, nhận ra mình đã can thiệp quá sâu vào chi tiết lập kế hoạch dự án, trong khi Vincent Bryant, quản lý tại GDF SUEZ Energy Services, ngạc nhiên khi thấy mình lãng phí quá nhiều thời gian vào việc sắp xếp tài liệu.</w:t>
        <w:bookmarkStart w:id="321" w:name="page_45"/>
        <w:t/>
        <w:bookmarkEnd w:id="321"/>
        <w:t/>
        <w:bookmarkStart w:id="322" w:name="page_46"/>
        <w:t/>
        <w:bookmarkEnd w:id="322"/>
        <w:t/>
      </w:r>
    </w:p>
    <w:p>
      <w:pPr>
        <w:pStyle w:val="Para 023"/>
      </w:pPr>
      <w:r>
        <w:t>Quyết định bỏ, giao bớt, hay thiết kế lại</w:t>
      </w:r>
    </w:p>
    <w:p>
      <w:pPr>
        <w:pStyle w:val="Para 003"/>
      </w:pPr>
      <w:r>
        <w:t xml:space="preserve">Chia các nhiệm vụ giá trị thấp thành ba nhóm: cắt bỏ nhanh (những việc bạn có thể ngừng làm ngay mà không gây tác động tiêu cực), cơ hội chuyển giao (những nhiệm vụ có thể giao bớt với nỗ lực tối thiểu), và thiết kế lại dài hạn (công việc cần được tái cấu trúc hoặc đại tu). Những người tham gia nghiên cứu của chúng tôi nhận thấy bước này buộc họ phải suy ngẫm kỹ về đóng góp thực sự của mình cho tổ chức. “Tôi lùi lại một bước và tự hỏi: ‘Ngay từ đầu mình có nên làm việc này không? Cấp dưới của mình có làm được không? Cậu ấy có đủ khả năng không?’” Johann Barchechath, quản lý tại BNP Paribas, nhớ lại. “Điều này giúp tôi nhận ra điều gì có giá trị với ngân hàng so với điều gì có giá trị với tôi — và điều gì lẽ ra chúng tôi không nên làm ngay từ đầu.” Một người tham gia khác ghi nhận: “Tôi nhận ra thay đổi lớn mình nên thực hiện là nói không ngay từ đầu với các nhiệm vụ giá trị thấp và đừng tự cam kết làm chúng ngay từ đầu.”</w:t>
      </w:r>
      <w:r>
        <w:rPr>
          <w:rStyle w:val="Text0"/>
        </w:rPr>
        <w:t/>
      </w:r>
      <w:r>
        <w:t xml:space="preserve"/>
      </w:r>
      <w:r>
        <w:rPr>
          <w:rStyle w:val="Text0"/>
        </w:rPr>
        <w:t/>
      </w:r>
      <w:r>
        <w:t xml:space="preserve"/>
      </w:r>
      <w:r>
        <w:rPr>
          <w:rStyle w:val="Text0"/>
        </w:rPr>
        <w:t/>
      </w:r>
      <w:r>
        <w:t xml:space="preserve"/>
      </w:r>
    </w:p>
    <w:p>
      <w:pPr>
        <w:pStyle w:val="Para 023"/>
      </w:pPr>
      <w:r>
        <w:t>Chuyển giao nhiệm vụ</w:t>
      </w:r>
    </w:p>
    <w:p>
      <w:pPr>
        <w:pStyle w:val="Para 003"/>
      </w:pPr>
      <w:r>
        <w:t>Chúng tôi nghe nhiều người tham gia nói rằng giao việc ban đầu là phần thách thức nhất — nhưng cuối cùng lại rất đáng công. Một người tham gia nói anh không thể ngừng lo lắng về những nhiệm vụ mình đã giao lại, trong khi một người khác kể rằng anh gặp khó khăn trong việc nhớ “phải thúc giục, nhắc nhở, và theo sát”. Barchechath nhận xét: “Tôi học được tầm quan trọng của thời điểm khi giao việc — có thể giao quá sớm.”</w:t>
      </w:r>
    </w:p>
    <w:p>
      <w:pPr>
        <w:pStyle w:val="Para 003"/>
      </w:pPr>
      <w:r>
        <w:t xml:space="preserve">Hầu hết người tham gia cuối cùng đều vượt qua những trở ngại đó. Họ giao bớt từ 2% đến 20% khối lượng công việc mà không làm giảm năng suất của bản thân hay của nhóm. “Ban đầu tôi đánh giá quá cao năng lực của cấp dưới, nhưng sau một thời gian mọi thứ dễ dàng hơn, và thậm chí một phần việc được làm dở cũng tạo năng lượng cho tôi,” Barchechath nói. Một phần thưởng thêm là các nhân viên cấp dưới được hưởng lợi khi tham gia nhiều hơn. “[Cô ấy] đã nói với tôi vài lần rằng cô ấy thực sự trân trọng điều đó,” anh nói thêm. Vincent Bryant quyết định chuyển giao nhiệm vụ cho một trợ lý cá nhân ảo và cho biết dù anh từng lo lắng về việc làm quen với dịch vụ, “mọi thứ diễn ra liền mạch.”</w:t>
        <w:bookmarkStart w:id="323" w:name="page_47"/>
        <w:t/>
        <w:bookmarkEnd w:id="323"/>
        <w:t/>
      </w:r>
    </w:p>
    <w:p>
      <w:pPr>
        <w:pStyle w:val="Para 023"/>
      </w:pPr>
      <w:r>
        <w:t>Phân bổ thời gian giải phóng được</w:t>
      </w:r>
    </w:p>
    <w:p>
      <w:pPr>
        <w:pStyle w:val="Para 003"/>
      </w:pPr>
      <w:r>
        <w:t>Mục tiêu, tất nhiên, không chỉ là hiệu quả (efficient) mà còn là đúng việc (effective). Vì vậy bước tiếp theo là xác định cách sử dụng tốt nhất khoảng thời gian bạn tiết kiệm được. Viết ra hai hoặc ba việc bạn đáng lẽ nên làm nhưng chưa làm, rồi ghi nhật ký để đánh giá xem bạn có đang dùng thời gian hiệu quả hơn không. Một số người tham gia nghiên cứu của chúng tôi có thể về nhà sớm hơn một chút để tận hưởng thời gian bên gia đình (điều này có lẽ khiến họ hạnh phúc hơn và làm việc hiệu quả hơn vào ngày hôm sau). Một số người đáng tiếc cho biết thời gian của họ ngay lập tức bị nuốt chửng bởi những sự kiện bất ngờ: “Tôi dọn sạch hộp thư đến và thấy mình lại đang chữa cháy.”</w:t>
      </w:r>
    </w:p>
    <w:p>
      <w:pPr>
        <w:pStyle w:val="Para 003"/>
      </w:pPr>
      <w:r>
        <w:t>Nhưng hơn một nửa đã giành lại số giờ tăng thêm để làm việc tốt hơn. “Với tôi, phần hữu ích nhất là xác định những việc quan trọng mà tôi thường không có thời gian làm,” Kumar nói. “Tôi ngừng dành thời gian cho công cụ lập kế hoạch dự án và thay vào đó tập trung vào các hoạt động chiến lược, chẳng hạn như lộ trình sản phẩm.” Laitinen dùng lịch trình giải phóng được để nghe các cuộc gọi của khách hàng, quan sát những nhân viên bán hàng giỏi nhất của mình, và huấn luyện nhân viên theo hình thức một kèm một. Kết quả là cú nhảy vọt doanh số 5% đáng kinh ngạc trong ba tuần, với mức tăng lớn nhất đến từ những nhân viên có thành tích dưới trung bình. Một bảng câu hỏi cho thấy phản ứng của nhân viên với thử nghiệm là tích cực, và Laitinen nhận thấy cô không bỏ lỡ điều gì khi cắt bớt một phần công việc của mình. “Tuần đầu tiên thực sự căng thẳng, vì tôi phải lập kế hoạch quá nhiều, nhưng đến giữa giai đoạn thử nghiệm, tôi thư giãn hơn, và tôi hài lòng khi về nhà mỗi ngày.”</w:t>
      </w:r>
    </w:p>
    <w:p>
      <w:pPr>
        <w:pStyle w:val="Para 023"/>
      </w:pPr>
      <w:r>
        <w:t>Cam kết với kế hoạch của bạn</w:t>
      </w:r>
    </w:p>
    <w:p>
      <w:pPr>
        <w:pStyle w:val="Para 003"/>
      </w:pPr>
      <w:r>
        <w:t xml:space="preserve">Dù quá trình này hoàn toàn do bạn tự định hướng, việc chia sẻ kế hoạch với sếp, đồng nghiệp, hoặc người cố vấn là rất quan trọng. Giải thích bạn đang rút khỏi những hoạt động nào và vì sao. Và đồng ý thảo luận về những gì bạn đạt được sau vài tuần. Nếu thiếu bước này, bạn rất dễ trượt trở lại thói quen cũ. Nhiều người tham gia của chúng tôi nhận thấy quản lý của họ rất sẵn lòng giúp đỡ và ủng hộ. Sếp của Laitinen, Sven Kärnekull, gợi ý những người mà cô có thể giao việc. Những người tham gia khác phát hiện ra rằng chỉ cần nói ra cam kết với một người khác cũng giúp họ thực hiện đến cùng.</w:t>
        <w:bookmarkStart w:id="324" w:name="page_48"/>
        <w:t/>
        <w:bookmarkEnd w:id="324"/>
        <w:t/>
      </w:r>
    </w:p>
    <w:p>
      <w:pPr>
        <w:pStyle w:val="Para 048"/>
      </w:pPr>
      <w:r>
        <w:drawing>
          <wp:anchor distL="0" distR="0" distT="0" distB="0" simplePos="0" relativeHeight="1" behindDoc="0" locked="0" layoutInCell="1" allowOverlap="1">
            <wp:simplePos x="0" y="0"/>
            <wp:positionH relativeFrom="margin">
              <wp:align>center</wp:align>
            </wp:positionH>
            <wp:positionV relativeFrom="line">
              <wp:align>top</wp:align>
            </wp:positionV>
            <wp:extent cx="1778000" cy="0"/>
            <wp:effectExtent l="0" r="0" t="0" b="0"/>
            <wp:wrapTopAndBottom/>
            <wp:docPr id="27" name="line.png" descr="image"/>
            <wp:cNvGraphicFramePr>
              <a:graphicFrameLocks noChangeAspect="1"/>
            </wp:cNvGraphicFramePr>
            <a:graphic>
              <a:graphicData uri="http://schemas.openxmlformats.org/drawingml/2006/picture">
                <pic:pic>
                  <pic:nvPicPr>
                    <pic:cNvPr id="0" name="line.png" descr="image"/>
                    <pic:cNvPicPr/>
                  </pic:nvPicPr>
                  <pic:blipFill>
                    <a:blip r:embed="rId20"/>
                    <a:stretch>
                      <a:fillRect/>
                    </a:stretch>
                  </pic:blipFill>
                  <pic:spPr>
                    <a:xfrm>
                      <a:off x="0" y="0"/>
                      <a:ext cx="1778000" cy="0"/>
                    </a:xfrm>
                    <a:prstGeom prst="rect">
                      <a:avLst/>
                    </a:prstGeom>
                  </pic:spPr>
                </pic:pic>
              </a:graphicData>
            </a:graphic>
          </wp:anchor>
        </w:drawing>
      </w:r>
    </w:p>
    <w:p>
      <w:pPr>
        <w:pStyle w:val="Para 016"/>
      </w:pPr>
      <w:r>
        <w:t>Chỉ với nỗ lực tương đối ít và không cần chỉ thị từ ban quản lý, biện pháp can thiệp nhỏ mà chúng tôi đề xuất có thể tăng đáng kể năng suất của nhân viên tri thức. Tất nhiên, những thay đổi như vậy không phải lúc nào cũng dễ dàng. “Thật khó để thực hiện những thay đổi này nếu không có kỷ luật từ ai đó đứng giám sát bạn,” một người tham gia nghiên cứu nhận xét. Nhưng tất cả đều đồng ý rằng bài tập này là một “cơ chế ép buộc” hữu ích giúp họ trở thành nhân viên và nhà quản lý hiệu quả hơn, đúng việc hơn, và gắn kết hơn. Để làm điều tương tự, bạn không cần thiết kế lại bất kỳ bộ phận nào của tổ chức, tái cấu trúc quy trình làm việc, hay chuyển đổi mô hình kinh doanh. Tất cả những gì bạn cần làm là đặt đúng câu hỏi và hành động theo câu trả lời. Suy cho cùng, nếu bạn là một nhân viên tri thức, chẳng phải việc dùng khả năng phán đoán chính là lý do bạn được thuê sao?</w:t>
      </w:r>
    </w:p>
    <w:p>
      <w:pPr>
        <w:pStyle w:val="Para 044"/>
      </w:pPr>
      <w:r>
        <w:t xml:space="preserve">Xuất bản lần đầu tháng 9 năm 2013. Tái bản R1309K</w:t>
      </w:r>
      <w:r>
        <w:rPr>
          <w:rStyle w:val="Text10"/>
        </w:rPr>
        <w:t/>
      </w:r>
    </w:p>
    <w:p>
      <w:pPr>
        <w:pStyle w:val="Para 012"/>
      </w:pPr>
      <w:r>
        <w:t xml:space="preserve"> </w:t>
      </w:r>
    </w:p>
    <w:p>
      <w:bookmarkStart w:id="325" w:name="Collaboration_without_Burnout_by"/>
      <w:bookmarkStart w:id="326" w:name="Top_of_ch05_xhtml"/>
      <w:pPr>
        <w:pStyle w:val="Para 012"/>
        <w:pageBreakBefore w:val="on"/>
      </w:pPr>
      <w:r>
        <w:t xml:space="preserve"> </w:t>
      </w:r>
      <w:bookmarkEnd w:id="325"/>
      <w:bookmarkEnd w:id="326"/>
    </w:p>
    <w:p>
      <w:bookmarkStart w:id="327" w:name="Collaboration_without_Burnout"/>
      <w:pPr>
        <w:pStyle w:val="Para 039"/>
      </w:pPr>
      <w:r>
        <w:bookmarkStart w:id="328" w:name="page_49"/>
        <w:t>Cộng tác mà không kiệt sức</w:t>
        <w:bookmarkEnd w:id="328"/>
        <w:t/>
      </w:r>
      <w:bookmarkEnd w:id="327"/>
    </w:p>
    <w:p>
      <w:bookmarkStart w:id="329" w:name="by_Rob_Cross__Scott_Taylor__and"/>
      <w:pPr>
        <w:pStyle w:val="Para 040"/>
      </w:pPr>
      <w:r>
        <w:t>bởi Rob Cross, Scott Taylor, và Deb Zehner</w:t>
      </w:r>
      <w:bookmarkEnd w:id="329"/>
    </w:p>
    <w:p>
      <w:pPr>
        <w:pStyle w:val="Para 070"/>
      </w:pPr>
      <w:r>
        <w:rPr>
          <w:rStyle w:val="Text4"/>
        </w:rPr>
        <w:t>“Có quá nhiều người khác nhau có thể tiếp cận bạn qua nhiều kênh khác nhau, và áp lực thì khổng lồ.”</w:t>
      </w:r>
      <w:r>
        <w:t xml:space="preserve"/>
      </w:r>
    </w:p>
    <w:p>
      <w:pPr>
        <w:pStyle w:val="Para 070"/>
      </w:pPr>
      <w:r>
        <w:t>“Email liên tục, công tác quốc tế, điện thoại gọi mọi giờ—tôi đã kiệt sức. Những yêu cầu hợp tác cuối cùng đã bào mòn tôi.”</w:t>
      </w:r>
    </w:p>
    <w:p>
      <w:pPr>
        <w:pStyle w:val="Para 070"/>
      </w:pPr>
      <w:r>
        <w:t>“Tôi luôn cảm thấy mình phải làm nhiều hơn, tiến xa hơn, cứu vãn tình thế. Tôi trở thành chiếc phao cứu sinh của mọi người rồi suýt chết đuối.”</w:t>
      </w:r>
    </w:p>
    <w:p>
      <w:pPr>
        <w:pStyle w:val="Para 003"/>
      </w:pPr>
      <w:r>
        <w:t>Đó là tiếng lòng của những người đang chịu cảnh quá tải hợp tác (collaborative overload).</w:t>
      </w:r>
    </w:p>
    <w:p>
      <w:pPr>
        <w:pStyle w:val="Para 003"/>
      </w:pPr>
      <w:r>
        <w:t xml:space="preserve">Khi các tổ chức ngày càng toàn cầu hóa, áp dụng cấu trúc ma trận, cung cấp sản phẩm và dịch vụ ngày càng phức tạp, và cho phép liên lạc 24/7, họ đang yêu cầu nhân viên hợp tác với nhiều đồng nghiệp nội bộ và đối tác bên ngoài hơn bao giờ hết. Theo nghiên cứu từ Connected Commons, hầu hết các nhà quản lý hiện dành 85% hoặc hơn thời gian làm việc cho email, họp hành và điện thoại, và nhu cầu cho các hoạt động này đã tăng vọt 50% trong thập kỷ qua. Tất nhiên, các công ty được hưởng lợi: Đổi mới nhanh hơn và dịch vụ khách hàng liền mạch hơn là hai sản phẩm phụ của việc tăng cường hợp tác. Nhưng kéo theo đó là thời gian dành cho công việc cá nhân tập trung, suy ngẫm cẩn thận và ra quyết định sáng suốt giảm đáng kể. Một bài báo trên HBR năm 2016 do một trong hai chúng tôi đồng tác giả đã gọi hiện tượng phá hoại này là quá tải hợp tác và đề xuất những cách mà các tổ chức có thể chống lại nó.</w:t>
      </w:r>
      <w:r>
        <w:rPr>
          <w:rStyle w:val="Text0"/>
        </w:rPr>
        <w:t/>
      </w:r>
      <w:r>
        <w:t xml:space="preserve"/>
      </w:r>
    </w:p>
    <w:p>
      <w:pPr>
        <w:pStyle w:val="Para 003"/>
      </w:pPr>
      <w:r>
        <w:t xml:space="preserve">Trong vài năm qua, chúng tôi đã tiến hành thêm nghiên cứu—cả định lượng lẫn định tính—để hiểu rõ hơn vấn đề và tìm ra các giải pháp mà từng cá nhân có thể tự áp dụng. Làm việc với 20 tổ chức toàn cầu trong nhiều lĩnh vực đa dạng (phần mềm, hàng tiêu dùng, dịch vụ chuyên nghiệp, sản xuất và khoa học đời sống), chúng tôi bắt đầu bằng việc xây dựng mô hình hợp tác của nhân viên và xem xét tác động của những tương tác đó lên mức độ gắn kết, hiệu suất và tỷ lệ tự nguyện nghỉ việc. Sau đó, chúng tôi dùng phân tích mạng lưới để xác định những người hợp tác hiệu quả—những người làm việc năng suất với nhiều đối tượng khác nhau nhưng sử dụng ít thời gian nhất của chính họ và đồng nghiệp—và phỏng vấn 200 người trong số họ (100 nam và 100 nữ) về cuộc sống công việc. Chúng tôi đã học được rất nhiều về cách tình trạng quá tải xảy ra và những gì nhà lãnh đạo phải làm để tránh nó, nhờ đó họ có thể tiếp tục phát triển.</w:t>
        <w:bookmarkStart w:id="330" w:name="page_50"/>
        <w:t/>
        <w:bookmarkEnd w:id="330"/>
        <w:t/>
      </w:r>
    </w:p>
    <w:p>
      <w:pPr>
        <w:pStyle w:val="Para 003"/>
      </w:pPr>
      <w:r>
        <w:t>Không có gì ngạc nhiên, chúng tôi nhận thấy văn hóa làm việc luôn bật, công nghệ xâm lấn, sếp khó tính, khách hàng khó chiều và đồng nghiệp kém hiệu quả là một phần lớn của vấn đề, và hầu hết những thách thức đó thực sự cần giải pháp ở cấp tổ chức. Nhưng chúng tôi phát hiện trong nhiều trường hợp, những yếu tố ngốn thời gian bên ngoài còn đi kèm với một kẻ thù khác: chính tư duy và thói quen của mỗi cá nhân. May mắn thay, mọi người có thể tự vượt qua những trở ngại đó ngay lập tức bằng cách tự quản trị bản thân một cách chiến lược.</w:t>
      </w:r>
    </w:p>
    <w:p>
      <w:pPr>
        <w:pStyle w:val="Para 003"/>
      </w:pPr>
      <w:r>
        <w:t xml:space="preserve">Chúng tôi đã khám phá ra các phương pháp hay nhất trong ba nhóm lớn: niềm tin (hiểu vì sao chúng ta nhận quá nhiều việc); vai trò, lịch trình và mạng lưới (loại bỏ hợp tác không cần thiết để dành thời gian cho công việc phù hợp với khát vọng nghề nghiệp và giá trị cá nhân); và hành vi (đảm bảo công việc hợp tác cần thiết hoặc mong muốn diễn ra hiệu quả nhất có thể). Không phải mọi khuyến nghị của chúng tôi đều phù hợp với tất cả mọi người: Nhu cầu của mỗi người khác nhau tùy theo tính cách, cấp bậc và bối cảnh công việc. Nhưng chúng tôi nhận thấy khi những người tham gia nghiên cứu hành động chỉ với bốn hoặc năm khuyến nghị, họ đã giành lại được 18% đến 24% thời gian hợp tác của mình.</w:t>
      </w:r>
      <w:r>
        <w:rPr>
          <w:rStyle w:val="Text0"/>
        </w:rPr>
        <w:t/>
      </w:r>
      <w:r>
        <w:t xml:space="preserve"/>
      </w:r>
      <w:r>
        <w:rPr>
          <w:rStyle w:val="Text0"/>
        </w:rPr>
        <w:t/>
      </w:r>
      <w:r>
        <w:t xml:space="preserve"/>
      </w:r>
      <w:r>
        <w:rPr>
          <w:rStyle w:val="Text0"/>
        </w:rPr>
        <w:t/>
      </w:r>
      <w:r>
        <w:t xml:space="preserve"/>
      </w:r>
    </w:p>
    <w:p>
      <w:pPr>
        <w:pStyle w:val="Para 011"/>
      </w:pPr>
      <w:r>
        <w:t>Hai Kiểu Quá Tải</w:t>
      </w:r>
    </w:p>
    <w:p>
      <w:pPr>
        <w:pStyle w:val="Para 016"/>
      </w:pPr>
      <w:r>
        <w:t>Quá tải hợp tác thường xảy ra theo kiểu dâng trào đột ngột hoặc âm ỉ kéo dài. Sự dâng trào có thể đến từ việc thăng chức, lời đề nghị từ sếp hoặc đồng nghiệp nhờ đảm nhận hoặc hỗ trợ một dự án, hoặc mong muốn nhảy vào một hoạt động công việc “ngoại khóa” vì bạn cảm thấy có nghĩa vụ hoặc không muốn bỏ lỡ. Hãy xem trường hợp của Mike, một giám đốc điều hành công ty bảo hiểm đang quản lý nhiều dự án—một trong số đó khiến cả nhóm của anh làm việc ngày đêm để vực dậy một mảng kinh doanh đang gặp khó khăn. Khi sếp đề nghị anh giúp thành lập một đơn vị mới để công ty có thể thể hiện một bộ mặt thống nhất với thị trường, anh cảm thấy không thể từ chối. Đó là cơ hội phát triển tuyệt vời—mà kỹ năng của anh hoàn toàn phù hợp—và mang lại cơ hội tiếp xúc trực tiếp với ban lãnh đạo cấp cao. Nhưng anh không thể bỏ rơi nhóm hiện tại giữa chừng công việc. Vì vậy, anh quyết định làm cả hai việc cùng một lúc.</w:t>
      </w:r>
    </w:p>
    <w:p>
      <w:pPr>
        <w:pStyle w:val="Para 034"/>
      </w:pPr>
      <w:r>
        <w:t>Ý Tưởng Tóm Tắt</w:t>
      </w:r>
    </w:p>
    <w:p>
      <w:pPr>
        <w:pStyle w:val="Para 019"/>
      </w:pPr>
      <w:r>
        <w:bookmarkStart w:id="331" w:name="page_51"/>
        <w:t>Khi các tổ chức ngày càng toàn cầu hóa, theo cấu trúc ma trận và phức tạp hơn, họ đang yêu cầu nhân viên hợp tác với nhiều đồng nghiệp nội bộ và đối tác bên ngoài hơn bao giờ hết. Theo nghiên cứu, hầu hết các nhà quản lý hiện dành 85% hoặc hơn thời gian làm việc cho email, họp hành và điện thoại. Và dù tăng cường hợp tác có lợi ích, nó cũng để lại ít thời gian hơn đáng kể cho công việc cá nhân tập trung, suy ngẫm cẩn thận và ra quyết định sáng suốt.</w:t>
        <w:bookmarkEnd w:id="331"/>
        <w:t/>
      </w:r>
    </w:p>
    <w:p>
      <w:pPr>
        <w:pStyle w:val="Para 019"/>
      </w:pPr>
      <w:r>
        <w:t>Tất nhiên, các giải pháp ở cấp tổ chức là cần thiết để xóa bỏ triệt để tình trạng quá tải hợp tác. Nhưng nghiên cứu cho thấy với một chút tự quản trị chiến lược, các cá nhân cũng có thể tự giải quyết vấn đề, giành lại 18% đến 24% thời gian hợp tác của mình.</w:t>
      </w:r>
    </w:p>
    <w:p>
      <w:pPr>
        <w:pStyle w:val="Para 019"/>
      </w:pPr>
      <w:r>
        <w:t>Bước đầu tiên là hiểu vì sao bạn nhận quá nhiều việc cho và cùng với người khác; điều này thường đòi hỏi thách thức bản sắc của bạn như một “người hay giúp đỡ”, một “người chơi theo nhóm” hay một “ngôi sao biểu diễn”. Tiếp theo, xác định cách bạn tạo ra—và từ đâu bạn nhận được—giá trị lớn nhất và loại bỏ mọi hoạt động hợp tác làm phân tán khỏi công việc đó. Cuối cùng, đảm bảo rằng hoạt động hợp tác bạn tiếp tục tham gia diễn ra hiệu quả nhất có thể.</w:t>
      </w:r>
    </w:p>
    <w:p>
      <w:pPr>
        <w:pStyle w:val="Para 003"/>
      </w:pPr>
      <w:r>
        <w:t xml:space="preserve">Kiểu âm ỉ thì nguy hiểm hơn và xảy ra qua sự gia tăng dần dần về khối lượng, mức độ đa dạng và nhịp độ của các yêu cầu hợp tác theo thời gian, khi hiệu quả cá nhân dẫn đến mạng lưới rộng hơn và phạm vi trách nhiệm lớn hơn. Những người được xem là “chỗ dựa” trong tổ chức thường chịu kiểu quá tải này. Khi có thêm kinh nghiệm, chúng ta thường có xu hướng nhận thêm việc, và bản sắc của chúng ta bắt đầu gắn chặt với thành tích, sự giúp đỡ hoặc việc nắm bắt thông tin. Chúng ta thường không tự vấn về những gì mình đang làm khi thêm nhiệm vụ hoặc làm việc đến khuya với email. Và tất nhiên, đồng nghiệp hoan nghênh những xu hướng này; khi chúng ta nổi tiếng về năng lực và sự phản hồi nhanh nhạy, mọi người trong mạng lưới lại mang đến cho chúng ta thêm việc và yêu cầu. Ellen, một nhân viên kỳ cựu 18 năm tại một công ty công nghệ trong Fortune 100, là một ví dụ điển hình. Cô cực kỳ nỗ lực và tự hào về khả năng giúp đỡ đồng nghiệp, giải quyết vấn đề và vượt qua rào cản quan liêu để hoàn thành công việc. Tuy nhiên, cuối cùng cô cảm thấy bị đè nặng bởi một danh sách dự án và cam kết “vượt quá khả năng thực hiện”.</w:t>
        <w:bookmarkStart w:id="332" w:name="page_52"/>
        <w:t/>
        <w:bookmarkEnd w:id="332"/>
        <w:t xml:space="preserve"/>
      </w:r>
      <w:r>
        <w:rPr>
          <w:rStyle w:val="Text0"/>
        </w:rPr>
        <w:t/>
      </w:r>
      <w:r>
        <w:t xml:space="preserve"/>
      </w:r>
    </w:p>
    <w:p>
      <w:pPr>
        <w:pStyle w:val="Para 003"/>
      </w:pPr>
      <w:r>
        <w:t>Dù tình huống của Mike và Ellen khác nhau, nghiên cứu của chúng tôi cho thấy giải pháp cho vấn đề quá tải của họ và những người khác là tương tự. Họ không thể tiếp tục làm việc theo cách cũ mà vẫn duy trì hiệu quả. Họ cần kiểm soát tốt hơn cuộc sống công việc của mình.</w:t>
      </w:r>
    </w:p>
    <w:p>
      <w:pPr>
        <w:pStyle w:val="Para 011"/>
      </w:pPr>
      <w:r>
        <w:t>Vì Sao Chúng Ta Nhận Quá Nhiều Việc</w:t>
      </w:r>
    </w:p>
    <w:p>
      <w:pPr>
        <w:pStyle w:val="Para 016"/>
      </w:pPr>
      <w:r>
        <w:t>Bước đầu tiên để chống lại quá tải hợp tác là nhận ra mức độ mà nó bị thúc đẩy bởi mong muốn của chính bạn nhằm duy trì danh tiếng là một đồng nghiệp hay giúp đỡ, hiểu biết hoặc có ảnh hưởng, hoặc nhằm tránh sự lo lắng xuất phát từ việc từ bỏ quyền kiểm soát hoặc từ chối tham gia vào công việc nhóm. Ví dụ, một người tham gia vào toàn bộ vòng đời của một dự án nhỏ, vượt quá thời điểm mà nhu cầu về chuyên môn của cô ấy đã qua, có thể tự hào về việc hỗ trợ đồng đội và đảm bảo kết quả chất lượng cao. Nhưng đó không phải là kiểu hợp tác tạo ra khác biệt về lâu dài; thực tế, quá nhiều việc như vậy sẽ ngăn cô ấy làm những công việc quan trọng hơn.</w:t>
      </w:r>
    </w:p>
    <w:p>
      <w:pPr>
        <w:pStyle w:val="Para 003"/>
      </w:pPr>
      <w:r>
        <w:t xml:space="preserve">Hiểu vì sao bạn nhận công việc hợp tác—vượt trên cả những gì quản lý và công ty yêu cầu—là cách bạn bắt đầu chống lại quá tải. Khi tư vấn cho các nhà điều hành, chúng tôi yêu cầu họ suy ngẫm về những tác nhân cụ thể dựa trên bản sắc thường đẩy họ vào tình trạng quá tải. Ví dụ: Bạn có khao khát cảm giác thành tựu đến từ việc gạch bỏ những mục ít thách thức hơn khỏi danh sách việc cần làm? Có phải tham vọng trở nên có ảnh hưởng hoặc được công nhận về chuyên môn khiến bạn tham dự các cuộc họp hoặc thảo luận không thực sự cần sự tham gia của bạn? Bạn có tự hào về việc luôn sẵn sàng trả lời câu hỏi và tham gia công việc nhóm? Bạn có đồng ý tham gia các hoạt động hợp tác vì lo lắng bị gắn mác là người kém hiệu quả hoặc không phải người chơi theo nhóm? Bạn có cảm thấy khó chịu khi tránh xa một số vấn đề hoặc dự án vì sợ bỏ lỡ điều gì đó hoặc không chắc công việc sẽ được hoàn thành đúng nếu không có bạn? Hầu hết các nhà điều hành chúng tôi gặp đều trả lời có với một, nếu không phải nhiều, trong số những câu hỏi đó.</w:t>
        <w:bookmarkStart w:id="333" w:name="page_53"/>
        <w:t/>
        <w:bookmarkEnd w:id="333"/>
        <w:t/>
      </w:r>
    </w:p>
    <w:p>
      <w:pPr>
        <w:pStyle w:val="Para 003"/>
      </w:pPr>
      <w:r>
        <w:t>Những người hợp tác hiệu quả luôn nhớ rằng nói đồng ý với điều gì đó luôn có nghĩa là nói không với—hoặc tham gia ít trọn vẹn hơn vào—một điều khác. Họ tự nhắc mình rằng những chiến thắng nhỏ (hộp thư trống rỗng, một báo cáo được viết hoàn hảo, một cuộc gọi khách hàng) không phải lúc nào cũng là những chiến thắng quan trọng. Họ suy nghĩ cẩn thận về lĩnh vực chuyên môn của mình và xác định khi nào họ có, hoặc không có, giá trị để đóng góp. Họ ngừng xem mình là không thể thiếu và chuyển nguồn gốc giá trị bản thân để nó đến từ việc không chỉ phô diễn năng lực của chính mình mà còn từ việc lùi lại để người khác phát triển năng lực của họ và được công nhận.</w:t>
      </w:r>
    </w:p>
    <w:p>
      <w:pPr>
        <w:pStyle w:val="Para 003"/>
      </w:pPr>
      <w:r>
        <w:t>Như một nhà điều hành đã nói với chúng tôi, “Tôi đã nhận ra rằng nếu mọi người thực sự cần tôi, họ sẽ tìm tôi. Giờ tôi có lẽ bỏ qua 30% số cuộc họp của mình, và công việc dường như vẫn hoàn thành tốt đẹp.”</w:t>
      </w:r>
    </w:p>
    <w:p>
      <w:pPr>
        <w:pStyle w:val="Para 003"/>
      </w:pPr>
      <w:r>
        <w:t>Khi Mike thấy mình ở điểm giới hạn với hai dự án song song, anh nhận ra bao nhiêu giá trị bản thân của mình đến từ việc luôn nói đồng ý với—và sau đó đạt được—những mục tiêu được gợi ý cho anh. “Phải đến lúc gục ngã và nhờ một người bạn đời kiên nhẫn tôi mới thực sự nhìn ra khuôn mẫu này,” anh nói. Anh quyết định cần đặt ra những ưu tiên rõ ràng trong cả sự nghiệp lẫn cuộc sống cá nhân. “Khi đó, việc nói không không phải là tôi không hoàn thành trách nhiệm mà là duy trì sự tập trung vào những gì quan trọng.”</w:t>
      </w:r>
    </w:p>
    <w:p>
      <w:pPr>
        <w:pStyle w:val="Para 003"/>
      </w:pPr>
      <w:r>
        <w:t>Ellen cũng nhận ra rằng hình ảnh bản thân như một người hay giúp đỡ—luôn tìm kiếm cơ hội để đóng góp và không bao giờ từ chối yêu cầu—đã trở nên có vấn đề. “Phần khó khăn là nhận ra xu hướng này ngay trong khoảnh khắc và cố gắng không nhảy vào,” cô thừa nhận. “Nhưng tôi đã nói với nhóm của mình điều này quan trọng thế nào và cũng nhờ một vài người làm ‘người nói thật’ để cảnh báo tôi khi họ thấy điều đó xảy ra.”</w:t>
      </w:r>
    </w:p>
    <w:p>
      <w:pPr>
        <w:pStyle w:val="Para 011"/>
      </w:pPr>
      <w:r>
        <w:bookmarkStart w:id="334" w:name="page_54"/>
        <w:t>Loại Bỏ Những Gì Không Cần Thiết</w:t>
        <w:bookmarkEnd w:id="334"/>
        <w:t/>
      </w:r>
    </w:p>
    <w:p>
      <w:pPr>
        <w:pStyle w:val="Para 016"/>
      </w:pPr>
      <w:r>
        <w:t>Tiếp theo, bạn sẽ cần tái cấu trúc vai trò, lịch trình và mạng lưới của mình để tránh những tác nhân bạn đã xác định và giảm bớt hoặc loại bỏ hợp tác không cần thiết. Thay vì nghĩ rằng mọi thứ sẽ tự khá lên, sống một cách phản ứng và rơi vào những khuôn mẫu bị chi phối bởi mục tiêu của người khác, những người hợp tác hiệu quả chủ động tấn công tình trạng quá tải hợp tác. Họ làm rõ mục tiêu “sao bắc đẩu” của mình—những điểm mạnh họ muốn sử dụng trong công việc và những giá trị họ muốn thể hiện, trong bối cảnh các ưu tiên của tổ chức—rồi tinh gọn cuộc sống công việc theo cách bảo vệ họ khỏi những yêu cầu không phù hợp.</w:t>
      </w:r>
    </w:p>
    <w:p>
      <w:pPr>
        <w:pStyle w:val="Para 003"/>
      </w:pPr>
      <w:r>
        <w:t>Hãy bắt đầu bằng việc xem lại lịch và email thường xuyên, sử dụng công cụ như MyAnalytics của Microsoft hoặc nền tảng “trí tuệ mạng lưới con người” của Cisco. Nhìn lại bốn hoặc năm tháng để xác định các hoạt động nhóm, cuộc họp hoặc trao đổi định kỳ không cốt lõi cho thành công của bạn và có thể từ chối hoặc giao lại cho người khác như một cơ hội phát triển. Xem xét những quyết định bạn đang bị kéo vào một cách không cần thiết và cách các quy trình hoặc nhóm có thể thay đổi để bạn không cần tham gia. Nhận ra khi nào bạn được tìm đến để xin thông tin hoặc chuyên môn trong những lĩnh vực không còn là trọng tâm của vai trò hoặc tham vọng của bạn và xác định xem liệu bạn có thể chia sẻ kiến thức rộng rãi hơn trên mạng nội bộ của công ty hay một người “chỗ dựa” khác có thể nhận được lợi ích lớn hơn từ sự hợp tác đó.</w:t>
      </w:r>
    </w:p>
    <w:p>
      <w:pPr>
        <w:pStyle w:val="Para 003"/>
      </w:pPr>
      <w:r>
        <w:t>Đồng thời, hãy nỗ lực thiết lập lại kỳ vọng của đồng nghiệp về mức độ và tính kịp thời trong sự tham gia của bạn. Ví dụ, làm rõ rằng việc không trả lời một email nhóm hoặc không tham gia một cuộc họp không có nghĩa là bạn thiếu quan tâm hay trân trọng. Nói về những ưu tiên chính của bạn để mọi người biết bạn cần (và muốn) dành nhiều thời gian nhất cho điều gì. Hỏi đồng nghiệp về sở thích và tham vọng của họ để bạn có thể xác định cơ hội phân phối hoặc ủy thác công việc. Một điểm bước ngoặt quan trọng đối với tất cả các nhà điều hành chúng tôi tư vấn là khi họ bắt đầu xem các yêu cầu hợp tác như cách để kích hoạt và thu hút những người trong mạng lưới của mình thay vì thêm vào danh sách việc cần làm của chính họ.</w:t>
      </w:r>
    </w:p>
    <w:p>
      <w:pPr>
        <w:pStyle w:val="Para 003"/>
      </w:pPr>
      <w:r>
        <w:bookmarkStart w:id="335" w:name="page_55"/>
        <w:t>Cuối cùng, hãy chặn thời gian cho công việc suy ngẫm và tìm kiếm sự hợp tác với những người có thể giúp bạn tiến tới mục tiêu sao bắc đẩu của mình. Mike tập trung vào việc xây dựng năng lực trong đơn vị kinh doanh mà anh chỉ đạo. Thay vì nhảy vào các dự án không liên quan để được tiếp xúc chính trị, anh bắt đầu tạo sự khác biệt thông qua chuyên môn và đóng góp của nhóm mình. Chiến lược của Ellen là tạo ra những ranh giới đặc biệt rõ ràng: “Tôi có mặt từ 8 giờ sáng đến 6 giờ tối, và mọi người biết tôi dành 100% trong khoảng thời gian đó. Nhưng sau đó tôi không để mình bị cuốn vào email, cuộc gọi hay công việc đêm khuya không cần thiết chỉ để giúp đỡ.”</w:t>
        <w:bookmarkEnd w:id="335"/>
        <w:t/>
      </w:r>
    </w:p>
    <w:p>
      <w:pPr>
        <w:pStyle w:val="Para 003"/>
      </w:pPr>
      <w:r>
        <w:t>Một nhà lãnh đạo khác mô tả sự chuyển đổi như thế này: “Phòng thủ thì tệ lắm. Bạn luôn phản ứng và sống trong sợ hãi. Cách duy nhất để thoát khỏi nó là hiểu rõ bạn là ai và bạn muốn làm gì, rồi bắt đầu mở đường và xây dựng mạng lưới giúp bạn đạt được điều đó.”</w:t>
      </w:r>
    </w:p>
    <w:p>
      <w:pPr>
        <w:pStyle w:val="Para 011"/>
      </w:pPr>
      <w:r>
        <w:t>Giữ cho nó hiệu quả</w:t>
      </w:r>
    </w:p>
    <w:p>
      <w:pPr>
        <w:pStyle w:val="Para 016"/>
      </w:pPr>
      <w:r>
        <w:t>Một khi bạn đã rà soát khối lượng công việc hợp tác của mình, đã đến lúc nâng cao giá trị của những sự hợp tác mà bạn chọn tham gia. Nghiên cứu của chúng tôi cho thấy các cuộc họp được điều hành kém là “hố đen” thời gian lớn nhất trong các tổ chức. Ngay cả khi bạn không kiểm soát những cuộc họp mình tham dự, bạn vẫn có thể khiến chúng hiệu quả hơn bằng cách, ví dụ, đề nghị người chủ trì gửi trước chương trình nghị sự hoặc tài liệu đọc trước cuộc họp, và sau đó gửi một email ngắn về các thỏa thuận, cam kết và bước tiếp theo. Bạn cũng có thể giới hạn sự tham gia của mình bằng cách giải thích rằng bạn có một mốc thời gian phải dừng (thật hoặc tự tạo ra) để không bị kẹt lại khi người khác kéo dài quá giờ, và đề nghị chỉ tham dự những phần mà bạn thực sự cần thiết hoặc đồng ý dành một nửa thời gian mà đồng nghiệp hay nhân viên yêu cầu. Việc thiết lập các chuẩn mực sớm trong bất kỳ mối quan hệ hay nhóm nào là rất quan trọng. Nếu bạn chờ đợi, các vấn đề sẽ càng khó giải quyết hơn.</w:t>
      </w:r>
    </w:p>
    <w:p>
      <w:pPr>
        <w:pStyle w:val="Para 003"/>
      </w:pPr>
      <w:r>
        <w:t xml:space="preserve">Bạn cũng có thể thiết lập hoặc khuyến khích các chuẩn mực mới cho email bằng cách đề cập đến định dạng (ví dụ: giữ độ dài tối đa và chọn cấu trúc dàn ý với các gạch đầu dòng, thay vì các đoạn văn bản đầy đủ), việc sử dụng “cc” và “reply all”, và thời gian phản hồi phù hợp cho các loại yêu cầu khác nhau. Hãy cân nhắc các công cụ cộng tác trực tuyến (như Google Docs), vốn là phương tiện tốt hơn cho công việc mang tính khám phá (xác định phạm vi vấn đề hoặc động não tìm giải pháp) hoặc mang tính tích hợp (khi những người có chuyên môn, góc nhìn hoặc nhiệm vụ công việc khác nhau cần cùng tạo ra một giải pháp chung). Điều mấu chốt là đảm bảo bạn đang dùng đúng công cụ vào đúng thời điểm và không làm trầm trọng thêm các yêu cầu hợp tác. Bạn cũng nên học cách nhận biết khi nào một cuộc trò chuyện đã trở nên quá phức tạp hoặc căng thẳng cho email hay tin nhắn, và chuyển sang một cuộc gọi điện thoại hoặc gặp mặt trực tiếp hiệu quả hơn.</w:t>
        <w:bookmarkStart w:id="336" w:name="page_56"/>
        <w:t/>
        <w:bookmarkEnd w:id="336"/>
        <w:t/>
      </w:r>
    </w:p>
    <w:p>
      <w:pPr>
        <w:pStyle w:val="Para 003"/>
      </w:pPr>
      <w:r>
        <w:t>Đối với các tương tác một-một, hãy luôn cân nhắc xem bạn có đang sử dụng thời gian của đối phương một cách hiệu quả hay không. Hãy tự hỏi: “Mình có rõ mình muốn đạt được điều gì từ cuộc họp hay cuộc trò chuyện này không?” Và mời người khác cũng kỷ luật như vậy bằng cách hỏi sớm: “Để tôi sử dụng thời gian của anh/chị một cách hiệu quả, anh/chị có thể nói nhanh cho tôi biết chúng ta hy vọng có thể cùng đạt được điều gì không?”</w:t>
      </w:r>
    </w:p>
    <w:p>
      <w:pPr>
        <w:pStyle w:val="Para 003"/>
      </w:pPr>
      <w:r>
        <w:t>Khi nói đến việc xây dựng mạng lưới quan hệ, hãy tập trung vào chất lượng của các mối quan hệ, chứ không phải số lượng kết nối. Chúng tôi nhiều lần nhận thấy rằng những người hợp tác hiệu quả thu hút mọi người vào công việc chung bằng cách trao cho họ vị thế, hình dung về thành công chung, chia sẻ quyền sở hữu, và tạo ra cảm giác về mục đích và năng lượng xung quanh một kết quả. Bằng cách tạo ra “lực hút” — thay vì chỉ đơn thuần thúc đẩy chương trình nghị sự của mình — họ nhận được sự tham gia nhiều hơn và đồng thuận hơn, đồng thời xây dựng lòng tin để mọi người không cảm thấy cần phải tìm kiếm quá nhiều ý kiến hay sự phê duyệt.</w:t>
      </w:r>
    </w:p>
    <w:p>
      <w:pPr>
        <w:pStyle w:val="Para 003"/>
      </w:pPr>
      <w:r>
        <w:t xml:space="preserve">Ví dụ, Ellen đã quyết định thu hút các bên liên quan vào công việc hợp tác từ sớm để tiết kiệm thời gian về sau. “Trước đây tôi thường chấm từng dấu chấm, gạch từng dấu gạch trước khi tiếp cận người khác,” cô nói. “Nhưng tôi đã học được rằng nếu tôi phát triển một phần kế hoạch rồi mời nhóm của mình, sếp của tôi, thậm chí cả khách hàng của tôi tham gia, họ sẽ cảm thấy được đầu tư và giúp tôi phát hiện ra những sai sót, và tôi tránh được hàng tá công việc về sau để sửa chữa hoặc thuyết phục mọi người.” Một nhà lãnh đạo khác mà chúng tôi biết lên lịch các buổi gặp một-một với cấp dưới trực tiếp để thảo luận về các ưu tiên, giá trị và nguyện vọng cá nhân, qua đó nâng cao khả năng làm việc cùng nhau hiệu quả như một đội trong tương lai. “Có rất nhiều cách mọi người có thể hiểu sai hành động và rồi gây ra rất nhiều xáo trộn về sau,” ông nói. “Nếu tôi dành thời gian để cho họ hiểu quan điểm của tôi, điều đó tiết kiệm đủ loại thời gian cho những sự hợp tác không cần thiết.”</w:t>
      </w:r>
      <w:r>
        <w:rPr>
          <w:rStyle w:val="Text0"/>
        </w:rPr>
        <w:t/>
      </w:r>
      <w:r>
        <w:t xml:space="preserve"/>
      </w:r>
      <w:r>
        <w:rPr>
          <w:rStyle w:val="Text0"/>
        </w:rPr>
        <w:t/>
      </w:r>
      <w:r>
        <w:t xml:space="preserve"/>
      </w:r>
    </w:p>
    <w:p>
      <w:pPr>
        <w:pStyle w:val="Para 048"/>
      </w:pPr>
      <w:r>
        <w:drawing>
          <wp:anchor distL="0" distR="0" distT="0" distB="0" simplePos="0" relativeHeight="1" behindDoc="0" locked="0" layoutInCell="1" allowOverlap="1">
            <wp:simplePos x="0" y="0"/>
            <wp:positionH relativeFrom="margin">
              <wp:align>center</wp:align>
            </wp:positionH>
            <wp:positionV relativeFrom="line">
              <wp:align>top</wp:align>
            </wp:positionV>
            <wp:extent cx="1778000" cy="0"/>
            <wp:effectExtent l="0" r="0" t="0" b="0"/>
            <wp:wrapTopAndBottom/>
            <wp:docPr id="28" name="line.png" descr="image"/>
            <wp:cNvGraphicFramePr>
              <a:graphicFrameLocks noChangeAspect="1"/>
            </wp:cNvGraphicFramePr>
            <a:graphic>
              <a:graphicData uri="http://schemas.openxmlformats.org/drawingml/2006/picture">
                <pic:pic>
                  <pic:nvPicPr>
                    <pic:cNvPr id="0" name="line.png" descr="image"/>
                    <pic:cNvPicPr/>
                  </pic:nvPicPr>
                  <pic:blipFill>
                    <a:blip r:embed="rId20"/>
                    <a:stretch>
                      <a:fillRect/>
                    </a:stretch>
                  </pic:blipFill>
                  <pic:spPr>
                    <a:xfrm>
                      <a:off x="0" y="0"/>
                      <a:ext cx="1778000" cy="0"/>
                    </a:xfrm>
                    <a:prstGeom prst="rect">
                      <a:avLst/>
                    </a:prstGeom>
                  </pic:spPr>
                </pic:pic>
              </a:graphicData>
            </a:graphic>
          </wp:anchor>
        </w:drawing>
      </w:r>
    </w:p>
    <w:p>
      <w:pPr>
        <w:pStyle w:val="Para 016"/>
      </w:pPr>
      <w:r>
        <w:bookmarkStart w:id="337" w:name="page_57"/>
        <w:t>Sự bùng nổ gần đây về khối lượng và sự đa dạng của các yêu cầu hợp tác là một thực tế sẽ còn tồn tại. Đáng tiếc là bản chất vô hình của những yêu cầu này có nghĩa là rất ít tổ chức đang quản lý hoạt động hợp tác một cách chiến lược. Vì vậy, trách nhiệm thuộc về bạn, với tư cách cá nhân, để chống lại tình trạng quá tải và giành lại thời gian hợp tác của mình.</w:t>
        <w:bookmarkEnd w:id="337"/>
        <w:t/>
      </w:r>
    </w:p>
    <w:p>
      <w:pPr>
        <w:pStyle w:val="Para 044"/>
      </w:pPr>
      <w:r>
        <w:t xml:space="preserve">Xuất bản lần đầu vào tháng 7–8 năm 2018. Tái bản R1804L</w:t>
      </w:r>
      <w:r>
        <w:rPr>
          <w:rStyle w:val="Text10"/>
        </w:rPr>
        <w:t/>
      </w:r>
    </w:p>
    <w:p>
      <w:pPr>
        <w:pStyle w:val="Para 012"/>
      </w:pPr>
      <w:r>
        <w:t xml:space="preserve"> </w:t>
      </w:r>
    </w:p>
    <w:p>
      <w:bookmarkStart w:id="338" w:name="Emotional_Agility_by_Susan_David"/>
      <w:bookmarkStart w:id="339" w:name="Top_of_ch06_xhtml"/>
      <w:pPr>
        <w:pStyle w:val="Para 012"/>
        <w:pageBreakBefore w:val="on"/>
      </w:pPr>
      <w:r>
        <w:t xml:space="preserve"> </w:t>
      </w:r>
      <w:bookmarkEnd w:id="338"/>
      <w:bookmarkEnd w:id="339"/>
    </w:p>
    <w:p>
      <w:bookmarkStart w:id="340" w:name="Emotional_Agility"/>
      <w:pPr>
        <w:pStyle w:val="Para 039"/>
      </w:pPr>
      <w:r>
        <w:bookmarkStart w:id="341" w:name="page_59"/>
        <w:t>Sự nhanh nhẹn cảm xúc (Emotional Agility)</w:t>
        <w:bookmarkEnd w:id="341"/>
        <w:t/>
      </w:r>
      <w:bookmarkEnd w:id="340"/>
    </w:p>
    <w:p>
      <w:bookmarkStart w:id="342" w:name="by_Susan_David_and_Christina_Con"/>
      <w:pPr>
        <w:pStyle w:val="Para 040"/>
      </w:pPr>
      <w:r>
        <w:t>bởi Susan David và Christina Congleton</w:t>
      </w:r>
      <w:bookmarkEnd w:id="342"/>
    </w:p>
    <w:p>
      <w:pPr>
        <w:pStyle w:val="Para 003"/>
      </w:pPr>
      <w:r>
        <w:rPr>
          <w:rStyle w:val="Text4"/>
        </w:rPr>
        <w:t>MƯỜI SÁU NGHÌN — đó là số từ chúng ta nói, trung bình, mỗi ngày. Vậy hãy tưởng tượng có bao nhiêu suy nghĩ không thành lời chạy qua tâm trí chúng ta. Hầu hết chúng không phải là sự thật mà là những đánh giá và phán xét đan xen với cảm xúc — một số tích cực và hữu ích (Tôi đã làm việc chăm chỉ và tôi có thể hoàn thành xuất sắc bài thuyết trình này; Vấn đề này đáng để lên tiếng; Vị phó chủ tịch mới có vẻ dễ gần), một số khác tiêu cực và kém hữu ích hơn (Anh ta đang cố tình phớt lờ tôi; Tôi sắp tự biến mình thành trò cười; Tôi là kẻ giả mạo).</w:t>
      </w:r>
      <w:r>
        <w:t/>
      </w:r>
      <w:r>
        <w:rPr>
          <w:rStyle w:val="Text0"/>
        </w:rPr>
        <w:t/>
      </w:r>
      <w:r>
        <w:t/>
      </w:r>
      <w:r>
        <w:rPr>
          <w:rStyle w:val="Text0"/>
        </w:rPr>
        <w:t/>
      </w:r>
      <w:r>
        <w:t/>
      </w:r>
    </w:p>
    <w:p>
      <w:pPr>
        <w:pStyle w:val="Para 003"/>
      </w:pPr>
      <w:r>
        <w:t>Quan điểm phổ biến cho rằng những suy nghĩ và cảm xúc khó chịu không có chỗ ở nơi công sở: Các nhà điều hành, và đặc biệt là các nhà lãnh đạo, nên hoặc là người khắc kỷ hoặc vui vẻ; họ phải thể hiện sự tự tin và dập tắt mọi tiêu cực đang trào lên bên trong. Nhưng điều đó đi ngược lại với sinh học cơ bản. Tất cả những con người khỏe mạnh đều có một dòng suy nghĩ và cảm xúc bên trong bao gồm sự chỉ trích, nghi ngờ và sợ hãi. Đó chỉ là tâm trí chúng ta đang làm công việc mà nó được thiết kế để làm: cố gắng dự đoán và giải quyết vấn đề cũng như tránh những cạm bẫy tiềm ẩn.</w:t>
      </w:r>
    </w:p>
    <w:p>
      <w:pPr>
        <w:pStyle w:val="Para 003"/>
      </w:pPr>
      <w:r>
        <w:t xml:space="preserve">Trong hoạt động tư vấn chiến lược nhân sự của chúng tôi cho các công ty trên khắp thế giới, chúng tôi thấy các nhà lãnh đạo vấp ngã không phải vì họ có những suy nghĩ và cảm xúc không mong muốn — điều đó là không thể tránh khỏi — mà vì họ bị chúng mắc câu, như cá cắn câu. Điều này xảy ra theo một trong hai cách. Họ tin vào những suy nghĩ đó, coi chúng như sự thật (Ở công việc trước của tôi cũng vậy… Tôi đã là kẻ thất bại trong suốt sự nghiệp của mình), và tránh né những tình huống gợi lên chúng (Tôi sẽ không nhận thử thách mới đó). Hoặc, thường là theo sự thúc giục của những người ủng hộ họ, họ phản đối sự tồn tại của những suy nghĩ đó và cố gắng hợp lý hóa chúng đi (Tôi không nên có những suy nghĩ như thế này… Tôi biết tôi không phải là kẻ thất bại hoàn toàn), và có lẽ ép bản thân vào những tình huống tương tự, ngay cả khi những điều đó đi ngược lại các giá trị và mục tiêu cốt lõi của họ (Hãy nhận nhiệm vụ mới đó đi — bạn phải vượt qua chuyện này). Trong cả hai trường hợp, họ đang chú ý quá nhiều đến những lời lảm nhảm bên trong và để nó rút cạn những nguồn lực nhận thức quan trọng mà lẽ ra có thể được dùng vào việc tốt hơn.</w:t>
      </w:r>
      <w:r>
        <w:rPr>
          <w:rStyle w:val="Text0"/>
        </w:rPr>
        <w:t xml:space="preserve"/>
      </w:r>
      <w:r>
        <w:t xml:space="preserve"/>
      </w:r>
      <w:r>
        <w:rPr>
          <w:rStyle w:val="Text0"/>
        </w:rPr>
        <w:t xml:space="preserve"/>
      </w:r>
      <w:r>
        <w:t/>
      </w:r>
      <w:r>
        <w:rPr>
          <w:rStyle w:val="Text0"/>
        </w:rPr>
        <w:t/>
      </w:r>
      <w:r>
        <w:t xml:space="preserve"/>
      </w:r>
      <w:r>
        <w:rPr>
          <w:rStyle w:val="Text0"/>
        </w:rPr>
        <w:t/>
      </w:r>
      <w:r>
        <w:t/>
      </w:r>
      <w:r>
        <w:rPr>
          <w:rStyle w:val="Text0"/>
        </w:rPr>
        <w:t xml:space="preserve"/>
        <w:bookmarkStart w:id="343" w:name="page_60"/>
        <w:t/>
        <w:bookmarkEnd w:id="343"/>
        <w:t/>
      </w:r>
      <w:r>
        <w:t/>
      </w:r>
      <w:r>
        <w:rPr>
          <w:rStyle w:val="Text0"/>
        </w:rPr>
        <w:t/>
      </w:r>
      <w:r>
        <w:t xml:space="preserve"/>
      </w:r>
      <w:r>
        <w:rPr>
          <w:rStyle w:val="Text0"/>
        </w:rPr>
        <w:t/>
      </w:r>
      <w:r>
        <w:t/>
      </w:r>
      <w:r>
        <w:rPr>
          <w:rStyle w:val="Text0"/>
        </w:rPr>
        <w:t/>
      </w:r>
      <w:r>
        <w:t/>
      </w:r>
    </w:p>
    <w:p>
      <w:pPr>
        <w:pStyle w:val="Para 003"/>
      </w:pPr>
      <w:r>
        <w:t>Đây là một vấn đề phổ biến, thường được duy trì bởi các chiến lược tự quản lý phổ biến. Chúng tôi thường xuyên thấy các nhà điều hành có những thách thức cảm xúc tái diễn trong công việc — lo lắng về các ưu tiên, ghen tị với thành công của người khác, sợ bị từ chối, đau khổ vì những điều bị coi là coi thường — những người đã nghĩ ra các kỹ thuật để “sửa chữa” chúng: khẳng định tích cực, danh sách việc cần làm được ưu tiên hóa, đắm mình vào một số nhiệm vụ nhất định. Nhưng khi chúng tôi hỏi những thách thức đó đã kéo dài bao lâu, câu trả lời có thể là 10 năm, 20 năm, hoặc từ thời thơ ấu.</w:t>
      </w:r>
    </w:p>
    <w:p>
      <w:pPr>
        <w:pStyle w:val="Para 003"/>
      </w:pPr>
      <w:r>
        <w:t>Rõ ràng, những kỹ thuật đó không hiệu quả — thực tế, nhiều nghiên cứu cho thấy việc cố gắng giảm thiểu hoặc phớt lờ suy nghĩ và cảm xúc chỉ làm chúng mạnh thêm. Trong một nghiên cứu nổi tiếng do cố giáo sư Daniel Wegner của Harvard dẫn dắt, những người tham gia được yêu cầu tránh nghĩ về gấu trắng đã gặp khó khăn khi làm điều đó; sau đó, khi lệnh cấm được gỡ bỏ, họ nghĩ về gấu trắng nhiều hơn hẳn so với nhóm đối chứng. Bất cứ ai từng mơ về bánh sô cô la và khoai tây chiên trong khi đang ăn kiêng nghiêm ngặt đều hiểu hiện tượng này.</w:t>
      </w:r>
    </w:p>
    <w:p>
      <w:pPr>
        <w:pStyle w:val="Para 003"/>
      </w:pPr>
      <w:r>
        <w:t xml:space="preserve">Những nhà lãnh đạo hiệu quả không tin vào hay cố gắng kìm nén những trải nghiệm bên trong của mình. Thay vào đó, họ tiếp cận chúng một cách tỉnh thức, dựa trên giá trị và hiệu quả — phát triển cái mà chúng tôi gọi là sự nhanh nhẹn cảm xúc (emotional agility). Trong nền kinh tế tri thức phức tạp và thay đổi nhanh chóng của chúng ta, khả năng quản lý suy nghĩ và cảm xúc của bản thân là điều thiết yếu cho thành công trong kinh doanh. Nhiều nghiên cứu, từ giáo sư Frank Bond của Đại học London và những người khác, cho thấy sự nhanh nhẹn cảm xúc có thể giúp con người giảm căng thẳng, giảm sai sót, trở nên sáng tạo hơn và cải thiện hiệu suất công việc.</w:t>
      </w:r>
      <w:r>
        <w:rPr>
          <w:rStyle w:val="Text0"/>
        </w:rPr>
        <w:t xml:space="preserve"/>
      </w:r>
      <w:r>
        <w:t xml:space="preserve"/>
      </w:r>
      <w:r>
        <w:rPr>
          <w:rStyle w:val="Text0"/>
        </w:rPr>
        <w:t xml:space="preserve"/>
      </w:r>
      <w:r>
        <w:t/>
      </w:r>
    </w:p>
    <w:p>
      <w:pPr>
        <w:pStyle w:val="Para 034"/>
      </w:pPr>
      <w:r>
        <w:t>Ý tưởng tóm tắt</w:t>
      </w:r>
    </w:p>
    <w:p>
      <w:pPr>
        <w:pStyle w:val="Para 019"/>
      </w:pPr>
      <w:r>
        <w:t>Quan điểm phổ biến cho rằng những suy nghĩ và cảm xúc tiêu cực không có chỗ ở nơi công sở. Nhưng điều đó đi ngược lại với sinh học cơ bản. Tất cả những con người khỏe mạnh đều có một dòng suy nghĩ và cảm xúc bên trong bao gồm sự chỉ trích, nghi ngờ và sợ hãi. David và Congleton đã làm việc với các nhà lãnh đạo trong nhiều ngành khác nhau để xây dựng một kỹ năng quan trọng mà họ gọi là sự nhanh nhẹn cảm xúc, giúp con người tiếp cận những trải nghiệm bên trong của mình một cách tỉnh thức, dựa trên giá trị và hiệu quả thay vì tin vào hay cố gắng kìm nén chúng. Các tác giả đưa ra bốn thực hành (phỏng theo Liệu pháp Chấp nhận và Cam kết, hay ACT) được thiết kế để giúp người đọc làm điều tương tự:</w:t>
      </w:r>
    </w:p>
    <w:p>
      <w:pPr>
        <w:numPr>
          <w:ilvl w:val="0"/>
          <w:numId w:val="29"/>
        </w:numPr>
        <w:pStyle w:val="Para 032"/>
      </w:pPr>
      <w:r>
        <w:bookmarkStart w:id="344" w:name="page_61"/>
        <w:t>Nhận diện các khuôn mẫu của bạn. Bạn phải nhận ra rằng mình đang bị mắc kẹt trước khi có thể bắt đầu thay đổi.</w:t>
        <w:bookmarkEnd w:id="344"/>
      </w:r>
      <w:r>
        <w:rPr>
          <w:rStyle w:val="Text2"/>
        </w:rPr>
        <w:t/>
      </w:r>
      <w:r>
        <w:t xml:space="preserve"/>
      </w:r>
    </w:p>
    <w:p>
      <w:pPr>
        <w:numPr>
          <w:ilvl w:val="0"/>
          <w:numId w:val="29"/>
        </w:numPr>
        <w:pStyle w:val="Para 032"/>
      </w:pPr>
      <w:r>
        <w:rPr>
          <w:rStyle w:val="Text2"/>
        </w:rPr>
        <w:t>Gắn nhãn cho suy nghĩ và cảm xúc của bạn. Việc gắn nhãn cho phép bạn nhìn chúng như những nguồn dữ liệu tạm thời có thể hữu ích hoặc không.</w:t>
      </w:r>
      <w:r>
        <w:t xml:space="preserve"/>
      </w:r>
    </w:p>
    <w:p>
      <w:pPr>
        <w:numPr>
          <w:ilvl w:val="0"/>
          <w:numId w:val="29"/>
        </w:numPr>
        <w:pStyle w:val="Para 032"/>
      </w:pPr>
      <w:r>
        <w:rPr>
          <w:rStyle w:val="Text2"/>
        </w:rPr>
        <w:t>Chấp nhận chúng. Phản hồi lại các ý tưởng và cảm xúc của bạn bằng thái độ cởi mở, chú ý và cho phép bản thân trải nghiệm chúng. Chúng có thể đang báo hiệu rằng có điều gì đó quan trọng đang bị đe dọa.</w:t>
      </w:r>
      <w:r>
        <w:t xml:space="preserve"/>
      </w:r>
    </w:p>
    <w:p>
      <w:pPr>
        <w:numPr>
          <w:ilvl w:val="0"/>
          <w:numId w:val="29"/>
        </w:numPr>
        <w:pStyle w:val="Para 032"/>
      </w:pPr>
      <w:r>
        <w:rPr>
          <w:rStyle w:val="Text2"/>
        </w:rPr>
        <w:t>Hành động theo giá trị của bạn. Phản ứng của bạn có phục vụ tổ chức của bạn về lâu dài và đưa bạn đến gần hơn với việc trở thành nhà lãnh đạo mà bạn mong muốn nhất không?</w:t>
      </w:r>
      <w:r>
        <w:t xml:space="preserve"/>
      </w:r>
    </w:p>
    <w:p>
      <w:pPr>
        <w:pStyle w:val="Para 003"/>
      </w:pPr>
      <w:r>
        <w:t>Chúng tôi đã làm việc với các nhà lãnh đạo trong nhiều ngành khác nhau để xây dựng kỹ năng quan trọng này, và ở đây chúng tôi đưa ra bốn thực hành — phỏng theo Liệu pháp Chấp nhận và Cam kết (ACT), ban đầu được phát triển bởi nhà tâm lý học Steven C. Hayes của Đại học Nevada — được thiết kế để giúp bạn làm điều tương tự: Nhận diện các khuôn mẫu của bạn; gắn nhãn cho suy nghĩ và cảm xúc của bạn; chấp nhận chúng; và hành động theo giá trị của bạn.</w:t>
      </w:r>
    </w:p>
    <w:p>
      <w:pPr>
        <w:pStyle w:val="Para 011"/>
      </w:pPr>
      <w:r>
        <w:t>Cá cắn câu</w:t>
      </w:r>
    </w:p>
    <w:p>
      <w:pPr>
        <w:pStyle w:val="Para 016"/>
      </w:pPr>
      <w:r>
        <w:t>Hãy bắt đầu với hai nghiên cứu tình huống. Cynthia là một luật sư doanh nghiệp cấp cao có hai con nhỏ. Cô từng cảm thấy tội lỗi dữ dội về những cơ hội bị bỏ lỡ — cả ở văn phòng, nơi các đồng nghiệp của cô làm việc 80 giờ một tuần trong khi cô làm 50 giờ, và ở nhà, nơi cô thường quá phân tâm hoặc mệt mỏi để thực sự trọn vẹn bên chồng và các con. Một giọng nói dai dẳng trong đầu cô bảo cô phải trở thành một nhân viên tốt hơn nếu không sẽ mạo hiểm với sự thất bại trong sự nghiệp; một giọng khác bảo cô phải làm một người mẹ tốt hơn nếu không sẽ mạo hiểm bỏ bê gia đình. Cynthia ước rằng ít nhất một trong hai giọng nói đó sẽ im lặng. Nhưng không giọng nào chịu im, và để đáp lại, cô đã không giơ tay nhận những triển vọng mới thú vị ở văn phòng và liên tục kiểm tra tin nhắn trên điện thoại trong các bữa tối gia đình.</w:t>
      </w:r>
    </w:p>
    <w:p>
      <w:pPr>
        <w:pStyle w:val="Para 054"/>
      </w:pPr>
      <w:r>
        <w:bookmarkStart w:id="345" w:name="page_62"/>
        <w:t>Giá trị của bạn là gì?</w:t>
        <w:bookmarkEnd w:id="345"/>
        <w:t/>
      </w:r>
    </w:p>
    <w:p>
      <w:pPr>
        <w:pStyle w:val="Para 020"/>
      </w:pPr>
      <w:r>
        <w:rPr>
          <w:rStyle w:val="Text3"/>
        </w:rPr>
        <w:t>DANH SÁCH NÀY ĐƯỢC LẤY TỪ Personal Values Card Sort (2001), do W. R. Miller, J. C’de Baca, D. B. Matthews và P. L. Wilbourne của Đại học New Mexico phát triển. Bạn có thể dùng nó để nhanh chóng xác định những giá trị mà bạn coi trọng và có thể soi sáng cho một tình huống thách thức trong công việc. Khi bạn đưa ra quyết định tiếp theo, hãy tự hỏi liệu nó có nhất quán với những giá trị này không.</w:t>
      </w:r>
      <w:r>
        <w:t xml:space="preserve"/>
      </w:r>
    </w:p>
    <w:p>
      <w:pPr>
        <w:pStyle w:val="Para 020"/>
      </w:pPr>
      <w:r>
        <w:t>Sự chính xác</w:t>
      </w:r>
    </w:p>
    <w:p>
      <w:pPr>
        <w:pStyle w:val="Para 008"/>
      </w:pPr>
      <w:r>
        <w:t>Thành tựu</w:t>
      </w:r>
    </w:p>
    <w:p>
      <w:pPr>
        <w:pStyle w:val="Para 008"/>
      </w:pPr>
      <w:r>
        <w:t>Phiêu lưu</w:t>
      </w:r>
    </w:p>
    <w:p>
      <w:pPr>
        <w:pStyle w:val="Para 008"/>
      </w:pPr>
      <w:r>
        <w:t>Quyền hạn (Authority)</w:t>
      </w:r>
    </w:p>
    <w:p>
      <w:pPr>
        <w:pStyle w:val="Para 008"/>
      </w:pPr>
      <w:r>
        <w:t>Tự chủ (Autonomy)</w:t>
      </w:r>
    </w:p>
    <w:p>
      <w:pPr>
        <w:pStyle w:val="Para 008"/>
      </w:pPr>
      <w:r>
        <w:t>Sự quan tâm (Caring)</w:t>
      </w:r>
    </w:p>
    <w:p>
      <w:pPr>
        <w:pStyle w:val="Para 008"/>
      </w:pPr>
      <w:r>
        <w:t>Thử thách (Challenge)</w:t>
      </w:r>
    </w:p>
    <w:p>
      <w:pPr>
        <w:pStyle w:val="Para 008"/>
      </w:pPr>
      <w:r>
        <w:t>Sự thay đổi (Change)</w:t>
      </w:r>
    </w:p>
    <w:p>
      <w:pPr>
        <w:pStyle w:val="Para 008"/>
      </w:pPr>
      <w:r>
        <w:t>Sự thoải mái (Comfort)</w:t>
      </w:r>
    </w:p>
    <w:p>
      <w:pPr>
        <w:pStyle w:val="Para 008"/>
      </w:pPr>
      <w:r>
        <w:t>Lòng trắc ẩn (Compassion)</w:t>
      </w:r>
    </w:p>
    <w:p>
      <w:pPr>
        <w:pStyle w:val="Para 008"/>
      </w:pPr>
      <w:r>
        <w:t>Sự cống hiến (Contribution)</w:t>
      </w:r>
    </w:p>
    <w:p>
      <w:pPr>
        <w:pStyle w:val="Para 008"/>
      </w:pPr>
      <w:r>
        <w:t>Sự hợp tác (Cooperation)</w:t>
      </w:r>
    </w:p>
    <w:p>
      <w:pPr>
        <w:pStyle w:val="Para 008"/>
      </w:pPr>
      <w:r>
        <w:t>Sự lịch thiệp (Courtesy)</w:t>
      </w:r>
    </w:p>
    <w:p>
      <w:pPr>
        <w:pStyle w:val="Para 008"/>
      </w:pPr>
      <w:r>
        <w:t>Sự sáng tạo (Creativity)</w:t>
      </w:r>
    </w:p>
    <w:p>
      <w:pPr>
        <w:pStyle w:val="Para 008"/>
      </w:pPr>
      <w:r>
        <w:t>Sự đáng tin cậy (Dependability)</w:t>
      </w:r>
    </w:p>
    <w:p>
      <w:pPr>
        <w:pStyle w:val="Para 008"/>
      </w:pPr>
      <w:r>
        <w:t>Bổn phận (Duty)</w:t>
      </w:r>
    </w:p>
    <w:p>
      <w:pPr>
        <w:pStyle w:val="Para 008"/>
      </w:pPr>
      <w:r>
        <w:t>Gia đình (Family)</w:t>
      </w:r>
    </w:p>
    <w:p>
      <w:pPr>
        <w:pStyle w:val="Para 008"/>
      </w:pPr>
      <w:r>
        <w:t>Sự tha thứ (Forgiveness)</w:t>
      </w:r>
    </w:p>
    <w:p>
      <w:pPr>
        <w:pStyle w:val="Para 008"/>
      </w:pPr>
      <w:r>
        <w:t>Tình bạn (Friendship)</w:t>
      </w:r>
    </w:p>
    <w:p>
      <w:pPr>
        <w:pStyle w:val="Para 008"/>
      </w:pPr>
      <w:r>
        <w:t>Niềm vui (Fun)</w:t>
      </w:r>
    </w:p>
    <w:p>
      <w:pPr>
        <w:pStyle w:val="Para 008"/>
      </w:pPr>
      <w:r>
        <w:t>Sự hào phóng (Generosity)</w:t>
      </w:r>
    </w:p>
    <w:p>
      <w:pPr>
        <w:pStyle w:val="Para 008"/>
      </w:pPr>
      <w:r>
        <w:t>Sự chân thật (Genuineness)</w:t>
      </w:r>
    </w:p>
    <w:p>
      <w:pPr>
        <w:pStyle w:val="Para 008"/>
      </w:pPr>
      <w:r>
        <w:t>Sự phát triển (Growth)</w:t>
      </w:r>
    </w:p>
    <w:p>
      <w:pPr>
        <w:pStyle w:val="Para 008"/>
      </w:pPr>
      <w:r>
        <w:t>Sức khỏe (Health)</w:t>
      </w:r>
    </w:p>
    <w:p>
      <w:pPr>
        <w:pStyle w:val="Para 008"/>
      </w:pPr>
      <w:r>
        <w:t>Sự hay giúp đỡ (Helpfulness)</w:t>
      </w:r>
    </w:p>
    <w:p>
      <w:pPr>
        <w:pStyle w:val="Para 008"/>
      </w:pPr>
      <w:r>
        <w:t>Sự trung thực (Honesty)</w:t>
      </w:r>
    </w:p>
    <w:p>
      <w:pPr>
        <w:pStyle w:val="Para 008"/>
      </w:pPr>
      <w:r>
        <w:t>Sự khiêm tốn (Humility)</w:t>
      </w:r>
    </w:p>
    <w:p>
      <w:pPr>
        <w:pStyle w:val="Para 008"/>
      </w:pPr>
      <w:r>
        <w:t>Sự hài hước (Humor)</w:t>
      </w:r>
    </w:p>
    <w:p>
      <w:pPr>
        <w:pStyle w:val="Para 008"/>
      </w:pPr>
      <w:r>
        <w:t>Công lý (Justice)</w:t>
      </w:r>
    </w:p>
    <w:p>
      <w:pPr>
        <w:pStyle w:val="Para 008"/>
      </w:pPr>
      <w:r>
        <w:t>Kiến thức (Knowledge)</w:t>
      </w:r>
    </w:p>
    <w:p>
      <w:pPr>
        <w:pStyle w:val="Para 008"/>
      </w:pPr>
      <w:r>
        <w:t>Sự thư giãn (Leisure)</w:t>
      </w:r>
    </w:p>
    <w:p>
      <w:pPr>
        <w:pStyle w:val="Para 008"/>
      </w:pPr>
      <w:r>
        <w:t>Sự tinh thông (Mastery)</w:t>
      </w:r>
    </w:p>
    <w:p>
      <w:pPr>
        <w:pStyle w:val="Para 008"/>
      </w:pPr>
      <w:r>
        <w:t>Sự điều độ (Moderation)</w:t>
      </w:r>
    </w:p>
    <w:p>
      <w:pPr>
        <w:pStyle w:val="Para 008"/>
      </w:pPr>
      <w:r>
        <w:t>Không theo khuôn phép</w:t>
      </w:r>
    </w:p>
    <w:p>
      <w:pPr>
        <w:pStyle w:val="Para 008"/>
      </w:pPr>
      <w:r>
        <w:t>Cởi mở</w:t>
      </w:r>
    </w:p>
    <w:p>
      <w:pPr>
        <w:pStyle w:val="Para 008"/>
      </w:pPr>
      <w:r>
        <w:t>Trật tự</w:t>
      </w:r>
    </w:p>
    <w:p>
      <w:pPr>
        <w:pStyle w:val="Para 008"/>
      </w:pPr>
      <w:r>
        <w:t>Đam mê</w:t>
      </w:r>
    </w:p>
    <w:p>
      <w:pPr>
        <w:pStyle w:val="Para 008"/>
      </w:pPr>
      <w:r>
        <w:t>Được yêu thích</w:t>
      </w:r>
    </w:p>
    <w:p>
      <w:pPr>
        <w:pStyle w:val="Para 008"/>
      </w:pPr>
      <w:r>
        <w:t>Quyền lực</w:t>
      </w:r>
    </w:p>
    <w:p>
      <w:pPr>
        <w:pStyle w:val="Para 008"/>
      </w:pPr>
      <w:r>
        <w:t>Mục đích sống</w:t>
      </w:r>
    </w:p>
    <w:p>
      <w:pPr>
        <w:pStyle w:val="Para 008"/>
      </w:pPr>
      <w:r>
        <w:t>Lý trí</w:t>
      </w:r>
    </w:p>
    <w:p>
      <w:pPr>
        <w:pStyle w:val="Para 008"/>
      </w:pPr>
      <w:r>
        <w:t>Thực tế</w:t>
      </w:r>
    </w:p>
    <w:p>
      <w:pPr>
        <w:pStyle w:val="Para 008"/>
      </w:pPr>
      <w:r>
        <w:t>Trách nhiệm</w:t>
      </w:r>
    </w:p>
    <w:p>
      <w:pPr>
        <w:pStyle w:val="Para 008"/>
      </w:pPr>
      <w:r>
        <w:t>Rủi ro</w:t>
      </w:r>
    </w:p>
    <w:p>
      <w:pPr>
        <w:pStyle w:val="Para 008"/>
      </w:pPr>
      <w:r>
        <w:t>An toàn</w:t>
      </w:r>
    </w:p>
    <w:p>
      <w:pPr>
        <w:pStyle w:val="Para 008"/>
      </w:pPr>
      <w:r>
        <w:t>Tự thấu hiểu bản thân</w:t>
      </w:r>
    </w:p>
    <w:p>
      <w:pPr>
        <w:pStyle w:val="Para 008"/>
      </w:pPr>
      <w:r>
        <w:t>Phục vụ</w:t>
      </w:r>
    </w:p>
    <w:p>
      <w:pPr>
        <w:pStyle w:val="Para 008"/>
      </w:pPr>
      <w:r>
        <w:t>Giản đơn</w:t>
      </w:r>
    </w:p>
    <w:p>
      <w:pPr>
        <w:pStyle w:val="Para 008"/>
      </w:pPr>
      <w:r>
        <w:t>Ổn định</w:t>
      </w:r>
    </w:p>
    <w:p>
      <w:pPr>
        <w:pStyle w:val="Para 008"/>
      </w:pPr>
      <w:r>
        <w:t>Khoan dung</w:t>
      </w:r>
    </w:p>
    <w:p>
      <w:pPr>
        <w:pStyle w:val="Para 008"/>
      </w:pPr>
      <w:r>
        <w:t>Truyền thống</w:t>
      </w:r>
    </w:p>
    <w:p>
      <w:pPr>
        <w:pStyle w:val="Para 008"/>
      </w:pPr>
      <w:r>
        <w:t>Giàu có</w:t>
      </w:r>
    </w:p>
    <w:p>
      <w:pPr>
        <w:pStyle w:val="Para 003"/>
      </w:pPr>
      <w:r>
        <w:t xml:space="preserve">Jeffrey, một lãnh đạo trẻ đang lên tại một công ty hàng tiêu dùng lớn, lại gặp vấn đề khác. Thông minh, tài năng và đầy tham vọng, anh thường xuyên nổi nóng — với sếp vì không coi trọng ý kiến của anh, với cấp dưới vì không làm theo chỉ đạo, hay với đồng nghiệp vì không hoàn thành phần việc. Anh đã vài lần mất bình tĩnh ở chỗ làm và bị cảnh cáo phải kiểm soát bản thân. Nhưng khi cố gắng, anh lại cảm thấy mình đang chặn đứng một phần cốt lõi trong con người mình, và càng trở nên giận dữ, bực bội hơn.</w:t>
        <w:bookmarkStart w:id="346" w:name="page_63"/>
        <w:t/>
        <w:bookmarkEnd w:id="346"/>
        <w:t/>
      </w:r>
    </w:p>
    <w:p>
      <w:pPr>
        <w:pStyle w:val="Para 003"/>
      </w:pPr>
      <w:r>
        <w:t>Những nhà lãnh đạo thông minh và thành đạt này đang bị mắc kẹt bởi chính những suy nghĩ và cảm xúc tiêu cực của mình. Cynthia bị nỗi tội lỗi bủa vây; Jeffrey thì bùng nổ cơn giận. Cynthia bảo những tiếng nói trong đầu biến đi; Jeffrey thì nén chặt sự bực bội. Cả hai đều đang cố trốn tránh cảm giác khó chịu bên trong. Họ đang bị trải nghiệm nội tâm chi phối, hoặc cố kiểm soát nó, hoặc dao động giữa hai thái cực đó.</w:t>
      </w:r>
    </w:p>
    <w:p>
      <w:pPr>
        <w:pStyle w:val="Para 011"/>
      </w:pPr>
      <w:r>
        <w:t>Thoát khỏi mắc kẹt</w:t>
      </w:r>
    </w:p>
    <w:p>
      <w:pPr>
        <w:pStyle w:val="Para 016"/>
      </w:pPr>
      <w:r>
        <w:t>May mắn thay, cả Cynthia và Jeffrey đều nhận ra rằng họ không thể tiếp tục — ít nhất là không thể thành công và hạnh phúc — nếu thiếu những chiến lược nội tâm hiệu quả hơn. Chúng tôi đã hướng dẫn họ áp dụng bốn phương pháp sau.</w:t>
      </w:r>
    </w:p>
    <w:p>
      <w:pPr>
        <w:pStyle w:val="Para 023"/>
      </w:pPr>
      <w:r>
        <w:t>Nhận diện khuôn mẫu của bản thân</w:t>
      </w:r>
    </w:p>
    <w:p>
      <w:pPr>
        <w:pStyle w:val="Para 003"/>
      </w:pPr>
      <w:r>
        <w:t>Bước đầu tiên để phát triển sự linh hoạt cảm xúc (emotional agility) là nhận ra khi nào bạn bị mắc kẹt bởi suy nghĩ và cảm xúc của chính mình. Điều này không dễ, nhưng có một số dấu hiệu nhận biết khá rõ. Một là suy nghĩ của bạn trở nên cứng nhắc và lặp đi lặp lại. Ví dụ, Cynthia bắt đầu nhận ra rằng những lời tự trách của cô cứ lặp đi lặp lại như một chiếc đĩa hỏng, phát đi phát lại cùng một thông điệp. Một dấu hiệu khác là câu chuyện tâm trí bạn đang kể nghe thật cũ kỹ, như một bộ phim chiếu lại từ trải nghiệm nào đó trong quá khứ. Jeffrey nhận thấy thái độ của anh với một số đồng nghiệp (Anh ta bất tài; Không đời nào tôi để ai nói với mình kiểu đó) nghe quen thuộc một cách kỳ lạ. Thực ra, anh đã trải qua điều tương tự ở công việc trước — và cả công việc trước đó nữa. Nguồn gốc rắc rối không chỉ nằm ở môi trường của Jeffrey mà còn ở chính khuôn mẫu suy nghĩ và cảm xúc của anh. Bạn phải nhận ra mình đang bị kẹt trước khi có thể bắt đầu thay đổi.</w:t>
      </w:r>
      <w:r>
        <w:rPr>
          <w:rStyle w:val="Text0"/>
        </w:rPr>
        <w:t/>
      </w:r>
      <w:r>
        <w:t/>
      </w:r>
    </w:p>
    <w:p>
      <w:pPr>
        <w:pStyle w:val="Para 023"/>
      </w:pPr>
      <w:r>
        <w:t>Gọi tên suy nghĩ và cảm xúc</w:t>
      </w:r>
    </w:p>
    <w:p>
      <w:pPr>
        <w:pStyle w:val="Para 003"/>
      </w:pPr>
      <w:r>
        <w:t xml:space="preserve">Khi bị mắc kẹt, sự chú ý bạn dành cho suy nghĩ và cảm xúc sẽ lấp đầy tâm trí; chẳng còn chỗ để quan sát chúng. Một chiến lược có thể giúp bạn nhìn nhận tình huống khách quan hơn chính là hành động gọi tên đơn giản. Cũng như bạn gọi cái xẻng là cái xẻng, hãy gọi suy nghĩ là suy nghĩ và cảm xúc là cảm xúc. “Tôi đang làm việc chưa đủ tốt ở công ty hay ở nhà” trở thành “Tôi đang có suy nghĩ rằng mình làm việc chưa đủ tốt ở công ty hay ở nhà”. Tương tự, “Đồng nghiệp của tôi sai — anh ta làm tôi phát điên” trở thành “Tôi đang có suy nghĩ rằng đồng nghiệp của tôi sai, và tôi đang cảm thấy giận dữ”. Gọi tên cho phép bạn nhìn nhận suy nghĩ và cảm xúc đúng bản chất của chúng: những nguồn dữ liệu thoáng qua, có thể hữu ích hoặc không. Con người có khả năng tâm lý để nhìn từ trên cao xuống những trải nghiệm riêng tư của mình, và ngày càng có nhiều bằng chứng khoa học cho thấy việc thực hành chánh niệm đơn giản, trực tiếp như thế này không chỉ cải thiện hành vi và sự khỏe mạnh mà còn thúc đẩy những thay đổi sinh học có lợi trong não bộ và ở cấp độ tế bào. Khi Cynthia bắt đầu chậm lại và gọi tên suy nghĩ của mình, những lời chỉ trích từng đè nặng lên cô như màn sương dày đặc dần trở nên giống những đám mây trôi qua bầu trời xanh.</w:t>
        <w:bookmarkStart w:id="347" w:name="page_64"/>
        <w:t/>
        <w:bookmarkEnd w:id="347"/>
        <w:t xml:space="preserve"/>
      </w:r>
      <w:r>
        <w:rPr>
          <w:rStyle w:val="Text0"/>
        </w:rPr>
        <w:t xml:space="preserve"/>
      </w:r>
      <w:r>
        <w:t xml:space="preserve"/>
      </w:r>
      <w:r>
        <w:rPr>
          <w:rStyle w:val="Text0"/>
        </w:rPr>
        <w:t xml:space="preserve"/>
      </w:r>
      <w:r>
        <w:t xml:space="preserve"/>
      </w:r>
      <w:r>
        <w:rPr>
          <w:rStyle w:val="Text0"/>
        </w:rPr>
        <w:t xml:space="preserve"/>
      </w:r>
      <w:r>
        <w:t xml:space="preserve"/>
      </w:r>
      <w:r>
        <w:rPr>
          <w:rStyle w:val="Text0"/>
        </w:rPr>
        <w:t xml:space="preserve"/>
      </w:r>
      <w:r>
        <w:t/>
      </w:r>
    </w:p>
    <w:p>
      <w:pPr>
        <w:pStyle w:val="Para 023"/>
      </w:pPr>
      <w:r>
        <w:t>Chấp nhận chúng</w:t>
      </w:r>
    </w:p>
    <w:p>
      <w:pPr>
        <w:pStyle w:val="Para 003"/>
      </w:pPr>
      <w:r>
        <w:t>Đối lập với kiểm soát là chấp nhận — không phải hành động theo mọi suy nghĩ hay cam chịu sự tiêu cực, mà là phản hồi với ý tưởng và cảm xúc bằng thái độ cởi mở, chú tâm đến chúng và cho phép bản thân trải nghiệm chúng. Hãy hít thở sâu 10 lần và chú ý đến những gì đang diễn ra trong khoảnh khắc hiện tại. Điều này có thể mang lại cảm giác nhẹ nhõm, nhưng không nhất thiết khiến bạn dễ chịu. Thực ra, bạn có thể nhận ra mình thực sự đang bực bội đến mức nào. Điều quan trọng là hãy thể hiện lòng trắc ẩn với chính mình (và người khác) và nhìn nhận thực tế của tình huống. Chuyện gì đang xảy ra — cả bên trong lẫn bên ngoài? Khi Jeffrey thừa nhận và dành chỗ cho cảm giác bực bội và giận dữ thay vì chối bỏ, dập tắt hay trút chúng lên người khác, anh bắt đầu nhận ra năng lượng của chúng. Chúng là tín hiệu cho thấy có điều gì đó quan trọng đang bị đe dọa và anh cần hành động một cách hiệu quả. Thay vì quát mắng người khác, anh có thể đưa ra yêu cầu rõ ràng với đồng nghiệp hoặc nhanh chóng xử lý một vấn đề cấp bách. Jeffrey càng chấp nhận cơn giận và mang sự tò mò đến với nó, nó càng có vẻ hỗ trợ thay vì làm suy yếu khả năng lãnh đạo của anh.</w:t>
      </w:r>
    </w:p>
    <w:p>
      <w:pPr>
        <w:pStyle w:val="Para 057"/>
      </w:pPr>
      <w:r>
        <w:t>Đánh giá sự linh hoạt cảm xúc của bạn</w:t>
      </w:r>
    </w:p>
    <w:p>
      <w:pPr>
        <w:pStyle w:val="Para 129"/>
      </w:pPr>
      <w:r>
        <w:bookmarkStart w:id="348" w:name="page_65"/>
        <w:t/>
        <w:bookmarkEnd w:id="348"/>
        <w:drawing>
          <wp:inline>
            <wp:extent cx="5943600" cy="2679700"/>
            <wp:effectExtent l="0" r="0" t="0" b="0"/>
            <wp:docPr id="29" name="pg75.png" descr="image"/>
            <wp:cNvGraphicFramePr>
              <a:graphicFrameLocks noChangeAspect="1"/>
            </wp:cNvGraphicFramePr>
            <a:graphic>
              <a:graphicData uri="http://schemas.openxmlformats.org/drawingml/2006/picture">
                <pic:pic>
                  <pic:nvPicPr>
                    <pic:cNvPr id="0" name="pg75.png" descr="image"/>
                    <pic:cNvPicPr/>
                  </pic:nvPicPr>
                  <pic:blipFill>
                    <a:blip r:embed="rId27"/>
                    <a:stretch>
                      <a:fillRect/>
                    </a:stretch>
                  </pic:blipFill>
                  <pic:spPr>
                    <a:xfrm>
                      <a:off x="0" y="0"/>
                      <a:ext cx="5943600" cy="2679700"/>
                    </a:xfrm>
                    <a:prstGeom prst="rect">
                      <a:avLst/>
                    </a:prstGeom>
                  </pic:spPr>
                </pic:pic>
              </a:graphicData>
            </a:graphic>
          </wp:inline>
        </w:drawing>
      </w:r>
    </w:p>
    <w:p>
      <w:pPr>
        <w:pStyle w:val="Para 023"/>
      </w:pPr>
      <w:r>
        <w:t>Hành động theo giá trị của bạn</w:t>
      </w:r>
    </w:p>
    <w:p>
      <w:pPr>
        <w:pStyle w:val="Para 003"/>
      </w:pPr>
      <w:r>
        <w:bookmarkStart w:id="349" w:name="page_66"/>
        <w:t>Khi bạn gỡ mình ra khỏi những suy nghĩ và cảm xúc khó chịu, bạn mở rộng các lựa chọn của mình. Bạn có thể quyết định hành động theo cách phù hợp với giá trị của mình. Chúng tôi khuyến khích các nhà lãnh đạo tập trung vào khái niệm tính khả thi (workability): Phản ứng của bạn có phục vụ bạn và tổ chức của bạn về lâu dài cũng như trước mắt không? Nó có giúp bạn dẫn dắt người khác theo hướng thúc đẩy mục đích chung của các bạn không? Bạn có đang tiến một bước tới việc trở thành nhà lãnh đạo mà bạn mong muốn nhất và sống cuộc đời mà bạn mong muốn nhất không? Dòng suy nghĩ của tâm trí chảy không ngừng, và cảm xúc thay đổi như thời tiết, nhưng giá trị thì có thể được vận dụng bất cứ lúc nào, trong bất kỳ tình huống nào.</w:t>
        <w:bookmarkEnd w:id="349"/>
        <w:t xml:space="preserve"/>
      </w:r>
      <w:r>
        <w:rPr>
          <w:rStyle w:val="Text0"/>
        </w:rPr>
        <w:t/>
      </w:r>
      <w:r>
        <w:t/>
      </w:r>
    </w:p>
    <w:p>
      <w:pPr>
        <w:pStyle w:val="Para 003"/>
      </w:pPr>
      <w:r>
        <w:t>Khi Cynthia xem xét các giá trị của mình, cô nhận ra mình cam kết sâu sắc với cả gia đình và công việc; cô thích ở bên các con, nhưng cô cũng quan tâm mãnh liệt đến việc theo đuổi công lý. Được gỡ khỏi những cảm giác tội lỗi gây xao nhãng và nản lòng, cô quyết tâm để các nguyên tắc của mình dẫn đường. Cô nhận ra tầm quan trọng của việc về nhà ăn tối cùng gia đình mỗi tối và tránh để công việc xen vào khoảng thời gian đó. Nhưng cô cũng đảm nhận một số chuyến công tác quan trọng, một số trùng với các sự kiện ở trường mà cô muốn tham dự. Tự tin rằng các giá trị, chứ không chỉ cảm xúc, đang dẫn dắt mình, Cynthia cuối cùng đã tìm thấy sự bình yên và thỏa mãn.</w:t>
      </w:r>
    </w:p>
    <w:p>
      <w:pPr>
        <w:pStyle w:val="Para 048"/>
      </w:pPr>
      <w:r>
        <w:drawing>
          <wp:anchor distL="0" distR="0" distT="0" distB="0" simplePos="0" relativeHeight="1" behindDoc="0" locked="0" layoutInCell="1" allowOverlap="1">
            <wp:simplePos x="0" y="0"/>
            <wp:positionH relativeFrom="margin">
              <wp:align>center</wp:align>
            </wp:positionH>
            <wp:positionV relativeFrom="line">
              <wp:align>top</wp:align>
            </wp:positionV>
            <wp:extent cx="1778000" cy="0"/>
            <wp:effectExtent l="0" r="0" t="0" b="0"/>
            <wp:wrapTopAndBottom/>
            <wp:docPr id="30" name="line.png" descr="image"/>
            <wp:cNvGraphicFramePr>
              <a:graphicFrameLocks noChangeAspect="1"/>
            </wp:cNvGraphicFramePr>
            <a:graphic>
              <a:graphicData uri="http://schemas.openxmlformats.org/drawingml/2006/picture">
                <pic:pic>
                  <pic:nvPicPr>
                    <pic:cNvPr id="0" name="line.png" descr="image"/>
                    <pic:cNvPicPr/>
                  </pic:nvPicPr>
                  <pic:blipFill>
                    <a:blip r:embed="rId20"/>
                    <a:stretch>
                      <a:fillRect/>
                    </a:stretch>
                  </pic:blipFill>
                  <pic:spPr>
                    <a:xfrm>
                      <a:off x="0" y="0"/>
                      <a:ext cx="1778000" cy="0"/>
                    </a:xfrm>
                    <a:prstGeom prst="rect">
                      <a:avLst/>
                    </a:prstGeom>
                  </pic:spPr>
                </pic:pic>
              </a:graphicData>
            </a:graphic>
          </wp:anchor>
        </w:drawing>
      </w:r>
    </w:p>
    <w:p>
      <w:pPr>
        <w:pStyle w:val="Para 003"/>
      </w:pPr>
      <w:r>
        <w:t>Không thể chặn đứng những suy nghĩ và cảm xúc khó khăn. Các nhà lãnh đạo hiệu quả nhận thức rõ những trải nghiệm nội tâm của mình nhưng không bị cuốn vào chúng. Họ biết cách giải phóng nguồn lực nội tại và cam kết với những hành động phù hợp với giá trị của mình. Phát triển sự nhanh nhạy cảm xúc (emotional agility) không phải là giải pháp nhanh chóng—ngay cả những người, như Cynthia và Jeffrey, thường xuyên thực hành các bước chúng tôi đã nêu ở đây cũng sẽ thường thấy mình bị mắc kẹt. Nhưng theo thời gian, những nhà lãnh đạo ngày càng thành thạo điều này là những người có khả năng phát triển mạnh mẽ nhất.</w:t>
      </w:r>
    </w:p>
    <w:p>
      <w:pPr>
        <w:pStyle w:val="Para 044"/>
      </w:pPr>
      <w:r>
        <w:t xml:space="preserve">Xuất bản lần đầu vào tháng 11 năm 2013. Tái bản R1311L</w:t>
      </w:r>
      <w:r>
        <w:rPr>
          <w:rStyle w:val="Text10"/>
        </w:rPr>
        <w:t/>
      </w:r>
    </w:p>
    <w:p>
      <w:pPr>
        <w:pStyle w:val="Para 012"/>
      </w:pPr>
      <w:r>
        <w:t xml:space="preserve"> </w:t>
      </w:r>
    </w:p>
    <w:p>
      <w:bookmarkStart w:id="350" w:name="Top_of_ch07_xhtml"/>
      <w:bookmarkStart w:id="351" w:name="How_to_Tackle_Your_Toughest_Deci"/>
      <w:pPr>
        <w:pStyle w:val="Para 012"/>
        <w:pageBreakBefore w:val="on"/>
      </w:pPr>
      <w:r>
        <w:t xml:space="preserve"> </w:t>
      </w:r>
      <w:bookmarkEnd w:id="350"/>
      <w:bookmarkEnd w:id="351"/>
    </w:p>
    <w:p>
      <w:bookmarkStart w:id="352" w:name="How_to_Tackle_Your_Toughest_Deci_1"/>
      <w:pPr>
        <w:pStyle w:val="Para 039"/>
      </w:pPr>
      <w:r>
        <w:bookmarkStart w:id="353" w:name="page_67"/>
        <w:t>Cách Xử Lý Những Quyết Định Khó Khăn Nhất</w:t>
        <w:bookmarkEnd w:id="353"/>
        <w:t/>
      </w:r>
      <w:bookmarkEnd w:id="352"/>
    </w:p>
    <w:p>
      <w:bookmarkStart w:id="354" w:name="by_Joseph_L__Badaracco"/>
      <w:pPr>
        <w:pStyle w:val="Para 040"/>
      </w:pPr>
      <w:r>
        <w:t>bởi Joseph L. Badaracco</w:t>
      </w:r>
      <w:bookmarkEnd w:id="354"/>
    </w:p>
    <w:p>
      <w:pPr>
        <w:pStyle w:val="Para 003"/>
      </w:pPr>
      <w:r>
        <w:rPr>
          <w:rStyle w:val="Text4"/>
        </w:rPr>
        <w:t>MỌI NHÀ QUẢN LÝ đều phải đưa ra những quyết định khó khăn—đó là một phần của công việc. Và những quyết định khó khăn nhất đến từ các vùng xám (gray areas)—những tình huống mà bạn và nhóm của mình đã nỗ lực thu thập dữ kiện và phân tích tốt nhất có thể, nhưng bạn vẫn không biết phải làm gì. Thật dễ bị tê liệt khi đối mặt với những thách thức như vậy. Nhưng với tư cách là nhà lãnh đạo, bạn phải đưa ra quyết định và tiến về phía trước. Khả năng phán đoán của bạn trở nên then chốt.</w:t>
      </w:r>
      <w:r>
        <w:t xml:space="preserve"/>
      </w:r>
    </w:p>
    <w:p>
      <w:pPr>
        <w:pStyle w:val="Para 003"/>
      </w:pPr>
      <w:r>
        <w:t>Khả năng phán đoán rất khó định nghĩa. Nó là sự kết hợp giữa suy nghĩ, cảm xúc, kinh nghiệm, trí tưởng tượng và tính cách của bạn. Nhưng năm câu hỏi thực tế có thể cải thiện cơ hội đưa ra những phán đoán sáng suốt của bạn, ngay cả khi dữ liệu không đầy đủ hoặc không rõ ràng, các ý kiến bị chia rẽ, và câu trả lời còn lâu mới hiển nhiên.</w:t>
      </w:r>
    </w:p>
    <w:p>
      <w:pPr>
        <w:pStyle w:val="Para 003"/>
      </w:pPr>
      <w:r>
        <w:t>Những câu hỏi này đến từ đâu? Qua nhiều thế kỷ và nhiều nền văn hóa, chúng đã xuất hiện khi những người đàn ông và phụ nữ mang trọng trách nghiêm túc vật lộn với những vấn đề khó khăn. Chúng thể hiện sự thấu hiểu của những bộ óc sắc bén nhất và những tâm hồn giàu lòng trắc ẩn nhất trong lịch sử nhân loại. Tôi đã dựa vào chúng trong nhiều năm, khi giảng dạy các ứng viên MBA và tư vấn cho các nhà điều hành, và tôi tin rằng chúng có thể giúp bạn, nhóm của bạn và tổ chức của bạn định hướng qua những vùng xám mơ hồ nhất.</w:t>
      </w:r>
    </w:p>
    <w:p>
      <w:pPr>
        <w:pStyle w:val="Para 003"/>
      </w:pPr>
      <w:r>
        <w:t xml:space="preserve">Bài viết này giải thích năm câu hỏi và minh họa chúng bằng một nghiên cứu tình huống đã được thay đổi thông tin, liên quan đến một nhà quản lý phải quyết định phải làm gì với một nhân viên liên tục kém hiệu quả, người đã không phản hồi các đề xuất cải thiện. Người này đáng bị đánh giá kém, nếu không muốn nói là bị sa thải, nhưng các cấp trên trong công ty muốn bỏ qua những thiếu sót của anh ta.</w:t>
        <w:bookmarkStart w:id="355" w:name="page_68"/>
        <w:t/>
        <w:bookmarkEnd w:id="355"/>
        <w:t/>
      </w:r>
    </w:p>
    <w:p>
      <w:pPr>
        <w:pStyle w:val="Para 003"/>
      </w:pPr>
      <w:r>
        <w:t>Nhà quản lý nên tiếp cận tình huống này như thế nào? Không phải bằng cách làm theo trực giác mách bảo. Không phải bằng cách đơn giản là làm theo số đông. Thay vào đó, cô ấy cần làm việc một cách có hệ thống qua năm câu hỏi:</w:t>
      </w:r>
    </w:p>
    <w:p>
      <w:pPr>
        <w:pStyle w:val="Para 003"/>
      </w:pPr>
      <w:r>
        <w:t>Kết quả ròng cuối cùng của tất cả các lựa chọn của tôi là gì?</w:t>
      </w:r>
    </w:p>
    <w:p>
      <w:pPr>
        <w:pStyle w:val="Para 003"/>
      </w:pPr>
      <w:r>
        <w:t>Những nghĩa vụ cốt lõi của tôi là gì?</w:t>
      </w:r>
    </w:p>
    <w:p>
      <w:pPr>
        <w:pStyle w:val="Para 003"/>
      </w:pPr>
      <w:r>
        <w:t>Điều gì sẽ hiệu quả trong thế giới thực tại? Chúng ta là ai?</w:t>
      </w:r>
    </w:p>
    <w:p>
      <w:pPr>
        <w:pStyle w:val="Para 003"/>
      </w:pPr>
      <w:r>
        <w:t>Tôi có thể sống chung với điều gì?</w:t>
      </w:r>
    </w:p>
    <w:p>
      <w:pPr>
        <w:pStyle w:val="Para 003"/>
      </w:pPr>
      <w:r>
        <w:t>Để vật lộn với những câu hỏi này, bạn phải dựa vào thông tin và chuyên môn tốt nhất hiện có. Nhưng cuối cùng bạn phải tự mình trả lời chúng. Với các quyết định vùng xám, bạn không bao giờ có thể chắc chắn mình đã đưa ra lựa chọn đúng. Nhưng nếu bạn tuân theo quy trình này, bạn sẽ biết rằng mình đã xử lý vấn đề theo cách đúng đắn—không chỉ với tư cách là một nhà quản lý giỏi mà còn là một con người biết suy nghĩ.</w:t>
      </w:r>
    </w:p>
    <w:p>
      <w:pPr>
        <w:pStyle w:val="Para 011"/>
      </w:pPr>
      <w:r>
        <w:t>Kết Quả Ròng Cuối Cùng</w:t>
      </w:r>
    </w:p>
    <w:p>
      <w:pPr>
        <w:pStyle w:val="Para 016"/>
      </w:pPr>
      <w:r>
        <w:t xml:space="preserve">Câu hỏi đầu tiên yêu cầu bạn xem xét kỹ lưỡng và có phân tích mọi hướng hành động có sẵn, cùng với đầy đủ các hệ quả thực tế, mang tính con người của từng hướng. Các vấn đề vùng xám hiếm khi được giải quyết trong một khoảnh khắc trực giác thiên tài của một người; như một CEO rất thành công đã nói với tôi, "Nhà lãnh đạo cô độc trên đỉnh Olympus thực sự là một hình mẫu tồi." Vì vậy, công việc của bạn là gạt bỏ giả định ban đầu về điều mình nên làm, tập hợp một nhóm cố vấn và chuyên gia đáng tin cậy, rồi tự hỏi mình và họ, "Chúng ta có thể làm gì? Và ai sẽ bị tổn thương hoặc được giúp đỡ, ngắn hạn và dài hạn, bởi từng lựa chọn?"</w:t>
      </w:r>
      <w:r>
        <w:rPr>
          <w:rStyle w:val="Text0"/>
        </w:rPr>
        <w:t/>
      </w:r>
      <w:r>
        <w:t xml:space="preserve"/>
      </w:r>
      <w:r>
        <w:rPr>
          <w:rStyle w:val="Text0"/>
        </w:rPr>
        <w:t/>
      </w:r>
      <w:r>
        <w:t xml:space="preserve"/>
      </w:r>
    </w:p>
    <w:p>
      <w:pPr>
        <w:pStyle w:val="Para 003"/>
      </w:pPr>
      <w:r>
        <w:t>Đừng nhầm lẫn điều này với phân tích chi phí-lợi ích, hay chỉ tập trung vào những gì bạn có thể đếm được hoặc định giá được. Tất nhiên, bạn nên có được dữ liệu tốt nhất có thể và áp dụng các khuôn khổ liên quan. Nhưng các vấn đề vùng xám đòi hỏi bạn phải suy nghĩ rộng hơn, sâu hơn, cụ thể hơn, giàu trí tưởng tượng hơn và khách quan hơn về tác động đầy đủ của các lựa chọn của mình. Theo lời của triết gia Trung Hoa cổ đại Mặc Tử, "Việc của người nhân từ là tìm cách thúc đẩy điều có lợi cho thế giới và loại bỏ điều có hại."</w:t>
      </w:r>
    </w:p>
    <w:p>
      <w:pPr>
        <w:pStyle w:val="Para 034"/>
      </w:pPr>
      <w:r>
        <w:t>Ý Tưởng Tóm Tắt</w:t>
      </w:r>
    </w:p>
    <w:p>
      <w:pPr>
        <w:pStyle w:val="Para 019"/>
      </w:pPr>
      <w:r>
        <w:bookmarkStart w:id="356" w:name="page_69"/>
        <w:t>Những quyết định khó khăn nhất mà các nhà quản lý phải đưa ra đến từ những tình huống khi họ đã nỗ lực thu thập dữ kiện và phân tích tốt nhất có thể, nhưng vẫn không biết phải làm gì. Khi đó, khả năng phán đoán—sự kết hợp giữa suy nghĩ, cảm xúc, kinh nghiệm, trí tưởng tượng và tính cách—trở nên then chốt. Năm câu hỏi thực tế có thể cải thiện cơ hội đưa ra những phán đoán sáng suốt của bạn:</w:t>
        <w:bookmarkEnd w:id="356"/>
        <w:t/>
      </w:r>
    </w:p>
    <w:p>
      <w:pPr>
        <w:numPr>
          <w:ilvl w:val="0"/>
          <w:numId w:val="30"/>
        </w:numPr>
        <w:pStyle w:val="Para 032"/>
      </w:pPr>
      <w:r>
        <w:t>Kết quả ròng cuối cùng của tất cả các lựa chọn của tôi là gì?</w:t>
      </w:r>
    </w:p>
    <w:p>
      <w:pPr>
        <w:numPr>
          <w:ilvl w:val="0"/>
          <w:numId w:val="30"/>
        </w:numPr>
        <w:pStyle w:val="Para 032"/>
      </w:pPr>
      <w:r>
        <w:t>Những nghĩa vụ cốt lõi của tôi là gì?</w:t>
      </w:r>
    </w:p>
    <w:p>
      <w:pPr>
        <w:numPr>
          <w:ilvl w:val="0"/>
          <w:numId w:val="30"/>
        </w:numPr>
        <w:pStyle w:val="Para 032"/>
      </w:pPr>
      <w:r>
        <w:t>Điều gì sẽ hiệu quả trong thế giới thực tại?</w:t>
      </w:r>
    </w:p>
    <w:p>
      <w:pPr>
        <w:numPr>
          <w:ilvl w:val="0"/>
          <w:numId w:val="30"/>
        </w:numPr>
        <w:pStyle w:val="Para 032"/>
      </w:pPr>
      <w:r>
        <w:t>Chúng ta là ai?</w:t>
      </w:r>
    </w:p>
    <w:p>
      <w:pPr>
        <w:numPr>
          <w:ilvl w:val="0"/>
          <w:numId w:val="30"/>
        </w:numPr>
        <w:pStyle w:val="Para 032"/>
      </w:pPr>
      <w:r>
        <w:t>Tôi có thể sống chung với điều gì?</w:t>
      </w:r>
    </w:p>
    <w:p>
      <w:pPr>
        <w:pStyle w:val="Para 019"/>
      </w:pPr>
      <w:r>
        <w:t>Với các quyết định vùng xám, bạn không bao giờ có thể chắc chắn rằng mình đã đưa ra lựa chọn đúng. Nhưng nếu bạn làm việc qua những câu hỏi này, bạn sẽ biết rằng mình đã tiếp cận vấn đề theo cách đúng đắn—không chỉ với tư cách là một nhà quản lý giỏi mà còn là một con người biết suy nghĩ.</w:t>
      </w:r>
    </w:p>
    <w:p>
      <w:pPr>
        <w:pStyle w:val="Para 003"/>
      </w:pPr>
      <w:r>
        <w:t>Trong thế giới phức tạp, biến động và phụ thuộc lẫn nhau ngày nay, không ai trong chúng ta có thể dự đoán tương lai với độ chính xác tuyệt đối. Và đôi khi thật khó để suy nghĩ rõ ràng về các vấn đề vùng xám. Điều quan trọng là dành thời gian để mở rộng tâm trí, tập hợp đúng đội ngũ và phân tích các lựa chọn của bạn qua lăng kính nhân văn. Bạn có thể phác thảo một cây quyết định sơ bộ, liệt kê tất cả các động thái tiềm năng và tất cả các kết quả có thể xảy ra, hoặc chỉ định một số người đóng vai trò phản biện (devil's advocates) để tìm ra lỗ hổng trong suy nghĩ của bạn và ngăn bạn vội vàng kết luận hoặc rơi vào tư duy tập thể (groupthink).</w:t>
      </w:r>
    </w:p>
    <w:p>
      <w:pPr>
        <w:pStyle w:val="Para 003"/>
      </w:pPr>
      <w:r>
        <w:t>Khi bạn đưa ra những quyết định quan trọng và khó khăn, bạn ảnh hưởng đến cuộc sống và sinh kế của nhiều người. Câu hỏi đầu tiên yêu cầu bạn vật lộn một cách nghiêm túc với thực tế đó.</w:t>
      </w:r>
    </w:p>
    <w:p>
      <w:pPr>
        <w:pStyle w:val="Para 011"/>
      </w:pPr>
      <w:r>
        <w:t>Nghĩa vụ cốt lõi</w:t>
      </w:r>
    </w:p>
    <w:p>
      <w:pPr>
        <w:pStyle w:val="Para 016"/>
      </w:pPr>
      <w:r>
        <w:t xml:space="preserve">Tất cả chúng ta đều có bổn phận—với tư cách là cha mẹ, con cái, công dân, nhân viên. Các nhà quản lý cũng có bổn phận với cổ đông và các bên liên quan khác. Nhưng câu hỏi thứ hai chạm đến điều sâu xa hơn: bổn phận bảo vệ và tôn trọng cuộc sống, quyền lợi và phẩm giá của những người xung quanh.</w:t>
        <w:bookmarkStart w:id="357" w:name="page_70"/>
        <w:t/>
        <w:bookmarkEnd w:id="357"/>
        <w:t/>
      </w:r>
    </w:p>
    <w:p>
      <w:pPr>
        <w:pStyle w:val="Para 003"/>
      </w:pPr>
      <w:r>
        <w:t>Mọi tôn giáo lớn trên thế giới—Hồi giáo, Do Thái giáo, Ấn Độ giáo, Cơ Đốc giáo—đều nhấn mạnh nghĩa vụ này. Nhà đạo đức học đương đại Kwame Anthony Appiah từng nói: “Không có lòng trung thành địa phương nào có thể biện minh cho việc quên rằng mỗi con người đều có trách nhiệm với mọi người khác.”</w:t>
      </w:r>
    </w:p>
    <w:p>
      <w:pPr>
        <w:pStyle w:val="Para 003"/>
      </w:pPr>
      <w:r>
        <w:t>Làm sao bạn có thể xác định cụ thể những bổn phận này buộc bạn phải làm gì trong một tình huống cụ thể? Bằng cách dựa vào cái mà các triết gia gọi là “trí tưởng tượng đạo đức” (moral imagination). Điều đó đòi hỏi bước ra khỏi vùng an toàn, nhận ra định kiến và điểm mù của mình, và đặt mình vào vị trí của tất cả các bên liên quan chính, đặc biệt là những người dễ bị tổn thương nhất. Bạn sẽ cảm thấy thế nào nếu ở vị trí của họ? Bạn sẽ lo lắng hay sợ hãi điều gì nhất? Bạn muốn được đối xử ra sao? Bạn sẽ coi điều gì là công bằng? Bạn tin mình có quyền gì? Bạn sẽ coi điều gì là đáng ghét? Bạn có thể nói chuyện trực tiếp với những người sẽ bị ảnh hưởng bởi quyết định của mình, hoặc nhờ một thành viên trong nhóm đóng vai người ngoài cuộc hay nạn nhân một cách thuyết phục nhất có thể.</w:t>
      </w:r>
    </w:p>
    <w:p>
      <w:pPr>
        <w:pStyle w:val="Para 003"/>
      </w:pPr>
      <w:r>
        <w:t>Một lần nữa, bạn phải nhìn xa hơn kinh tế học và những gì được dạy ở trường kinh doanh. Đúng vậy, các nhà quản lý có nghĩa vụ pháp lý phục vụ công ty—nhưng đó là một ủy thác rất rộng, bao gồm cả phúc lợi của người lao động, khách hàng và cộng đồng nơi họ hoạt động. Bạn có những nghĩa vụ nghiêm túc với mọi người đơn giản vì bạn là một con người. Khi đối mặt với một quyết định vùng xám, bạn phải suy nghĩ—lâu, kỹ và mang tính cá nhân—về việc nghĩa vụ nào trong số này đứng đầu danh sách.</w:t>
      </w:r>
    </w:p>
    <w:p>
      <w:pPr>
        <w:pStyle w:val="Para 011"/>
      </w:pPr>
      <w:r>
        <w:t>Thế giới như nó vốn có</w:t>
      </w:r>
    </w:p>
    <w:p>
      <w:pPr>
        <w:pStyle w:val="Para 016"/>
      </w:pPr>
      <w:r>
        <w:t>Câu hỏi thứ ba thúc đẩy bạn nhìn vấn đề một cách tỉnh táo, thực dụng—nhìn thế giới không phải như bạn muốn nó trở thành mà như nó vốn có. Cuối cùng, bạn cần một kế hoạch khả thi—một kế hoạch có thể đưa một cá nhân, một nhóm, một phòng ban hay toàn bộ tổ chức vượt qua vùng xám một cách có trách nhiệm và thành công.</w:t>
      </w:r>
    </w:p>
    <w:p>
      <w:pPr>
        <w:pStyle w:val="Para 003"/>
      </w:pPr>
      <w:r>
        <w:t>Cụm từ “thế giới như nó vốn có” gợi nhắc đến tư tưởng của Niccolò Machiavelli—một góc nhìn có vẻ bất ngờ trong một bài viết về việc ra quyết định có trách nhiệm. Nhưng quan điểm của ông rất quan trọng, vì nó thừa nhận rằng chúng ta không sống trong một môi trường bình lặng, dễ đoán với toàn những người đức hạnh. Thế giới mà Machiavelli mô tả là khó lường, khắc nghiệt và bị chi phối bởi lợi ích cá nhân. Những kế hoạch nghe có vẻ hợp lý có thể thất bại, còn những kế hoạch tồi đôi khi lại thành công. Phần lớn những gì xảy ra đơn giản nằm ngoài tầm kiểm soát của chúng ta. Các nhà lãnh đạo hiếm khi có tự do và nguồn lực vô hạn, nên họ thường phải đưa ra những lựa chọn đau đớn. Và rất nhiều cá nhân và nhóm sẽ theo đuổi mục tiêu riêng của họ, dù khéo léo hay vụng về, nếu không bị thuyết phục làm khác đi.</w:t>
        <w:bookmarkStart w:id="358" w:name="page_71"/>
        <w:t/>
        <w:bookmarkEnd w:id="358"/>
        <w:t/>
      </w:r>
    </w:p>
    <w:p>
      <w:pPr>
        <w:pStyle w:val="Para 003"/>
      </w:pPr>
      <w:r>
        <w:t>Đó là lý do vì sao, sau khi xem xét hậu quả và nghĩa vụ, bạn cần nghĩ đến tính thực tế: Trong các giải pháp khả thi cho vấn đề của bạn, giải pháp nào có khả năng thành công nhất? Giải pháp nào dẻo dai nhất? Và bản thân bạn dẻo dai và linh hoạt đến mức nào?</w:t>
      </w:r>
    </w:p>
    <w:p>
      <w:pPr>
        <w:pStyle w:val="Para 003"/>
      </w:pPr>
      <w:r>
        <w:t>Để trả lời những câu hỏi đó, bạn cần vẽ bản đồ trường lực quyền lực xung quanh mình: ai muốn gì và mỗi người có thể chiến đấu cho mục tiêu của họ quyết liệt và thành công đến đâu. Bạn cũng phải sẵn sàng trở nên nhanh nhạy và thậm chí biết nắm bắt cơ hội—xoay xở vượt qua mọi rào cản hay bất ngờ—và, khi tình huống đòi hỏi, chơi rắn, khẳng định quyền lực của mình và nhắc nhở người khác ai mới là sếp.</w:t>
      </w:r>
    </w:p>
    <w:p>
      <w:pPr>
        <w:pStyle w:val="Para 003"/>
      </w:pPr>
      <w:r>
        <w:t>Thật dễ hiểu sai câu hỏi thứ ba như một “lối thoát”—một cái cớ để làm điều an toàn và tiện lợi thay vì điều đúng đắn. Nhưng câu hỏi này thực chất là về điều gì sẽ hiệu quả nếu bạn mang đến sự kiên trì, tận tâm, sáng tạo, chấp nhận rủi ro có tính toán và sự nhạy bén chính trị cho nhiệm vụ.</w:t>
      </w:r>
    </w:p>
    <w:p>
      <w:pPr>
        <w:pStyle w:val="Para 011"/>
      </w:pPr>
      <w:r>
        <w:t>Chúng ta là ai?</w:t>
      </w:r>
    </w:p>
    <w:p>
      <w:pPr>
        <w:pStyle w:val="Para 016"/>
      </w:pPr>
      <w:r>
        <w:t>Theo một câu ngạn ngữ châu Phi cổ, “Tôi tồn tại vì chúng ta tồn tại.” Nói cách khác, hành vi và bản sắc của chúng ta được định hình bởi các nhóm mà chúng ta làm việc và sinh sống. Như Aristotle đã nói (và một khối lượng lớn tài liệu khoa học từ đó đến nay đã xác nhận), “Con người về bản chất là một động vật xã hội.” Vì vậy, câu hỏi này yêu cầu bạn lùi lại và suy nghĩ về quyết định của mình dưới góc độ các mối quan hệ, giá trị và chuẩn mực. Điều gì thực sự quan trọng với nhóm, công ty, cộng đồng, văn hóa của bạn? Làm thế nào bạn có thể hành động theo cách phản ánh và thể hiện những hệ thống niềm tin đó? Nếu chúng xung đột, cái nào nên được ưu tiên?</w:t>
      </w:r>
    </w:p>
    <w:p>
      <w:pPr>
        <w:pStyle w:val="Para 003"/>
      </w:pPr>
      <w:r>
        <w:t>Để trả lời những câu hỏi đó, bạn có thể nghĩ về những câu chuyện định hình của một nhóm cụ thể—những quyết định và sự kiện mà mọi người đều nhắc đến khi giải thích những lý tưởng mà tập thể các bạn cam kết, những gì các bạn đã đấu tranh để đạt được, và những kết quả các bạn cố gắng tránh. Hãy tưởng tượng bạn đang viết một câu hoặc một chương trong lịch sử công ty mình. Trong tất cả các con đường bạn có thể chọn trong vùng xám này, con đường nào thể hiện rõ nhất những gì tổ chức của bạn đại diện?</w:t>
        <w:bookmarkStart w:id="359" w:name="page_72"/>
        <w:t/>
        <w:bookmarkEnd w:id="359"/>
        <w:t/>
      </w:r>
    </w:p>
    <w:p>
      <w:pPr>
        <w:pStyle w:val="Para 003"/>
      </w:pPr>
      <w:r>
        <w:t>Câu hỏi này đứng thứ tư vì bạn không nên bắt đầu với nó. Không giống ba câu hỏi đầu, vốn yêu cầu bạn nhìn tình huống từ góc độ người ngoài cuộc và xem xét nó khách quan nhất có thể, câu hỏi này tiếp cận bạn như một người trong cuộc, có nguy cơ áp dụng một góc nhìn hạn hẹp, cục bộ khi xem xét các chuẩn mực và giá trị, bởi chúng ta tự nhiên có xu hướng chăm lo cho người của mình. Vì vậy, hãy đối trọng xu hướng đó bằng tư duy được khơi gợi từ những câu hỏi trước.</w:t>
      </w:r>
    </w:p>
    <w:p>
      <w:pPr>
        <w:pStyle w:val="Para 011"/>
      </w:pPr>
      <w:r>
        <w:t>Sống với quyết định của bạn</w:t>
      </w:r>
    </w:p>
    <w:p>
      <w:pPr>
        <w:pStyle w:val="Para 016"/>
      </w:pPr>
      <w:r>
        <w:t>Khả năng phán đoán tốt dựa vào hai điều: Một là sự hiểu biết và phân tích tình huống tốt nhất có thể. Hai là các giá trị, lý tưởng, điểm yếu và trải nghiệm của người sẽ ra quyết định. Một giám đốc dày dạn kinh nghiệm từng nói với tôi: “Tôi sẽ không tiến hành điều gì chỉ vì bộ não mách bảo đó là điều đúng đắn. Tôi cũng phải cảm nhận được điều đó. Nếu không, tôi phải đưa bộ não và trực giác của mình về trạng thái hòa hợp.”</w:t>
      </w:r>
    </w:p>
    <w:p>
      <w:pPr>
        <w:pStyle w:val="Para 003"/>
      </w:pPr>
      <w:r>
        <w:t>Cuối cùng, bạn phải chọn lựa, cam kết, hành động và sống với hậu quả của lựa chọn của mình. Vì vậy, nó cũng phải phản ánh điều bạn thực sự quan tâm với tư cách một nhà quản lý và một con người. Sau khi xem xét kết quả, nghĩa vụ, tính thực tế và giá trị, bạn phải quyết định điều gì quan trọng nhất và điều gì ít quan trọng hơn. Đây luôn là thách thức khi đảm nhận bất kỳ trách nhiệm nghiêm túc nào trong công việc và cuộc sống.</w:t>
      </w:r>
    </w:p>
    <w:p>
      <w:pPr>
        <w:pStyle w:val="Para 003"/>
      </w:pPr>
      <w:r>
        <w:t>Làm sao bạn biết mình có thể sống với điều gì? Hãy kết thúc các cuộc trò chuyện với người khác, đóng cửa lại, tắt các thiết bị điện tử và dừng lại để suy ngẫm. Hãy tưởng tượng bạn đang giải thích quyết định của mình cho một người bạn thân hoặc một người cố vấn—người mà bạn tin tưởng và kính trọng sâu sắc. Bạn có cảm thấy thoải mái không? Người đó sẽ phản ứng thế nào? Việc viết ra quyết định và lý do của bạn cũng có thể hữu ích: Viết buộc bạn suy nghĩ rõ ràng hơn và đóng vai trò như một hình thức cam kết cá nhân.</w:t>
      </w:r>
    </w:p>
    <w:p>
      <w:pPr>
        <w:pStyle w:val="Para 011"/>
      </w:pPr>
      <w:r>
        <w:bookmarkStart w:id="360" w:name="page_73"/>
        <w:t>Trong thực tế</w:t>
        <w:bookmarkEnd w:id="360"/>
        <w:t/>
      </w:r>
    </w:p>
    <w:p>
      <w:pPr>
        <w:pStyle w:val="Para 016"/>
      </w:pPr>
      <w:r>
        <w:t>Bây giờ hãy chuyển sang nghiên cứu tình huống của chúng ta. Becky Friedman là quản lý 27 tuổi của một nhóm công nghệ 14 người chịu trách nhiệm về mảng bán quần áo tại một nhà bán lẻ trực tuyến. Một thành viên trong nhóm của cô, Terry Fletcher, một người đàn ông hơn cô 15 tuổi và có thâm niên lâu hơn tại công ty, đã không hoàn thành phần việc của mình. Dù sếp trước đây của anh ta thường xuyên cho anh ta điểm 3,5 trên thang điểm hiệu suất năm điểm, Friedman không tin công việc của anh ta xứng đáng với mức đó; và mỗi khi cô trao cho anh ta cơ hội phát triển kỹ năng và tăng cường đóng góp, anh ta đều không theo đuổi đến cùng. Vì vậy, cô muốn hạ điểm của anh ta xuống 2,5 và đưa anh ta vào kế hoạch cải thiện hiệu suất (PIP), tiến tới sa thải. Tuy nhiên, chẳng bao lâu sau, hai phó chủ tịch của công ty, bạn thân của Fletcher, nghe phong phanh về kế hoạch của cô và đến gặp cô. Họ hỏi liệu cô có chắc chắn về điều mình đang làm không và gợi ý rằng vấn đề thực sự có thể nằm ở cách quản lý của cô.</w:t>
      </w:r>
    </w:p>
    <w:p>
      <w:pPr>
        <w:pStyle w:val="Para 003"/>
      </w:pPr>
      <w:r>
        <w:t>Đột nhiên tình huống không còn rõ ràng trắng đen nữa. Friedman đã bước vào vùng xám và cảm thấy bế tắc. Để tìm lối thoát, cô tìm đến năm câu hỏi. Cô xem xét các lựa chọn của mình—giữ nguyên kế hoạch, từ bỏ nó, hoặc tìm giải pháp trung gian—và hậu quả của chúng. Cô tự nhắc nhở mình về những nghĩa vụ cơ bản với đồng loại, bao gồm Fletcher, nhóm của cô và các phó chủ tịch. Cô đánh giá thực tế thực dụng của tổ chức mình. Cô cân nhắc các chuẩn mực và giá trị định hình của các nhóm xã hội khác nhau mà cô thuộc về. Và cô suy nghĩ cẩn thận về cảm nhận bền bỉ của riêng mình về điều thực sự quan trọng trong cuộc sống.</w:t>
      </w:r>
    </w:p>
    <w:p>
      <w:pPr>
        <w:pStyle w:val="Para 003"/>
      </w:pPr>
      <w:r>
        <w:t xml:space="preserve">Cô nghi ngờ rằng nếu cô tiến tới và cho Fletcher mức điểm anh ta xứng đáng, cô và nhóm của mình sẽ phải chịu sự trả đũa: Các phó chủ tịch có thể giữ lại nguồn lực hoặc thậm chí ép cô rời công ty. Cô cũng lo lắng cho Fletcher, người có vẻ mất cân bằng và dường như có ít điều suôn sẻ trong cuộc sống. Một đánh giá kém và khả năng mất việc sẽ ảnh hưởng đến anh ta thế nào, không chỉ về tài chính mà còn về tâm lý? Tuy nhiên, nếu Friedman chọn phương án B, cô vẫn sẽ có một gánh nặng trong nhóm, điều này có thể ngăn nhóm đạt được các mục tiêu đầy tham vọng và làm nản lòng những thành viên tài năng và chăm chỉ nhất. Các phó chủ tịch cũng có thể coi sự nhượng bộ của cô là dấu hiệu của sự yếu kém, điều này có thể cản trở cô, một người tương đối mới, thăng tiến trong hàng ngũ lãnh đạo.</w:t>
        <w:bookmarkStart w:id="361" w:name="page_74"/>
        <w:t/>
        <w:bookmarkEnd w:id="361"/>
        <w:t/>
      </w:r>
    </w:p>
    <w:p>
      <w:pPr>
        <w:pStyle w:val="Para 003"/>
      </w:pPr>
      <w:r>
        <w:t>Các lựa chọn trung gian, chẳng hạn như trao cho Fletcher thêm cơ hội phát triển hoặc đưa ra một cảnh báo khác, có vẻ hứa hẹn hơn nhưng cũng mang theo rủi ro riêng: Liệu chúng có hiệu quả trong việc thay đổi hành vi của anh ta không? Liệu chúng có vẫn gây ra phản ứng dữ dội từ các phó chủ tịch không? Friedman cũng nghĩ về điều mà cô, nhóm của cô và tổ chức của cô quan tâm nhất. Là một phụ nữ trong ngành khoa học máy tính, cô biết cảm giác bị gạt ra ngoài lề là thế nào, giống như Fletcher giữa những thiên tài trẻ trong phòng ban của cô, và cô cảm thấy buộc phải giúp đỡ anh ta. Đồng thời, nhóm của cô tự hào về hiệu suất làm việc đặc biệt chuyên nghiệp, và công ty của cô, dù còn non trẻ, luôn tuyên bố và nhìn chung đã chứng minh là một chế độ trọng dụng nhân tài (meritocracy) với các tiêu chuẩn cao và sự tập trung sắc bén vào nhu cầu khách hàng.</w:t>
      </w:r>
    </w:p>
    <w:p>
      <w:pPr>
        <w:pStyle w:val="Para 003"/>
      </w:pPr>
      <w:r>
        <w:t>Sau nhiều cân nhắc, Friedman quyết định thử một buổi tư vấn với Fletcher. Cô mở đầu bằng cách nói với anh ta rằng cô đã quyết định cho anh ta điểm 2,5, nhưng cô sẽ không đưa anh ta vào PIP vì điều đó quá hạ thấp nhân phẩm. Sau đó, cô yêu cầu anh ta xem xét những người mới được tuyển dụng gần đây của phòng ban—tất cả đều có kỹ năng kỹ thuật mạnh—và thành thật đánh giá liệu anh ta có hạnh phúc hay thành công khi làm việc cùng họ không. Cô kết luận bằng cách gợi ý rằng anh ta nên dành vài tháng tới tiếp tục làm công việc hiện tại đồng thời tìm kiếm một công việc khác. Cô ngạc nhiên và nhẹ nhõm khi cơn giận dữ tức thời của anh ta về điểm kém lắng xuống và anh ta đồng ý xem xét kế hoạch của cô; thực ra, anh ta đã lấn cấn ý định rời đi từ trước. Anh ta dành vài tuần tiếp theo tìm kiếm các vị trí khác, cả trong công ty lẫn nơi khác, và nhanh chóng gia nhập một công ty khác. Trong khi đó, Friedman tiếp tục phát triển mạnh. Tất nhiên, cô đã may mắn; không có gì đảm bảo Fletcher sẽ phản ứng tích cực như vậy với phản hồi của cô. Nhưng cô đã đặt mình vào vị thế tốt bằng cách thực hiện đúng quy trình, và cô đã sẵn sàng thử các chiến thuật khác, cũng được suy tính kỹ lưỡng không kém, nếu chiến thuật đầu tiên không hiệu quả.</w:t>
      </w:r>
    </w:p>
    <w:p>
      <w:pPr>
        <w:pStyle w:val="Para 048"/>
      </w:pPr>
      <w:r>
        <w:drawing>
          <wp:anchor distL="0" distR="0" distT="0" distB="0" simplePos="0" relativeHeight="1" behindDoc="0" locked="0" layoutInCell="1" allowOverlap="1">
            <wp:simplePos x="0" y="0"/>
            <wp:positionH relativeFrom="margin">
              <wp:align>center</wp:align>
            </wp:positionH>
            <wp:positionV relativeFrom="line">
              <wp:align>top</wp:align>
            </wp:positionV>
            <wp:extent cx="1778000" cy="0"/>
            <wp:effectExtent l="0" r="0" t="0" b="0"/>
            <wp:wrapTopAndBottom/>
            <wp:docPr id="31" name="line.png" descr="image"/>
            <wp:cNvGraphicFramePr>
              <a:graphicFrameLocks noChangeAspect="1"/>
            </wp:cNvGraphicFramePr>
            <a:graphic>
              <a:graphicData uri="http://schemas.openxmlformats.org/drawingml/2006/picture">
                <pic:pic>
                  <pic:nvPicPr>
                    <pic:cNvPr id="0" name="line.png" descr="image"/>
                    <pic:cNvPicPr/>
                  </pic:nvPicPr>
                  <pic:blipFill>
                    <a:blip r:embed="rId20"/>
                    <a:stretch>
                      <a:fillRect/>
                    </a:stretch>
                  </pic:blipFill>
                  <pic:spPr>
                    <a:xfrm>
                      <a:off x="0" y="0"/>
                      <a:ext cx="1778000" cy="0"/>
                    </a:xfrm>
                    <a:prstGeom prst="rect">
                      <a:avLst/>
                    </a:prstGeom>
                  </pic:spPr>
                </pic:pic>
              </a:graphicData>
            </a:graphic>
          </wp:anchor>
        </w:drawing>
      </w:r>
    </w:p>
    <w:p>
      <w:pPr>
        <w:pStyle w:val="Para 003"/>
      </w:pPr>
      <w:r>
        <w:t xml:space="preserve">Khi bạn đối mặt với một vấn đề vùng xám, hãy đảm bảo trả lời một cách có hệ thống cả năm câu hỏi, giống như Becky Friedman đã làm. Đừng chỉ chọn câu hỏi yêu thích của bạn. Mỗi câu hỏi là một tiếng nói quan trọng trong cuộc đối thoại kéo dài hàng thế kỷ về điều gì được coi là một quyết định đúng đắn đối với một vấn đề khó khăn với rủi ro cao cho người khác.</w:t>
      </w:r>
      <w:r>
        <w:rPr>
          <w:rStyle w:val="Text0"/>
        </w:rPr>
        <w:t/>
      </w:r>
      <w:r>
        <w:t xml:space="preserve"/>
        <w:bookmarkStart w:id="362" w:name="page_75"/>
        <w:t/>
        <w:bookmarkEnd w:id="362"/>
        <w:t/>
      </w:r>
    </w:p>
    <w:p>
      <w:pPr>
        <w:pStyle w:val="Para 003"/>
      </w:pPr>
      <w:r>
        <w:t xml:space="preserve">Lãnh đạo có thể là một gánh nặng. Nó cũng là một thách thức hấp dẫn và then chốt. Trong các vùng xám, công việc của bạn không phải là tìm ra giải pháp; mà là tạo ra chúng, dựa vào khả năng phán đoán của bạn. Như một giám đốc điều hành mà tôi vô cùng kính trọng từng nói với tôi: “Chúng ta thực sự muốn ai đó hoặc quy tắc nào đó bảo chúng ta phải làm gì. Nhưng đôi khi không có ai hay quy tắc nào cả, và bạn phải quyết định đâu là những quy tắc hoặc nguyên tắc phù hợp nhất trong trường hợp cụ thể này. Bạn không thể trốn tránh trách nhiệm đó.”</w:t>
      </w:r>
      <w:r>
        <w:rPr>
          <w:rStyle w:val="Text0"/>
        </w:rPr>
        <w:t/>
      </w:r>
      <w:r>
        <w:t xml:space="preserve"/>
      </w:r>
      <w:r>
        <w:rPr>
          <w:rStyle w:val="Text0"/>
        </w:rPr>
        <w:t/>
      </w:r>
      <w:r>
        <w:t xml:space="preserve"/>
      </w:r>
      <w:r>
        <w:rPr>
          <w:rStyle w:val="Text0"/>
        </w:rPr>
        <w:t/>
      </w:r>
      <w:r>
        <w:t xml:space="preserve"/>
      </w:r>
    </w:p>
    <w:p>
      <w:pPr>
        <w:pStyle w:val="Para 044"/>
      </w:pPr>
      <w:r>
        <w:t xml:space="preserve">Xuất bản lần đầu vào tháng 9 năm 2016. Tái bản R1609J</w:t>
      </w:r>
      <w:r>
        <w:rPr>
          <w:rStyle w:val="Text10"/>
        </w:rPr>
        <w:t/>
      </w:r>
    </w:p>
    <w:p>
      <w:pPr>
        <w:pStyle w:val="Para 012"/>
      </w:pPr>
      <w:r>
        <w:t xml:space="preserve"> </w:t>
      </w:r>
    </w:p>
    <w:p>
      <w:bookmarkStart w:id="363" w:name="Top_of_ch08_xhtml"/>
      <w:bookmarkStart w:id="364" w:name="How_Dual_Career_Couples_Make_It"/>
      <w:pPr>
        <w:pStyle w:val="Para 012"/>
        <w:pageBreakBefore w:val="on"/>
      </w:pPr>
      <w:r>
        <w:t xml:space="preserve"> </w:t>
      </w:r>
      <w:bookmarkEnd w:id="363"/>
      <w:bookmarkEnd w:id="364"/>
    </w:p>
    <w:p>
      <w:bookmarkStart w:id="365" w:name="How_Dual_Career_Couples_Make_It_1"/>
      <w:pPr>
        <w:pStyle w:val="Para 039"/>
      </w:pPr>
      <w:r>
        <w:bookmarkStart w:id="366" w:name="page_77"/>
        <w:t>Các cặp đôi sự nghiệp kép làm sao để thành công</w:t>
        <w:bookmarkEnd w:id="366"/>
        <w:t/>
      </w:r>
      <w:bookmarkEnd w:id="365"/>
    </w:p>
    <w:p>
      <w:bookmarkStart w:id="367" w:name="by_Jennifer_Petriglieri"/>
      <w:pPr>
        <w:pStyle w:val="Para 040"/>
      </w:pPr>
      <w:r>
        <w:t>bởi Jennifer Petriglieri</w:t>
      </w:r>
      <w:bookmarkEnd w:id="367"/>
    </w:p>
    <w:p>
      <w:pPr>
        <w:pStyle w:val="Para 003"/>
      </w:pPr>
      <w:r>
        <w:rPr>
          <w:rStyle w:val="Text4"/>
        </w:rPr>
        <w:t>CAMILLE VÀ PIERRE gặp nhau khi cả hai đều đã ngoài bốn mươi, sau khi cuộc hôn nhân của mỗi người kết thúc. Cả hai đều tận tâm sâu sắc với sự nghiệp và với mối quan hệ mới của mình. Camille, một kế toán viên, từng cảm thấy bị chồng cũ gây áp lực phải chậm lại con đường thăng tiến lên vị trí cộng sự (partner) tại công ty. Pierre, quản lý sản xuất tại một công ty ô tô, đang vướng vào một vụ ly hôn cay đắng với người vợ đã từ bỏ sự nghiệp để theo chồng chuyển nơi ở vì công việc của anh. (Cũng như những cặp đôi khác được tôi phác họa trong bài viết này, đây không phải tên thật của họ.) Mang theo những tổn thương từ quá khứ, họ đồng ý đặt sự nghiệp của cả hai lên vị thế ngang bằng. Ban đầu mọi chuyện suôn sẻ, nhưng hai năm sau, Camille bắt đầu cảm thấy mắc kẹt trên con đường sự nghiệp mà cô nhận ra mình đã chọn vì “đó là điều mà những đứa trẻ thông minh vẫn làm.”</w:t>
      </w:r>
      <w:r>
        <w:t xml:space="preserve"/>
      </w:r>
    </w:p>
    <w:p>
      <w:pPr>
        <w:pStyle w:val="Para 003"/>
      </w:pPr>
      <w:r>
        <w:t xml:space="preserve">Ghi nhớ thỏa thuận của họ, Pierre bình tĩnh lắng nghe những băn khoăn của cô và khuyến khích cô khám phá các lựa chọn khác. Nhưng khi nhiều tháng trôi qua, anh bắt đầu cảm thấy kiệt sức vì phải xoay xở giữa việc hỗ trợ tinh thần cho Camille, điều phối hậu cần gia đình phức tạp (cả hai đều có con riêng từ các cuộc hôn nhân trước), và thành công trong công việc đầy áp lực của mình. Khi anh bắt đầu đặt câu hỏi về hướng đi sự nghiệp của chính mình, anh tự hỏi làm sao cả hai có thể xoay chuyển được. Họ không thể nghỉ việc một thời gian, cũng không thể dành nhiều thời gian để suy ngẫm mà vẫn giữ cho gia đình và mối quan hệ không chìm xuống. Chán nản và kiệt sức, cả hai đều tự hỏi làm sao họ có thể tiếp tục tìm thấy ý nghĩa và sự thỏa mãn trong cuộc sống.</w:t>
        <w:bookmarkStart w:id="368" w:name="page_78"/>
        <w:t/>
        <w:bookmarkEnd w:id="368"/>
        <w:t/>
      </w:r>
    </w:p>
    <w:p>
      <w:pPr>
        <w:pStyle w:val="Para 003"/>
      </w:pPr>
      <w:r>
        <w:t xml:space="preserve">Các cặp đôi hai thu nhập (dual-earner couples) đang ngày càng tăng. Theo Pew Research, ví dụ tại Hoa Kỳ, trong 63% các cặp đôi có con, cả hai người đều đi làm (con số này cao hơn một chút ở EU). Nhiều người trong số này là các cặp đôi hai sự nghiệp (dual-career couples): Cả hai đều có trình độ học vấn cao, làm việc toàn thời gian trong các công việc chuyên môn hoặc quản lý đầy áp lực, và nhìn nhận bản thân đang trên đà thăng tiến trong vai trò của mình. Đối với những cặp đôi này, cũng như với Pierre và Camille, công việc là nguồn gốc chính của bản sắc và là kênh chính cho tham vọng. Ngày càng có nhiều bằng chứng từ nghiên cứu xã hội học cho thấy khi cả hai người cùng cống hiến cho công việc và cuộc sống gia đình, họ gặt hái được những lợi ích như tự do kinh tế tăng lên, mối quan hệ thỏa mãn hơn, và tỷ lệ ly hôn thấp hơn mức trung bình.</w:t>
      </w:r>
      <w:r>
        <w:rPr>
          <w:rStyle w:val="Text0"/>
        </w:rPr>
        <w:t/>
      </w:r>
      <w:r>
        <w:t xml:space="preserve"/>
      </w:r>
    </w:p>
    <w:p>
      <w:pPr>
        <w:pStyle w:val="Para 003"/>
      </w:pPr>
      <w:r>
        <w:t>Tuy nhiên, vì cuộc sống công việc và cuộc sống cá nhân của họ gắn bó sâu sắc với nhau, các cặp đôi hai sự nghiệp phải đối mặt với những thách thức đặc thù. Làm sao họ quyết định chuyển nơi ở vì công việc của ai, khi nào thì một người có thể thực hiện một bước chuyển sự nghiệp mạo hiểm, hay ai sẽ tan làm sớm để đón con ốm từ trường về? Làm sao họ có thể dành toàn bộ sự chú tâm cho các cam kết gia đình—và cho nhau—trong khi cả hai đều đang làm những công việc đầy áp lực? Và khi một người muốn thực hiện một cuộc tái tạo nghề nghiệp (professional reinvention), điều đó có ý nghĩa gì đối với người kia? Họ phải cùng nhau giải quyết những câu hỏi này, theo cách để cả hai cùng thăng hoa trong tình yêu và công việc. Nếu không, những hối tiếc và mất cân bằng sẽ nhanh chóng tích tụ, đe dọa cản trở sự nghiệp của họ, làm tan vỡ mối quan hệ, hoặc cả hai.</w:t>
      </w:r>
    </w:p>
    <w:p>
      <w:pPr>
        <w:pStyle w:val="Para 003"/>
      </w:pPr>
      <w:r>
        <w:t>Nhiều thách thức trong số này đã được nhìn nhận rõ, và tôi đã từng viết trên HBR về cách các công ty có thể điều chỉnh chiến lược nhân tài để tính đến một số thách thức đó (“Talent Management and the Dual-Career Couple,” tháng 5–6 năm 2018). Nhưng đối với chính các cặp đôi, có rất ít hướng dẫn. Hầu hết các lời khuyên đều xử lý các quyết định sự nghiệp lớn như thể một người đang hành động đơn lẻ, không có bạn đời, con cái, hay cha mẹ già để cân nhắc. Khi dành cho các cặp đôi, nó tập trung vào mối quan hệ của họ, chứ không phải cách nó giao thoa với những giấc mơ nghề nghiệp, hoặc nó giải quyết cách cân bằng những đánh đổi cụ thể, chẳng hạn như sự nghiệp so với gia đình, hay cách ưu tiên việc đi công tác của mỗi người. Điều các cặp đôi cần là một cách tiếp cận toàn diện hơn để quản lý những thời điểm khi các cam kết và khát vọng xung đột.</w:t>
      </w:r>
    </w:p>
    <w:p>
      <w:pPr>
        <w:pStyle w:val="Para 034"/>
      </w:pPr>
      <w:r>
        <w:t>Ý tưởng ngắn gọn</w:t>
      </w:r>
    </w:p>
    <w:p>
      <w:pPr>
        <w:pStyle w:val="Para 017"/>
      </w:pPr>
      <w:r>
        <w:t>Vấn đề</w:t>
      </w:r>
    </w:p>
    <w:p>
      <w:pPr>
        <w:pStyle w:val="Para 019"/>
      </w:pPr>
      <w:r>
        <w:t>Khi cả hai thành viên của một cặp đôi đều có sự nghiệp đầy áp lực, cuộc sống công việc và cá nhân của họ gắn bó sâu sắc với nhau—và thường xuyên mâu thuẫn.</w:t>
      </w:r>
    </w:p>
    <w:p>
      <w:pPr>
        <w:pStyle w:val="Para 017"/>
      </w:pPr>
      <w:r>
        <w:t>Các bước chuyển đổi</w:t>
      </w:r>
    </w:p>
    <w:p>
      <w:pPr>
        <w:pStyle w:val="Para 019"/>
      </w:pPr>
      <w:r>
        <w:t xml:space="preserve">Các cặp đôi hai sự nghiệp thường trải qua ba giai đoạn đặc biệt dễ tổn thương: khi họ lần đầu học cách làm việc cùng nhau như một cặp; khi họ trải qua một cuộc tái tạo ở tuổi trung niên; và trong những giai đoạn cuối của cuộc đời đi làm.</w:t>
        <w:bookmarkStart w:id="369" w:name="page_79"/>
        <w:t/>
        <w:bookmarkEnd w:id="369"/>
        <w:t/>
      </w:r>
    </w:p>
    <w:p>
      <w:pPr>
        <w:pStyle w:val="Para 017"/>
      </w:pPr>
      <w:r>
        <w:t>Giải pháp</w:t>
      </w:r>
    </w:p>
    <w:p>
      <w:pPr>
        <w:pStyle w:val="Para 019"/>
      </w:pPr>
      <w:r>
        <w:t>Những cặp đôi trao đổi với nhau ở mỗi bước chuyển về các giá trị, ranh giới và nỗi sợ có cơ hội tốt để được thỏa mãn cả trong mối quan hệ lẫn sự nghiệp.</w:t>
      </w:r>
    </w:p>
    <w:p>
      <w:pPr>
        <w:pStyle w:val="Para 003"/>
      </w:pPr>
      <w:r>
        <w:t xml:space="preserve">Trải nghiệm cá nhân của tôi trong một cặp đôi hai sự nghiệp, và nhận thức của tôi rằng có rất ít nghiên cứu học thuật có hệ thống được thực hiện trong lĩnh vực này, đã thúc đẩy một cuộc điều tra kéo dài sáu năm về cuộc sống của hơn 100 cặp đôi hai sự nghiệp, dẫn đến cuốn sách của tôi, Couples That Work. Những người tôi nghiên cứu đến từ khắp nơi trên thế giới, độ tuổi từ giữa hai mươi đến giữa sáu mươi, và đại diện cho nhiều ngành nghề, từ giám đốc điều hành doanh nghiệp đến doanh nhân đến người làm việc trong khu vực phi lợi nhuận. (Xem khung “Về nghiên cứu.”) Nghiên cứu của tôi cho thấy các cặp đôi hai sự nghiệp vượt qua thách thức bằng cách trực tiếp giải quyết các lực lượng tâm lý và xã hội sâu xa hơn—chẳng hạn như những cuộc tranh giành quyền lực và kiểm soát; những hy vọng, nỗi sợ và mất mát cá nhân; và những giả định cùng kỳ vọng văn hóa về vai trò mà mỗi người nên đóng trong cuộc sống của người kia và ý nghĩa của việc có một mối quan hệ hay sự nghiệp tốt.</w:t>
      </w:r>
      <w:r>
        <w:rPr>
          <w:rStyle w:val="Text0"/>
        </w:rPr>
        <w:t/>
      </w:r>
      <w:r>
        <w:t xml:space="preserve"/>
      </w:r>
      <w:hyperlink w:anchor="page_80">
        <w:r>
          <w:rPr>
            <w:rStyle w:val="Text1"/>
          </w:rPr>
          <w:t/>
        </w:r>
      </w:hyperlink>
      <w:r>
        <w:t/>
      </w:r>
    </w:p>
    <w:p>
      <w:pPr>
        <w:pStyle w:val="Para 054"/>
      </w:pPr>
      <w:r>
        <w:bookmarkStart w:id="370" w:name="page_80"/>
        <w:t>Về nghiên cứu</w:t>
        <w:bookmarkEnd w:id="370"/>
        <w:t/>
      </w:r>
    </w:p>
    <w:p>
      <w:pPr>
        <w:pStyle w:val="Para 020"/>
      </w:pPr>
      <w:r>
        <w:rPr>
          <w:rStyle w:val="Text2"/>
        </w:rPr>
        <w:t>TÔI ĐÃ NGHIÊN CỨU 113 CẶP ĐÔI HAI SỰ NGHIỆP. Họ có độ tuổi từ 26 đến 63, với sự phân bố đều giữa các nhóm tuổi. Phần lớn các cặp đôi—76 cặp—đang trong mối quan hệ gắn bó quan trọng đầu tiên của họ. Những người tham gia nghiên cứu đến từ 32 quốc gia trên bốn châu lục, và nền tảng dân tộc cũng như tôn giáo của họ phản ánh sự đa dạng này. Tại thời điểm nghiên cứu, khoảng 35% cư trú ở Bắc Mỹ, 40% ở châu Âu, và 25% ở phần còn lại của thế giới. Trong 68 cặp đôi, ít nhất một người có con. Mười một cặp đôi nhận mình là đồng tính, và phần còn lại là dị tính. Chưa đến 60% số người tham gia đang theo đuổi sự nghiệp trong thế giới doanh nghiệp. Những người còn lại phân bố gần như đều giữa các ngành nghề chuyên môn (như y khoa, luật, và học thuật), khởi nghiệp, chính phủ, và khu vực phi lợi nhuận.</w:t>
      </w:r>
      <w:r>
        <w:t xml:space="preserve"/>
      </w:r>
    </w:p>
    <w:p>
      <w:pPr>
        <w:pStyle w:val="Para 020"/>
      </w:pPr>
      <w:r>
        <w:t>Tôi đã phỏng vấn riêng từng thành viên của mỗi cặp đôi, hỏi họ về sự phát triển của các mối quan hệ, con đường sự nghiệp, cách họ tương tác như một cặp, và mạng lưới gia đình và bạn bè của họ.</w:t>
      </w:r>
    </w:p>
    <w:p>
      <w:pPr>
        <w:pStyle w:val="Para 003"/>
      </w:pPr>
      <w:r>
        <w:t>Tôi cũng phát hiện ra rằng ba điểm chuyển đổi thường xảy ra trong cuộc sống công việc và tình yêu của các cặp đôi hai sự nghiệp, khi những lực lượng đó đặc biệt mạnh mẽ. Tôi nhận thấy chính trong những bước chuyển này, một số cặp đôi tạo ra cách để thăng hoa trong tình yêu và công việc, trong khi những cặp khác bị dày vò bởi xung đột và hối tiếc. Bằng cách hiểu từng bước chuyển và biết nên hỏi nhau những câu hỏi gì cũng như nên tránh những cái bẫy nào, các cặp đôi hai sự nghiệp có thể trở nên mạnh mẽ hơn, được thỏa mãn trong mối quan hệ và trong sự nghiệp.</w:t>
      </w:r>
    </w:p>
    <w:p>
      <w:pPr>
        <w:pStyle w:val="Para 011"/>
      </w:pPr>
      <w:r>
        <w:t>Bước chuyển 1: Làm việc như một cặp đôi</w:t>
      </w:r>
    </w:p>
    <w:p>
      <w:pPr>
        <w:pStyle w:val="Para 016"/>
      </w:pPr>
      <w:r>
        <w:t>Khi Jamal và Emily gặp nhau, vào cuối những năm hai mươi tuổi, những đánh đổi là điều cuối cùng trong tâm trí họ. Họ tràn đầy năng lượng, lạc quan, và quyết tâm sống hết mình. Jamal, một quản lý dự án tại một công ty kỹ thuật dân dụng, đi công tác liên tục và được giao lãnh đạo những dự án ngày càng phức tạp, trong khi Emily, làm việc tại một công ty quần áo, vừa được thăng chức lên vai trò quản lý đầu tiên. Họ chủ yếu gặp nhau vào cuối tuần, thường dành cho những chuyến đi bộ đường dài hoang dã. Họ kết hôn 18 tháng sau buổi hẹn hò đầu tiên.</w:t>
      </w:r>
    </w:p>
    <w:p>
      <w:pPr>
        <w:pStyle w:val="Para 003"/>
      </w:pPr>
      <w:r>
        <w:t xml:space="preserve">Rồi, chỉ trong vòng ba tháng, thế giới của họ thay đổi chóng mặt. Khi Emily đang mang thai đứa con đầu lòng, sếp của Jamal đề nghị anh điều hành một dự án cơ sở hạ tầng quan trọng ở Mexico. Jamal đồng ý dành ba tuần mỗi tháng ở Mexico City; việc dành một phần khoản tăng lương cho việc chăm sóc con cái thêm sẽ cho phép Emily tiếp tục làm việc ở Houston, nơi họ sống. Nhưng khi con gái họ, Aisha, chào đời sớm hai tuần, Jamal bị kẹt ở sân bay Mexico City chờ chuyến bay về nhà. Chẳng bao lâu sau, Emily, người đang một mình xoay xở với Aisha, công việc, và tổ ấm của họ, phát hiện ra rằng việc chăm sóc con cái thêm là không đủ; cô cảm thấy quá tải và không được trân trọng. Jamal thì kiệt sức vì những chuyến đi không ngừng nghỉ và áp lực của dự án mới khổng lồ; anh cảm thấy cô lập, bất lực, và tội lỗi.</w:t>
        <w:bookmarkStart w:id="371" w:name="page_81"/>
        <w:t/>
        <w:bookmarkEnd w:id="371"/>
        <w:t/>
      </w:r>
    </w:p>
    <w:p>
      <w:pPr>
        <w:pStyle w:val="Para 003"/>
      </w:pPr>
      <w:r>
        <w:t>Sau nhiều cuộc cãi vã, họ đi đến một giải pháp mà họ hy vọng là thực tế: Vì Jamal kiếm được nhiều tiền hơn, Emily nhận một vai trò dự án nhỏ hơn mà cô có thể quản lý từ xa, và cô cùng Aisha đến Mexico với anh. Nhưng Emily cảm thấy mất kết nối với trụ sở chính của công ty và bị bỏ lỡ một đợt thăng chức, và cuối cùng cô trở nên oán giận sự sắp xếp này. Đến khi sếp của Jamal bắt đầu nói về nhiệm vụ tiếp theo của anh, những cuộc cãi vã của họ đã trở nên gay gắt.</w:t>
      </w:r>
    </w:p>
    <w:p>
      <w:pPr>
        <w:pStyle w:val="Para 003"/>
      </w:pPr>
      <w:r>
        <w:t>Bước chuyển đầu tiên mà các cặp đôi hai sự nghiệp phải vượt qua thường đến như một phản ứng trước sự kiện lớn đầu tiên trong cuộc sống mà họ cùng nhau đối mặt—thường là một cơ hội nghề nghiệp lớn, sự ra đời của một đứa con, hoặc sự hợp nhất các gia đình từ những mối quan hệ trước. Để thích nghi, hai người phải thương lượng cách ưu tiên sự nghiệp và phân chia các cam kết gia đình. Làm điều đó theo cách để cả hai cùng thăng hoa đòi hỏi một sự chuyển dịch nền tảng: Họ phải chuyển từ việc có những sự nghiệp và cuộc sống song song, độc lập sang có những sự nghiệp và cuộc sống phụ thuộc lẫn nhau.</w:t>
      </w:r>
    </w:p>
    <w:p>
      <w:pPr>
        <w:pStyle w:val="Para 003"/>
      </w:pPr>
      <w:r>
        <w:t>Nghiên cứu của tôi cho thấy hai cái bẫy phổ biến đối với các cặp đôi đang thương lượng để vượt qua bước chuyển đầu tiên:</w:t>
      </w:r>
    </w:p>
    <w:p>
      <w:pPr>
        <w:pStyle w:val="Para 023"/>
      </w:pPr>
      <w:r>
        <w:t>Chỉ tập trung vào khía cạnh thực tế</w:t>
      </w:r>
    </w:p>
    <w:p>
      <w:pPr>
        <w:pStyle w:val="Para 003"/>
      </w:pPr>
      <w:r>
        <w:t>Đặc biệt trong bước chuyển đầu tiên, các cặp đôi thường tìm kiếm các giải pháp hậu cần cho thách thức của họ, như Jamal và Emily đã làm khi họ sắp xếp thêm việc chăm sóc con cái và thương lượng xem Jamal sẽ ở nhà bao nhiêu cuối tuần. Sự tập trung này là dễ hiểu—những vấn đề như vậy là hữu hình, còn những căng thẳng tâm lý và xã hội tiềm ẩn thì mơ hồ và gây lo lắng—nhưng nó kéo dài cuộc vật lộn, bởi vì những căng thẳng đó vẫn chưa được giải quyết.</w:t>
      </w:r>
    </w:p>
    <w:p>
      <w:pPr>
        <w:pStyle w:val="Para 003"/>
      </w:pPr>
      <w:r>
        <w:t>Thay vì chỉ đơn giản thương lượng về lịch trình và danh sách việc cần làm, các cặp đôi phải hiểu, chia sẻ và thảo luận về những cảm xúc, giá trị và nỗi sợ nằm bên dưới các quyết định của họ. Nói về cảm xúc cũng như những điều thực tế có thể giúp họ giảm nhẹ và quản lý chúng.</w:t>
      </w:r>
    </w:p>
    <w:p>
      <w:pPr>
        <w:pStyle w:val="Para 023"/>
      </w:pPr>
      <w:r>
        <w:t>Đưa ra quyết định chủ yếu dựa trên tiền bạc</w:t>
      </w:r>
    </w:p>
    <w:p>
      <w:pPr>
        <w:pStyle w:val="Para 003"/>
      </w:pPr>
      <w:r>
        <w:t>Nhiều cặp đôi tập trung vào lợi ích kinh tế khi họ quyết định nơi sống, sự nghiệp của ai được ưu tiên, và ai sẽ đảm nhận phần lớn việc chăm sóc con cái. Nhưng dù điều này là hợp lý (và đôi khi không thể tránh khỏi), nó thường có nghĩa là các quyết định của họ cuối cùng lại mâu thuẫn với các giá trị và mong muốn khác của họ.</w:t>
      </w:r>
    </w:p>
    <w:p>
      <w:pPr>
        <w:pStyle w:val="Para 003"/>
      </w:pPr>
      <w:r>
        <w:t>Rất ít người sống chỉ vì lợi ích tài chính. Trong sự nghiệp, họ còn được thúc đẩy bởi việc học hỏi liên tục và được giao thêm trách nhiệm. Ngoài công việc, họ muốn dành thời gian cho con cái và theo đuổi sở thích cá nhân. Các cặp đôi có thể bị thu hút đến một địa điểm vì gần gia đình mở rộng, chất lượng cuộc sống mà nơi đó mang lại, hoặc khả năng xây dựng một cộng đồng gắn kết. Việc dựa quyết định chuyển đến Mexico vào mức lương cao hơn của Jamal có nghĩa là anh và Emily đã phớt lờ những mối quan tâm khác của họ, nuôi dưỡng sự bất mãn của họ.</w:t>
      </w:r>
    </w:p>
    <w:p>
      <w:pPr>
        <w:pStyle w:val="Para 003"/>
      </w:pPr>
      <w:r>
        <w:bookmarkStart w:id="372" w:name="page_84"/>
        <w:t>Những cặp đôi thành công thảo luận về nền tảng và cấu trúc của con đường chung phía trước. Trước tiên, họ phải đạt được một số thỏa thuận về các khía cạnh cốt lõi của mối quan hệ: các giá trị, ranh giới và nỗi sợ của họ. (Xem khung “Hướng dẫn thỏa thuận cặp đôi.”) Việc thương lượng và tìm tiếng nói chung trong những lĩnh vực này giúp họ điều hướng các quyết định khó khăn vì họ có thể thống nhất trước các tiêu chí. Cùng nhau làm điều này là quan trọng; tôi nhận thấy các cặp đôi khiến sự sắp xếp này hiệu quả đều đưa ra lựa chọn một cách công khai và cùng nhau, thay vì ngầm định và thay cho nhau. Những người tôi nghiên cứu mà chưa bao giờ giải quyết các tiêu chí cốt lõi của họ đã gặp khó khăn trong các bước chuyển sau đó, bởi vì những tiêu chí đó không bao giờ biến mất.</w:t>
        <w:bookmarkEnd w:id="372"/>
        <w:t xml:space="preserve"/>
      </w:r>
      <w:hyperlink w:anchor="page_82">
        <w:r>
          <w:rPr>
            <w:rStyle w:val="Text1"/>
          </w:rPr>
          <w:t/>
        </w:r>
      </w:hyperlink>
      <w:r>
        <w:t/>
      </w:r>
    </w:p>
    <w:p>
      <w:pPr>
        <w:pStyle w:val="Para 054"/>
      </w:pPr>
      <w:r>
        <w:bookmarkStart w:id="373" w:name="page_82"/>
        <w:t>Cẩm nang Thỏa thuận Đôi lứa</w:t>
        <w:bookmarkEnd w:id="373"/>
        <w:t/>
      </w:r>
    </w:p>
    <w:p>
      <w:pPr>
        <w:pStyle w:val="Para 020"/>
      </w:pPr>
      <w:r>
        <w:rPr>
          <w:rStyle w:val="Text2"/>
        </w:rPr>
        <w:t>DỰA TRÊN NGHIÊN CỨU CỦA MÌNH, tôi đã phát triển một công cụ có hệ thống để giúp các cặp đôi sự nghiệp kép đang đối mặt với bất kỳ giai đoạn chuyển tiếp nào trong ba giai đoạn được mô tả trong bài viết này. Tôi gọi đó là thỏa thuận đôi lứa (couple contracting), bởi vì để định hình con đường chung, các cặp đôi phải giải quyết ba lĩnh vực—giá trị, ranh giới và nỗi sợ—và tìm tiếng nói chung trong từng lĩnh vực. Giá trị xác định hướng đi của con đường, ranh giới đặt ra giới hạn của nó, và nỗi sợ tiết lộ những vách đá tiềm ẩn cần tránh ở hai bên. Chia sẻ một cái nhìn rõ ràng trong ba lĩnh vực này sẽ giúp các bạn dễ dàng thương lượng và vượt qua những thử thách gặp phải cùng nhau.</w:t>
      </w:r>
      <w:r>
        <w:t xml:space="preserve"/>
      </w:r>
      <w:r>
        <w:rPr>
          <w:rStyle w:val="Text0"/>
        </w:rPr>
        <w:t/>
      </w:r>
      <w:r>
        <w:t/>
      </w:r>
    </w:p>
    <w:p>
      <w:pPr>
        <w:pStyle w:val="Para 020"/>
      </w:pPr>
      <w:r>
        <w:t>Đầu tiên, hãy dành thời gian riêng để viết ra suy nghĩ của bạn về từng lĩnh vực trong ba lĩnh vực trên. Sau đó chia sẻ những suy ngẫm đó với nhau. Hãy lắng nghe và thừa nhận phản hồi của đối phương, tránh mọi cám dỗ muốn xem nhẹ hay phớt lờ nỗi sợ của bạn đời. Tiếp theo, ghi chú những điểm chung và những nơi giá trị và ranh giới của hai bạn khác biệt. Không cặp đôi nào có sự trùng khớp hoàn hảo trong hai lĩnh vực đó, nhưng nếu chúng quá khác biệt, hãy thương lượng để tìm điểm trung gian. Ví dụ, nếu một người có thể chấp nhận sống xa nhau một thời gian nhưng người kia thì không, các bạn sẽ cần định hình một ranh giới phù hợp với cả hai.</w:t>
      </w:r>
    </w:p>
    <w:p>
      <w:pPr>
        <w:pStyle w:val="Para 035"/>
      </w:pPr>
      <w:r>
        <w:t>Giá trị</w:t>
      </w:r>
    </w:p>
    <w:p>
      <w:pPr>
        <w:pStyle w:val="Para 008"/>
      </w:pPr>
      <w:r>
        <w:t>Khi lựa chọn và hành động của chúng ta phù hợp với giá trị của mình, chúng ta cảm thấy mãn nguyện; khi không, chúng ta cảm thấy căng thẳng và bất hạnh. Thảo luận cởi mở về giá trị sẽ giúp các bạn dễ dàng đưa ra những lựa chọn phù hợp với chúng. Ví dụ, nếu bạn và bạn đời đều biết rằng cả hai rất coi trọng thời gian gia đình, các bạn sẽ rõ ràng rằng không ai nên nhận công việc đòi hỏi 70 giờ làm việc mỗi tuần.</w:t>
      </w:r>
    </w:p>
    <w:p>
      <w:pPr>
        <w:pStyle w:val="Para 073"/>
      </w:pPr>
      <w:r>
        <w:t>Những câu hỏi dành cho nhau</w:t>
      </w:r>
    </w:p>
    <w:p>
      <w:pPr>
        <w:pStyle w:val="Para 008"/>
      </w:pPr>
      <w:r>
        <w:t>Điều gì khiến bạn hạnh phúc và tự hào? Điều gì mang lại cho bạn sự thỏa mãn? Điều gì tạo nên một cuộc sống tốt đẹp?</w:t>
      </w:r>
    </w:p>
    <w:p>
      <w:pPr>
        <w:pStyle w:val="Para 051"/>
      </w:pPr>
      <w:r>
        <w:bookmarkStart w:id="374" w:name="page_83"/>
        <w:t>Ranh giới</w:t>
        <w:bookmarkEnd w:id="374"/>
        <w:t/>
      </w:r>
    </w:p>
    <w:p>
      <w:pPr>
        <w:pStyle w:val="Para 008"/>
      </w:pPr>
      <w:r>
        <w:t>Cùng nhau thiết lập ranh giới rõ ràng giúp các bạn đưa ra những quyết định lớn dễ dàng hơn. Hãy xem xét ba loại ranh giới: địa điểm, thời gian và sự hiện diện.</w:t>
      </w:r>
    </w:p>
    <w:p>
      <w:pPr>
        <w:pStyle w:val="Para 073"/>
      </w:pPr>
      <w:r>
        <w:t>Những câu hỏi dành cho nhau</w:t>
      </w:r>
    </w:p>
    <w:p>
      <w:pPr>
        <w:pStyle w:val="Para 008"/>
      </w:pPr>
      <w:r>
        <w:t>Có nơi nào bạn muốn làm việc và sinh sống vào một thời điểm nào đó trong đời không? Có nơi nào bạn muốn tránh không? Hiểu rằng đôi khi chúng ta có thể phải làm nhiều giờ hơn mình muốn, bao nhiêu công việc là quá nhiều? Bạn cảm thấy thế nào về việc chúng ta nhận công việc ở những thành phố khác nhau và sống xa nhau một thời gian? Trong bao lâu? Bao nhiêu chuyến công tác là quá nhiều, và chúng ta sẽ xoay xở việc đi lại giữa hai người như thế nào?</w:t>
      </w:r>
    </w:p>
    <w:p>
      <w:pPr>
        <w:pStyle w:val="Para 035"/>
      </w:pPr>
      <w:r>
        <w:t>Nỗi sợ</w:t>
      </w:r>
    </w:p>
    <w:p>
      <w:pPr>
        <w:pStyle w:val="Para 008"/>
      </w:pPr>
      <w:r>
        <w:t>Theo dõi nỗi sợ của nhau có thể giúp các bạn phát hiện rắc rối và hành động phòng ngừa trước khi mối quan hệ bước vào vùng nguy hiểm. Nhiều nỗi sợ vốn phổ biến trong các mối quan hệ và sự nghiệp: Bạn có thể lo lắng rằng gia đình của bạn đời sẽ lấn sâu vào mối quan hệ của hai người, rằng theo thời gian hai người sẽ ngày càng xa cách, rằng bạn đời sẽ ngoại tình, rằng bạn sẽ phải hy sinh sự nghiệp của mình cho sự nghiệp của đối phương, hoặc rằng bạn có thể không thể có con. Nhưng chia sẻ những nỗi sợ này cho phép các bạn xây dựng sự đồng cảm và hỗ trợ lớn hơn. Ví dụ, nếu bạn biết rằng bạn đời đang lo lắng về vai trò của bố mẹ bạn trong cuộc sống của hai người, bạn có nhiều khả năng quản lý ranh giới giữa họ và mối quan hệ của hai bạn một cách tế nhị hơn. Tương tự, nếu bạn quan tâm đến một bước chuyển sự nghiệp mạo hiểm nhưng lo lắng rằng các cam kết tài chính sẽ ngăn cản điều đó, các bạn có thể đồng ý cắt giảm chi tiêu gia đình để tạo một khoản đệm.</w:t>
      </w:r>
    </w:p>
    <w:p>
      <w:pPr>
        <w:pStyle w:val="Para 073"/>
      </w:pPr>
      <w:r>
        <w:t>Những câu hỏi dành cho nhau</w:t>
      </w:r>
    </w:p>
    <w:p>
      <w:pPr>
        <w:pStyle w:val="Para 008"/>
      </w:pPr>
      <w:r>
        <w:t>Những lo lắng của bạn cho tương lai là gì? Nỗi sợ lớn nhất của bạn về cách mối quan hệ và sự nghiệp của chúng ta tương tác với nhau là gì? Bạn sợ điều gì có thể xảy ra trong cuộc sống của chúng ta?</w:t>
      </w:r>
    </w:p>
    <w:p>
      <w:pPr>
        <w:pStyle w:val="Para 003"/>
      </w:pPr>
      <w:r>
        <w:t>Tiếp theo, các cặp đôi phải thảo luận về cách ưu tiên sự nghiệp và phân chia trách nhiệm gia đình. Phấn đấu 50/50 không phải lúc nào cũng là lựa chọn tốt nhất; cũng không nhất thiết một người phải quyết định luôn ưu tiên sự nghiệp của người kia.</w:t>
      </w:r>
    </w:p>
    <w:p>
      <w:pPr>
        <w:pStyle w:val="Para 003"/>
      </w:pPr>
      <w:r>
        <w:t xml:space="preserve">Có ba mô hình cơ bản cần xem xét: (1) Trong mô hình chính-phụ (primary-secondary), sự nghiệp của một người được ưu tiên hơn người kia trong suốt quãng đời làm việc của họ. Người chính dành nhiều thời gian hơn cho công việc và ít hơn cho gia đình, và các cam kết nghề nghiệp (cũng như yêu cầu địa lý) của họ thường được đặt trước người phụ. (2) Trong mô hình thay phiên nhau (turn taking), các cặp đôi đồng ý hoán đổi vị trí chính và phụ theo định kỳ. (3) Trong mô hình song chính (double-primary), họ liên tục xoay xở hai sự nghiệp chính.</w:t>
      </w:r>
      <w:r>
        <w:rPr>
          <w:rStyle w:val="Text0"/>
        </w:rPr>
        <w:t/>
      </w:r>
      <w:r>
        <w:t xml:space="preserve"/>
      </w:r>
      <w:r>
        <w:rPr>
          <w:rStyle w:val="Text0"/>
        </w:rPr>
        <w:t/>
      </w:r>
      <w:r>
        <w:t xml:space="preserve"/>
      </w:r>
      <w:r>
        <w:rPr>
          <w:rStyle w:val="Text0"/>
        </w:rPr>
        <w:t/>
      </w:r>
      <w:r>
        <w:t xml:space="preserve"/>
      </w:r>
    </w:p>
    <w:p>
      <w:pPr>
        <w:pStyle w:val="Para 003"/>
      </w:pPr>
      <w:r>
        <w:t>Nghiên cứu của tôi cho thấy các cặp đôi có thể cảm thấy trọn vẹn trong sự nghiệp và mối quan hệ dù theo đuổi mô hình nào, miễn là nó phù hợp với giá trị của họ và họ thảo luận cởi mở cũng như đồng ý rõ ràng về các lựa chọn của mình. Các cặp đôi theo đuổi lựa chọn thứ ba thường thành công nhất, mặc dù có thể nói đó là lựa chọn khó khăn nhất, chính vì họ buộc phải giải quyết xung đột thường xuyên nhất.</w:t>
      </w:r>
    </w:p>
    <w:p>
      <w:pPr>
        <w:pStyle w:val="Para 003"/>
      </w:pPr>
      <w:r>
        <w:t>Để vượt qua bế tắc, Emily và Jamal cuối cùng đã thảo luận về điều thực sự quan trọng với họ ngoài thành công tài chính. Họ xác định việc theo đuổi sự nghiệp đã chọn, sự gần gũi với thiên nhiên và một mái ấm ổn định cho Aisha, nơi cả hai có thể cùng tích cực nuôi dạy con. Họ thừa nhận nỗi sợ ngày càng xa cách, và để đáp lại, họ đồng ý một hạn chế quan trọng: Họ sẽ sống cùng một thành phố và giới hạn công tác ở mức 25% thời gian. Họ đồng ý đặt ranh giới địa lý quanh Bắc Mỹ, và Jamal đề xuất cả hai vẽ các vòng tròn trên bản đồ quanh những thành phố nơi họ cảm thấy có thể xây tổ ấm và phát triển hai sự nghiệp. Những cuộc trò chuyện và bài tập vẽ bản đồ cuối cùng đã đưa họ đến một giải pháp—và một khởi đầu mới ở Atlanta, nơi họ sẽ theo đuổi mô hình song chính. Ba năm sau, họ đang tiến bộ trong sự nghiệp, hạnh phúc trong cuộc sống gia đình và đang mong đợi đứa con thứ hai.</w:t>
        <w:bookmarkStart w:id="375" w:name="page_85"/>
        <w:t/>
        <w:bookmarkEnd w:id="375"/>
        <w:t/>
      </w:r>
    </w:p>
    <w:p>
      <w:pPr>
        <w:pStyle w:val="Para 011"/>
      </w:pPr>
      <w:r>
        <w:t>Giai đoạn chuyển tiếp 2: Tái tạo bản thân</w:t>
      </w:r>
    </w:p>
    <w:p>
      <w:pPr>
        <w:pStyle w:val="Para 003"/>
      </w:pPr>
      <w:r>
        <w:t xml:space="preserve">Lý thuyết tâm lý học cho rằng đầu đời nhiều người đi theo con đường sự nghiệp và cá nhân phù hợp với kỳ vọng của cha mẹ, bạn bè, đồng trang lứa và xã hội, trong khi ở tuổi trung niên nhiều người cảm thấy một nhu cầu cấp thiết về sự cá nhân hóa (individuation), hay thoát khỏi những kỳ vọng đó để trở thành tác giả của chính cuộc đời mình. Điều này thường xảy ra ở độ tuổi bốn mươi, bất kể tình trạng mối quan hệ của họ, và là một phần của quá trình thường được gọi là khủng hoảng tuổi trung niên.</w:t>
      </w:r>
      <w:r>
        <w:rPr>
          <w:rStyle w:val="Text0"/>
        </w:rPr>
        <w:t/>
      </w:r>
      <w:r>
        <w:t xml:space="preserve"/>
      </w:r>
    </w:p>
    <w:p>
      <w:pPr>
        <w:pStyle w:val="Para 003"/>
      </w:pPr>
      <w:r>
        <w:t>Chúng ta thường nghĩ về khủng hoảng tuổi trung niên chủ yếu theo khía cạnh cá nhân (ví dụ, một người chồng bỏ vợ và mua một chiếc xe thể thao), nhưng ở các cặp đôi sự nghiệp kép, sự tập trung cao độ vào thành công nghề nghiệp có nghĩa là lộ trình công việc của cả hai cũng bị soi xét. Cuộc khủng hoảng kết hợp giữa cá nhân và nghề nghiệp này tạo nền tảng cho giai đoạn chuyển tiếp thứ hai. Camille và Pierre, những người có câu chuyện mở đầu bài viết này, đang ở giữa giai đoạn đó.</w:t>
      </w:r>
    </w:p>
    <w:p>
      <w:pPr>
        <w:pStyle w:val="Para 003"/>
      </w:pPr>
      <w:r>
        <w:t xml:space="preserve">Khi mỗi người vật lộn với việc tái định nghĩa bản thân, cả hai thường va phải những thỏa thuận đã ổn định từ lâu mà họ đã tạo ra cùng với bản sắc, mối quan hệ và sự nghiệp mà họ đã cùng nhau xây dựng. Một số thỏa thuận đó—ví dụ như sự nghiệp của ai được ưu tiên—có thể cần được xem xét lại để cho phép một người nghỉ việc và khám phá các lựa chọn thay thế. Có thể sẽ đau đớn khi đặt câu hỏi về những lựa chọn họ đã cùng nhau đưa ra trong giai đoạn chuyển tiếp trước và đã xây dựng cuộc sống quanh đó. Điều này có thể đe dọa mối quan hệ; không hiếm khi một người diễn giải mong muốn xem xét lại các lựa chọn nghề nghiệp trong quá khứ của đối phương như một xu hướng muốn xem xét lại cả mối quan hệ, hoặc thậm chí có khả năng kết thúc nó. Những cặp đôi xử lý tốt giai đoạn chuyển tiếp này tìm ra cách kết nối và hỗ trợ lẫn nhau vượt qua điều có thể cảm thấy như một quá trình rất cô độc.</w:t>
        <w:bookmarkStart w:id="376" w:name="page_86"/>
        <w:t/>
        <w:bookmarkEnd w:id="376"/>
        <w:t/>
      </w:r>
    </w:p>
    <w:p>
      <w:pPr>
        <w:pStyle w:val="Para 003"/>
      </w:pPr>
      <w:r>
        <w:t>Giai đoạn chuyển tiếp thứ hai thường bắt đầu—như đã xảy ra với Camille và Pierre—khi một người xem xét lại con đường sự nghiệp hoặc cuộc sống. Người đó phải suy ngẫm về những câu hỏi như: Điều gì đã dẫn tôi đến ngõ cụt này? Tại sao tôi đã đưa ra những lựa chọn đó? Tôi là ai? Tôi khao khát điều gì từ cuộc sống? Tôi muốn trở thành ai? Người đó cũng nên dành thời gian khám phá các con đường thay thế, thông qua các sự kiện kết nối, quan sát công việc (job shadowing), biệt phái (secondments), công việc tình nguyện, v.v. Sự suy ngẫm và khám phá cá nhân như vậy có thể dẫn các cặp đôi đến cái bẫy đầu tiên của giai đoạn chuyển tiếp thứ hai:</w:t>
      </w:r>
    </w:p>
    <w:p>
      <w:pPr>
        <w:pStyle w:val="Para 023"/>
      </w:pPr>
      <w:r>
        <w:t>Ngờ vực và phòng thủ</w:t>
      </w:r>
    </w:p>
    <w:p>
      <w:pPr>
        <w:pStyle w:val="Para 003"/>
      </w:pPr>
      <w:r>
        <w:t>Sống cùng một người đang mải mê khám phá những con đường mới có thể khiến bạn cảm thấy bị đe dọa. Những câu hỏi đau đớn nổi lên: Tại sao bạn đời của tôi không hài lòng? Đây là vấn đề sự nghiệp hay vấn đề mối quan hệ? Có phải lỗi của tôi không? Tại sao anh ấy/cô ấy cần những người mới? Tôi không còn đủ nữa sao? Những nghi ngờ này có thể dẫn đến sự ngờ vực và phòng thủ, điều này có thể đẩy người đang khám phá rút lui sâu hơn khỏi mối quan hệ, khiến người kia càng ngờ vực và phòng thủ hơn, cho đến khi cuối cùng chính mối quan hệ trở thành chướng ngại cho sự cá nhân hóa, thay vì là không gian cho nó.</w:t>
      </w:r>
    </w:p>
    <w:p>
      <w:pPr>
        <w:pStyle w:val="Para 003"/>
      </w:pPr>
      <w:r>
        <w:t xml:space="preserve">Trong tình huống như vậy, trước tiên mọi người nên cởi mở về những lo lắng của mình và để bạn đời trấn an rằng nỗi băn khoăn đó không phải về họ hay về mối quan hệ. Tiếp theo, họ nên áp dụng điều mà các nhà phê bình văn học gọi là sự tạm ngưng hoài nghi (suspension of disbelief)—tức là niềm tin rằng những điều họ còn nghi ngờ sẽ mở ra theo những cách thú vị và đáng để chú ý. Thái độ này sẽ vừa làm phong phú cuộc sống của chính họ vừa giúp việc khám phá của bạn đời dễ dàng hơn.</w:t>
      </w:r>
      <w:r>
        <w:rPr>
          <w:rStyle w:val="Text0"/>
        </w:rPr>
        <w:t/>
      </w:r>
      <w:r>
        <w:t/>
      </w:r>
    </w:p>
    <w:p>
      <w:pPr>
        <w:pStyle w:val="Para 003"/>
      </w:pPr>
      <w:r>
        <w:t xml:space="preserve">Cuối cùng, họ nên hiểu vai trò hỗ trợ của mình. Các nhà tâm lý học gọi vai trò này trong một mối quan hệ là điểm tựa an toàn (secure base) và xem nó là yếu tố sống còn cho sự phát triển của người kia. Được nhà tâm lý học John Bowlby xác định và mô tả ban đầu, điểm tựa an toàn cho phép chúng ta vươn mình bằng cách bước ra ngoài vùng an toàn trong khi có ai đó bên cạnh xoa dịu những lo lắng của chúng ta về việc đó. Không can thiệp quá mức, người hỗ trợ nên khuyến khích sự khám phá và suy ngẫm của bạn đời, ngay cả khi điều đó có nghĩa là rời xa mối quan hệ thoải mái mà họ đã thiết lập.</w:t>
      </w:r>
      <w:r>
        <w:rPr>
          <w:rStyle w:val="Text0"/>
        </w:rPr>
        <w:t/>
      </w:r>
      <w:r>
        <w:t xml:space="preserve"/>
        <w:bookmarkStart w:id="377" w:name="page_87"/>
        <w:t/>
        <w:bookmarkEnd w:id="377"/>
        <w:t/>
      </w:r>
    </w:p>
    <w:p>
      <w:pPr>
        <w:pStyle w:val="Para 003"/>
      </w:pPr>
      <w:r>
        <w:t>Tuy nhiên, làm điểm tựa an toàn cho bạn đời cũng có cái bẫy riêng của nó:</w:t>
      </w:r>
    </w:p>
    <w:p>
      <w:pPr>
        <w:pStyle w:val="Para 023"/>
      </w:pPr>
      <w:r>
        <w:t>Hỗ trợ bất đối xứng</w:t>
      </w:r>
    </w:p>
    <w:p>
      <w:pPr>
        <w:pStyle w:val="Para 003"/>
      </w:pPr>
      <w:r>
        <w:t>Trong một số cặp đôi, một người luôn hỗ trợ người kia mà không nhận lại được sự hỗ trợ nào. Đó là điều đã xảy ra với Camille và Pierre. Trải nghiệm của Pierre trong cuộc hôn nhân trước, khi vợ anh từ bỏ sự nghiệp vì anh, khiến anh quyết tâm hỗ trợ Camille, và ban đầu anh đã chủ động trở thành bến đỗ an toàn (secure base) cho cô. Tuy nhiên, cuộc sống của họ quá bận rộn đến mức Camille khó tìm được năng lượng để đáp lại. Kết quả là sự khám phá và suy ngẫm của cô trở thành rào cản đối với Pierre, tạo nên bế tắc trong phát triển và trong mối quan hệ. Điều quan trọng cần nhớ là làm bến đỗ an toàn không có nghĩa là dập tắt mong muốn của chính mình, chuộc lỗi cho sự ích kỷ trong quá khứ, hay trở nên hoàn hảo. Bạn có thể là người hỗ trợ tuyệt vời cho bạn đời trong khi vẫn yêu cầu được hỗ trợ ngược lại và dành thời gian cho bản thân. Thực tế, điều đó nhiều khả năng sẽ khiến bạn trở thành người hỗ trợ tốt hơn nhiều (và ít oán giận hơn).</w:t>
      </w:r>
    </w:p>
    <w:p>
      <w:pPr>
        <w:pStyle w:val="Para 003"/>
      </w:pPr>
      <w:r>
        <w:t>Trong nghiên cứu của mình, tôi nhận thấy những cặp đôi vượt qua được giai đoạn chuyển tiếp thứ hai là những cặp mà cả hai khuyến khích nhau thực hiện công việc này—ngay cả khi điều đó có nghĩa là một trong hai người vừa khám phá vừa hỗ trợ cùng lúc.</w:t>
      </w:r>
    </w:p>
    <w:p>
      <w:pPr>
        <w:pStyle w:val="Para 003"/>
      </w:pPr>
      <w:r>
        <w:t>Một khi người đang khám phá đã có cơ hội xác định mình muốn gì trong sự nghiệp, cuộc sống hay mối quan hệ, bước tiếp theo là biến điều đó thành hiện thực—với tư cách một cặp đôi. Các cặp đôi cần thương lượng lại vai trò họ đảm nhận trong cuộc đời nhau. Hãy xem Matthew và James, một cặp khác mà tôi đã trò chuyện, họ đã thăng tiến trong sự nghiệp suốt 18 năm bên nhau. Khi Matthew nhận ra anh muốn rời khỏi cái mà anh gọi là chuyến tàu thành công—nơi anh cảm thấy mình chỉ là một hành khách—cả anh và James đều phải từ bỏ danh tính cặp đôi quyền lực (power couple) và xem xét lại thỏa thuận ưu tiên sự nghiệp mà họ đã tạo dựng trong lần chuyển tiếp đầu tiên. Ban đầu Matthew ngại nói với James về những nghi ngờ của mình, vì anh tự hỏi liệu James có còn yêu anh nếu anh đổi hướng hay không. Tuy nhiên, khi họ bắt đầu thảo luận về điều này, họ nhận ra danh tính cặp đôi quyền lực đã nhốt họ trong một động lực mà cả hai đều cần thành công nhưng không ai được vượt trội hơn người kia. Việc thừa nhận và thương lượng lại thỏa thuận ngầm này đã cho phép James nhắm tới vị trí điều hành cấp cao đầu tiên và Matthew chuyển sang lĩnh vực phi lợi nhuận. Thời gian và sự quan tâm họ dành để trả lời những câu hỏi hiện sinh và thương lượng lại vai trò trong cuộc đời nhau đã tạo tiền đề cho một giai đoạn phát triển mới trong sự nghiệp và mối quan hệ của họ.</w:t>
        <w:bookmarkStart w:id="378" w:name="page_88"/>
        <w:t/>
        <w:bookmarkEnd w:id="378"/>
        <w:t/>
      </w:r>
    </w:p>
    <w:p>
      <w:pPr>
        <w:pStyle w:val="Para 011"/>
      </w:pPr>
      <w:r>
        <w:t>Chuyển tiếp 3: Mất mát và Cơ hội</w:t>
      </w:r>
    </w:p>
    <w:p>
      <w:pPr>
        <w:pStyle w:val="Para 003"/>
      </w:pPr>
      <w:r>
        <w:t>Tham dự đám tang của mẹ là một trong những trải nghiệm khó khăn nhất trong đời Norah. Đó là đỉnh điểm của hai năm thay đổi to lớn đối với cô và chồng, Jeremy, khi cả hai đều ở cuối độ tuổi năm mươi. Sự thay đổi bắt đầu khi cha của họ lần lượt qua đời đột ngột chỉ trong vòng năm tuần, và họ trở thành người chăm sóc cho người mẹ đang bệnh của Norah ngay khi con cái rời tổ và sự nghiệp của chính họ đang biến động.</w:t>
      </w:r>
    </w:p>
    <w:p>
      <w:pPr>
        <w:pStyle w:val="Para 003"/>
      </w:pPr>
      <w:r>
        <w:t>Jeremy là một nghệ sĩ thị giác kỹ thuật số. Các dự án chính của studio anh đang kết thúc vì một khách hàng lớn rời đi. Dù buồn, anh đã đủ tự tin để cảm thấy hào hứng với bất cứ điều gì có thể đến tiếp theo. Norah đã làm việc cho cùng một doanh nghiệp máy móc nông nghiệp nhỏ suốt 26 năm; cô từng muốn đổi nghề nhưng cảm thấy không thể làm vậy khi Jeremy đang dựa vào cô để được hỗ trợ về mặt tinh thần và hậu cần. Giờ cô được đề nghị nhận gói nghỉ hưu sớm. Cô cảm thấy mình bị vứt bỏ dù đã gắn bó lâu dài với công ty. Không sự nghiệp, không cha mẹ, không con cái để chăm sóc—giờ cô là ai? Cô cảm thấy mất phương hướng và lạc lõng.</w:t>
      </w:r>
    </w:p>
    <w:p>
      <w:pPr>
        <w:pStyle w:val="Para 003"/>
      </w:pPr>
      <w:r>
        <w:t xml:space="preserve">Giai đoạn chuyển tiếp thứ ba thường được kích hoạt bởi sự thay đổi vai trò ở giai đoạn sau của cuộc đời, điều thường tạo ra cảm giác mất mát sâu sắc. Sự nghiệp chững lại hoặc đi xuống; cơ thể không còn như xưa; con cái, nếu có, rời khỏi nhà. Đôi khi sự nghiệp của một người vẫn đang mạnh mẽ trong khi của người kia bắt đầu suy giảm. Sau nhiều thập kỷ chạy đua với sự phát triển sự nghiệp và nuôi dạy con cái, các cặp đôi thức dậy bên cạnh một người có thể đã thay đổi so với thời họ yêu nhau. Cả hai có thể đều cảm thấy như vậy. Những thay đổi này lại đặt ra những câu hỏi cơ bản về bản sắc: Giờ tôi là ai? Tôi muốn trở thành ai trong phần đời còn lại?</w:t>
        <w:bookmarkStart w:id="379" w:name="page_89"/>
        <w:t/>
        <w:bookmarkEnd w:id="379"/>
        <w:t/>
      </w:r>
    </w:p>
    <w:p>
      <w:pPr>
        <w:pStyle w:val="Para 003"/>
      </w:pPr>
      <w:r>
        <w:t>Dù thường bị kích hoạt bởi mất mát, giai đoạn chuyển tiếp thứ ba báo hiệu cơ hội. Cơ hội tái tạo bản thân ở giai đoạn cuối đời rất phong phú, đặc biệt trong thế giới ngày nay. Tuổi thọ đang tăng trên toàn cầu, và các cặp đôi lớn tuổi có thể có vài thập kỷ sức khỏe khá tốt và không còn gánh nặng nuôi dạy con cái. Khi sự nghiệp và công việc trở nên linh hoạt hơn, đặc biệt với những người có kinh nghiệm, mọi người có thể tham gia nhiều hoạt động dễ dàng hơn các thế hệ trước—chẳng hạn kết hợp công việc cố vấn hoặc tư vấn với vai trò trong hội đồng quản trị. Các hoạt động của họ thường bao gồm cống hiến cho cộng đồng, để lại di sản nào đó, cố vấn cho thế hệ trẻ, khám phá lại đam mê thời trẻ, hoặc dành nhiều thời gian hơn cho tình bạn.</w:t>
      </w:r>
    </w:p>
    <w:p>
      <w:pPr>
        <w:pStyle w:val="Para 003"/>
      </w:pPr>
      <w:r>
        <w:t>Nhiệm vụ của họ trong giai đoạn chuyển tiếp thứ ba là một lần nữa tái tạo chính mình—lần này theo cách vừa bám rễ vào những thành tựu quá khứ vừa lạc quan về những khả năng trong tương lai. Họ phải tiếc thương cái cũ, chào đón cái mới, tìm cách dung hòa cả hai, và điều chỉnh con đường đời để hỗ trợ con người họ muốn trở thành.</w:t>
      </w:r>
    </w:p>
    <w:p>
      <w:pPr>
        <w:pStyle w:val="Para 003"/>
      </w:pPr>
      <w:r>
        <w:t>Một điều khiến tôi ấn tượng khi trò chuyện với các cặp đôi trong giai đoạn chuyển tiếp thứ ba là nó mạnh mẽ nhất khi cả hai cùng tái tạo bản thân—không chỉ cùng suy ngẫm như ở các giai đoạn chuyển tiếp khác, mà thực sự cùng nhau đảm nhận một hoạt động hoặc dự án mới. Khi một người tò mò về cuộc sống và công việc của bạn đời cũng như của chính mình, một năng lực to lớn để cùng hồi sinh được mở khóa. Tôi đã gặp nhiều cặp đôi đang vạch ra những con đường mới từ giai đoạn chuyển tiếp này, bao gồm việc hợp nhất công việc của họ—chẳng hạn cùng nhau khởi nghiệp một doanh nghiệp mới.</w:t>
      </w:r>
    </w:p>
    <w:p>
      <w:pPr>
        <w:pStyle w:val="Para 003"/>
      </w:pPr>
      <w:r>
        <w:t>Giai đoạn chuyển tiếp thứ ba cũng có những cái bẫy:</w:t>
      </w:r>
    </w:p>
    <w:p>
      <w:pPr>
        <w:pStyle w:val="Para 023"/>
      </w:pPr>
      <w:r>
        <w:t>Việc còn dang dở</w:t>
      </w:r>
    </w:p>
    <w:p>
      <w:pPr>
        <w:pStyle w:val="Para 003"/>
      </w:pPr>
      <w:r>
        <w:t>Dù tốt hay xấu, các khuôn mẫu quan hệ, cách tiếp cận, quyết định và giả định trước đó sẽ ảnh hưởng đến cách giai đoạn chuyển tiếp thứ ba của một cặp đôi diễn ra. Tôi nhận thấy thách thức phổ biến nhất trong việc quản lý giai đoạn chuyển tiếp này là vượt qua sự hối tiếc về những thất bại mà họ cảm nhận trong cách hai người đã “vận hành” như một cặp đôi—cách họ ưu tiên sự nghiệp, hay cách mỗi người đã hỗ trợ sự phát triển của người kia (hoặc không).</w:t>
        <w:bookmarkStart w:id="380" w:name="page_90"/>
        <w:t/>
        <w:bookmarkEnd w:id="380"/>
        <w:t/>
      </w:r>
    </w:p>
    <w:p>
      <w:pPr>
        <w:pStyle w:val="Para 003"/>
      </w:pPr>
      <w:r>
        <w:t>Để vượt qua giai đoạn chuyển tiếp thứ ba, các cặp đôi phải thừa nhận cách họ đã đi đến vị trí hiện tại và cam kết đảm nhận những vai trò mới cho nhau trong tương lai. Ví dụ, Norah và Jeremy đã mắc kẹt trong một khuôn mẫu mà Norah là người hỗ trợ Jeremy. Bằng cách nhận ra điều này—và vai trò của cả hai trong việc củng cố nó—họ đã có thể trở nên hỗ trợ lẫn nhau hơn.</w:t>
      </w:r>
    </w:p>
    <w:p>
      <w:pPr>
        <w:pStyle w:val="Para 023"/>
      </w:pPr>
      <w:r>
        <w:t>Tầm nhìn hạn hẹp</w:t>
      </w:r>
    </w:p>
    <w:p>
      <w:pPr>
        <w:pStyle w:val="Para 003"/>
      </w:pPr>
      <w:r>
        <w:t>Khi một cặp đôi đến giai đoạn chuyển tiếp thứ ba, họ có lẽ đã trải qua không ít thất vọng và trở ngại. Họ có thể mệt mỏi sau nhiều năm chăm sóc người khác, hoặc chỉ vì cứ mãi chạy trên guồng quay. Khi vai trò thay đổi và những nghi ngờ về bản sắc lớn dần, việc tái tạo bản thân có thể nằm ngoài suy xét. Ngoài ra, vì các thế hệ trước nghỉ hưu sớm hơn, không sống lâu bằng, và không tiếp cận được nền kinh tế việc làm tự do (gig economy), nhiều cặp đôi thiếu hình mẫu về việc tái tạo bản thân ở giai đoạn này của cuộc đời có thể trông như thế nào. Nếu họ không cố tình mở rộng tầm nhìn, họ sẽ bỏ lỡ cơ hội khám phá lại chính mình.</w:t>
      </w:r>
    </w:p>
    <w:p>
      <w:pPr>
        <w:pStyle w:val="Para 003"/>
      </w:pPr>
      <w:r>
        <w:t>Vì vậy các cặp đôi phải khám phá lần nữa. Thậm chí còn hơn cả ở giai đoạn chuyển tiếp thứ hai, họ cần thử sức với nhiều khả năng. Giống như những đứa trẻ khỏe mạnh tò mò về thế giới, về bản thân và những người xung quanh, họ có thể chủ động tìm kiếm trải nghiệm mới và thử nghiệm, tránh xem mọi thứ là hiển nhiên, và liên tục hỏi “Tại sao?” Hầu hết chúng ta kìm nén sự tò mò thời thơ ấu khi cuộc sống trôi đi và trách nhiệm chồng chất. Nhưng điều quan trọng là vượt qua nỗi sợ phải bỏ lại một bản ngã được trân trọng và cho phép tham vọng cùng ưu tiên trở nên đa dạng. Khám phá ở giai đoạn này giúp trẻ hóa tinh thần.</w:t>
      </w:r>
    </w:p>
    <w:p>
      <w:pPr>
        <w:pStyle w:val="Para 003"/>
      </w:pPr>
      <w:r>
        <w:t>Những thay đổi trong vai trò và bản sắc của con người mang đến một cái cớ hoàn hảo để đặt câu hỏi về công việc, cuộc sống và tình yêu hiện tại. Nhiều người gắn việc khám phá với việc tìm kiếm lựa chọn mới, điều chắc chắn quan trọng. Nhưng nó cũng là về việc đặt câu hỏi cho các giả định và cách tiếp cận, và hỏi: “Mọi thứ có thực sự cần phải như thế này không?”</w:t>
      </w:r>
    </w:p>
    <w:p>
      <w:pPr>
        <w:pStyle w:val="Para 003"/>
      </w:pPr>
      <w:r>
        <w:t xml:space="preserve">Sau khi tái cân bằng sự hỗ trợ dành cho nhau, Norah và Jeremy có thể mở lòng với những khả năng mới. Nhờ đã có được sự an toàn tài chính từ công việc trước đây, họ tìm kiếm sự tái tạo không chỉ trong sự nghiệp mà còn trong vai trò rộng lớn hơn của mình với thế giới. Khuyến khích lẫn nhau, cả hai chuyển sang lối sống làm việc danh mục (portfolio working lives). Jeremy trở thành nghệ sĩ thị giác kỹ thuật số tự do, nhận vai trò bán thời gian dạy sinh viên nghệ thuật trẻ tại một trường cao đẳng địa phương, và dành nhiều thời gian hơn cho đam mê chèo thuyền dinghy. Norah được đào tạo lại để trở thành cố vấn làm việc với các gia đình gặp khó khăn và bắt đầu làm tình nguyện tại một bảo tàng nông nghiệp địa phương. Với những cơ hội mới này và nhiều thời gian hơn cho nhau cũng như bạn bè, họ cảm thấy sự hài lòng mới mẻ với công việc và mối quan hệ của mình.</w:t>
        <w:bookmarkStart w:id="381" w:name="page_91"/>
        <w:t/>
        <w:bookmarkEnd w:id="381"/>
        <w:t/>
      </w:r>
    </w:p>
    <w:p>
      <w:pPr>
        <w:pStyle w:val="Para 048"/>
      </w:pPr>
      <w:r>
        <w:drawing>
          <wp:anchor distL="0" distR="0" distT="0" distB="0" simplePos="0" relativeHeight="1" behindDoc="0" locked="0" layoutInCell="1" allowOverlap="1">
            <wp:simplePos x="0" y="0"/>
            <wp:positionH relativeFrom="margin">
              <wp:align>center</wp:align>
            </wp:positionH>
            <wp:positionV relativeFrom="line">
              <wp:align>top</wp:align>
            </wp:positionV>
            <wp:extent cx="1778000" cy="0"/>
            <wp:effectExtent l="0" r="0" t="0" b="0"/>
            <wp:wrapTopAndBottom/>
            <wp:docPr id="32" name="line.png" descr="image"/>
            <wp:cNvGraphicFramePr>
              <a:graphicFrameLocks noChangeAspect="1"/>
            </wp:cNvGraphicFramePr>
            <a:graphic>
              <a:graphicData uri="http://schemas.openxmlformats.org/drawingml/2006/picture">
                <pic:pic>
                  <pic:nvPicPr>
                    <pic:cNvPr id="0" name="line.png" descr="image"/>
                    <pic:cNvPicPr/>
                  </pic:nvPicPr>
                  <pic:blipFill>
                    <a:blip r:embed="rId20"/>
                    <a:stretch>
                      <a:fillRect/>
                    </a:stretch>
                  </pic:blipFill>
                  <pic:spPr>
                    <a:xfrm>
                      <a:off x="0" y="0"/>
                      <a:ext cx="1778000" cy="0"/>
                    </a:xfrm>
                    <a:prstGeom prst="rect">
                      <a:avLst/>
                    </a:prstGeom>
                  </pic:spPr>
                </pic:pic>
              </a:graphicData>
            </a:graphic>
          </wp:anchor>
        </w:drawing>
      </w:r>
    </w:p>
    <w:p>
      <w:pPr>
        <w:pStyle w:val="Para 003"/>
      </w:pPr>
      <w:r>
        <w:t>Những thách thức mà các cặp đôi đối mặt ở mỗi giai đoạn chuyển tiếp là khác nhau nhưng có liên kết. Trong giai đoạn chuyển tiếp đầu tiên, hai người thích nghi với một sự kiện lớn trong đời bằng cách thương lượng vai trò họ sẽ đảm nhận trong cuộc đời nhau. Theo thời gian, những vai trò đó trở nên gò bó và khơi dậy sự bồn chồn cùng những câu hỏi dẫn đến giai đoạn chuyển tiếp thứ hai. Để vượt qua thành công giai đoạn chuyển tiếp thứ ba, các cặp đôi phải giải quyết những hối tiếc và bất cân xứng trong phát triển còn sót lại từ hai giai đoạn chuyển tiếp đầu.</w:t>
      </w:r>
    </w:p>
    <w:p>
      <w:pPr>
        <w:pStyle w:val="Para 003"/>
      </w:pPr>
      <w:r>
        <w:t>Không có một con đường hay giải pháp đúng đắn duy nhất nào để đối mặt với những thách thức này. Dù cuộc hôn nhân 50/50—trong đó việc nhà và chăm sóc con cái được chia đều giữa hai người, và sự nghiệp của họ hoàn toàn đồng bộ—có vẻ là một lý tưởng cao đẹp, nghiên cứu của tôi cho thấy thay vì ám ảnh cố duy trì “tỷ số” cân bằng, các cặp đôi hai sự nghiệp sẽ tốt hơn nếu không ngừng tò mò, giao tiếp và chủ động trong việc lựa chọn cách kết hợp cuộc sống của họ.</w:t>
      </w:r>
    </w:p>
    <w:p>
      <w:pPr>
        <w:pStyle w:val="Para 044"/>
      </w:pPr>
      <w:r>
        <w:t xml:space="preserve">Xuất bản lần đầu tháng 9–10 năm 2019. Tái bản R1905B</w:t>
      </w:r>
      <w:r>
        <w:rPr>
          <w:rStyle w:val="Text10"/>
        </w:rPr>
        <w:t/>
      </w:r>
    </w:p>
    <w:p>
      <w:pPr>
        <w:pStyle w:val="Para 012"/>
      </w:pPr>
      <w:r>
        <w:t xml:space="preserve"> </w:t>
      </w:r>
    </w:p>
    <w:p>
      <w:bookmarkStart w:id="382" w:name="Cultivating_Everyday_Courage_by"/>
      <w:bookmarkStart w:id="383" w:name="Top_of_ch09_xhtml"/>
      <w:pPr>
        <w:pStyle w:val="Para 012"/>
        <w:pageBreakBefore w:val="on"/>
      </w:pPr>
      <w:r>
        <w:t xml:space="preserve"> </w:t>
      </w:r>
      <w:bookmarkEnd w:id="382"/>
      <w:bookmarkEnd w:id="383"/>
    </w:p>
    <w:p>
      <w:bookmarkStart w:id="384" w:name="Cultivating_Everyday_Courage"/>
      <w:pPr>
        <w:pStyle w:val="Para 039"/>
      </w:pPr>
      <w:r>
        <w:bookmarkStart w:id="385" w:name="page_93"/>
        <w:t>Nuôi dưỡng lòng can đảm thường ngày</w:t>
        <w:bookmarkEnd w:id="385"/>
        <w:t/>
      </w:r>
      <w:bookmarkEnd w:id="384"/>
    </w:p>
    <w:p>
      <w:bookmarkStart w:id="386" w:name="by_James_R__Detert"/>
      <w:pPr>
        <w:pStyle w:val="Para 040"/>
      </w:pPr>
      <w:r>
        <w:t>của James R. Detert</w:t>
      </w:r>
      <w:bookmarkEnd w:id="386"/>
    </w:p>
    <w:p>
      <w:pPr>
        <w:pStyle w:val="Para 003"/>
      </w:pPr>
      <w:r>
        <w:rPr>
          <w:rStyle w:val="Text4"/>
        </w:rPr>
        <w:t>TRONG NHIỀU CÂU CHUYỆN chúng ta nghe về lòng can đảm nơi công sở, những người đấu tranh cho thay đổi tích cực cuối cùng lại bị cô lập—và đôi khi còn mất việc. Tuy nhiên, những gì tôi quan sát được trong quá trình nghiên cứu lại kể một câu chuyện nhiều sắc thái hơn. Hầu hết các hành động can đảm không đến từ những người tố giác hay những kẻ tử vì tổ chức. Thay vào đó, chúng đến từ những người trong nội bộ được tôn trọng ở mọi cấp bậc, những người hành động—dù là vận động cho một bước đi chiến lược mạo hiểm, thúc đẩy thay đổi một chính sách bất công, hay lên tiếng chống lại hành vi phi đạo đức—bởi vì họ tin đó là điều đúng đắn. Danh tiếng và thành tích của họ giúp họ tiến xa hơn những người ở rìa hoặc bên ngoài tổ chức có thể làm được. Và khi họ quản lý quá trình tốt, họ không nhất thiết phải trả giá đắt cho hành động của mình; thực tế, họ có thể thấy địa vị của mình tăng lên khi tạo ra thay đổi tích cực.</w:t>
      </w:r>
      <w:r>
        <w:t xml:space="preserve"/>
      </w:r>
    </w:p>
    <w:p>
      <w:pPr>
        <w:pStyle w:val="Para 003"/>
      </w:pPr>
      <w:r>
        <w:t xml:space="preserve">Hãy xem Martha (không phải tên thật), một quản lý tài chính tại một công ty nhỏ. Nhiều năm trời cô chịu đựng những bình luận khiếm nhã và lời ám chỉ tình dục từ sếp, chủ tịch công ty, và cô vật lộn với cách xử lý: Cô nên nói chuyện với ông ta về hành vi của mình, hay cứ nghỉ việc? Làm sao cô có thể bảo vệ những phụ nữ khác trong công ty? Rồi tại một buổi tụ họp nhân viên, sếp cô đã chạm vào người cô một cách không phù hợp trong một khoảnh khắc vui vẻ, nghĩ rằng điều đó buồn cười. Cuối ngày hôm đó, cô đối mặt với ông ta trong văn phòng, sẵn sàng nghỉ việc nếu ông ta không thay đổi. Cô nói với ông rằng hành vi của ông khiến cô khó chịu và là tín hiệu cho thấy cô sẽ không bao giờ thăng tiến trong công ty vì ông không xem cô là người ngang hàng. Cô nói có lẽ ông đang cố tạo ra một môi trường làm việc vui vẻ, nhưng ông đã thất bại.</w:t>
        <w:bookmarkStart w:id="387" w:name="page_94"/>
        <w:t/>
        <w:bookmarkEnd w:id="387"/>
        <w:t/>
      </w:r>
    </w:p>
    <w:p>
      <w:pPr>
        <w:pStyle w:val="Para 003"/>
      </w:pPr>
      <w:r>
        <w:t>Martha rất sợ ông ta sẽ sa thải cô, nổi giận, hoặc bảo cô phải cứng rắn hơn. Nhưng thay vào đó, trước sự ngạc nhiên của cô, ông ta đã xin lỗi. Ông ta kinh hoàng khi biết đây là cảm giác của cô—và rằng những phụ nữ khác trong công ty có lẽ cũng cảm thấy như vậy. Ông khen ngợi cô vì đã lên tiếng khi không ai dám làm điều đó. Trong những tháng sau đó, ông tiếp tục tìm kiếm lời khuyên của cô về vấn đề này và gửi lời xin lỗi chính thức tới nhân viên. Một năm sau, Martha được thăng chức lên vai trò phó chủ tịch: một vị trí đáng kinh ngạc đối với người từng tin rằng chủ tịch sẽ không bao giờ thăng chức cho một phụ nữ lên cấp đó.</w:t>
      </w:r>
    </w:p>
    <w:p>
      <w:pPr>
        <w:pStyle w:val="Para 003"/>
      </w:pPr>
      <w:r>
        <w:t xml:space="preserve">Tôi bắt đầu nghiên cứu về lòng can đảm nơi công sở sau hơn một thập kỷ nghiên cứu lý do vì sao mọi người thường không lên tiếng tại nơi làm việc. Tôi đã tìm thấy nhiều ví dụ về những người ở mọi cấp bậc tạo ra thay đổi tích cực mà không hủy hoại sự nghiệp. Thành công của họ chủ yếu dựa trên một tập hợp thái độ và hành vi có thể học được, thay vì những đặc điểm bẩm sinh. Tôi gọi những người thể hiện những hành vi này là can đảm một cách thành thạo (competently courageous) vì họ tạo ra điều kiện phù hợp để hành động bằng cách xây dựng danh tiếng nội bộ vững chắc và cải thiện các phương án dự phòng trong trường hợp mọi thứ diễn ra tồi tệ; họ lựa chọn trận chiến một cách cẩn thận, cân nhắc xem một cơ hội hành động cụ thể có hợp lý hay không dựa trên giá trị của họ, thời điểm và mục tiêu rộng lớn hơn; họ tối đa hóa khả năng thành công trong khoảnh khắc bằng cách quản lý thông điệp và cảm xúc; và họ theo dõi sau đó để giữ gìn mối quan hệ và củng cố cam kết. Các bước này hữu ích dù bạn đang thúc đẩy một thay đổi lớn hay cố gắng giải quyết một vấn đề nhỏ hơn hoặc mang tính cục bộ hơn.</w:t>
      </w:r>
      <w:r>
        <w:rPr>
          <w:rStyle w:val="Text0"/>
        </w:rPr>
        <w:t/>
      </w:r>
      <w:r>
        <w:t xml:space="preserve"/>
      </w:r>
    </w:p>
    <w:p>
      <w:pPr>
        <w:pStyle w:val="Para 003"/>
      </w:pPr>
      <w:r>
        <w:t xml:space="preserve">Để không ai nghĩ tôi ngây thơ, tôi xin nói rõ: Tất nhiên chuyện xấu vẫn xảy ra khi người ta thách thức quyền lực, chuẩn mực và thể chế. Suy cho cùng, dũng cảm là dám làm điều đáng làm bất chấp rủi ro tiềm ẩn. Nếu chẳng ai từng bị sa thải, bị cô lập xã hội, hay chịu hậu quả nào khác vì một hành động cụ thể, thì chúng ta đã chẳng coi đó là dũng cảm. Và kết quả tốt đẹp thường đến từ một số kiểu hành động hơn là những kiểu khác. Ví dụ, thách thức hành vi không phù hợp của một đồng nghiệp mà bạn có quan hệ khá ổn, trong điều kiện các yếu tố khác tương đương, thường sẽ có lợi cho bạn hơn là chống lại toàn bộ cơ cấu quyền lực vì một hành vi phi đạo đức.</w:t>
      </w:r>
      <w:r>
        <w:rPr>
          <w:rStyle w:val="Text0"/>
        </w:rPr>
        <w:t/>
      </w:r>
      <w:r>
        <w:t xml:space="preserve"/>
      </w:r>
    </w:p>
    <w:p>
      <w:pPr>
        <w:pStyle w:val="Para 034"/>
      </w:pPr>
      <w:r>
        <w:bookmarkStart w:id="388" w:name="page_95"/>
        <w:t>Ý tưởng ngắn gọn</w:t>
        <w:bookmarkEnd w:id="388"/>
        <w:t/>
      </w:r>
    </w:p>
    <w:p>
      <w:pPr>
        <w:pStyle w:val="Para 062"/>
      </w:pPr>
      <w:r>
        <w:t>Thách thức</w:t>
      </w:r>
    </w:p>
    <w:p>
      <w:pPr>
        <w:pStyle w:val="Para 019"/>
      </w:pPr>
      <w:r>
        <w:t>Những người chuyên nghiệp thực hiện hành động dũng cảm — chẳng hạn như thúc đẩy thay đổi một chính sách sai sót hoặc lên tiếng phản đối hành vi phi đạo đức — đang đánh cược danh tiếng và thậm chí cả công việc của mình.</w:t>
      </w:r>
    </w:p>
    <w:p>
      <w:pPr>
        <w:pStyle w:val="Para 062"/>
      </w:pPr>
      <w:r>
        <w:t>Cách tốt hơn</w:t>
      </w:r>
    </w:p>
    <w:p>
      <w:pPr>
        <w:pStyle w:val="Para 019"/>
      </w:pPr>
      <w:r>
        <w:t>Những người thành công trong hành động dũng cảm, hoặc chịu ít hậu quả tiêu cực hơn, thường thể hiện một số hành vi và phẩm chất nhất định: Họ chuẩn bị nền tảng cho hành động; họ chọn trận chiến một cách cẩn thận; họ quản lý cách truyền tải thông điệp và cảm xúc; và họ theo sát sau đó.</w:t>
      </w:r>
    </w:p>
    <w:p>
      <w:pPr>
        <w:pStyle w:val="Para 062"/>
      </w:pPr>
      <w:r>
        <w:t>Bắt đầu</w:t>
      </w:r>
    </w:p>
    <w:p>
      <w:pPr>
        <w:pStyle w:val="Para 019"/>
      </w:pPr>
      <w:r>
        <w:t>Một cách hay để học và thành thạo các hành vi dũng cảm một cách khéo léo là tham gia vào những hành động nhỏ hằng ngày trước khi tiến tới những hành động khó hơn. Trên hết, hãy luôn đặt giá trị và mục đích của bạn lên hàng đầu.</w:t>
      </w:r>
    </w:p>
    <w:p>
      <w:pPr>
        <w:pStyle w:val="Para 003"/>
      </w:pPr>
      <w:r>
        <w:t>Trong số những người tôi nghiên cứu mà không tạo ra được thay đổi tích cực, hầu hết vẫn nghĩ việc chấp nhận rủi ro của họ là điều đúng đắn. Họ tự hào vì đã đứng lên bảo vệ điều mình tin tưởng — nhưng họ ước mình đã làm điều đó khéo léo hơn. Tuân theo bốn nguyên tắc được trình bày ở đây có thể giúp mọi người ở mọi cấp độ tăng cơ hội tạo ra thay đổi tích cực khi họ quyết định hành động.</w:t>
      </w:r>
    </w:p>
    <w:p>
      <w:pPr>
        <w:pStyle w:val="Para 011"/>
      </w:pPr>
      <w:r>
        <w:t>Chuẩn bị nền tảng</w:t>
      </w:r>
    </w:p>
    <w:p>
      <w:pPr>
        <w:pStyle w:val="Para 003"/>
      </w:pPr>
      <w:r>
        <w:t>Nghiên cứu của tôi cho thấy những nhân viên có hành động dũng cảm nơi công sở mang lại kết quả tốt thường đã dành nhiều tháng hoặc nhiều năm để chứng minh rằng họ xuất sắc trong công việc, rằng họ gắn bó với tổ chức, và rằng họ công bằng. Họ đã cho thấy họ có thể vừa đứng tách biệt vừa đứng cùng những người mà họ cần sự ủng hộ. Khi làm vậy, họ đã tích lũy được cái mà các nhà tâm lý học gọi là tín dụng cá tính riêng (idiosyncrasy credits) — một kho thiện chí có được từ lịch sử năng lực và sự tuân thủ của họ — mà họ có thể dùng đến khi thách thức các chuẩn mực hoặc những người có nhiều quyền lực hơn. (Tôi cũng từng thấy điều ngược lại: Khi những người mang tiếng ích kỷ hoặc ác ý đứng lên đòi thay đổi chính đáng, họ thường ít thành công hơn.)</w:t>
        <w:bookmarkStart w:id="389" w:name="page_96"/>
        <w:t/>
        <w:bookmarkEnd w:id="389"/>
        <w:t/>
      </w:r>
    </w:p>
    <w:p>
      <w:pPr>
        <w:pStyle w:val="Para 003"/>
      </w:pPr>
      <w:r>
        <w:t>Những người dũng cảm một cách khéo léo cũng nỗ lực giành lấy lòng tin của những người xem họ là người tiên phong. Họ cũng đầu tư vào các mối quan hệ đó — tương tác với từng người, dành thời gian đồng cảm với họ, và giúp họ phát triển chuyên môn.</w:t>
      </w:r>
    </w:p>
    <w:p>
      <w:pPr>
        <w:pStyle w:val="Para 003"/>
      </w:pPr>
      <w:r>
        <w:t>Hãy xem trường hợp của Catherine Gill, cựu phó chủ tịch cấp cao phụ trách gây quỹ và truyền thông tại quỹ đầu tư xã hội phi lợi nhuận Root Capital. Gill muốn lên tiếng về điều mà cô và các đồng nghiệp coi là sự thiên vị nội bộ vô tình nhưng rõ ràng đối với phụ nữ của tổ chức. Vấn đề đặc biệt tế nhị vì chỉ trích ban lãnh đạo có thể dễ bị coi là chỉ trích sứ mệnh có ý thức xã hội của tổ chức. Nhưng cô đã có thể khởi xướng một cuộc trò chuyện trung thực — dù đau đớn — với các đồng nghiệp trong ban quản lý cấp cao về văn hóa của tổ chức, dẫn đến một số thay đổi cụ thể.</w:t>
      </w:r>
    </w:p>
    <w:p>
      <w:pPr>
        <w:pStyle w:val="Para 003"/>
      </w:pPr>
      <w:r>
        <w:t>Thành tích xuất sắc và hòa nhập của Gill tại tổ chức là nền tảng cho thành công của cô. Trong hai năm đầu tại Root Capital, cô liên tục đạt hiệu suất cao trong vai trò gây quỹ và thể hiện trí tuệ cảm xúc lẫn trí tuệ lý trí để điều hướng các vấn đề phức tạp. Cô cho thấy mình cam kết sâu sắc với sứ mệnh của tổ chức, thường xuyên điều chỉnh vai trò để giải quyết những thách thức cấp bách nhất và cho thấy các sáng kiến cô khởi xướng phù hợp với các ưu tiên chiến lược cốt lõi ra sao. Cô cẩn thận chỉ ra khi nào cô không coi điều gì đó là vấn đề giới tính để mọi người ở cả hai phía thấy cô công bằng. Tất cả những điều đó đã cho cô tín dụng cá tính riêng cần thiết để ban lãnh đạo lắng nghe. Cô xác định giới hạn của những thay đổi khả thi để không thúc ép quá xa và bị "loại khỏi cuộc chơi". Nhờ đạo đức làm việc, khả năng phán đoán và sự hài hước, cô đã tạo tiền đề cho những khoảnh khắc hành động dũng cảm rõ ràng hơn.</w:t>
      </w:r>
    </w:p>
    <w:p>
      <w:pPr>
        <w:pStyle w:val="Para 003"/>
      </w:pPr>
      <w:r>
        <w:bookmarkStart w:id="390" w:name="page_97"/>
        <w:t>Đôi khi mọi chuyện không suôn sẻ, ngay cả khi đã chuẩn bị tốt nhất. Những người dũng cảm một cách khéo léo phát triển các cơ chế để giảm thiểu hậu quả tiêu cực. Điều đó có thể nghĩa là tìm cách khiến bản thân trở nên không thể thiếu đối với tổ chức, giữ ngỏ các lựa chọn bên ngoài, hoặc giảm thiểu sự phụ thuộc kinh tế vào nhà tuyển dụng. Ví dụ, cựu lãnh đạo Telecom Italia Franco Bernabè đã từ chối nhiều đặc quyền đi kèm vị trí CEO của một công ty lớn, vì biết rằng làm vậy giúp ông dễ chấp nhận rủi ro hơn. "Nếu tôi mất việc," ông nói, "và quay lại với điều gì đó giản dị hơn và kém hào nhoáng hơn — thì điều đó cũng chẳng thay đổi cuộc đời tôi."</w:t>
        <w:bookmarkEnd w:id="390"/>
        <w:t/>
      </w:r>
    </w:p>
    <w:p>
      <w:pPr>
        <w:pStyle w:val="Para 011"/>
      </w:pPr>
      <w:r>
        <w:t>Chọn trận chiến của bạn</w:t>
      </w:r>
    </w:p>
    <w:p>
      <w:pPr>
        <w:pStyle w:val="Para 003"/>
      </w:pPr>
      <w:r>
        <w:t>Không phải cơ hội thể hiện lòng dũng cảm nào cũng đáng để nắm lấy. Những người tôi nghiên cứu mà thành công trong hành động dũng cảm đã tự hỏi mình hai câu trước khi tiến hành: Điều này có thực sự quan trọng không? và, Đây có phải thời điểm thích hợp không?</w:t>
      </w:r>
    </w:p>
    <w:p>
      <w:pPr>
        <w:pStyle w:val="Para 003"/>
      </w:pPr>
      <w:r>
        <w:t>Tầm quan trọng, tất nhiên, nằm trong mắt người nhìn. Nó phụ thuộc vào mục tiêu và giá trị của bạn cũng như của đồng nghiệp, các bên liên quan và chính tổ chức. Khi đánh giá xem một vấn đề có thực sự quan trọng hay không, hãy nhận biết các yếu tố kích hoạt cảm xúc của bạn; hãy để chúng cung cấp thông tin nhưng đừng để chúng khống chế bạn. Cũng hãy đánh giá xem việc tham gia vào một trận chiến tiềm năng — dù kết quả có ra sao — có khả năng giúp ích hay cản trở việc giành chiến thắng cả cuộc chiến hay không. Ví dụ, hãy tự hỏi: Liệu việc đảm bảo nguồn lực để giải quyết vấn đề này có làm giảm khả năng một đề xuất ưu tiên cao hơn sau đó được cấp vốn không?</w:t>
      </w:r>
    </w:p>
    <w:p>
      <w:pPr>
        <w:pStyle w:val="Para 003"/>
      </w:pPr>
      <w:r>
        <w:t xml:space="preserve">Những người dũng cảm một cách khéo léo là bậc thầy về chọn đúng thời điểm. Để tránh bị coi là người lặp đi lặp lại mãi một điều, họ ít có khả năng hành động nếu gần đây họ vừa dùng đến tín dụng cá tính riêng khó kiếm được. Họ quan sát những gì đang diễn ra xung quanh, và nếu thời điểm có vẻ không phù hợp, họ kiên nhẫn chờ đợi. Họ quét môi trường để tìm các sự kiện và xu hướng có thể hỗ trợ nỗ lực của mình, chẳng hạn như tận dụng tối đa một thay đổi tổ chức hoặc sự xuất hiện của một đồng minh mới. Họ luôn nhạy bén với các chu kỳ chú ý — những đợt dâng trào nhiệt tình của công chúng đối với vấn đề đang bàn. Ví dụ, việc thúc đẩy một chiến lược hoặc đội ngũ lãnh đạo mang tính đại diện toàn cầu hơn từng là điều rủi ro trong nhiều tổ chức trong một thời gian dài; giờ đây các công ty cởi mở hơn trong việc giải quyết những vấn đề đó. Trừ khi họ kết luận rằng hành động là cần thiết để giữ gìn cảm giác liêm chính của bản thân hoặc để gieo mầm cho một ý tưởng, những người dũng cảm một cách khéo léo sẽ không hành động trước khi những người xung quanh sẵn sàng coi trọng họ.</w:t>
        <w:bookmarkStart w:id="391" w:name="page_98"/>
        <w:t/>
        <w:bookmarkEnd w:id="391"/>
        <w:t/>
      </w:r>
    </w:p>
    <w:p>
      <w:pPr>
        <w:pStyle w:val="Para 003"/>
      </w:pPr>
      <w:r>
        <w:t>Ví dụ, khi "Mandy" gia nhập một công ty phụ kiện và quần áo với vai trò quản lý sản phẩm, cô nhanh chóng nhận ra một trong những nhà cung cấp của công ty rất có vấn đề. Đại diện của họ thô lỗ, không trung thực và hay thao túng, còn bản thân sản phẩm thì kém chất lượng. Tuy nhiên, mối quan hệ giữa hai công ty đã có từ lâu và bao gồm cả tình bạn giữa hai quản lý chủ chốt. Mandy đã khôn ngoan chờ đợi; cô không đề xuất thay đổi cho đến sáu tháng sau. Đến lúc đó cô đã chứng minh được sự gắn bó của mình với tổ chức, và cô có thể đánh giá tốt hơn mối quan hệ giữa những người liên quan. Cô dùng thời gian chờ đợi đó để thu thập bằng chứng về các vấn đề, xác định các nhà cung cấp thay thế, và định lượng những cải thiện mà họ có thể mang lại. Cuối cùng khi cô đưa ra đề xuất, vị phó chủ tịch phụ trách đã phản hồi tích cực.</w:t>
      </w:r>
    </w:p>
    <w:p>
      <w:pPr>
        <w:pStyle w:val="Para 003"/>
      </w:pPr>
      <w:r>
        <w:t>Trong một số trường hợp, các điều kiện hoặc sự kiện như doanh số sụt giảm hoặc thay đổi lãnh đạo tạo ra sự cấp bách cho các hành động dũng cảm — và khiến chúng có nhiều khả năng thành công hơn. Tachi Yamada, một bác sĩ-nhà khoa học chuyển sang làm lãnh đạo doanh nghiệp, là bậc thầy trong việc nắm bắt thời cơ trong suốt sự nghiệp thành công với tư cách là giám đốc điều hành cấp cao trong lĩnh vực chăm sóc sức khỏe. Khi Yamada trở thành người đứng đầu bộ phận R&amp;D tại Smith Kline Beecham vào năm 1999, ông nhanh chóng kết luận rằng tổ chức R&amp;D cần được tái cấu trúc theo các lĩnh vực bệnh hoặc "tài sản" (các phân tử hoặc hợp chất có thể cuối cùng được đưa ra thị trường) thay vì các silo truyền thống. Khi một vụ sáp nhập với một gã khổng lồ dược phẩm khác — Glaxo — được công bố, ông đã vận động để chức năng R&amp;D của công ty hợp nhất được cấu trúc theo cách đó. Đề xuất không được đón nhận nồng nhiệt. Các lãnh đạo R&amp;D và các nhà khoa học tại Glaxo đặc biệt khó chịu; đây là anh chàng mới đến từ công ty nhỏ hơn nhiều trong vụ sáp nhập bảo họ rằng họ cần một thay đổi lớn. Họ "gần như đồng loạt chống lại tôi," Yamada nhớ lại. Nhưng ông biết rằng thời điểm có thể được dùng làm lợi thế cho mình: "Vụ sáp nhập và đường ống sản phẩm mỏng ở cả hai công ty đã cho tôi một cương vị buộc phải hành động (burning platform)." Nỗ lực thúc đẩy tái cấu trúc của ông thành công một phần nhờ khả năng nhận ra cơ hội và tận dụng nó.</w:t>
      </w:r>
    </w:p>
    <w:p>
      <w:pPr>
        <w:pStyle w:val="Para 011"/>
      </w:pPr>
      <w:r>
        <w:t>Thuyết phục đúng thời điểm</w:t>
      </w:r>
    </w:p>
    <w:p>
      <w:pPr>
        <w:pStyle w:val="Para 003"/>
      </w:pPr>
      <w:r>
        <w:t xml:space="preserve">Dũng cảm nơi công sở, tất nhiên, không chỉ là sự chuẩn bị. Cuối cùng bạn phải hành động. Trong bước này, những người dũng cảm một cách khéo léo tập trung chủ yếu vào ba điều: định hình vấn đề của họ bằng ngôn ngữ mà người nghe có thể liên hệ, sử dụng dữ liệu một cách hiệu quả, và quản lý cảm xúc trong phòng. (Xem "Đọc thêm" để biết thêm về thuyết phục.) Họ kết nối chương trình nghị sự của mình với các ưu tiên hoặc giá trị của tổ chức, hoặc giải thích cách nó giải quyết các lĩnh vực quan ngại then chốt của các bên liên quan. Họ đảm bảo những người ra quyết định cảm thấy được tham gia — chứ không bị công kích hay gạt sang một bên.</w:t>
      </w:r>
      <w:hyperlink w:anchor="page_99">
        <w:r>
          <w:rPr>
            <w:rStyle w:val="Text1"/>
          </w:rPr>
          <w:t/>
        </w:r>
      </w:hyperlink>
      <w:r>
        <w:t xml:space="preserve"/>
      </w:r>
    </w:p>
    <w:p>
      <w:pPr>
        <w:pStyle w:val="Para 054"/>
      </w:pPr>
      <w:r>
        <w:bookmarkStart w:id="392" w:name="page_99"/>
        <w:t>Đọc thêm</w:t>
        <w:bookmarkEnd w:id="392"/>
        <w:t/>
      </w:r>
    </w:p>
    <w:p>
      <w:pPr>
        <w:pStyle w:val="Para 004"/>
      </w:pPr>
      <w:r>
        <w:t>"Get the Boss to Buy In," của Susan J. Ashford và James R. Detert (HBR, tháng 1−2 năm 2015)</w:t>
      </w:r>
    </w:p>
    <w:p>
      <w:pPr>
        <w:pStyle w:val="Para 004"/>
      </w:pPr>
      <w:r>
        <w:t>"Harnessing the Science of Persuasion," của Robert B. Cialdini (HBR, tháng 10 năm 2001)</w:t>
      </w:r>
    </w:p>
    <w:p>
      <w:pPr>
        <w:pStyle w:val="Para 004"/>
      </w:pPr>
      <w:r>
        <w:t xml:space="preserve">"Conducting Difficult Conversations," của Karen Dillon trong HBR Guide to Office Politics (HBR Press, 2014)</w:t>
      </w:r>
      <w:r>
        <w:rPr>
          <w:rStyle w:val="Text0"/>
        </w:rPr>
        <w:t/>
      </w:r>
      <w:r>
        <w:t xml:space="preserve"/>
      </w:r>
    </w:p>
    <w:p>
      <w:pPr>
        <w:pStyle w:val="Para 004"/>
      </w:pPr>
      <w:r>
        <w:t>"The Necessary Art of Persuasion," của Jay A. Conger (HBR, tháng 5−6 năm 1998)</w:t>
      </w:r>
    </w:p>
    <w:p>
      <w:pPr>
        <w:pStyle w:val="Para 004"/>
      </w:pPr>
      <w:r>
        <w:t>"Moves That Matter: Issue Selling and Organizational Change," của Jane E. Dutton, Susan J. Ashford, Regina M. O'Neill, và Katherine A. Lawrence (Academy of Management Journal, 2001)</w:t>
      </w:r>
      <w:r>
        <w:rPr>
          <w:rStyle w:val="Text0"/>
        </w:rPr>
        <w:t/>
      </w:r>
      <w:r>
        <w:t/>
      </w:r>
    </w:p>
    <w:p>
      <w:pPr>
        <w:pStyle w:val="Para 087"/>
      </w:pPr>
      <w:r>
        <w:t>Giving Voice to Values: How to Speak Your Mind When You Know What's Right, của Mary C. Gentile (Yale University Press, 2012)</w:t>
      </w:r>
      <w:r>
        <w:rPr>
          <w:rStyle w:val="Text0"/>
        </w:rPr>
        <w:t/>
      </w:r>
    </w:p>
    <w:p>
      <w:pPr>
        <w:pStyle w:val="Para 087"/>
      </w:pPr>
      <w:r>
        <w:t>Made to Stick: Why Some Ideas Survive and Others Die, của Chip Heath và Dan Heath (Random House, 2007)</w:t>
      </w:r>
      <w:r>
        <w:rPr>
          <w:rStyle w:val="Text0"/>
        </w:rPr>
        <w:t/>
      </w:r>
    </w:p>
    <w:p>
      <w:pPr>
        <w:pStyle w:val="Para 003"/>
      </w:pPr>
      <w:r>
        <w:bookmarkStart w:id="393" w:name="page_100"/>
        <w:t>Mel Exon, cựu giám đốc điều hành tại công ty quảng cáo Bartle Bogle Hegarty (BBH), rất giỏi trong việc định hình các đề xuất theo cách khiến chúng trở nên hấp dẫn với những người mà cô cần nhận được sự ủng hộ. Ví dụ, khi Exon và một đồng nghiệp lần đầu trình bày ý tưởng về một đơn vị đổi mới nội bộ—BBH Labs—lên ban lãnh đạo cấp cao, sự ủng hộ không hề đồng thuận. Một số giám đốc lo ngại rằng việc thành lập một nhóm đổi mới riêng biệt sẽ ngầm ám chỉ rằng một số bộ phận của BBH không sáng tạo. Đây là điều đáng lo ngại ở một công ty vốn tự hào coi mình là kẻ có tầm nhìn ngược dòng trong ngành, với hình ảnh con cừu đen làm danh thiếp.</w:t>
        <w:bookmarkEnd w:id="393"/>
        <w:t xml:space="preserve"/>
      </w:r>
      <w:r>
        <w:rPr>
          <w:rStyle w:val="Text0"/>
        </w:rPr>
        <w:t/>
      </w:r>
      <w:r>
        <w:t xml:space="preserve"/>
      </w:r>
    </w:p>
    <w:p>
      <w:pPr>
        <w:pStyle w:val="Para 003"/>
      </w:pPr>
      <w:r>
        <w:t>Để thuyết phục những người hoài nghi rằng BBH Labs phù hợp về mặt triết lý với sứ mệnh của công ty, Exon đã tận dụng niềm tự hào của các bên liên quan nội bộ về hình ảnh con cừu đen, chỉ ra rằng một số khách hàng của BBH đã tìm đến công ty chính vì những ý tưởng đột phá. Một phòng thí nghiệm tập trung vào đổi mới sẽ đáp ứng chính xác nhu cầu đó. Cô đã thuyết phục những người khác bằng cách mô tả công việc của phòng thí nghiệm mới như hoạt động trinh sát tiền phương, hứa rằng mọi người trong công ty sẽ cùng chia sẻ những phát hiện của nó. Cuối cùng Exon đã nhận được sự bật đèn xanh từ ban lãnh đạo cấp cao, và sau đó CEO của BBH đã khen ngợi cách tiếp cận của cô, mô tả đó là việc xây dựng dựa trên DNA của công ty thay vì cố gắng thay đổi nó.</w:t>
      </w:r>
    </w:p>
    <w:p>
      <w:pPr>
        <w:pStyle w:val="Para 003"/>
      </w:pPr>
      <w:r>
        <w:t>Giữ bình tĩnh khi thực hiện hành động dũng cảm của bạn có thể cũng quan trọng như cách bạn trình bày lập luận của mình. Một nhà quản lý mà tôi sẽ gọi là Erik, người được giao nhiệm vụ phát triển mảng kinh doanh năng lượng mặt trời tại một trong những tập đoàn đa quốc gia lớn nhất thế giới, thường xuyên đụng độ với các giám đốc điều hành cấp cao ở các mảng kinh doanh truyền thống của công ty. Khi anh tìm kiếm sự ủng hộ của họ cho các mô hình kinh doanh mới, họ thường phản đối, nói thẳng với anh rằng, "Chúng tôi không làm thế" hoặc "Điều đó sẽ không bao giờ hiệu quả ở đây." Các cuộc thảo luận có thể trở nên căng thẳng, và Erik thường cảm thấy bực bội vì thái độ phòng thủ của các giám đốc. Nhưng thay vì mắc bẫy cảm xúc, anh tự nhắc mình rằng phản ứng của họ là phản ứng bình thường trước nỗi sợ những điều chưa biết. Thừa nhận tư duy đó đã giúp anh giữ bình tĩnh và tập trung vào việc đơn giản là đưa ra các lập luận dựa trên dữ liệu. Cuối cùng, anh đã có thể đưa những người khác về phía quan điểm của mình, và mảng kinh doanh đã có một bước chuyển mạnh mẽ theo chiến lược mà anh đề xuất.</w:t>
      </w:r>
    </w:p>
    <w:p>
      <w:pPr>
        <w:pStyle w:val="Para 011"/>
      </w:pPr>
      <w:r>
        <w:bookmarkStart w:id="394" w:name="page_101"/>
        <w:t>Theo dõi sau hành động</w:t>
        <w:bookmarkEnd w:id="394"/>
        <w:t/>
      </w:r>
    </w:p>
    <w:p>
      <w:pPr>
        <w:pStyle w:val="Para 003"/>
      </w:pPr>
      <w:r>
        <w:t>Những người thể hiện lòng dũng cảm có năng lực sẽ theo dõi sau khi họ hành động, bất kể kết quả ra sao. Họ quản lý các mối quan hệ với những người liên quan: Khi mọi việc suôn sẻ, họ cảm ơn những người ủng hộ và chia sẻ công trạng. Khi mọi việc tồi tệ, họ giải quyết những cảm xúc còn đọng lại và hàn gắn mối quan hệ với những người có thể bị tổn thương hoặc tức giận.</w:t>
      </w:r>
    </w:p>
    <w:p>
      <w:pPr>
        <w:pStyle w:val="Para 003"/>
      </w:pPr>
      <w:r>
        <w:t>Ví dụ, Catherine Gill đã đưa ra quyết định ngay tại thời điểm đó để phát động chiến dịch thay đổi văn hóa tại Root Capital trong một kỳ nghỉ dưỡng với khoảng 30 lãnh đạo có mặt. Nhưng do quyết định tự phát của mình, cô đã khiến CEO bất ngờ. Biết rằng cuộc trò chuyện rất khó khăn diễn ra sau đó có thể khiến ông cảm thấy như một bản cáo trạng về khả năng lãnh đạo của mình—và rằng ông có thể coi hành động của cô là một cuộc tấn công cá nhân—Gill đã gặp riêng ông vào bữa tối hôm đó. Cô đảm bảo với ông rằng cô không cố gắng khơi mào một cuộc cách mạng; cô đang cố gắng thúc đẩy sự tiến hóa của công ty thành hình thái lý tưởng của nó.</w:t>
      </w:r>
    </w:p>
    <w:p>
      <w:pPr>
        <w:pStyle w:val="Para 003"/>
      </w:pPr>
      <w:r>
        <w:t>Theo dõi sau hành động cũng có nghĩa là tiếp tục theo đuổi chương trình nghị sự của bạn vượt ra ngoài khoảnh khắc hành động lớn đầu tiên. Ngay cả khi các bước đi ban đầu của họ suôn sẻ, những người dũng cảm có năng lực vẫn tiếp tục vận động, tìm kiếm nguồn lực và đảm bảo những người khác thực hiện lời hứa. Và khi mọi việc không suôn sẻ, họ bình thản đón nhận, coi những trở ngại là cơ hội học hỏi thay vì trốn tránh hậu quả hoặc bỏ cuộc.</w:t>
      </w:r>
    </w:p>
    <w:p>
      <w:pPr>
        <w:pStyle w:val="Para 003"/>
      </w:pPr>
      <w:r>
        <w:t xml:space="preserve">Lấy Fred Keller làm ví dụ, người đã thiết lập một chương trình từ trợ cấp xã hội đến sự nghiệp tại công ty do ông sáng lập, Cascade Engineering. Trong phiên bản đầu tiên của sáng kiến này, những người tham gia thường đi muộn hoặc vắng mặt, và hiệu suất của họ kém. Trong vòng vài tuần, không một nhân viên mới nào ở lại, và các nhân viên cùng giám sát viên của Cascade cảm thấy bực bội. Thay vì bỏ cuộc, Keller coi thất bại là cơ hội để học hỏi. Nhận thấy rằng cả Cascade lẫn những nhân viên mới đều chưa được chuẩn bị tốt cho chương trình, ông đã khôi phục nó với nhiều khóa đào tạo hơn cho tất cả mọi người liên quan. Khi nỗ lực thứ hai này có vẻ sắp đi đến một kết cục tương tự, Keller đã tận dụng những lời chỉ trích ngày càng tăng để làm cho đúng. Ông tiếp tục tăng cường đào tạo lãnh đạo và hợp tác với một quan chức quận để đưa một nhân viên xã hội đến làm việc tại chỗ với những nhân viên mới nhằm xác định và giải quyết vấn đề trước khi chúng leo thang. Lần này sự kiên trì và học hỏi của Keller đã được đền đáp: Chương trình hiện là một phần cốt lõi của tổ chức và được ca ngợi rộng rãi như một hình mẫu để chuyển đổi con người từ trợ cấp xã hội sang công việc. Và nhờ sự kiên trì của mình, Keller đã nhận được lòng trung thành to lớn từ nhân viên ở mọi cấp bậc của công ty.</w:t>
        <w:bookmarkStart w:id="395" w:name="page_102"/>
        <w:t/>
        <w:bookmarkEnd w:id="395"/>
        <w:t/>
      </w:r>
    </w:p>
    <w:p>
      <w:pPr>
        <w:pStyle w:val="Para 011"/>
      </w:pPr>
      <w:r>
        <w:t>Bắt đầu</w:t>
      </w:r>
    </w:p>
    <w:p>
      <w:pPr>
        <w:pStyle w:val="Para 003"/>
      </w:pPr>
      <w:r>
        <w:t>Lòng dũng cảm không chỉ cần thiết cho các chiến dịch có tính rủi ro cao. Nghiên cứu của tôi cùng với Evan Bruno, một nghiên cứu sinh tiến sĩ tại Darden, cho thấy rất nhiều hành động hàng ngày đòi hỏi nhân viên phải hành động một cách dũng cảm. Đôi khi chỉ đơn giản là làm tốt công việc của mình cũng cần đến lòng dũng cảm. Cũng đáng lưu ý rằng "rủi ro" bao hàm nhiều thứ hơn là viễn cảnh phá sản tài chính hoặc bị sa thải. Con người tự nhiên sợ bị từ chối, bối rối và đủ loại hậu quả xã hội và kinh tế khác. Ví dụ, nhìn từ bên ngoài, có thể dễ dàng đặt câu hỏi liệu hành động của Fred Keller có cần đến lòng dũng cảm hay không. Là chủ sở hữu công ty, Keller có thể làm bất cứ điều gì ông muốn, vậy rủi ro ở đâu? Nhưng trong nhiều năm, ông đã phải đối mặt với những người hoài nghi cả bên trong lẫn bên ngoài tổ chức của mình. Kiên trì khi biết rằng mọi người có thể nghĩ ông là một "kẻ gàn dở" hoặc rằng ông đang lãng phí thời gian hoặc tiền bạc cần có lòng dũng cảm.</w:t>
      </w:r>
    </w:p>
    <w:p>
      <w:pPr>
        <w:pStyle w:val="Para 003"/>
      </w:pPr>
      <w:r>
        <w:t xml:space="preserve">Tin tốt là trải nghiệm của những người tôi nghiên cứu cho thấy các hành vi dũng cảm có năng lực có thể học được. Chúng phụ thuộc vào nỗ lực và luyện tập, chứ không phải vào một nét tính cách anh hùng nào đó chỉ dành cho số ít. (Vì vậy đừng dùng điều đó làm cái cớ để tự tha cho mình nếu bạn thấy mình ở trong một tình huống đòi hỏi lòng dũng cảm!) Một lời khuyên tôi dành cho sinh viên và khách hàng: Đừng nhảy ngay vào chỗ nước sâu. Thay vào đó, hãy tiếp cận công việc này một cách từ từ bằng cách thử những hành động nhỏ hơn, dễ quản lý hơn trước khi tiến tới những hành động khó hơn dần dần. Điều đó có thể có nghĩa là có một cuộc trò chuyện khó khăn trong một lĩnh vực khác của cuộc sống, hoặc đề cập đến một chủ đề khó nói với một đồng nghiệp mà bạn quý mến và tôn trọng, trước khi đối mặt với sếp về hành vi hạ thấp người khác. Nó có thể có nghĩa là định hướng nhóm của bạn theo một hướng mới trước khi đề xuất một sự chuyển đổi của toàn bộ tổ chức. Và hãy cân nhắc xem "nhỏ" có nghĩa là gì đối với bạn—tất cả chúng ta đều có nhận thức khác nhau về những hành động nào cần đến lòng dũng cảm. (Để xem nhận thức của bạn về điều gì cần lòng dũng cảm so với những người khác như thế nào, hãy làm bài tự đánh giá Workplace Courage Acts Index của chúng tôi tại www.workplacecai.com.) Sau đó, khi bạn giải quyết từng bước, hãy tập trung vào những gì bạn học được, chứ không phải liệu nó có hoàn hảo ngay lần đầu tiên hay không.</w:t>
        <w:bookmarkStart w:id="396" w:name="page_103"/>
        <w:t/>
        <w:bookmarkEnd w:id="396"/>
        <w:t xml:space="preserve"/>
      </w:r>
      <w:hyperlink r:id="rId83">
        <w:r>
          <w:rPr>
            <w:rStyle w:val="Text1"/>
          </w:rPr>
          <w:t/>
        </w:r>
      </w:hyperlink>
      <w:r>
        <w:t/>
      </w:r>
    </w:p>
    <w:p>
      <w:pPr>
        <w:pStyle w:val="Para 003"/>
      </w:pPr>
      <w:r>
        <w:t>Trên hết, hãy đặt các giá trị và mục đích của bạn lên hàng đầu và làm trung tâm. Bạn sẽ có ý thức tự trọng mạnh mẽ hơn qua bất kỳ trở ngại nào bạn gặp phải, và bạn sẽ ít có khả năng hối tiếc về hành động của mình hơn, bất kể mọi việc diễn ra thế nào. Và bằng cách sử dụng các nguyên tắc được thảo luận trong bài viết này, bạn sẽ tăng cơ hội tạo ra sự thay đổi thành công, khiến những rủi ro bạn chấp nhận càng trở nên đáng giá hơn.</w:t>
      </w:r>
    </w:p>
    <w:p>
      <w:pPr>
        <w:pStyle w:val="Para 044"/>
      </w:pPr>
      <w:r>
        <w:t xml:space="preserve">Đăng lần đầu vào tháng 11–12 năm 2018. Tái bản R1806K</w:t>
      </w:r>
      <w:r>
        <w:rPr>
          <w:rStyle w:val="Text10"/>
        </w:rPr>
        <w:t/>
      </w:r>
    </w:p>
    <w:p>
      <w:pPr>
        <w:pStyle w:val="Para 088"/>
      </w:pPr>
      <w:r>
        <w:drawing>
          <wp:anchor distL="0" distR="0" distT="0" distB="0" simplePos="0" relativeHeight="1" behindDoc="0" locked="0" layoutInCell="1" allowOverlap="1">
            <wp:simplePos x="0" y="0"/>
            <wp:positionH relativeFrom="margin">
              <wp:align>left</wp:align>
            </wp:positionH>
            <wp:positionV relativeFrom="line">
              <wp:align>top</wp:align>
            </wp:positionV>
            <wp:extent cx="1778000" cy="0"/>
            <wp:effectExtent l="0" r="0" t="0" b="0"/>
            <wp:wrapTopAndBottom/>
            <wp:docPr id="33" name="line.png" descr="image"/>
            <wp:cNvGraphicFramePr>
              <a:graphicFrameLocks noChangeAspect="1"/>
            </wp:cNvGraphicFramePr>
            <a:graphic>
              <a:graphicData uri="http://schemas.openxmlformats.org/drawingml/2006/picture">
                <pic:pic>
                  <pic:nvPicPr>
                    <pic:cNvPr id="0" name="line.png" descr="image"/>
                    <pic:cNvPicPr/>
                  </pic:nvPicPr>
                  <pic:blipFill>
                    <a:blip r:embed="rId20"/>
                    <a:stretch>
                      <a:fillRect/>
                    </a:stretch>
                  </pic:blipFill>
                  <pic:spPr>
                    <a:xfrm>
                      <a:off x="0" y="0"/>
                      <a:ext cx="1778000" cy="0"/>
                    </a:xfrm>
                    <a:prstGeom prst="rect">
                      <a:avLst/>
                    </a:prstGeom>
                  </pic:spPr>
                </pic:pic>
              </a:graphicData>
            </a:graphic>
          </wp:anchor>
        </w:drawing>
      </w:r>
    </w:p>
    <w:p>
      <w:pPr>
        <w:pStyle w:val="Para 089"/>
      </w:pPr>
      <w:r>
        <w:t>Cách Lên Tiếng Về Bất Công Chủng Tộc Tại Nơi Làm Việc</w:t>
      </w:r>
    </w:p>
    <w:p>
      <w:pPr>
        <w:pStyle w:val="Para 090"/>
      </w:pPr>
      <w:r>
        <w:t>của James R. Detert và Laura Morgan Roberts</w:t>
      </w:r>
    </w:p>
    <w:p>
      <w:pPr>
        <w:pStyle w:val="Para 003"/>
      </w:pPr>
      <w:r>
        <w:t>Trong thời điểm đau đớn, giận dữ và sự chú ý tập thể dồn vào các vấn đề bất công chủng tộc, nhiều người—đặc biệt là người Mỹ gốc Phi—đang nắm bắt thời cơ để nói lên sự thật với quyền lực tại nơi làm việc. Họ đang yêu cầu các nhà lãnh đạo cấp cao chịu trách nhiệm về những cam kết tăng cường sự đa dạng của họ; đối mặt với các đồng nghiệp hoặc khách hàng có những bình luận thiếu tế nhị hoặc thiếu hiểu biết; và lên tiếng phê phán những người chế giễu phong trào Black Lives Matter hoặc bác bỏ những lời kêu gọi công lý và nhân quyền.</w:t>
      </w:r>
    </w:p>
    <w:p>
      <w:pPr>
        <w:pStyle w:val="Para 003"/>
      </w:pPr>
      <w:r>
        <w:t>Lên tiếng là việc mạo hiểm, nhưng các nghiên cứu đã chỉ ra rằng việc đối mặt với bất công dưới bất kỳ hình thức nào cũng vô cùng quan trọng. Đó là chìa khóa cho hạnh phúc cá nhân và tập thể, cho việc học hỏi, và cuối cùng là cho hiệu suất của tổ chức.</w:t>
      </w:r>
    </w:p>
    <w:p>
      <w:pPr>
        <w:pStyle w:val="Para 003"/>
      </w:pPr>
      <w:r>
        <w:t>Vậy làm thế nào bạn có thể đứng lên để thúc đẩy công lý chủng tộc trong chính tổ chức của mình, đồng thời cải thiện cơ hội dẫn dắt sự thay đổi từ bên trong, giảm thiểu rủi ro bị từ chối, và bảo toàn các lựa chọn nghề nghiệp cũng như sức khỏe tinh thần của bạn?</w:t>
      </w:r>
    </w:p>
    <w:p>
      <w:pPr>
        <w:pStyle w:val="Para 003"/>
      </w:pPr>
      <w:r>
        <w:bookmarkStart w:id="397" w:name="page_104"/>
        <w:t>Lên tiếng tại nơi làm việc là điều khó khăn, đặc biệt khi những người ở cấp trên có liên quan theo một cách nào đó. Chúng ta sợ—và có lý do chính đáng—rằng mình sẽ phải chịu tổn hại về sự nghiệp, xã hội, tâm lý hoặc các loại tổn hại khác vì thành thật về sự phân biệt đối xử. Ngay cả việc gợi ý về hành vi phân biệt chủng tộc cũng trực tiếp thách thức sự liêm chính của một người, làm tăng nguy cơ có phản ứng bùng nổ hoặc phòng thủ. Do đó, những người ủng hộ sự đa dạng phải đối mặt với hàng loạt hậu quả tiêu cực vì sự phản kháng rộng rãi đối với các nỗ lực có chủ đích nhằm thúc đẩy công bằng và hòa nhập.</w:t>
        <w:bookmarkEnd w:id="397"/>
        <w:t/>
      </w:r>
    </w:p>
    <w:p>
      <w:pPr>
        <w:pStyle w:val="Para 003"/>
      </w:pPr>
      <w:r>
        <w:t>Rủi ro đối với người da trắng khi lên tiếng đã cao, nhưng còn cao hơn nếu bạn là người Da đen. Nêu những vấn đề này với đồng nghiệp da trắng và bạn có nguy cơ bị coi là thiên vị, quá xúc động (ví dụ, quá tức giận), và hàng loạt định kiến tiêu cực khác có thể chẳng liên quan gì đến vấn đề bạn đang cố gắng giải quyết. Đây là một ví dụ tinh vi từ một người trong chúng tôi (Jim). Trong một lớp học của tôi, tôi đưa cho sinh viên một câu chuyện về một nhà quản lý Da đen bị một cấp dưới da trắng gọi bằng một từ miệt thị chủng tộc và tôi hỏi người sếp Da đen nên làm gì. Các sinh viên thường khuyên nhà quản lý này tìm đến bộ phận nhân sự để được giúp đỡ để anh ta không bị coi là bất công khi kỷ luật một cấp dưới da trắng. Khi được hỏi họ sẽ khuyên nhà quản lý đó thế nào nếu ông ta là người da trắng, một số sinh viên tương tự lại coi ông ta có khả năng tự mình thực hiện hành động kỷ luật đối với cấp dưới thuộc bất kỳ chủng tộc nào mà không cần sự giúp đỡ.</w:t>
      </w:r>
    </w:p>
    <w:p>
      <w:pPr>
        <w:pStyle w:val="Para 003"/>
      </w:pPr>
      <w:r>
        <w:t>Các hành động dũng cảm bắt nguồn từ sự sẵn sàng hy sinh sự an toàn và ổn định của con người vì một mục đích lớn hơn sự thăng tiến nghề nghiệp của họ. Nhưng điều đó không có nghĩa là bạn nên hời hợt khi nêu ra các vấn đề về công lý chủng tộc. Dưới đây là năm chiến lược giúp bạn tối đa hóa tác động của mình khi nói lên sự thật với quyền lực tại nơi làm việc.</w:t>
      </w:r>
    </w:p>
    <w:p>
      <w:pPr>
        <w:pStyle w:val="Para 011"/>
      </w:pPr>
      <w:r>
        <w:t>Sử dụng Đồng minh và Lên tiếng như một Tập thể</w:t>
      </w:r>
    </w:p>
    <w:p>
      <w:pPr>
        <w:pStyle w:val="Para 003"/>
      </w:pPr>
      <w:r>
        <w:t xml:space="preserve">Hãy tìm những đồng nghiệp có cùng chí hướng và cùng nhau nêu ra một vấn đề. Những người chúng tôi nghiên cứu cho biết việc lên tiếng theo nhóm về các vấn đề tại nơi làm việc hiệu quả hơn là hành động đơn lẻ vì một nhóm không thể bị gạt đi như "một kẻ bất mãn". Tiếng nói tập thể đặc biệt có tác động khi nó đến từ một liên minh đa văn hóa gồm các đồng minh. Sẽ khó bác bỏ các đồng minh không phải người Da đen với lý do họ thiên vị hoặc tư lợi, và một mặt trận thống nhất cho thấy các vấn đề của người Da đen là vấn đề của con người, quan trọng đối với mọi người trong cộng đồng. Nếu bạn không thể tìm thấy những người cộng tác cùng chí hướng trong công ty của mình, hãy sử dụng bằng chứng xã hội bằng cách chỉ ra những người khác có cùng quan điểm với bạn (lý tưởng nhất là chọn một người có quan điểm được đối tượng mục tiêu của bạn hết sức tôn trọng).</w:t>
        <w:bookmarkStart w:id="398" w:name="page_105"/>
        <w:t/>
        <w:bookmarkEnd w:id="398"/>
        <w:t/>
      </w:r>
    </w:p>
    <w:p>
      <w:pPr>
        <w:pStyle w:val="Para 003"/>
      </w:pPr>
      <w:r>
        <w:t>Ví dụ về các nhóm đã áp dụng áp lực tập thể để thay đổi thể chế chống phân biệt chủng tộc bao gồm các nhân viên của Google, những người đã đệ đơn kiến nghị yêu cầu công ty ngừng bán phần mềm cho các đơn vị cảnh sát; và các thành viên của đội bóng bầu dục trường đại học Kansas State, những người đã từ chối thi đấu cho đến khi nhà trường đáp ứng yêu cầu của họ về việc thể hiện trách nhiệm giải trình đối với các hành động phân biệt chủng tộc trong khuôn viên trường.</w:t>
      </w:r>
    </w:p>
    <w:p>
      <w:pPr>
        <w:pStyle w:val="Para 011"/>
      </w:pPr>
      <w:r>
        <w:t>Điều hướng Cảm xúc của Bạn (nhưng Đừng Kìm nén Chúng)</w:t>
      </w:r>
    </w:p>
    <w:p>
      <w:pPr>
        <w:pStyle w:val="Para 003"/>
      </w:pPr>
      <w:r>
        <w:t>Việc bộc lộ toàn bộ mức độ phẫn nộ hoặc tuyệt vọng của bạn trước mặt những người có quyền lực khiến bạn dễ bị gạt đi hoặc bị trừng phạt vì "quá xúc động". Việc tức giận (phẫn nộ), tổn thương và buồn bã về những hành vi sai trái mà bạn đã chứng kiến là hoàn toàn chính đáng. (Chúng tôi cũng vậy.) Và bạn không nên phớt lờ những cảm xúc mạnh mẽ này: Hãy tìm những không gian an toàn để giúp bạn tôn trọng chúng để bạn có thể chuyển hóa chúng thành năng lượng thúc đẩy các bước tiếp theo của mình—ví dụ như trò chuyện với những người tâm giao, hoặc với các chuyên gia tư vấn. Sau đó, khi bạn đã cảm thấy cân bằng trở lại, bạn có thể thu hút sự chú ý đến sự bất công chủng tộc đã xảy ra.</w:t>
      </w:r>
    </w:p>
    <w:p>
      <w:pPr>
        <w:pStyle w:val="Para 003"/>
      </w:pPr>
      <w:r>
        <w:t>Đây là một ví dụ. Terrence, một thanh niên Da đen, đã đối mặt với ông chủ da trắng lớn tuổi hơn nhiều của mình về việc sử dụng những từ ngữ miệt thị chủng tộc tại nơi làm việc. Đó là một hành động táo bạo khi Terrence công khai chỉ trích hành vi này vì tính chất thứ bậc của nơi đó và việc anh biết rằng có "rất nhiều người phân biệt chủng tộc làm việc ở đó ở các vị trí cao hơn." Bất chấp những cảm xúc mạnh mẽ mà anh cảm thấy, Terrence đã nói một cách kiên quyết và chừng mực, thể hiện lòng trắc ẩn và mong muốn giúp điều chỉnh hành vi hơn là làm xấu hổ hoặc mắng mỏ ông chủ của mình. Điều này cho phép ông chủ của anh nhận ra sự thiếu hiểu biết và tính gây tổn thương trong những phát ngôn của mình và, theo một đồng nghiệp của Terrence, đã khiến ông thay đổi cách hành xử, thay vì phản ứng phòng thủ.</w:t>
      </w:r>
    </w:p>
    <w:p>
      <w:pPr>
        <w:pStyle w:val="Para 011"/>
      </w:pPr>
      <w:r>
        <w:bookmarkStart w:id="399" w:name="page_106"/>
        <w:t>Dự đoán Phản ứng Tiêu cực của Người khác</w:t>
        <w:bookmarkEnd w:id="399"/>
        <w:t/>
      </w:r>
    </w:p>
    <w:p>
      <w:pPr>
        <w:pStyle w:val="Para 003"/>
      </w:pPr>
      <w:r>
        <w:t>Dù đây có vẻ là thời điểm để tập trung vào cảm giác phẫn nộ và đau đớn của chính bạn, bạn cũng nên dự đoán những phản ứng cảm xúc mạnh mẽ từ những người mà bạn đang đối mặt. Việc yêu cầu cải thiện công bằng chủng tộc có nhiều khả năng gợi ra sự phòng thủ và sợ hãi. Việc đặt câu hỏi và định hình vấn đề có thể giúp hóa giải các phản ứng tiêu cực và gắn kết các mục tiêu chung.</w:t>
      </w:r>
    </w:p>
    <w:p>
      <w:pPr>
        <w:pStyle w:val="Para 003"/>
      </w:pPr>
      <w:r>
        <w:t>Ví dụ, nếu đề xuất của bạn khiến đối phương nhíu mày hoặc khoanh tay trước ngực, hãy bắt đầu đặt câu hỏi: “Tôi thấy những bước tiếp theo này có vẻ hợp lý, nhưng có lẽ với bạn chúng lại có vấn đề. Bạn có thể giúp tôi hiểu bạn đang nghĩ gì, và vì sao những điều này có thể không ổn với bạn không?” Bạn không cần phải đồng ý với những gì họ nói tiếp theo, nhưng nỗ lực thừa nhận rằng đối phương cũng có cảm xúc của bạn có thể tăng cơ hội đạt được kết quả mà cả hai bên đều hài lòng.</w:t>
      </w:r>
    </w:p>
    <w:p>
      <w:pPr>
        <w:pStyle w:val="Para 011"/>
      </w:pPr>
      <w:r>
        <w:t>Định hình lời nói sao cho thuyết phục được đối phương</w:t>
      </w:r>
    </w:p>
    <w:p>
      <w:pPr>
        <w:pStyle w:val="Para 003"/>
      </w:pPr>
      <w:r>
        <w:t>Truyền đạt thông điệp một cách bao hàm nhất có thể sẽ giúp giảm bớt cảm giác chia rẽ thường gắn liền với những lời kêu gọi công bằng chủng tộc. Hãy giúp những người bạn đang kêu gọi thay đổi dễ dàng nhìn nhận thông điệp của bạn xuất phát từ tinh thần “Chúng ta đang cùng nhau tiến bộ” thay vì “Tôi đang chống lại bạn.” Cách định hình này nhấn mạnh sự tiến bộ chung, mà—dù còn khiêm tốn—vẫn giúp mọi người nuôi dưỡng bản sắc tích cực, tìm thấy ý nghĩa và sự kiên trì để chinh phục mọi loại thử thách trong công việc, từ các sáng kiến đa dạng và hòa nhập cho đến những dự án khác đòi hỏi mọi người phải chung tay. Nếu có thể, hãy ghi nhận ít nhất một cách mà tổ chức của bạn đã đạt được tiến bộ về hòa nhập chủng tộc (chẳng hạn như tổ chức buổi hỏi đáp toàn thể, đưa ra tuyên bố công khai, thành lập các nhóm đặc nhiệm, hoặc đầu tư vào các doanh nghiệp của người thiểu số) và cố gắng xây dựng từ đó.</w:t>
      </w:r>
    </w:p>
    <w:p>
      <w:pPr>
        <w:pStyle w:val="Para 003"/>
      </w:pPr>
      <w:r>
        <w:t xml:space="preserve">Khi bạn muốn thúc đẩy người khác hành động khác đi, đặc biệt là cấp trên, việc dùng ngôn ngữ phù hợp với họ cũng rất quan trọng, thay vì chỉ dựa vào những lập luận có ý nghĩa với riêng bạn. Ví dụ, khi vận động cho sự thay đổi, nhiều người trong chúng ta thường bắt đầu bằng các lập luận kinh tế hoặc công cụ. Tuy nhiên, trong nhiều trường hợp, đó có thể không phải là chiến lược tốt nhất. Chỉ dựa vào lợi ích tài chính để biện hộ cho công bằng chủng tộc ngầm cho rằng công lý cơ bản và sự tử tế đối với mọi chủng tộc là điều có thể bỏ qua, trừ khi chứng minh được giá trị kinh tế nào đó. Điều đó không thể bỏ qua, và việc bắt người da màu phải biện minh cho những đòi hỏi về quyền con người cơ bản theo cách hạ thấp như vậy lại là một tổn thương nữa giáng lên họ.</w:t>
        <w:bookmarkStart w:id="400" w:name="page_107"/>
        <w:t/>
        <w:bookmarkEnd w:id="400"/>
        <w:t/>
      </w:r>
    </w:p>
    <w:p>
      <w:pPr>
        <w:pStyle w:val="Para 003"/>
      </w:pPr>
      <w:r>
        <w:t>Tuy nhiên, bạn có thể định hình lại mệnh lệnh đạo đức này theo cách phù hợp với người nghe. Ví dụ, nếu sếp của bạn bị thúc đẩy bởi các mối đe dọa bên ngoài, hãy giải thích cách đề xuất của bạn sẽ giữ chân những khách hàng đang chán ghét vì công ty thiếu hành động. Nếu sếp hào hứng hơn với các cơ hội, hãy nói về việc đón nhận sự bình đẳng và hòa nhập sẽ thu hút khách hàng và nhân tài hàng đầu như thế nào.</w:t>
      </w:r>
    </w:p>
    <w:p>
      <w:pPr>
        <w:pStyle w:val="Para 011"/>
      </w:pPr>
      <w:r>
        <w:t>Theo dõi sau đó</w:t>
      </w:r>
    </w:p>
    <w:p>
      <w:pPr>
        <w:pStyle w:val="Para 003"/>
      </w:pPr>
      <w:r>
        <w:t>Sau một cuộc trò chuyện khó khăn, điều cuối cùng chúng ta muốn làm là sớm quay lại với nó. Nhưng dù bạn đã xử lý tốt đến đâu trong lần gặp đầu tiên, những chủ đề này nhạy cảm đến mức rất có thể ai đó rời cuộc thảo luận với cảm giác bị buộc tội cá nhân hoặc bị hiểu lầm. Nếu bạn cần những người bạn đã đối thoại sát cánh cùng mình để thay đổi thực sự bén rễ, bạn sẽ muốn kiểm tra lại.</w:t>
      </w:r>
    </w:p>
    <w:p>
      <w:pPr>
        <w:pStyle w:val="Para 003"/>
      </w:pPr>
      <w:r>
        <w:t>Hãy bắt đầu bằng cách thừa nhận sự khó khăn của chủ đề: “Tôi biết cuộc trò chuyện của chúng ta thực sự khó khăn, và tôi đoán nó có thể để lại cho bạn những cảm xúc kéo dài. Chúng ta có thể nói về điều đó không?” Đó có thể là một cách mạnh mẽ để cùng nhau tiến về phía trước, đồng thời cho bạn cơ hội làm rõ những hiểu lầm và chốt lại các chi tiết như cam kết nguồn lực, các bước hành động, và thỏa thuận về đo lường và trách nhiệm giải trình—những điều có thể giúp lời kêu gọi thay đổi của bạn có cơ hội thành công thực sự cao hơn.</w:t>
      </w:r>
    </w:p>
    <w:p>
      <w:pPr>
        <w:pStyle w:val="Para 003"/>
      </w:pPr>
      <w:r>
        <w:t xml:space="preserve">Mục đích của chúng tôi khi đưa ra lời khuyên này không phải là đặt thêm gánh nặng lên người da màu, những người vốn đã phải đối mặt với sức nặng bất công từ cảm xúc tổn thương của đối phương ngay cả khi chính họ là mục tiêu của bất công. Thay vào đó, chúng tôi thừa nhận thực tế của những gánh nặng đó và sự phân bổ không đồng đều của công việc chủng tộc ấy, đồng thời hy vọng trao cho người da màu và các đồng minh của họ nhiều quyền chủ động, sự lựa chọn và tác động hơn trong cuộc chiến không ngừng vì sự thay đổi. Khi làm vậy, chúng tôi cũng mong muốn giảm bớt những hệ lụy của việc lên tiếng về bất công chủng tộc đối với sức khỏe tinh thần và sự nghiệp của mọi người.</w:t>
        <w:bookmarkStart w:id="401" w:name="page_108"/>
        <w:t/>
        <w:bookmarkEnd w:id="401"/>
        <w:t/>
      </w:r>
    </w:p>
    <w:p>
      <w:pPr>
        <w:pStyle w:val="Para 003"/>
      </w:pPr>
      <w:r>
        <w:t>Một suy nghĩ cuối cùng về lòng can đảm cần có để lên tiếng tại nơi làm việc về bất công chủng tộc: Nếu bạn đã cố gắng áp dụng những gợi ý này mà vẫn thấy ít hoặc không có tiến triển, hãy đánh giá xem bạn đang ở đâu và muốn đi đến đâu. Có thể đã đến lúc tìm quanh tổ chức của bạn một nhóm mới hoặc một nhiệm vụ mới với những người lãnh đạo và đồng minh sẵn sàng tham gia cùng bạn trong công việc này. Hoặc, có thể đã đến lúc bạn tìm một tổ chức mới, nơi bạn có thể phát huy tài năng của mình giữa những người thể hiện cam kết rõ ràng hơn với những thay đổi mà bạn tìm kiếm.</w:t>
      </w:r>
    </w:p>
    <w:p>
      <w:pPr>
        <w:pStyle w:val="Para 044"/>
      </w:pPr>
      <w:r>
        <w:t xml:space="preserve">Phỏng theo nội dung được xuất bản lần đầu vào tháng 7 năm 2020. Tái bản H05QRG</w:t>
      </w:r>
      <w:r>
        <w:rPr>
          <w:rStyle w:val="Text10"/>
        </w:rPr>
        <w:t/>
      </w:r>
    </w:p>
    <w:p>
      <w:pPr>
        <w:pStyle w:val="Para 088"/>
      </w:pPr>
      <w:r>
        <w:drawing>
          <wp:anchor distL="0" distR="0" distT="0" distB="0" simplePos="0" relativeHeight="1" behindDoc="0" locked="0" layoutInCell="1" allowOverlap="1">
            <wp:simplePos x="0" y="0"/>
            <wp:positionH relativeFrom="margin">
              <wp:align>left</wp:align>
            </wp:positionH>
            <wp:positionV relativeFrom="line">
              <wp:align>top</wp:align>
            </wp:positionV>
            <wp:extent cx="1778000" cy="0"/>
            <wp:effectExtent l="0" r="0" t="0" b="0"/>
            <wp:wrapTopAndBottom/>
            <wp:docPr id="34" name="line.png" descr="image"/>
            <wp:cNvGraphicFramePr>
              <a:graphicFrameLocks noChangeAspect="1"/>
            </wp:cNvGraphicFramePr>
            <a:graphic>
              <a:graphicData uri="http://schemas.openxmlformats.org/drawingml/2006/picture">
                <pic:pic>
                  <pic:nvPicPr>
                    <pic:cNvPr id="0" name="line.png" descr="image"/>
                    <pic:cNvPicPr/>
                  </pic:nvPicPr>
                  <pic:blipFill>
                    <a:blip r:embed="rId20"/>
                    <a:stretch>
                      <a:fillRect/>
                    </a:stretch>
                  </pic:blipFill>
                  <pic:spPr>
                    <a:xfrm>
                      <a:off x="0" y="0"/>
                      <a:ext cx="1778000" cy="0"/>
                    </a:xfrm>
                    <a:prstGeom prst="rect">
                      <a:avLst/>
                    </a:prstGeom>
                  </pic:spPr>
                </pic:pic>
              </a:graphicData>
            </a:graphic>
          </wp:anchor>
        </w:drawing>
      </w:r>
    </w:p>
    <w:p>
      <w:pPr>
        <w:pStyle w:val="Para 089"/>
      </w:pPr>
      <w:r>
        <w:t>Đàn ông có thể trở thành đồng minh tốt hơn cho phụ nữ như thế nào</w:t>
      </w:r>
    </w:p>
    <w:p>
      <w:pPr>
        <w:pStyle w:val="Para 090"/>
      </w:pPr>
      <w:r>
        <w:t>bởi W. Brad Johnson và David G. Smith</w:t>
      </w:r>
    </w:p>
    <w:p>
      <w:pPr>
        <w:pStyle w:val="Para 003"/>
      </w:pPr>
      <w:r>
        <w:t xml:space="preserve">Khi đàn ông tham gia một cách có chủ đích vào các chương trình hòa nhập giới, bằng chứng cho thấy 96% tổ chức ghi nhận tiến bộ—so với chỉ 30% ở những tổ chức mà đàn ông không tham gia. Nhưng quá nhiều tổ chức đã trượt mục tiêu trong các nỗ lực bình đẳng giới vì chỉ tập trung các sáng kiến giới vào việc thay đổi phụ nữ—từ cách họ xây dựng mạng lưới cho đến cách họ lãnh đạo. Các cách tiếp cận mang tính cá nhân để giải quyết bất bình đẳng giới bỏ qua các nguyên nhân cấu trúc mang tính hệ thống và củng cố nhận thức rằng đây là vấn đề của phụ nữ—ngầm nói với đàn ông rằng họ không cần tham gia. Nếu không có sự ủng hộ nhiệt tình của đàn ông—thường là những bên liên quan quyền lực nhất trong hầu hết các tập đoàn lớn—thì tiến bộ đáng kể hướng tới chấm dứt chênh lệch giới là khó xảy ra. Điều gì đang bị đe dọa? Một nghiên cứu của McKinsey dự báo rằng trong kịch bản “tiềm năng đầy đủ” mà phụ nữ tham gia nền kinh tế giống hệt đàn ông, sẽ có thêm 28 nghìn tỷ đô la (26%) được bổ sung vào GDP toàn cầu hằng năm so với kịch bản kinh doanh như hiện tại.</w:t>
        <w:bookmarkStart w:id="402" w:name="page_109"/>
        <w:t/>
        <w:bookmarkEnd w:id="402"/>
        <w:t/>
      </w:r>
    </w:p>
    <w:p>
      <w:pPr>
        <w:pStyle w:val="Para 003"/>
      </w:pPr>
      <w:r>
        <w:t>Nhưng việc thu hút đàn ông tham gia các nỗ lực đa dạng không đơn giản chỉ là mời họ đến một sự kiện bình đẳng giới một lần. Để vượt qua sự miễn cưỡng và lo lắng mà những nỗ lực này thường tạo ra, và để đạt được thay đổi hệ thống thực sự, chúng ta phải bắt đầu từ sự hiểu biết rằng mặc dù phân biệt giới tính là một hệ thống ưu ái đàn ông, nó cũng kiểm soát hành vi của nam giới.</w:t>
      </w:r>
    </w:p>
    <w:p>
      <w:pPr>
        <w:pStyle w:val="Para 011"/>
      </w:pPr>
      <w:r>
        <w:t>Những thách thức mà các đồng minh nam phải đối mặt</w:t>
      </w:r>
    </w:p>
    <w:p>
      <w:pPr>
        <w:pStyle w:val="Para 003"/>
      </w:pPr>
      <w:r>
        <w:t>Chúng tôi định nghĩa đồng minh nam là thành viên của một nhóm có đặc quyền, cam kết xây dựng mối quan hệ với phụ nữ, thể hiện càng ít phân biệt giới tính trong hành vi của chính mình càng tốt, hiểu được đặc quyền xã hội mà giới tính của họ mang lại, và thể hiện những nỗ lực chủ động nhằm giải quyết bất bình đẳng giới tại nơi làm việc và trong xã hội.</w:t>
      </w:r>
    </w:p>
    <w:p>
      <w:pPr>
        <w:pStyle w:val="Para 003"/>
      </w:pPr>
      <w:r>
        <w:t>Trong khi một số nghiên cứu cho thấy đàn ông da trắng không phải chịu hình phạt nào khi thúc đẩy sự đa dạng, các nghiên cứu khác lại gợi ý rằng việc đóng vai trò đồng minh có thể phải trả giá.</w:t>
      </w:r>
    </w:p>
    <w:p>
      <w:pPr>
        <w:pStyle w:val="Para 003"/>
      </w:pPr>
      <w:r>
        <w:t>Đầu tiên, có “hình phạt kẻ yếu đuối” đáng sợ. Nghiên cứu mới tiết lộ rằng những người đàn ông được nhìn nhận là ít tự đề cao bản thân, thiên về hợp tác và chia sẻ quyền lực hơn sẽ bị cả nam lẫn nữ đánh giá là kém năng lực hơn (và không phải ngẫu nhiên, kém nam tính hơn). Điều này có nhiều khả năng xảy ra ở những tổ chức nơi mọi người tán thành quan điểm tổng bằng không về bình đẳng giới.</w:t>
      </w:r>
    </w:p>
    <w:p>
      <w:pPr>
        <w:pStyle w:val="Para 003"/>
      </w:pPr>
      <w:r>
        <w:t xml:space="preserve">Những người đàn ông tự nhận là đồng minh cũng có thể đối mặt với sự chỉ trích từ chính những phụ nữ mà họ cố gắng liên minh. Là hai người đàn ông viết và nói về tình đồng minh và cố vấn xuyên giới, chúng tôi đã chứng kiến phản ứng dữ dội thỉnh thoảng xảy ra khi các đấng mày râu xuất hiện tại các sự kiện bình đẳng giới. Tại một hội nghị, các phụ nữ đã truyền tay nhau một tấm thẻ Bingo ngay trước buổi thảo luận gồm toàn đàn ông về chủ đề tình đồng minh. Mục tiêu? Để xác định càng nhiều lời sáo rỗng cũ kỹ và những câu nói phòng thủ mà đàn ông thường thốt ra trong những bối cảnh này càng tốt. Một số câu ưa thích gây đảo mắt bao gồm: “Tôi là người ủng hộ nữ quyền.” “Tất cả chúng ta đều ở trong cuộc chiến này.” “Mẹ tôi dạy tôi phải tôn trọng phụ nữ.” “Tôi đã giác ngộ sau khi con gái tôi chào đời!”</w:t>
        <w:bookmarkStart w:id="403" w:name="page_110"/>
        <w:t/>
        <w:bookmarkEnd w:id="403"/>
        <w:t/>
      </w:r>
    </w:p>
    <w:p>
      <w:pPr>
        <w:pStyle w:val="Para 003"/>
      </w:pPr>
      <w:r>
        <w:t>Có nhiều lý do chính đáng để phụ nữ hoài nghi về sự tham gia và động cơ của đàn ông. Trước hết, các hội nghị dành cho phụ nữ và các nhóm nguồn lực nhân viên trong lịch sử đã mang lại cho phụ nữ cảm giác cộng đồng và tình đồng đội, một không gian an toàn để chia sẻ trải nghiệm và xây dựng chiến lược giải quyết bất bình đẳng tại nơi làm việc. Rồi còn có các phiên phụ và phiên thảo luận nhóm được gắn nhãn “Đại sứ nam” hay “Nhà vô địch nam”, những thứ rất tuyệt để thu hút đàn ông tham gia nhưng lại nghe có vẻ khoa trương đối với phụ nữ, những người có thể hỏi một cách chính đáng: “Thật sao? Chúng tôi phải gọi anh là nhà vô địch chỉ để anh đối xử công bằng, tôn trọng và bao hàm sao?”</w:t>
      </w:r>
    </w:p>
    <w:p>
      <w:pPr>
        <w:pStyle w:val="Para 003"/>
      </w:pPr>
      <w:r>
        <w:t>“Hiệu ứng bệ đỡ” này, trong đó đàn ông được đối xử đặc biệt ngay cả với những hành động bình đẳng giới nhỏ nhặt, dễ hiểu là điều gây khó chịu cho những phụ nữ đã nhiều năm làm công việc cảm xúc và gánh vác trọng trách vì bình đẳng, mà chẳng thấy bóng dáng đàn ông đâu. Và luôn có rủi ro rằng việc quá tập trung vào đàn ông trong các sự kiện của phụ nữ cuối cùng có thể củng cố thay vì phá bỏ hiện trạng thứ bậc giới.</w:t>
      </w:r>
    </w:p>
    <w:p>
      <w:pPr>
        <w:pStyle w:val="Para 003"/>
      </w:pPr>
      <w:r>
        <w:t>Còn có vấn đề của “kẻ giả vờ ủng hộ nữ quyền”, người khoác chủ nghĩa nữ quyền lên người như một chiếc áo choàng siêu anh hùng khi sếp đang nhìn, để gây ấn tượng—hoặc tệ hơn là quyến rũ—phụ nữ, hoặc để tránh bị gắn nhãn phân biệt giới tính dù có một chuỗi hành vi phân biệt giới tính. Và còn có người đàn ông chân thành nhưng hoàn toàn ngây thơ, thiếu hiểu biết, hoặc có EQ thấp, người mà khái niệm về tình đồng minh chỉ gói gọn trong việc giải cứu, lên mặt giải thích, hoặc thậm chí cố gắng trở thành phát ngôn viên cho phụ nữ trong tổ chức. Như Martin Luther King, Jr. từng suy ngẫm, “Sự hiểu biết nông cạn từ những người có thiện chí còn gây bực bội hơn là sự hiểu lầm tuyệt đối từ những người có ác ý.” Khi những người đàn ông khao khát trở thành đồng minh không hiểu được tầm quan trọng sống còn của việc hợp tác và cộng tác với sự khiêm tốn, có một rủi ro thực sự rằng cuối cùng họ có thể làm suy yếu các sáng kiến của phụ nữ bằng cách cố gắng thống trị chúng.</w:t>
      </w:r>
    </w:p>
    <w:p>
      <w:pPr>
        <w:pStyle w:val="Para 011"/>
      </w:pPr>
      <w:r>
        <w:t>Những đồng minh mà các đồng minh nam cần</w:t>
      </w:r>
    </w:p>
    <w:p>
      <w:pPr>
        <w:pStyle w:val="Para 003"/>
      </w:pPr>
      <w:r>
        <w:t xml:space="preserve">Những phụ nữ muốn phá bỏ các hệ thống phân biệt giới tính sẽ được hưởng lợi từ việc nhận ra sự đa dạng giữa các đồng minh nam và những yếu tố có khả năng giúp các đồng minh đó cải thiện việc hợp tác với phụ nữ để thu hẹp chênh lệch giới. Chuyên gia tư vấn đa dạng Jennifer Brown định hình tình đồng minh nam trên một dải liên tục, từ thờ ơ (không biết gì và không quan tâm đến các vấn đề giới) đến nhận thức (có hiểu đôi chút về vấn đề nhưng không hề chủ động hay tham gia giải quyết) đến chủ động (hiểu biết đầy đủ và sẵn sàng tham gia các nỗ lực bình đẳng giới, nhưng chỉ khi được yêu cầu) đến tiên phong (thường xuyên và chủ động ủng hộ hòa nhập giới). Mặc dù chúng tôi sẽ không lãng phí thời gian chiêu mộ những người đàn ông thờ ơ đến các sự kiện hòa nhập giới, chúng tôi rất vui khi được ngồi lại với ba nhóm còn lại, thử thúc đẩy động lực nội tại của họ và mài giũa bộ kỹ năng đồng minh của họ. Chúng tôi cần họ trong cuộc chiến này! Và bằng chứng cho thấy đàn ông càng có nhiều tương tác tích cực với phụ nữ trong môi trường chuyên môn, họ càng có xu hướng thể hiện ít định kiến và loại trừ hơn.</w:t>
        <w:bookmarkStart w:id="404" w:name="page_111_1"/>
        <w:t/>
        <w:bookmarkEnd w:id="404"/>
        <w:t xml:space="preserve"/>
      </w:r>
      <w:r>
        <w:rPr>
          <w:rStyle w:val="Text0"/>
        </w:rPr>
        <w:t/>
      </w:r>
      <w:r>
        <w:t xml:space="preserve"/>
      </w:r>
      <w:r>
        <w:rPr>
          <w:rStyle w:val="Text0"/>
        </w:rPr>
        <w:t/>
      </w:r>
      <w:r>
        <w:t xml:space="preserve"/>
      </w:r>
      <w:r>
        <w:rPr>
          <w:rStyle w:val="Text0"/>
        </w:rPr>
        <w:t/>
      </w:r>
      <w:r>
        <w:t xml:space="preserve"/>
      </w:r>
      <w:r>
        <w:rPr>
          <w:rStyle w:val="Text0"/>
        </w:rPr>
        <w:t/>
      </w:r>
      <w:r>
        <w:t xml:space="preserve"/>
      </w:r>
    </w:p>
    <w:p>
      <w:pPr>
        <w:pStyle w:val="Para 003"/>
      </w:pPr>
      <w:r>
        <w:t>Những người tổ chức các sáng kiến bình đẳng giới muốn thu hút đồng minh nam cũng có thể hưởng lợi từ nghiên cứu gần đây về tư cách tâm lý (psychological standing) (tính chính danh được nhận thức khi được xem là đồng minh của phụ nữ). Bằng chứng cho thấy các nỗ lực bình đẳng giới hiệu quả nhất khi đàn ông tin rằng họ có một vai trò đáng trân trọng và quan trọng để đảm nhận, rằng sự chuyển đổi tại nơi làm việc là điều họ có thể cùng chia sẻ. Đàn ông thường được truyền cảm hứng để đảm nhận vai trò này khi họ nghe những câu chuyện về sự phân biệt đối xử vi phạm cảm giác công bằng và chính nghĩa của họ từ những phụ nữ mà họ quen biết cá nhân hoặc trong công việc. Hơn nữa, khi các đồng minh cảm thấy được nhóm yếu thế mà họ nỗ lực hỗ trợ chấp nhận, động lực nội tại của họ để tham gia được củng cố.</w:t>
      </w:r>
    </w:p>
    <w:p>
      <w:pPr>
        <w:pStyle w:val="Para 011"/>
      </w:pPr>
      <w:r>
        <w:t>Đàn ông có thể trở thành đồng minh tốt hơn như thế nào</w:t>
      </w:r>
    </w:p>
    <w:p>
      <w:pPr>
        <w:pStyle w:val="Para 003"/>
      </w:pPr>
      <w:r>
        <w:t xml:space="preserve">Dưới đây là một số phương pháp hay nhất dành cho những người đàn ông muốn trở thành cộng sự và đồng minh tốt hơn cho bình đẳng giới tại nơi làm việc, dựa trên nghiên cứu cho cuốn sách của chúng tôi, Good Guys: How Men Can Become Better Allies for Women in the Workplace:</w:t>
      </w:r>
      <w:r>
        <w:rPr>
          <w:rStyle w:val="Text0"/>
        </w:rPr>
        <w:t/>
      </w:r>
      <w:r>
        <w:t/>
      </w:r>
    </w:p>
    <w:p>
      <w:pPr>
        <w:numPr>
          <w:ilvl w:val="0"/>
          <w:numId w:val="31"/>
        </w:numPr>
        <w:pStyle w:val="Para 003"/>
      </w:pPr>
      <w:r>
        <w:rPr>
          <w:rStyle w:val="Text0"/>
        </w:rPr>
        <w:t>Đầu tiên, chỉ cần lắng nghe! Chuyên gia tư vấn Chuck Shelton nhắc nhở đàn ông rằng lắng nghe tiếng nói của phụ nữ theo cách khơi gợi lòng tin và sự tôn trọng là một lời hứa cơ bản về mối quan hệ mà bạn phải đưa ra, và sau đó giữ lời, với phụ nữ khi bạn tham gia cuộc chiến vì bình đẳng. Lắng nghe hào phóng, đẳng cấp thế giới đòi hỏi sự tập trung, chân thành, đồng cảm, không ngắt lời, và thực sự trân trọng cả trải nghiệm của cô ấy lẫn sự sẵn lòng chia sẻ nó với bạn.</w:t>
      </w:r>
      <w:r>
        <w:t xml:space="preserve"/>
        <w:bookmarkStart w:id="405" w:name="page_112"/>
        <w:t/>
        <w:bookmarkEnd w:id="405"/>
        <w:t/>
      </w:r>
    </w:p>
    <w:p>
      <w:pPr>
        <w:numPr>
          <w:ilvl w:val="0"/>
          <w:numId w:val="31"/>
        </w:numPr>
        <w:pStyle w:val="Para 003"/>
      </w:pPr>
      <w:r>
        <w:rPr>
          <w:rStyle w:val="Text0"/>
        </w:rPr>
        <w:t>Tôn trọng không gian. Các hội nghị dành cho phụ nữ và các nhóm nguồn lực nhân viên thường được xem là phản ứng trước những trải nghiệm bị loại trừ, bị gạt ra ngoài lề và bị phân biệt đối xử. Nhiều trải nghiệm trong số đó rất đau đớn. Các sự kiện lớn và các nhóm nguồn lực địa phương đã mang lại cho phụ nữ một nền tảng mạnh mẽ để chia sẻ trải nghiệm, hỗ trợ lẫn nhau và xây dựng chiến lược. Hãy bước vào những không gian này một cách tôn trọng, và trước khi bạn thốt ra một lời nào, hãy xem lại khuyến nghị ở trên.</w:t>
      </w:r>
      <w:r>
        <w:t/>
      </w:r>
    </w:p>
    <w:p>
      <w:pPr>
        <w:numPr>
          <w:ilvl w:val="0"/>
          <w:numId w:val="31"/>
        </w:numPr>
        <w:pStyle w:val="Para 003"/>
      </w:pPr>
      <w:r>
        <w:rPr>
          <w:rStyle w:val="Text0"/>
        </w:rPr>
        <w:t>Hãy nhớ, vấn đề không phải là về bạn. Hãy hỏi phụ nữ xem bạn có thể khuếch đại (amplify) những nỗ lực bình đẳng giới hiện có như thế nào, chứ không phải thay thế hay chiếm đoạt chúng. Một liều lớn sự khiêm tốn về giới (gender humility) sẽ giúp ích ở đây. Hàng thập kỷ nghiên cứu về hành vi vì người khác (prosocial behavior) cho thấy một sự khác biệt giới rõ rệt trong cách thể hiện. Trong khi phụ nữ thường thể hiện sự giúp đỡ theo cách cộng đồng và dựa trên mối quan hệ, đàn ông lại thể hiện ý định giúp đỡ qua các hành vi thiên về hành động. Đôi khi, chúng ta cần kiềm chế điều này lại. Hãy tránh chiếm sân khấu trung tâm, phát ngôn thay phụ nữ, hoặc lên mặt dạy đời (mansplaining) phụ nữ nên tiếp cận các nỗ lực bình đẳng giới như thế nào.</w:t>
      </w:r>
      <w:r>
        <w:t/>
      </w:r>
    </w:p>
    <w:p>
      <w:pPr>
        <w:numPr>
          <w:ilvl w:val="0"/>
          <w:numId w:val="31"/>
        </w:numPr>
        <w:pStyle w:val="Para 003"/>
      </w:pPr>
      <w:r>
        <w:rPr>
          <w:rStyle w:val="Text0"/>
        </w:rPr>
        <w:t>Hãy tập quen với việc cảm thấy không thoải mái. Phát triển tư cách tâm lý (psychological standing) đòi hỏi cam kết học hỏi và ủng hộ bình đẳng giới. Tìm hiểu về những thách thức nghề nghiệp của phụ nữ có thể tạo ra cảm giác tự xấu hổ hoặc tự trách bản thân gây lo lắng. Giải pháp là tương tác và học hỏi nhiều hơn, chứ không phải ít đi.</w:t>
      </w:r>
      <w:r>
        <w:t/>
      </w:r>
    </w:p>
    <w:p>
      <w:pPr>
        <w:numPr>
          <w:ilvl w:val="0"/>
          <w:numId w:val="31"/>
        </w:numPr>
        <w:pStyle w:val="Para 003"/>
      </w:pPr>
      <w:r>
        <w:rPr>
          <w:rStyle w:val="Text0"/>
        </w:rPr>
        <w:t>Hãy tham gia vào các mối quan hệ đối tác hỗ trợ với phụ nữ. Các mối quan hệ đồng minh khác giới tốt nhất là có đi có lại và cùng nhau phát triển. Hãy chia sẻ vốn xã hội (social capital) của bạn (tầm ảnh hưởng, thông tin, kiến thức và nguồn lực tổ chức) với các nhóm phụ nữ, nhưng hãy hỏi họ—đừng cho rằng bạn biết—bạn có thể hỗ trợ nỗ lực của họ tốt nhất bằng cách nào.</w:t>
      </w:r>
      <w:r>
        <w:t/>
      </w:r>
    </w:p>
    <w:p>
      <w:pPr>
        <w:numPr>
          <w:ilvl w:val="0"/>
          <w:numId w:val="31"/>
        </w:numPr>
        <w:pStyle w:val="Para 003"/>
      </w:pPr>
      <w:r>
        <w:bookmarkStart w:id="406" w:name="page_113"/>
        <w:t>Hãy nhớ hai phần của tinh thần đồng minh (allyship). Hãy nhớ rằng cam kết thể hiện càng ít phân biệt giới tính càng tốt trong các tương tác của bạn với phụ nữ là phần dễ của tinh thần đồng minh. Phần khó đòi hỏi bạn phải hành động có hiểu biết. Hãy sử dụng kinh nghiệm của bạn trong các sự kiện và sáng kiến do phụ nữ điều hành để học cách bạn có thể trở thành một đồng minh công khai tốt nhất cho công bằng xã hội về giới. Khi thời điểm đến, điều này có thể đòi hỏi bạn phải phá vỡ hiện trạng.</w:t>
        <w:bookmarkEnd w:id="406"/>
      </w:r>
      <w:r>
        <w:rPr>
          <w:rStyle w:val="Text0"/>
        </w:rPr>
        <w:t/>
      </w:r>
      <w:r>
        <w:t/>
      </w:r>
    </w:p>
    <w:p>
      <w:pPr>
        <w:pStyle w:val="Para 044"/>
      </w:pPr>
      <w:r>
        <w:t xml:space="preserve">Phỏng theo nội dung được xuất bản lần đầu vào tháng 10 năm 2018. Tái bản H04L31</w:t>
      </w:r>
      <w:r>
        <w:rPr>
          <w:rStyle w:val="Text10"/>
        </w:rPr>
        <w:t/>
      </w:r>
    </w:p>
    <w:p>
      <w:pPr>
        <w:pStyle w:val="Para 012"/>
      </w:pPr>
      <w:r>
        <w:t xml:space="preserve"> </w:t>
      </w:r>
    </w:p>
    <w:p>
      <w:bookmarkStart w:id="407" w:name="Be_Your_Own_Best_Advocate_by_Deb"/>
      <w:bookmarkStart w:id="408" w:name="Top_of_ch10_xhtml"/>
      <w:pPr>
        <w:pStyle w:val="Para 012"/>
        <w:pageBreakBefore w:val="on"/>
      </w:pPr>
      <w:r>
        <w:t xml:space="preserve"> </w:t>
      </w:r>
      <w:bookmarkEnd w:id="407"/>
      <w:bookmarkEnd w:id="408"/>
    </w:p>
    <w:p>
      <w:bookmarkStart w:id="409" w:name="Be_Your_Own_Best_Advocate"/>
      <w:pPr>
        <w:pStyle w:val="Para 039"/>
      </w:pPr>
      <w:r>
        <w:bookmarkStart w:id="410" w:name="page_115"/>
        <w:t>Hãy Là Người Bảo Vệ Chính Mình Tốt Nhất</w:t>
        <w:bookmarkEnd w:id="410"/>
        <w:t/>
      </w:r>
      <w:bookmarkEnd w:id="409"/>
    </w:p>
    <w:p>
      <w:bookmarkStart w:id="411" w:name="by_Deborah_M__Kolb"/>
      <w:pPr>
        <w:pStyle w:val="Para 040"/>
      </w:pPr>
      <w:r>
        <w:t>bởi Deborah M. Kolb</w:t>
      </w:r>
      <w:bookmarkEnd w:id="411"/>
    </w:p>
    <w:p>
      <w:pPr>
        <w:pStyle w:val="Para 003"/>
      </w:pPr>
      <w:r>
        <w:rPr>
          <w:rStyle w:val="Text4"/>
        </w:rPr>
        <w:t>HẦU HẾT CÁC NHÀ QUẢN LÝ DÀY DẠN KINH NGHIỆM đều biết cách xử lý các cuộc đàm phán chính thức tại nơi làm việc—với khách hàng về hợp đồng, với sếp về ngân sách, với nhà tuyển dụng về lương thưởng. Nhưng còn tất cả những cơ hội đàm phán không chính thức phát sinh thì sao? Bạn có biết cách nhận ra và nắm bắt các cơ hội để chuyển sang một vai trò tốt hơn, thay đổi một tình huống không thể chấp nhận được, hoặc đảm bảo rằng bạn được ghi nhận cho công việc làm thêm không?</w:t>
      </w:r>
      <w:r>
        <w:t xml:space="preserve"/>
      </w:r>
    </w:p>
    <w:p>
      <w:pPr>
        <w:pStyle w:val="Para 003"/>
      </w:pPr>
      <w:r>
        <w:t>Trong 35 năm nghiên cứu về đàm phán và huấn luyện các nhà điều hành, tôi nhận thấy rằng nhiều người không biết. Hãy xem xét các ví dụ sau:</w:t>
      </w:r>
    </w:p>
    <w:p>
      <w:pPr>
        <w:pStyle w:val="Para 003"/>
      </w:pPr>
      <w:r>
        <w:t>Charlotte, một giám đốc bán hàng, nghe phong phanh rằng một vị trí khu vực sắp mở ra và cô muốn được xem xét cho vị trí đó. Nhưng cô cũng nghe nói rằng một ứng viên khác, người mà chủ tịch bộ phận biết rất rõ, là ứng cử viên hàng đầu cho công việc này. Cô tự hỏi làm thế nào để mình có thể cạnh tranh.</w:t>
      </w:r>
    </w:p>
    <w:p>
      <w:pPr>
        <w:pStyle w:val="Para 003"/>
      </w:pPr>
      <w:r>
        <w:t>Kevin, một giám đốc truyền thông, đã tham gia giúp đỡ một bộ phận khác giữ chân một khách hàng lớn, và được khen ngợi rất nhiều. Chẳng bao lâu sau, các đồng nghiệp ở bộ phận đó liên tục nhờ anh đóng góp. Anh không chắc làm thế nào để từ chối.</w:t>
      </w:r>
    </w:p>
    <w:p>
      <w:pPr>
        <w:pStyle w:val="Para 003"/>
      </w:pPr>
      <w:r>
        <w:t>Marina, CFO của một bộ phận trị giá 4 tỷ đô la trong một công ty sản xuất công nghiệp lớn, đã được thăng chức lên vị trí này hai năm trước. Cô đã chuyển đến trụ sở chính—một yêu cầu để nhận vị trí này—và đưa chồng con theo, nhưng họ không vui và muốn chuyển về “nhà”. Cô cảm thấy mình phải lựa chọn giữa công việc và gia đình.</w:t>
      </w:r>
    </w:p>
    <w:p>
      <w:pPr>
        <w:pStyle w:val="Para 003"/>
      </w:pPr>
      <w:r>
        <w:bookmarkStart w:id="412" w:name="page_116"/>
        <w:t>Cả ba chuyên gia này (tên đã được thay đổi) đều bị bế tắc một cách dễ hiểu. Đàm phán cho lợi ích của chính mình có thể cảm thấy kém thoải mái hơn nhiều so với đàm phán với tư cách là đại diện cho công ty, đặc biệt là khi nó diễn ra ngoài cấu trúc thông thường của quy trình tuyển dụng hoặc đánh giá. Có nhiều cảm xúc hơn tham gia; thường khó xác định chính xác bạn muốn gì hoặc làm thế nào để bắt đầu cuộc trò chuyện; và thất bại mang lại chi phí cao hơn. Ở một số tổ chức, việc tự bảo vệ quyền lợi cho bản thân có thể bị coi là đòi hỏi hoặc không phải là “người chơi theo nhóm”. Điều này có thể đặc biệt đúng với phụ nữ, những người đôi khi bị ảnh hưởng bởi cái mà các nhà nghiên cứu gọi là “chi phí xã hội của việc yêu cầu” (the social cost of asking). Và trong một số trường hợp, chính những vấn đề bạn muốn đàm phán có thể thách thức các cách làm việc đã được thiết lập.</w:t>
        <w:bookmarkEnd w:id="412"/>
        <w:t/>
      </w:r>
    </w:p>
    <w:p>
      <w:pPr>
        <w:pStyle w:val="Para 003"/>
      </w:pPr>
      <w:r>
        <w:t>Nhưng các nhà điều hành sẽ tự làm hại mình nếu họ bỏ qua các cơ hội hàng ngày để thúc đẩy các nhiệm vụ, mục tiêu hoặc thước đo hiệu suất tốt hơn; nhiều nguồn lực hoặc sự linh hoạt hơn; hoặc mức lương cao hơn. Tôi nhận thấy rằng những kiểu đàm phán này, mà tôi gọi là đàm phán “chữ n thường” (lowercase n negotiations), quan trọng không kém các cuộc đàm phán chính thức, “chữ N hoa” (N negotiations). Chúng có thể thúc đẩy thành công và sự thỏa mãn trong sự nghiệp và cũng có tiềm năng tạo ra thay đổi tổ chức tích cực.</w:t>
      </w:r>
    </w:p>
    <w:p>
      <w:pPr>
        <w:pStyle w:val="Para 003"/>
      </w:pPr>
      <w:r>
        <w:t xml:space="preserve">Vì vậy, tất cả chúng ta cần một chiến lược cho các cuộc đàm phán hàng ngày cho phép chúng ta không chỉ thành công mà còn vẫn được sếp và đồng nghiệp đánh giá cao. Tôi khuyên những người tôi làm việc cùng tập trung vào bốn bước: nhận biết, chuẩn bị, khởi xướng và điều hướng.</w:t>
      </w:r>
      <w:r>
        <w:rPr>
          <w:rStyle w:val="Text0"/>
        </w:rPr>
        <w:t/>
      </w:r>
      <w:r>
        <w:t xml:space="preserve"/>
      </w:r>
      <w:r>
        <w:rPr>
          <w:rStyle w:val="Text0"/>
        </w:rPr>
        <w:t/>
      </w:r>
    </w:p>
    <w:p>
      <w:pPr>
        <w:pStyle w:val="Para 011"/>
      </w:pPr>
      <w:r>
        <w:t>Nhận biết</w:t>
      </w:r>
    </w:p>
    <w:p>
      <w:pPr>
        <w:pStyle w:val="Para 003"/>
      </w:pPr>
      <w:r>
        <w:t>Cơ hội đàm phán không phải lúc nào cũng rõ ràng, đặc biệt nếu trước đây bạn chưa bao giờ nghĩ đến việc yêu cầu bất cứ điều gì. Nhưng một số tình huống thường lệ lại rất cần được thương lượng. Ví dụ, nếu bạn nói đồng ý với một nhiệm vụ đặc biệt hoặc một yêu cầu giúp đỡ khi bạn muốn nói không, đó là cơ hội để đàm phán để nhận lại điều gì đó. Khi bạn được yêu cầu đảm nhận một sáng kiến mới, với những rủi ro đi kèm, đó là cơ hội để đàm phán để được hỗ trợ. Nếu khối lượng công việc của bạn mở rộng vượt quá mức hợp lý và lấn vào thời gian gia đình, đó là cơ hội để đàm phán để có thêm nguồn lực hoặc thay đổi phạm vi vai trò của bạn. Tuy nhiên, bạn phải chọn trận chiến của mình. Vấn đề phải quan trọng với bạn, nhưng kết quả mong muốn của bạn không chỉ mang lại lợi ích cho cá nhân bạn mà còn cho tổ chức của bạn, nhờ năng suất và cam kết tăng lên của bạn và các chuẩn mực văn hóa mới cho phép đồng nghiệp đạt được điều tương tự. Quyết định đàm phán nên được đưa ra với một cảm giác về mục tiêu cuối cùng.</w:t>
      </w:r>
    </w:p>
    <w:p>
      <w:pPr>
        <w:pStyle w:val="Para 034"/>
      </w:pPr>
      <w:r>
        <w:t>Ý tưởng ngắn gọn</w:t>
      </w:r>
    </w:p>
    <w:p>
      <w:pPr>
        <w:pStyle w:val="Para 019"/>
      </w:pPr>
      <w:r>
        <w:bookmarkStart w:id="413" w:name="page_117"/>
        <w:t>Hầu hết các nhà quản lý dày dạn kinh nghiệm đều biết cách xử lý các cuộc đàm phán chính thức tại nơi làm việc: với khách hàng về hợp đồng, với sếp về ngân sách, với nhà tuyển dụng về lương thưởng. Nhưng còn các cơ hội đàm phán không chính thức phát sinh thì sao? Bạn có biết cách nhận ra và nắm bắt các cơ hội bạn có để định vị bản thân cho một vai trò tốt hơn, thay đổi một tình huống không thể chấp nhận được, hoặc đảm bảo rằng bạn đang được ghi nhận cho công việc làm thêm không? Nhiều người không biết, và lý do là dễ hiểu.</w:t>
        <w:bookmarkEnd w:id="413"/>
        <w:t/>
      </w:r>
    </w:p>
    <w:p>
      <w:pPr>
        <w:pStyle w:val="Para 019"/>
      </w:pPr>
      <w:r>
        <w:t xml:space="preserve">Đàm phán với tư cách là đại diện cho tổ chức của bạn có thể cảm thấy thoải mái hơn là đàm phán cho lợi ích của chính mình. Có nhiều cảm xúc hơn tham gia; thường khó xác định chính xác bạn muốn gì hoặc làm thế nào để bắt đầu cuộc trò chuyện; và rủi ro thất bại mang lại chi phí cao hơn. Đôi khi việc tự bảo vệ quyền lợi cho bản thân bị coi là không phải là “người chơi theo nhóm”. Nhưng các nhà lãnh đạo sẽ tự làm hại mình nếu họ bỏ qua các cơ hội để thúc đẩy các nhiệm vụ tốt hơn, nhiều nguồn lực hơn, hoặc mức lương cao hơn. Họ có thể trình bày thành công trường hợp của mình bằng cách tập trung vào bốn bước: nhận biết, chuẩn bị, khởi xướng và điều hướng.</w:t>
      </w:r>
      <w:r>
        <w:rPr>
          <w:rStyle w:val="Text0"/>
        </w:rPr>
        <w:t/>
      </w:r>
      <w:r>
        <w:t xml:space="preserve"/>
      </w:r>
      <w:r>
        <w:rPr>
          <w:rStyle w:val="Text0"/>
        </w:rPr>
        <w:t/>
      </w:r>
      <w:r>
        <w:t xml:space="preserve"/>
      </w:r>
      <w:r>
        <w:rPr>
          <w:rStyle w:val="Text0"/>
        </w:rPr>
        <w:t/>
      </w:r>
      <w:r>
        <w:t xml:space="preserve"/>
      </w:r>
      <w:r>
        <w:rPr>
          <w:rStyle w:val="Text0"/>
        </w:rPr>
        <w:t/>
      </w:r>
      <w:r>
        <w:t/>
      </w:r>
    </w:p>
    <w:p>
      <w:pPr>
        <w:pStyle w:val="Para 003"/>
      </w:pPr>
      <w:r>
        <w:t>Ban đầu, Marina thậm chí không nghĩ đến việc nói chuyện với sếp của mình, Robert, CFO của công ty, về một thỏa thuận cho phép cô vừa giữ công việc vừa sống cùng gia đình. Cô tập trung vào tất cả những trở ngại—thiếu tiền lệ, sự phản kháng được cho là—và không bao giờ tưởng tượng ra một kịch bản lý tưởng. Cô đã chấp nhận thua cuộc trong cuộc đàm phán mà thậm chí không bắt đầu nó.</w:t>
      </w:r>
    </w:p>
    <w:p>
      <w:pPr>
        <w:pStyle w:val="Para 003"/>
      </w:pPr>
      <w:r>
        <w:t xml:space="preserve">Kevin lúc đầu nghĩ rằng anh cần phải trả lời có hoặc không đối với các yêu cầu giúp đỡ liên tục của bộ phận kia, thay vì nghĩ ra một giải pháp “có-và” (yes-and): Có, anh sẽ làm công việc đó, và để làm tốt nó, anh sẽ cần sếp của mình chính thức mở rộng vai trò của anh để bao gồm các trách nhiệm mới.</w:t>
      </w:r>
      <w:r>
        <w:rPr>
          <w:rStyle w:val="Text0"/>
        </w:rPr>
        <w:t/>
      </w:r>
      <w:r>
        <w:t xml:space="preserve"/>
      </w:r>
      <w:r>
        <w:rPr>
          <w:rStyle w:val="Text0"/>
        </w:rPr>
        <w:t/>
      </w:r>
      <w:r>
        <w:t xml:space="preserve"/>
      </w:r>
    </w:p>
    <w:p>
      <w:pPr>
        <w:pStyle w:val="Para 011"/>
      </w:pPr>
      <w:r>
        <w:bookmarkStart w:id="414" w:name="page_118"/>
        <w:t>Chuẩn bị</w:t>
        <w:bookmarkEnd w:id="414"/>
        <w:t/>
      </w:r>
    </w:p>
    <w:p>
      <w:pPr>
        <w:pStyle w:val="Para 003"/>
      </w:pPr>
      <w:r>
        <w:t>Chuẩn bị là yếu tố quan trọng đối với bất kỳ cuộc đàm phán nào. Nhưng làm thế nào bạn có thể chuẩn bị cho một cuộc đàm phán không chính thức mà đối tác của bạn không mong đợi?</w:t>
      </w:r>
    </w:p>
    <w:p>
      <w:pPr>
        <w:pStyle w:val="Para 023"/>
      </w:pPr>
      <w:r>
        <w:t>Đầu tiên, thu thập thông tin tốt</w:t>
      </w:r>
    </w:p>
    <w:p>
      <w:pPr>
        <w:pStyle w:val="Para 003"/>
      </w:pPr>
      <w:r>
        <w:t>Bạn càng biết nhiều về những gì người khác đã yêu cầu và được chấp thuận tại nơi làm việc, bạn sẽ càng cảm thấy thoải mái hơn khi xây dựng cuộc đàm phán của riêng mình. Marina không nghĩ rằng công ty của cô đã từng cho phép bất kỳ ai làm “công việc tại trụ sở chính” từ một văn phòng khác, nhưng cô quyết định kiểm tra. Cô biết được rằng một giám đốc điều hành thực sự đã được cho phép làm việc từ xa trong sáu tuần trong khi anh ta đang giúp quản lý bệnh tình của gia đình. Khi Charlotte hỏi thăm xung quanh, cô biết được rằng tổ chức của cô đang ở giai đoạn đầu xem xét ai có thể đảm nhận vai trò khu vực; ứng viên kia chưa chắc chắn có được công việc.</w:t>
      </w:r>
    </w:p>
    <w:p>
      <w:pPr>
        <w:pStyle w:val="Para 003"/>
      </w:pPr>
      <w:r>
        <w:t>Bạn cũng cần thông tin về các bên mà bạn sẽ đàm phán. Họ thích nhận tin tức hoặc yêu cầu đặc biệt như thế nào? Họ có muốn được báo trước nhiều không? Họ muốn bạn trình bày một giải pháp hay cùng bạn phát triển một giải pháp?</w:t>
      </w:r>
    </w:p>
    <w:p>
      <w:pPr>
        <w:pStyle w:val="Para 003"/>
      </w:pPr>
      <w:r>
        <w:t>Robert đã không thuê Marina; thực tế, họ đã làm việc cùng nhau chưa đầy một năm. Nhưng cô biết rằng anh ta có xu hướng phản đối các ý tưởng và thực tiễn phi truyền thống; anh ta thích cách làm việc thông thường. Vì vậy, cô hiểu rằng cô sẽ phải bắt đầu cuộc đàm phán của mình một cách chậm rãi và sẵn sàng cho sự phản kháng. Charlotte cũng nhận ra sớm rằng cô có một cuộc chiến khó khăn vì Michael, chủ tịch bộ phận, đã có một ứng viên yêu thích trong đầu, nhưng cô đã tìm hiểu càng nhiều càng tốt về cả yêu cầu công việc và những phẩm chất mà Michael đánh giá cao nhất ở nhân viên của mình cũng như về phong cách ra quyết định của ông.</w:t>
      </w:r>
    </w:p>
    <w:p>
      <w:pPr>
        <w:pStyle w:val="Para 023"/>
      </w:pPr>
      <w:r>
        <w:t>Thứ hai, định vị bản thân</w:t>
      </w:r>
    </w:p>
    <w:p>
      <w:pPr>
        <w:pStyle w:val="Para 003"/>
      </w:pPr>
      <w:r>
        <w:t xml:space="preserve">Sự phụ thuộc lẫn nhau cho mọi người lý do để đàm phán. Vì vậy, hãy xem xét công việc của bạn cho phép đối tác và những người khác thành công như thế nào; điều đó sẽ giúp bạn nhận ra những gì họ đánh giá cao ở bạn và đánh giá bản thân bằng một loại tiền tệ có giá trị. Marina biết rằng Robert đánh giá cao công việc cô đã làm trong vai trò bộ phận của mình. Cô đã đạt được tăng trưởng lợi nhuận đáng kể, quản lý một cuộc đàm phán lao động khó khăn, giám sát một vụ mua lại quan trọng và tích cực theo đuổi việc cắt giảm chi phí. Vì Robert là người mới đến công ty, cô cũng là “huyết mạch” của anh ta đối với các nhà lãnh đạo trong bộ phận lớn của cô. Tất cả những điều này đã cho cô đòn bẩy.</w:t>
        <w:bookmarkStart w:id="415" w:name="page_119"/>
        <w:t/>
        <w:bookmarkEnd w:id="415"/>
        <w:t/>
      </w:r>
    </w:p>
    <w:p>
      <w:pPr>
        <w:pStyle w:val="Para 003"/>
      </w:pPr>
      <w:r>
        <w:t xml:space="preserve">Một cách khác để nghĩ về đề xuất giá trị (value proposition) và vị thế thương lượng tương đối của bạn là xem xét “lựa chọn thay thế tốt nhất cho một thỏa thuận được thương lượng” của bạn và đối tác, hay còn gọi là BATNA (như Roger Fisher và William Ury gọi trong cuốn Getting to Yes). BATNA của Kevin là ngừng dành thêm thời gian cho bộ phận kia và quay về với “công việc chính” của mình; đồng nghiệp và sếp của anh có BATNA yếu hơn, vì họ không có ai phù hợp bằng Kevin để làm công việc liên quan. Các BATNA của Marina không mấy hấp dẫn: Cô không muốn sống xa gia đình, và cô không tự tin rằng mình có thể tìm được một công việc tốt như công việc hiện tại ở quê cũ. Nhưng BATNA của sếp cô cũng chẳng khá hơn. Không có ứng viên rõ ràng nào có thể đảm nhận vai trò của cô và thành công như cô đã từng.</w:t>
      </w:r>
      <w:r>
        <w:rPr>
          <w:rStyle w:val="Text0"/>
        </w:rPr>
        <w:t/>
      </w:r>
      <w:r>
        <w:t/>
      </w:r>
    </w:p>
    <w:p>
      <w:pPr>
        <w:pStyle w:val="Para 023"/>
      </w:pPr>
      <w:r>
        <w:t>Thứ ba, neo cuộc thương lượng bằng các lựa chọn</w:t>
      </w:r>
    </w:p>
    <w:p>
      <w:pPr>
        <w:pStyle w:val="Para 003"/>
      </w:pPr>
      <w:r>
        <w:t>Thương lượng đòi hỏi sự sáng tạo. Khi bạn đưa ra nhiều ý tưởng, bạn đang định hình cuộc thương lượng theo cách khuyến khích bên kia tham gia. Bạn không nên chỉ chăm chăm vào một giải pháp duy nhất có lợi cho mình. Thay vào đó, hãy cân nhắc điều gì quan trọng với đối phương và tìm nhiều cách để làm hài lòng cả hai bên.</w:t>
      </w:r>
    </w:p>
    <w:p>
      <w:pPr>
        <w:pStyle w:val="Para 003"/>
      </w:pPr>
      <w:r>
        <w:t>Khi phát triển các lựa chọn, sẽ hữu ích nếu bạn nghĩ xem đối phương có thể có những lý do chính đáng nào để nói không với đề xuất của bạn. Đây chính là những điều nằm trong chương trình nghị sự ngầm (hidden agenda) của bất kỳ cuộc thương lượng nào.</w:t>
      </w:r>
    </w:p>
    <w:p>
      <w:pPr>
        <w:pStyle w:val="Para 003"/>
      </w:pPr>
      <w:r>
        <w:t>Charlotte biết từ quá trình thu thập thông tin rằng Michael có thể sẽ e ngại vì cô còn trẻ và thiếu kinh nghiệm so với ứng viên mà ông ưu ái, và có thể cho rằng cô cần thêm thời gian tôi luyện ở vai trò hiện tại trước khi đảm nhận vai trò mới. Vì vậy, cô mở rộng các đề xuất của mình, bao gồm việc tình nguyện đảm nhận vai trò “tạm quyền” trong một khoảng thời gian giới hạn, với các tiêu chí hiệu suất rõ ràng, hoặc nhận một cơ hội phát triển khác giúp cô vững vàng hơn trên lộ trình lãnh đạo.</w:t>
      </w:r>
    </w:p>
    <w:p>
      <w:pPr>
        <w:pStyle w:val="Para 003"/>
      </w:pPr>
      <w:r>
        <w:t xml:space="preserve">Marina chắc chắn rằng Robert sẽ lo ngại về việc phá vỡ tiền lệ, chi phí phát sinh thêm của một thỏa thuận linh hoạt, và việc mất kết nối với cô và bộ phận của cô. Vì vậy, cô loại bỏ những ý tưởng có thể làm tăng những lo ngại đó—chẳng hạn như làm việc tại nhà và chỉ đến trụ sở chính khi họp—và tập trung vào những ý tưởng có thể xoa dịu chúng, chẳng hạn như chia thời gian giữa văn phòng bộ phận cũ và trụ sở chính. Cô cũng lập một bảng tính ước tính chi phí. Những sự chuẩn bị này không chỉ giúp cô tự tin hơn mà còn giúp cô thấu hiểu quan điểm của Robert và đưa cô vào tâm thế đúng đắn để cùng tìm giải pháp chung.</w:t>
        <w:bookmarkStart w:id="416" w:name="page_120"/>
        <w:t/>
        <w:bookmarkEnd w:id="416"/>
        <w:t/>
      </w:r>
    </w:p>
    <w:p>
      <w:pPr>
        <w:pStyle w:val="Para 011"/>
      </w:pPr>
      <w:r>
        <w:t>Chủ động khơi mào</w:t>
      </w:r>
    </w:p>
    <w:p>
      <w:pPr>
        <w:pStyle w:val="Para 003"/>
      </w:pPr>
      <w:r>
        <w:t>Bất kỳ hai người nào thường có mong muốn không đối xứng khi tham gia các cuộc thương lượng hằng ngày. Một người có vấn đề hoặc nhìn thấy cơ hội; người kia có thể không như vậy và do đó kỳ vọng mọi thứ vẫn diễn ra như bình thường. Làm thế nào bạn có thể biến một tương tác bình thường thành một cuộc thương lượng hợp tác thay vì đối đầu?</w:t>
      </w:r>
    </w:p>
    <w:p>
      <w:pPr>
        <w:pStyle w:val="Para 003"/>
      </w:pPr>
      <w:r>
        <w:t>Hãy bắt đầu bằng việc làm cho giá trị của bạn trở nên rõ ràng. Khi Marina quyết định tiếp cận Robert về xung đột giữa công việc và gia đình, cô không bắt đầu cuộc trò chuyện bằng vấn đề đó. Trước tiên, cô điểm lại kết quả của mình kể từ cuộc gặp trước và cập nhật cho ông về một thương vụ mua lại gần đây. Chỉ sau đó cô mới đề cập đến vấn đề của mình và bắt đầu nói về các ý tưởng giải quyết.</w:t>
      </w:r>
    </w:p>
    <w:p>
      <w:pPr>
        <w:pStyle w:val="Para 003"/>
      </w:pPr>
      <w:r>
        <w:t>Nếu đối phương cứ khăng khăng chặn lại, bạn có thể cân nhắc nhiều chiến thuật khác nhau. Một là tập hợp đồng minh, những người sẽ bảo đảm cho giá trị của bạn và khuyến khích người đó thương lượng với bạn. Vì Charlotte không hiểu rõ Michael lắm, cô đã nhờ một lãnh đạo khác trong bộ phận ca ngợi phẩm chất và những đóng góp của cô cho công ty.</w:t>
      </w:r>
    </w:p>
    <w:p>
      <w:pPr>
        <w:pStyle w:val="Para 003"/>
      </w:pPr>
      <w:r>
        <w:t>Một cách tiếp cận khác là thừa nhận và giải quyết một hoặc nhiều lý do chính đáng khiến đối phương nói không để chứng tỏ rằng bạn đã nghĩ đến quan điểm của họ. Thường thì phản hồi sẽ là “Đúng vậy, đây là điều tôi lo ngại”, và điều đó mở ra cánh cửa cho một cuộc trò chuyện về vấn đề. Marina đã chọn con đường này. Nỗi lo chính đáng nhất của sếp cô là ông sẽ mất kết nối với bộ phận. Vì vậy, cô cho ông cơ hội thảo luận bằng cách nói: “Em hiểu vì sao anh có thể lo ngại về điều này. Đó là lý do một trong những lựa chọn em nghĩ đến là làm việc ở hai văn phòng.”</w:t>
      </w:r>
    </w:p>
    <w:p>
      <w:pPr>
        <w:pStyle w:val="Para 003"/>
      </w:pPr>
      <w:r>
        <w:t xml:space="preserve">Bạn cũng có thể đưa ra BATNA, nhưng phải làm thật khéo léo để nó không bị coi là một lời đe dọa. Bạn có thể nhắc đến BATNA của mình rồi rút lại. Ví dụ, Marina có thể nói với Robert rằng cô đang nhận được cuộc gọi từ các công ty săn nhân tài (điều này là thật) nhưng sau đó nhanh chóng nói rằng cô cam kết ở lại công ty nếu ông và cô có thể tìm ra một kế hoạch. Để khiến đối phương ý thức hơn về BATNA của chính họ, hãy hỏi một câu như “Anh nghĩ điều gì sẽ xảy ra nếu chúng ta không có cuộc trò chuyện này?”</w:t>
        <w:bookmarkStart w:id="417" w:name="page_121"/>
        <w:t/>
        <w:bookmarkEnd w:id="417"/>
        <w:t/>
      </w:r>
    </w:p>
    <w:p>
      <w:pPr>
        <w:pStyle w:val="Para 011"/>
      </w:pPr>
      <w:r>
        <w:t>Điều hướng cuộc trò chuyện</w:t>
      </w:r>
    </w:p>
    <w:p>
      <w:pPr>
        <w:pStyle w:val="Para 003"/>
      </w:pPr>
      <w:r>
        <w:t>Một khi bạn đã lôi kéo được đối phương tham gia thương lượng, bạn phải bước vào cuộc trò chuyện với một tâm thế cởi mở. Các đề xuất bạn chuẩn bị đưa ra chỉ là điểm khởi đầu cho một thỏa thuận. Ba loại câu hỏi có thể giúp hai bạn phát triển một kế hoạch hiệu quả cho tất cả mọi người.</w:t>
      </w:r>
    </w:p>
    <w:p>
      <w:pPr>
        <w:pStyle w:val="Para 003"/>
      </w:pPr>
      <w:r>
        <w:rPr>
          <w:rStyle w:val="Text0"/>
        </w:rPr>
        <w:t>Câu hỏi kiểm định giả thuyết bắt đầu bằng “Sẽ thế nào nếu” và cho phép bạn đưa ra ý tưởng, dù rộng hay cụ thể, rồi xin phản hồi. Ví dụ, Marina hỏi Robert: “Sẽ thế nào nếu chúng ta tạo ra hai văn phòng làm việc? Điều đó sẽ vận hành ra sao?” Khi cuộc thảo luận tiến triển, cô hỏi chi tiết hơn: “Sẽ thế nào nếu chúng ta có một lịch dùng chung, để anh biết chính xác khi nào em ở đâu? Sẽ thế nào nếu anh có cơ hội tham gia vào một số cuộc họp nhất định của bộ phận?” Kevin cũng dùng loại câu hỏi này rất hiệu quả trong các cuộc trò chuyện với đồng nghiệp ở bộ phận kia. Khi anh hỏi: “Sẽ thế nào nếu tôi không thể làm công việc này?”, anh biết được rằng họ sẽ hoàn toàn bối rối và do đó sẵn sàng ủng hộ anh trong cuộc thương lượng với sếp của anh, Dorothy, về việc chính thức nhận trách nhiệm đối với công việc trong lĩnh vực của họ.</w:t>
      </w:r>
      <w:r>
        <w:t xml:space="preserve"/>
      </w:r>
    </w:p>
    <w:p>
      <w:pPr>
        <w:pStyle w:val="Para 003"/>
      </w:pPr>
      <w:r>
        <w:rPr>
          <w:rStyle w:val="Text0"/>
        </w:rPr>
        <w:t>Câu hỏi có đi có lại liên quan đến các kịch bản nếu-thì và đưa khái niệm trao đổi vào cuộc thương lượng: “Nếu tôi đồng ý làm X, thì anh sẽ làm gì?” Marina dùng loại câu hỏi này để điều hướng vấn đề chi phí với sếp: “Nếu chúng ta đồng ý với thỏa thuận hai văn phòng, anh cần thêm điều gì?” Cuối cùng họ quyết định rằng cô sẽ trả chi phí chuyển nhà ngược lại, nhưng công ty sẽ chịu chi phí đi lại thường xuyên. Khi Kevin tiếp cận Dorothy, kịch bản nếu-thì của anh là “Nếu tôi làm việc với bộ phận kia một cách thường xuyên, thì đây là cách nó có thể trở thành một phần trong vai trò giám đốc cấp cao mới và mở rộng của tôi.”</w:t>
      </w:r>
      <w:r>
        <w:t xml:space="preserve"/>
      </w:r>
    </w:p>
    <w:p>
      <w:pPr>
        <w:pStyle w:val="Para 054"/>
      </w:pPr>
      <w:r>
        <w:t>Những nước đi và cách xoay chuyển</w:t>
      </w:r>
    </w:p>
    <w:p>
      <w:pPr>
        <w:pStyle w:val="Para 020"/>
      </w:pPr>
      <w:r>
        <w:rPr>
          <w:rStyle w:val="Text3"/>
        </w:rPr>
        <w:t>KHI NGƯỜI THƯƠNG LƯỢNG KHÔNG MUỐN CHO BẠN điều bạn đang yêu cầu, họ thường tung ra một nước đi tấn công. Đừng phòng thủ. Thay vào đó, hãy xoay chuyển cuộc trò chuyện để đưa nó trở lại đúng hướng.</w:t>
      </w:r>
      <w:r>
        <w:t xml:space="preserve"/>
      </w:r>
    </w:p>
    <w:p>
      <w:pPr>
        <w:pStyle w:val="Para 020"/>
      </w:pPr>
      <w:r>
        <w:t>Khi anh ta thách thức năng lực của bạn—“Tôi không nghĩ cô đã sẵn sàng”—hãy chỉnh lại ấn tượng của anh ta: “Tôi hiểu vì sao có vẻ như vậy. Nhưng đây là kinh nghiệm tôi có cho thấy vì sao tôi có khả năng quản lý việc đó…”</w:t>
      </w:r>
    </w:p>
    <w:p>
      <w:pPr>
        <w:pStyle w:val="Para 020"/>
      </w:pPr>
      <w:r>
        <w:t>Khi cô ta hạ thấp ý tưởng của bạn là vô lý—“Điều đó sẽ không bao giờ hiệu quả”—hãy chuyển hướng sự chú ý của cô ta sang giải pháp: “Thế nào mới là một thỏa thuận hợp lý?”</w:t>
      </w:r>
    </w:p>
    <w:p>
      <w:pPr>
        <w:pStyle w:val="Para 020"/>
      </w:pPr>
      <w:r>
        <w:t>Khi anh ta kêu gọi sự thông cảm—“Đây thực sự là thời điểm khó khăn cho nhóm này”—hãy đào sâu hơn: “Điều gì thực sự khiến anh lo ngại? Tôi có thể làm gì để xoa dịu những lo ngại đó?”</w:t>
      </w:r>
    </w:p>
    <w:p>
      <w:pPr>
        <w:pStyle w:val="Para 020"/>
      </w:pPr>
      <w:r>
        <w:t>Khi cô ta chỉ trích cách tiếp cận của bạn—“Đây thực sự là một yêu cầu không phù hợp”—hãy yêu cầu giải thích thêm: “Chị có thể giúp tôi hiểu vì sao không?”</w:t>
      </w:r>
    </w:p>
    <w:p>
      <w:pPr>
        <w:pStyle w:val="Para 020"/>
      </w:pPr>
      <w:r>
        <w:t>Khi anh ta nịnh bạn—“Cô quá giỏi ở vị trí hiện tại”—hãy dùng cách đảo vai: “Nếu anh ở vị trí của tôi, anh sẽ làm gì?”</w:t>
      </w:r>
    </w:p>
    <w:p>
      <w:pPr>
        <w:pStyle w:val="Para 020"/>
      </w:pPr>
      <w:r>
        <w:t>Một cách xoay chuyển khác hiệu quả với hầu hết mọi nước đi là ngắt cuộc trò chuyện bằng cách ngồi im lặng một lúc ngắn, đứng dậy, hoặc đi lấy một cốc nước. Nghiên cứu cho thấy khi bạn phá vỡ nhịp hành động, người ta hiếm khi quay lại lập trường thương lượng cũ, và khoảng dừng có thể dẫn đến những bước đột phá.</w:t>
      </w:r>
    </w:p>
    <w:p>
      <w:pPr>
        <w:pStyle w:val="Para 003"/>
      </w:pPr>
      <w:r>
        <w:rPr>
          <w:rStyle w:val="Text0"/>
        </w:rPr>
        <w:bookmarkStart w:id="418" w:name="page_122"/>
        <w:t>Câu hỏi vòng tròn, loại câu hỏi đồng thời đưa ra và thu thập thông tin, đảm bảo rằng cuộc trò chuyện mang tính hợp tác, không đối đầu. Chúng nhấn mạnh mối quan hệ giữa bạn và đối phương và thường khai mở những vấn đề sâu xa hơn đang bị đe dọa. Charlotte biết rằng chỉ đơn giản yêu cầu vai trò cô muốn sẽ đặt Michael vào thế khó xử. Vì vậy, cô hỏi những câu hỏi vòng tròn như “Tiêu chí thành công cho công việc này là gì?” Michael sau đó đã suy nghĩ sâu hơn về điều ông đang tìm kiếm, và điều đó mở ra quy trình cho nhiều ứng viên hơn. Marina dùng những câu hỏi vòng tròn như “Điều gì thực sự khiến anh lo ngại?” và “Em có thể làm gì để xoa dịu những lo ngại đó?” với Robert. Hóa ra ông sợ kế hoạch sẽ thất bại vì cô có thể thấy việc đi lại liên tục quá khó khăn. “Tôi hứa với ông ấy rằng nếu điều đó xảy ra, chúng tôi sẽ tìm cách giải quyết, ngay cả khi đó là một chiến lược rút lui,” cô nói. “Ông ấy sẽ không bị bỏ rơi trong tình cảnh khó khăn.” Cô cũng đề xuất rằng họ đồng ý thử nghiệm thỏa thuận hai văn phòng trong sáu tháng rồi cùng nhau đánh giá kết quả.</w:t>
        <w:bookmarkEnd w:id="418"/>
        <w:t/>
      </w:r>
      <w:r>
        <w:t xml:space="preserve"/>
        <w:bookmarkStart w:id="419" w:name="page_123"/>
        <w:t/>
        <w:bookmarkEnd w:id="419"/>
        <w:t/>
      </w:r>
    </w:p>
    <w:p>
      <w:pPr>
        <w:pStyle w:val="Para 048"/>
      </w:pPr>
      <w:r>
        <w:drawing>
          <wp:anchor distL="0" distR="0" distT="0" distB="0" simplePos="0" relativeHeight="1" behindDoc="0" locked="0" layoutInCell="1" allowOverlap="1">
            <wp:simplePos x="0" y="0"/>
            <wp:positionH relativeFrom="margin">
              <wp:align>center</wp:align>
            </wp:positionH>
            <wp:positionV relativeFrom="line">
              <wp:align>top</wp:align>
            </wp:positionV>
            <wp:extent cx="1778000" cy="0"/>
            <wp:effectExtent l="0" r="0" t="0" b="0"/>
            <wp:wrapTopAndBottom/>
            <wp:docPr id="35" name="line.png" descr="image"/>
            <wp:cNvGraphicFramePr>
              <a:graphicFrameLocks noChangeAspect="1"/>
            </wp:cNvGraphicFramePr>
            <a:graphic>
              <a:graphicData uri="http://schemas.openxmlformats.org/drawingml/2006/picture">
                <pic:pic>
                  <pic:nvPicPr>
                    <pic:cNvPr id="0" name="line.png" descr="image"/>
                    <pic:cNvPicPr/>
                  </pic:nvPicPr>
                  <pic:blipFill>
                    <a:blip r:embed="rId20"/>
                    <a:stretch>
                      <a:fillRect/>
                    </a:stretch>
                  </pic:blipFill>
                  <pic:spPr>
                    <a:xfrm>
                      <a:off x="0" y="0"/>
                      <a:ext cx="1778000" cy="0"/>
                    </a:xfrm>
                    <a:prstGeom prst="rect">
                      <a:avLst/>
                    </a:prstGeom>
                  </pic:spPr>
                </pic:pic>
              </a:graphicData>
            </a:graphic>
          </wp:anchor>
        </w:drawing>
      </w:r>
    </w:p>
    <w:p>
      <w:pPr>
        <w:pStyle w:val="Para 003"/>
      </w:pPr>
      <w:r>
        <w:t>Cả ba nhà quản lý này đều thành công trong các cuộc thương lượng của họ. Marina và gia đình chuyển về quê, nhưng cô vẫn giữ công việc của mình. Thỏa thuận hai văn phòng hiệu quả, vì vậy Robert đồng ý biến nó thành lâu dài, tạo ra tiền lệ cho các nhà quản lý cấp cao được làm việc ở nơi họ có thể hiệu quả nhất và mang lại nhiều giá trị nhất cho công ty—không nhất thiết phải ở trụ sở chính. Công việc của Kevin được tái cấu trúc để có thêm nhân sự nhằm giúp anh làm việc với các khách hàng mới. Charlotte nhận được vị trí quản lý khu vực và thúc đẩy Michael trở nên rõ ràng hơn về các tiêu chí dùng để thăng chức trong bộ phận của ông.</w:t>
      </w:r>
    </w:p>
    <w:p>
      <w:pPr>
        <w:pStyle w:val="Para 003"/>
      </w:pPr>
      <w:r>
        <w:t>Những cuộc thương lượng hằng ngày thường đòi hỏi bạn bước ra khỏi vùng an toàn và thách thức các thông lệ đã được thiết lập. Nhưng mọi bằng chứng đều cho thấy chúng xứng đáng với nỗ lực—cho bạn và cho tổ chức của bạn.</w:t>
      </w:r>
    </w:p>
    <w:p>
      <w:pPr>
        <w:pStyle w:val="Para 044"/>
      </w:pPr>
      <w:r>
        <w:t xml:space="preserve">Xuất bản lần đầu vào tháng 11 năm 2015. Tái bản R1511J</w:t>
      </w:r>
      <w:r>
        <w:rPr>
          <w:rStyle w:val="Text10"/>
        </w:rPr>
        <w:t/>
      </w:r>
    </w:p>
    <w:p>
      <w:pPr>
        <w:pStyle w:val="Para 012"/>
      </w:pPr>
      <w:r>
        <w:t xml:space="preserve"> </w:t>
      </w:r>
    </w:p>
    <w:p>
      <w:bookmarkStart w:id="420" w:name="Top_of_ch11_xhtml"/>
      <w:bookmarkStart w:id="421" w:name="Building_an_Ethical_Career_by_Ma"/>
      <w:pPr>
        <w:pStyle w:val="Para 012"/>
        <w:pageBreakBefore w:val="on"/>
      </w:pPr>
      <w:r>
        <w:t xml:space="preserve"> </w:t>
      </w:r>
      <w:bookmarkEnd w:id="420"/>
      <w:bookmarkEnd w:id="421"/>
    </w:p>
    <w:p>
      <w:bookmarkStart w:id="422" w:name="Building_an_Ethical_Career"/>
      <w:pPr>
        <w:pStyle w:val="Para 039"/>
      </w:pPr>
      <w:r>
        <w:bookmarkStart w:id="423" w:name="page_125"/>
        <w:t>Xây dựng sự nghiệp có đạo đức</w:t>
        <w:bookmarkEnd w:id="423"/>
        <w:t/>
      </w:r>
      <w:bookmarkEnd w:id="422"/>
    </w:p>
    <w:p>
      <w:bookmarkStart w:id="424" w:name="by_Maryam_Kouchaki_and_Isaac_H"/>
      <w:pPr>
        <w:pStyle w:val="Para 040"/>
      </w:pPr>
      <w:r>
        <w:t>bởi Maryam Kouchaki và Isaac H. Smith</w:t>
      </w:r>
      <w:bookmarkEnd w:id="424"/>
    </w:p>
    <w:p>
      <w:pPr>
        <w:pStyle w:val="Para 003"/>
      </w:pPr>
      <w:r>
        <w:rPr>
          <w:rStyle w:val="Text4"/>
        </w:rPr>
        <w:t>HẦU HẾT CHÚNG TA đều tự coi mình là người tốt. Chúng ta đặt mục tiêu sống có đạo đức, và hy vọng rằng trong những thời khắc quyết định, mình sẽ vươn lên đáp ứng hoàn cảnh. Nhưng khi nói đến việc xây dựng sự nghiệp có đạo đức, chỉ có ý định tốt thôi là chưa đủ. Nhiều thập kỷ nghiên cứu đã chỉ ra các quá trình tâm lý xã hội và thành kiến làm mờ đi phán đoán đạo đức của con người, khiến họ đi ngược lại chính giá trị của mình và thường tạo ra những lời biện minh méo mó, hợp lý hóa hành vi sau khi sự việc đã rồi. Vậy làm thế nào để bạn đảm bảo rằng ngày này qua ngày khác, thập kỷ này qua thập kỷ khác, bạn sẽ luôn làm điều đúng đắn trong đời sống nghề nghiệp của mình?</w:t>
      </w:r>
      <w:r>
        <w:t xml:space="preserve"/>
      </w:r>
    </w:p>
    <w:p>
      <w:pPr>
        <w:pStyle w:val="Para 003"/>
      </w:pPr>
      <w:r>
        <w:t xml:space="preserve">Bước đầu tiên đòi hỏi chuyển sang một tư duy mà chúng tôi gọi là khiêm tốn về đạo đức (moral humility)—sự thừa nhận rằng tất cả chúng ta đều có khả năng phạm sai lầm nếu không cảnh giác. Khiêm tốn về đạo đức thúc đẩy con người thừa nhận rằng cám dỗ, sự hợp lý hóa và hoàn cảnh có thể khiến ngay cả những người tốt nhất trong chúng ta cư xử sai trái, và nó khuyến khích họ nghĩ về đạo đức không chỉ là tránh điều xấu mà còn theo đuổi điều tốt. Nó giúp họ coi việc phát triển phẩm chất này là một hành trình theo đuổi suốt đời. Chúng tôi đã nghiên cứu về đạo đức và luân lý nơi công sở trong hơn một thập kỷ, và dựa trên những phát hiện của chính mình cũng như của người khác, chúng tôi gợi ý rằng những ai muốn phát triển sự nghiệp có đạo đức nên cân nhắc cách tiếp cận ba giai đoạn: (1) Chuẩn bị trước cho những thách thức đạo đức; (2) đưa ra quyết định đúng đắn trong thời khắc hiện tại; và (3) suy ngẫm và học hỏi từ những thành công và thất bại về đạo đức.</w:t>
      </w:r>
      <w:r>
        <w:rPr>
          <w:rStyle w:val="Text0"/>
        </w:rPr>
        <w:t/>
      </w:r>
      <w:r>
        <w:t/>
      </w:r>
    </w:p>
    <w:p>
      <w:pPr>
        <w:pStyle w:val="Para 011"/>
      </w:pPr>
      <w:r>
        <w:bookmarkStart w:id="425" w:name="page_126"/>
        <w:t>Lên Kế Hoạch Để Trở Thành Người Tốt</w:t>
        <w:bookmarkEnd w:id="425"/>
        <w:t/>
      </w:r>
    </w:p>
    <w:p>
      <w:pPr>
        <w:pStyle w:val="Para 003"/>
      </w:pPr>
      <w:r>
        <w:t xml:space="preserve">Chuẩn bị cho những thách thức đạo đức là điều quan trọng, bởi con người thường nhận thức rõ mình nên làm gì khi nghĩ về tương lai nhưng lại có xu hướng tập trung vào điều mình muốn làm ở hiện tại. Xu hướng đánh giá quá cao sự đức hạnh của bản thân trong tương lai này là một phần của cái mà Ann Tenbrunsel của Notre Dame và các đồng nghiệp gọi là ảo ảnh đạo đức (ethical mirage).</w:t>
      </w:r>
      <w:r>
        <w:rPr>
          <w:rStyle w:val="Text0"/>
        </w:rPr>
        <w:t/>
      </w:r>
      <w:r>
        <w:t xml:space="preserve"/>
      </w:r>
      <w:r>
        <w:rPr>
          <w:rStyle w:val="Text0"/>
        </w:rPr>
        <w:t/>
      </w:r>
      <w:r>
        <w:t xml:space="preserve"/>
      </w:r>
      <w:r>
        <w:rPr>
          <w:rStyle w:val="Text0"/>
        </w:rPr>
        <w:t/>
      </w:r>
    </w:p>
    <w:p>
      <w:pPr>
        <w:pStyle w:val="Para 003"/>
      </w:pPr>
      <w:r>
        <w:t xml:space="preserve">Để khắc phục thành kiến này, trước tiên hãy hiểu rõ điểm mạnh và điểm yếu cá nhân của bạn. Giá trị của bạn là gì? Khi nào bạn dễ vi phạm chúng nhất? Trong cuốn sách The Road to Character, David Brooks phân biệt giữa phẩm chất ghi trên hồ sơ (résumé virtues) (kỹ năng, năng lực và thành tích bạn có thể đưa vào CV, chẳng hạn như “tăng ROI 10% cho một dự án trị giá hàng triệu đô”) và phẩm chất được ca ngợi khi qua đời (eulogy virtues) (những điều người khác khen ngợi bạn sau khi bạn mất, như là một người bạn trung thành, tốt bụng và chăm chỉ). Dù hai nhóm này có thể trùng lặp, phẩm chất ghi trên hồ sơ thường liên quan đến những gì bạn đã làm cho bản thân, trong khi phẩm chất được ca ngợi khi qua đời liên quan đến con người bạn và những gì bạn đã làm cho người khác—tức là phẩm chất của bạn.</w:t>
      </w:r>
      <w:r>
        <w:rPr>
          <w:rStyle w:val="Text0"/>
        </w:rPr>
        <w:t/>
      </w:r>
      <w:r>
        <w:t xml:space="preserve"/>
      </w:r>
      <w:r>
        <w:rPr>
          <w:rStyle w:val="Text0"/>
        </w:rPr>
        <w:t/>
      </w:r>
      <w:r>
        <w:t xml:space="preserve"/>
      </w:r>
      <w:r>
        <w:rPr>
          <w:rStyle w:val="Text0"/>
        </w:rPr>
        <w:t/>
      </w:r>
      <w:r>
        <w:t xml:space="preserve"/>
      </w:r>
    </w:p>
    <w:p>
      <w:pPr>
        <w:pStyle w:val="Para 003"/>
      </w:pPr>
      <w:r>
        <w:t>Vậy hãy tự hỏi: Tôi đang cố phát triển những phẩm chất được ca ngợi khi qua đời nào? Hoặc như bậc thầy quản trị Peter Drucker từng hỏi: “Bạn muốn được nhớ đến vì điều gì?” và “Bạn muốn đóng góp điều gì?” Việc định hình đời sống nghề nghiệp như một hành trình tìm kiếm sự đóng góp thay vì thành tích có thể thay đổi căn bản cách bạn tiếp cận sự nghiệp. Và sẽ hữu ích nếu bạn suy nghĩ về những câu hỏi đó từ sớm, trước khi hình thành những tư duy, thói quen và lối mòn khó thay đổi.</w:t>
      </w:r>
    </w:p>
    <w:p>
      <w:pPr>
        <w:pStyle w:val="Para 003"/>
      </w:pPr>
      <w:r>
        <w:t>Việc đặt mục tiêu cũng có thể tạo nền tảng cho hành vi có đạo đức. Người đi làm thường xuyên đặt mục tiêu cho nhiều khía cạnh công việc và đời sống cá nhân, nhưng hiếm ai nghĩ đến việc tiếp cận đạo đức theo cách này. Benjamin Franklin nổi tiếng với việc trong tự truyện của mình, ông kể về nỗ lực rèn luyện 13 đức tính mà ông cho là thiết yếu cho một cuộc đời đức hạnh (bao gồm siêng năng, công bằng và khiêm tốn). Ông thậm chí còn tạo một bảng theo dõi tiến độ hằng ngày. Chúng tôi không gợi ý mọi người phải ghi chép cứng nhắc như vậy, nhưng chúng tôi khuyên bạn nên ngồi xuống và viết ra những mục tiêu về phẩm chất được ca ngợi khi qua đời—những mục tiêu có tính thách thức nhưng khả thi. Điều này tương tự như những gì Clayton Christensen của Harvard Business School ủng hộ trong bài viết trên HBR “How Will You Measure Your Life?” Sau khi chiến đấu với bệnh ung thư, Christensen quyết định rằng thước đo quan trọng nhất với ông là “những con người cụ thể mà cuộc đời tôi đã chạm đến”.</w:t>
      </w:r>
    </w:p>
    <w:p>
      <w:pPr>
        <w:pStyle w:val="Para 034"/>
      </w:pPr>
      <w:r>
        <w:t>Ý Tưởng Tóm Tắt</w:t>
      </w:r>
    </w:p>
    <w:p>
      <w:pPr>
        <w:pStyle w:val="Para 019"/>
      </w:pPr>
      <w:r>
        <w:bookmarkStart w:id="426" w:name="page_127"/>
        <w:t>Hầu hết chúng ta đều tự coi mình là người tốt. Chúng ta đặt mục tiêu sống có đạo đức ở nơi làm việc, và hy vọng rằng trong những thời khắc quyết định, mình sẽ vươn lên đáp ứng hoàn cảnh. Nhưng khi nói đến việc xây dựng sự nghiệp có đạo đức, chỉ có ý định tốt thôi là chưa đủ. Nhiều thập kỷ nghiên cứu đã chỉ ra các quá trình tâm lý và thành kiến làm mờ đi phán đoán đạo đức của con người, khiến họ đi ngược lại chính giá trị của mình, và thường tạo ra những lời biện minh méo mó, hợp lý hóa hành vi sau khi sự việc đã rồi.</w:t>
        <w:bookmarkEnd w:id="426"/>
        <w:t/>
      </w:r>
    </w:p>
    <w:p>
      <w:pPr>
        <w:pStyle w:val="Para 019"/>
      </w:pPr>
      <w:r>
        <w:t xml:space="preserve">Làm thế nào để chúng ta đảm bảo mình sẽ luôn làm điều đúng đắn trong đời sống nghề nghiệp? Bằng cách chuyển tư duy sang khiêm tốn về đạo đức, thừa nhận rằng tất cả chúng ta đều có khả năng vi phạm đạo đức nếu không cảnh giác. Các tác giả gợi ý cách tiếp cận ba giai đoạn để giữ vững con đường ngay thẳng: Chuẩn bị trước cho những thách thức đạo đức, bao gồm thiết lập các biện pháp bảo vệ phù hợp; đưa ra quyết định đúng đắn trong thời khắc hiện tại; và suy ngẫm và học hỏi từ những thành công và thất bại về đạo đức.</w:t>
      </w:r>
      <w:r>
        <w:rPr>
          <w:rStyle w:val="Text0"/>
        </w:rPr>
        <w:t/>
      </w:r>
      <w:r>
        <w:t/>
      </w:r>
    </w:p>
    <w:p>
      <w:pPr>
        <w:pStyle w:val="Para 003"/>
      </w:pPr>
      <w:r>
        <w:t>Tuy nhiên, ngay cả những mục tiêu được xây dựng cẩn thận nhất vẫn chỉ là ý định tốt. Chúng phải được củng cố bằng các biện pháp bảo vệ cá nhân—tức là những thói quen và xu hướng đã được chứng minh là giúp khơi dậy phần thiện lương trong con người. Chẳng hạn, các nghiên cứu cho thấy giấc ngủ chất lượng, cầu nguyện cá nhân (với người có đức tin) và chánh niệm có thể giúp con người quản lý và củng cố khả năng tự kiểm soát cũng như chống lại cám dỗ ở nơi làm việc.</w:t>
      </w:r>
    </w:p>
    <w:p>
      <w:pPr>
        <w:pStyle w:val="Para 003"/>
      </w:pPr>
      <w:r>
        <w:t xml:space="preserve">Chúng tôi cũng khuyến nghị “lập kế hoạch nếu-thì”—cái mà nhà tâm lý học Peter Gollwitzer gọi là ý định thực thi (implementation intentions). Hàng chục nghiên cứu đã chỉ ra rằng cách thực hành này (“Nếu X xảy ra, thì tôi sẽ làm Y”) có thể hiệu quả trong việc thay đổi hành vi của con người, đặc biệt khi những kế hoạch đó được nói to thành lời. Chúng có thể đơn giản nhưng phải cụ thể, gắn một tín hiệu tình huống (một yếu tố kích hoạt) với một hành vi mong muốn. Ví dụ: Nếu sếp yêu cầu tôi làm điều gì đó có khả năng phi đạo đức, thì tôi sẽ tìm đến một người bạn hoặc người cố vấn bên ngoài tổ chức để xin lời khuyên trước khi hành động. Nếu tôi bị gạ gẫm hối lộ, thì tôi sẽ tham khảo đội ngũ pháp lý và các chính sách chính thức của công ty để được hướng dẫn. Nếu tôi chứng kiến quấy rối tình dục hoặc phân biệt chủng tộc, thì tôi sẽ ngay lập tức đứng lên bảo vệ nạn nhân. Việc lập các kế hoạch nếu-thì phù hợp với điểm mạnh, điểm yếu, giá trị và hoàn cảnh của bạn có thể giúp bảo vệ bạn khỏi những lúc mất tự chủ, hoặc sự thụ động khi cần phải hành động. Nhưng hãy chắc chắn lập kế hoạch nếu-thì trước khi bạn gặp phải tình huống đó—sự chuẩn bị là chìa khóa.</w:t>
      </w:r>
      <w:r>
        <w:rPr>
          <w:rStyle w:val="Text0"/>
        </w:rPr>
        <w:t/>
      </w:r>
      <w:r>
        <w:t xml:space="preserve"/>
      </w:r>
      <w:r>
        <w:rPr>
          <w:rStyle w:val="Text0"/>
        </w:rPr>
        <w:t/>
      </w:r>
      <w:r>
        <w:t xml:space="preserve"/>
      </w:r>
      <w:r>
        <w:rPr>
          <w:rStyle w:val="Text0"/>
        </w:rPr>
        <w:t/>
      </w:r>
      <w:r>
        <w:t xml:space="preserve"/>
      </w:r>
      <w:r>
        <w:rPr>
          <w:rStyle w:val="Text0"/>
        </w:rPr>
        <w:t/>
      </w:r>
      <w:r>
        <w:t xml:space="preserve"/>
      </w:r>
      <w:r>
        <w:rPr>
          <w:rStyle w:val="Text0"/>
        </w:rPr>
        <w:t/>
      </w:r>
      <w:r>
        <w:t xml:space="preserve"/>
        <w:bookmarkStart w:id="427" w:name="page_128"/>
        <w:t/>
        <w:bookmarkEnd w:id="427"/>
        <w:t xml:space="preserve"/>
      </w:r>
      <w:r>
        <w:rPr>
          <w:rStyle w:val="Text0"/>
        </w:rPr>
        <w:t/>
      </w:r>
      <w:r>
        <w:t xml:space="preserve"/>
      </w:r>
      <w:r>
        <w:rPr>
          <w:rStyle w:val="Text0"/>
        </w:rPr>
        <w:t/>
      </w:r>
      <w:r>
        <w:t xml:space="preserve"/>
      </w:r>
      <w:r>
        <w:rPr>
          <w:rStyle w:val="Text0"/>
        </w:rPr>
        <w:t/>
      </w:r>
      <w:r>
        <w:t xml:space="preserve"/>
      </w:r>
      <w:r>
        <w:rPr>
          <w:rStyle w:val="Text0"/>
        </w:rPr>
        <w:t/>
      </w:r>
      <w:r>
        <w:t xml:space="preserve"/>
      </w:r>
      <w:r>
        <w:rPr>
          <w:rStyle w:val="Text0"/>
        </w:rPr>
        <w:t/>
      </w:r>
      <w:r>
        <w:t xml:space="preserve"/>
      </w:r>
    </w:p>
    <w:p>
      <w:pPr>
        <w:pStyle w:val="Para 003"/>
      </w:pPr>
      <w:r>
        <w:t>Người cố vấn cũng có thể giúp bạn tránh những bước sai lầm về đạo đức. Khi mở rộng mạng lưới nghề nghiệp và phát triển quan hệ với các cố vấn, đừng chỉ tìm những người có thể giúp bạn thăng tiến nhanh trên nấc thang sự nghiệp; hãy cân nhắc xem ai có thể hỗ trợ bạn khi đối mặt với các quyết định đạo đức. Hãy xây dựng kết nối với những người trong và ngoài tổ chức có giá trị tương đồng với bạn và là người bạn có thể xin lời khuyên liên quan đến đạo đức. Cả hai chúng tôi đều từng tìm đến người cố vấn để xin lời khuyên về các vấn đề đạo đức, và chúng tôi dạy các học viên MBA của mình làm điều tương tự. Có một mạng lưới hỗ trợ—và đặc biệt là một người cố vấn đạo đức đáng tin cậy—cũng có thể mang đến cho bạn cơ hội tạo ra tác động tích cực trong sự nghiệp.</w:t>
      </w:r>
    </w:p>
    <w:p>
      <w:pPr>
        <w:pStyle w:val="Para 003"/>
      </w:pPr>
      <w:r>
        <w:t>Một khi bạn đã cam kết sống một cuộc đời có đạo đức, đừng ngại cho mọi người biết điều đó. Không ai thích thái độ ta đây đạo đức hơn người, nhưng việc phát tín hiệu đạo đức một cách tinh tế có thể hữu ích, đặc biệt khi hướng đến đồng nghiệp. Bạn có thể làm điều này bằng cách cởi mở thảo luận về những thách thức đạo đức tiềm ẩn và cách bạn muốn phản ứng, hoặc bằng cách xây dựng danh tiếng là người luôn làm việc đúng đắn. Ví dụ, trong một nghiên cứu do một người trong chúng tôi (Maryam) thực hiện, những người tham gia ít có khả năng yêu cầu một đối tác trực tuyến thực hiện hành vi phi đạo đức hơn nhiều sau khi nhận được email từ đối tác đó có trích dẫn đức hạnh ở dòng chữ ký (chẳng hạn như “Thành công không có danh dự còn tệ hơn lừa đảo”).</w:t>
      </w:r>
    </w:p>
    <w:p>
      <w:pPr>
        <w:pStyle w:val="Para 003"/>
      </w:pPr>
      <w:r>
        <w:t>Trò chuyện trực tiếp có thể khó khăn, vì mọi người thường ngần ngại thảo luận các vấn đề nhạy cảm về đạo đức. Nhưng nếu bạn nghĩ điều đó khả thi, chúng tôi khuyên bạn nên chủ động trao đổi với đồng nghiệp, bởi sự mơ hồ là mảnh đất màu mỡ cho việc hợp lý hóa vì tư lợi. Hãy khéo léo đặt những câu hỏi làm rõ và nêu rõ kỳ vọng của chính bạn: ví dụ, “Tôi nghĩ điều quan trọng là chúng ta không vượt qua bất kỳ ranh giới đạo đức nào ở đây.”</w:t>
      </w:r>
    </w:p>
    <w:p>
      <w:pPr>
        <w:pStyle w:val="Para 003"/>
      </w:pPr>
      <w:r>
        <w:bookmarkStart w:id="428" w:name="page_129"/>
        <w:t>Tất cả chúng ta đều bị môi trường định hình nhiều hơn mình nhận ra, vì vậy việc chọn một nơi làm việc cho phép, nếu không muốn nói là khuyến khích, bạn cư xử có đạo đức cũng rất quan trọng. Không có gì ngạc nhiên khi những nhân viên cảm thấy nhu cầu, năng lực và giá trị của mình phù hợp tốt với tổ chức thường hài lòng và có động lực hơn so với những đồng nghiệp không phù hợp, và họ làm việc hiệu quả hơn. Tất nhiên, có nhiều yếu tố khi chọn việc—nhưng nhìn chung mọi người có xu hướng quá coi trọng các thước đo truyền thống như lương thưởng và cơ hội thăng tiến, trong khi lại coi nhẹ tầm quan trọng của sự phù hợp đúng đắn về mặt đạo đức. Nghiên cứu của chúng tôi và của những người khác đã chỉ ra rằng căng thẳng đạo đức là yếu tố dự báo mạnh mẽ cho sự mệt mỏi của nhân viên, giảm sự hài lòng trong công việc, giảm động lực và tăng tỷ lệ nghỉ việc.</w:t>
        <w:bookmarkEnd w:id="428"/>
        <w:t xml:space="preserve"/>
      </w:r>
      <w:r>
        <w:rPr>
          <w:rStyle w:val="Text0"/>
        </w:rPr>
        <w:t/>
      </w:r>
      <w:r>
        <w:t xml:space="preserve"/>
      </w:r>
    </w:p>
    <w:p>
      <w:pPr>
        <w:pStyle w:val="Para 003"/>
      </w:pPr>
      <w:r>
        <w:t>Một số ngành dường như có những chuẩn mực văn hóa ít nhiều dễ dãi với sự thiếu trung thực. Trong một nghiên cứu, khi nhân viên của một ngân hàng quốc tế lớn được nhắc về bản sắc nghề nghiệp của họ, trung bình họ có xu hướng gian lận nhiều hơn so với những người không làm ngân hàng được nhắc nhở tương tự. Tất nhiên, điều này không có nghĩa là tất cả nhân viên ngân hàng đều phi đạo đức, hay chỉ những người phi đạo đức mới nên theo đuổi sự nghiệp ngân hàng (mặc dù nó nhấn mạnh tầm quan trọng của việc các ngân hàng ưu tiên tuyển dụng những nhân viên có phẩm chất đạo đức tốt). Tuy nhiên, chúng tôi gợi ý rằng bất kỳ ai bắt đầu một công việc mới nên tìm hiểu về tổ chức và ngành liên quan để chuẩn bị cho những tình huống có thể làm tổn hại đạo đức. Các buổi phỏng vấn xin việc thường kết thúc bằng câu hỏi dành cho ứng viên: “Bạn có câu hỏi nào cho tôi không?” Một câu trả lời khả dĩ là “Những loại tình huống khó xử về đạo đức nào có thể gặp phải trong công việc này?” hoặc “Công ty này làm gì để thúc đẩy các hoạt động kinh doanh có đạo đức?”</w:t>
      </w:r>
    </w:p>
    <w:p>
      <w:pPr>
        <w:pStyle w:val="Para 003"/>
      </w:pPr>
      <w:r>
        <w:t>Nghiên cứu cũng cho thấy các yếu tố của môi trường làm việc có thể tăng cường hoặc làm suy giảm khả năng tự kiểm soát, bất kể chuẩn mực văn hóa ra sao: Sự bất định cao, yêu cầu nhận thức quá mức, ngày làm việc dài và đêm khuya, cùng các mục tiêu kéo dài liên tục đều tương quan với tỷ lệ hành vi phi đạo đức gia tăng. Những áp lực như vậy có thể tăng giảm theo thời gian ở nơi làm việc của bạn, nhưng trong những giai đoạn căng thẳng, bạn nên đặc biệt cảnh giác.</w:t>
      </w:r>
    </w:p>
    <w:p>
      <w:pPr>
        <w:pStyle w:val="Para 011"/>
      </w:pPr>
      <w:r>
        <w:t>Đưa Ra Quyết Định Đúng Đắn</w:t>
      </w:r>
    </w:p>
    <w:p>
      <w:pPr>
        <w:pStyle w:val="Para 003"/>
      </w:pPr>
      <w:r>
        <w:t xml:space="preserve">Ngay cả khi bạn đã lên kế hoạch cho một sự nghiệp có đạo đức và thiết lập các biện pháp bảo vệ, việc đối mặt với thách thức đạo đức trong thời khắc hiện tại vẫn có thể khó khăn. Đôi khi con người bỏ qua những hệ lụy của quyết định của mình—hoặc họ tìm ra những cách kỳ quặc để hợp lý hóa hành vi vô đạo đức, vì tư lợi. Trong những trường hợp khác, họ đối mặt với những tình thế tiến thoái lưỡng nan mà quyết định đúng đắn không hề rõ ràng—ví dụ, lựa chọn giữa lòng trung thành với đồng nghiệp và lòng trung thành với khách hàng, hoặc một giải pháp được đề xuất sẽ tạo ra cả tác động ngoại biên tích cực lẫn tiêu cực, chẳng hạn như việc làm tốt nhưng cũng gây tổn hại môi trường. Có một số cách để quản lý những khoảnh khắc quyết định như thế này.</w:t>
        <w:bookmarkStart w:id="429" w:name="page_130"/>
        <w:t/>
        <w:bookmarkEnd w:id="429"/>
        <w:t/>
      </w:r>
    </w:p>
    <w:p>
      <w:pPr>
        <w:pStyle w:val="Para 003"/>
      </w:pPr>
      <w:r>
        <w:t>Trước tiên, hãy lùi lại khỏi những phép tính truyền thống như phân tích chi phí-lợi ích và ROI. Hãy phát triển thói quen tìm kiếm các vấn đề đạo đức và hệ lụy luân lý đang bị đe dọa trong một quyết định nhất định và phân tích chúng bằng nhiều lăng kính triết học. Chẳng hạn, từ góc độ dựa trên quy tắc của thuyết nghĩa vụ (deontology) (nghiên cứu về bổn phận đạo đức), hãy tự hỏi những quy tắc hoặc nguyên tắc nào có liên quan. Liệu một hướng hành động nào đó có khiến bạn vi phạm nguyên tắc trung thực hoặc tôn trọng người khác không? Từ góc độ dựa trên hệ quả của thuyết vị lợi (utilitarianism), hãy xác định các kết quả tiềm năng cho tất cả các bên liên quan hoặc bị ảnh hưởng trực tiếp hay gián tiếp. Điều gì là tốt nhất cho số đông nhất? Và từ góc độ Aristotle về đạo đức học đức hạnh (virtue ethics), hãy tự hỏi: Hướng hành động nào phản ánh rõ nhất một con người đức hạnh? Mỗi triết lý này đều có ưu và nhược điểm, nhưng việc xem xét các tiêu chí quyết định cơ bản của cả ba—quy tắc, hệ quả và đức hạnh—sẽ khiến bạn ít có khả năng bỏ qua những cân nhắc đạo đức quan trọng.</w:t>
      </w:r>
    </w:p>
    <w:p>
      <w:pPr>
        <w:pStyle w:val="Para 003"/>
      </w:pPr>
      <w:r>
        <w:t>Tuy nhiên, hãy lưu ý rằng tâm trí con người rất giỏi biện minh cho hành vi đáng ngờ về mặt đạo đức khi bị lợi ích của nó cám dỗ. Chúng ta thường tự nhủ những điều như “Ai cũng làm vậy”, “Tôi chỉ làm theo lệnh sếp”, “Đó là vì lợi ích lớn hơn”, “Có phải tôi đang cướp ngân hàng đâu”, và “Đó là lỗi của họ—họ đáng bị như vậy”. Ba bài kiểm tra có thể giúp bạn tránh những lời hợp lý hóa tự lừa dối mình.</w:t>
      </w:r>
    </w:p>
    <w:p>
      <w:pPr>
        <w:numPr>
          <w:ilvl w:val="0"/>
          <w:numId w:val="32"/>
        </w:numPr>
        <w:pStyle w:val="Para 003"/>
      </w:pPr>
      <w:r>
        <w:rPr>
          <w:rStyle w:val="Text0"/>
        </w:rPr>
        <w:t>Bài kiểm tra công khai. Bạn có thấy thoải mái nếu lựa chọn này, cùng lý do đằng sau nó, được đăng trên trang nhất của tờ báo địa phương không?</w:t>
      </w:r>
      <w:r>
        <w:t xml:space="preserve"/>
      </w:r>
    </w:p>
    <w:p>
      <w:pPr>
        <w:numPr>
          <w:ilvl w:val="0"/>
          <w:numId w:val="32"/>
        </w:numPr>
        <w:pStyle w:val="Para 003"/>
      </w:pPr>
      <w:r>
        <w:rPr>
          <w:rStyle w:val="Text0"/>
        </w:rPr>
        <w:t>Bài kiểm tra tính khái quát. Bạn có thấy thoải mái nếu quyết định của mình trở thành tiền lệ cho tất cả những người đối mặt với tình huống tương tự không?</w:t>
      </w:r>
      <w:r>
        <w:t xml:space="preserve"/>
      </w:r>
    </w:p>
    <w:p>
      <w:pPr>
        <w:numPr>
          <w:ilvl w:val="0"/>
          <w:numId w:val="32"/>
        </w:numPr>
        <w:pStyle w:val="Para 003"/>
      </w:pPr>
      <w:r>
        <w:bookmarkStart w:id="430" w:name="page_131_1"/>
        <w:t>Bài kiểm tra gương soi. Bạn có thích con người bạn nhìn thấy trong gương sau khi đưa ra quyết định này không—đó có phải là con người bạn thực sự muốn trở thành không?</w:t>
        <w:bookmarkEnd w:id="430"/>
      </w:r>
      <w:r>
        <w:rPr>
          <w:rStyle w:val="Text0"/>
        </w:rPr>
        <w:t/>
      </w:r>
      <w:r>
        <w:t xml:space="preserve"/>
      </w:r>
    </w:p>
    <w:p>
      <w:pPr>
        <w:pStyle w:val="Para 003"/>
      </w:pPr>
      <w:r>
        <w:t>Nếu câu trả lời cho bất kỳ câu hỏi nào trong số này là không, hãy suy nghĩ cẩn thận trước khi tiếp tục.</w:t>
      </w:r>
    </w:p>
    <w:p>
      <w:pPr>
        <w:pStyle w:val="Para 003"/>
      </w:pPr>
      <w:r>
        <w:t>Các nghiên cứu cũng cho thấy con người có nhiều khả năng hành động phi đạo đức hơn nếu họ cảm thấy bị thúc ép. Rất ít quyết định phải được đưa ra ngay lập tức. Dành chút thời gian để suy ngẫm có thể giúp nhìn nhận vấn đề thấu đáo hơn. Trong một thí nghiệm tâm lý xã hội kinh điển, các sinh viên tại Princeton Theological Seminary ít có khả năng dừng lại giúp một người lạ nằm bất lực trên mặt đất hơn nhiều nếu họ đang vội đến giảng một bài thuyết trình mà họ được lên lịch—trớ trêu thay, bài giảng đó lại về dụ ngôn Kinh Thánh Người Samaria Nhân Lành, vốn nói về việc dừng lại giúp một người lạ nằm bất lực trên mặt đất. Vì vậy, hãy ý thức về áp lực thời gian. Ghi nhớ câu ngạn ngữ xưa “Hãy ngủ một giấc đã” thường có thể giúp bạn đưa ra quyết định đạo đức tốt hơn. Và việc trì hoãn một quyết định có thể cho bạn thời gian để tham khảo ý kiến những người cố vấn đạo đức của mình. Nếu họ không có mặt, hãy thực hành một biến thể của bài kiểm tra gương soi và công khai: Hãy tưởng tượng giải thích hành động của bạn cho những người cố vấn đó. Nếu điều đó khiến bạn không thoải mái, hãy cẩn thận.</w:t>
      </w:r>
    </w:p>
    <w:p>
      <w:pPr>
        <w:pStyle w:val="Para 003"/>
      </w:pPr>
      <w:r>
        <w:t xml:space="preserve">Nhưng việc đứng về phía đạo đức thường đòi hỏi phải thách thức đồng nghiệp hoặc thậm chí cả cấp trên, điều này có thể khó khăn đến mức đau đớn tột cùng. Thí nghiệm Milgram nổi tiếng đến mức tai tiếng (trong đó những người tham gia nghiên cứu đã gây ra những cú sốc có khả năng gây chết người cho các tình nguyện viên vô tội khi được người làm thí nghiệm yêu cầu) đã cho thấy con người dễ bị áp lực từ người khác chi phối đến mức nào—đặc biệt là từ những người có quyền lực. Làm thế nào để bạn tránh khuất phục trước áp lực xã hội? Các tác giả của cuốn The Business Ethics Field Guide đưa ra một vài câu hỏi để bạn tự vấn trong những tình huống như vậy: Họ có quyền yêu cầu tôi làm điều này không? Những người khác trong tổ chức có cảm thấy giống tôi về điều này không? Người yêu cầu đang cố đạt được điều gì? Liệu điều đó có thể đạt được bằng một cách khác không? Tôi có thể từ chối tuân theo theo cách giúp họ giữ thể diện không? Nói chung, hãy cảnh giác với việc làm bất cứ điều gì chỉ vì “ai cũng làm vậy” hoặc sếp bảo bạn làm. Hãy chịu trách nhiệm về hành động của mình.</w:t>
      </w:r>
      <w:r>
        <w:rPr>
          <w:rStyle w:val="Text0"/>
        </w:rPr>
        <w:t/>
      </w:r>
      <w:r>
        <w:t xml:space="preserve"/>
      </w:r>
    </w:p>
    <w:p>
      <w:pPr>
        <w:pStyle w:val="Para 003"/>
      </w:pPr>
      <w:r>
        <w:bookmarkStart w:id="431" w:name="page_132"/>
        <w:t>Và đừng quên rằng nhiều thách thức đạo đức mà mọi người gặp phải trong công việc đã từng được những người khác đối mặt trước đó. Kết quả là, các công ty thường phát triển các hướng dẫn, quy trình và tuyên bố giá trị cụ thể. Nếu nghi ngờ về một tình huống nào đó, hãy thử tham khảo các chính sách chính thức của tổ chức bạn. Tổ chức có bộ quy tắc đạo đức được thiết lập không? Nếu không, hãy hỏi người cố vấn đạo đức của bạn để được hướng dẫn. Và nếu bạn đang đối mặt với điều mà bạn coi là rõ ràng phi đạo đức nhưng sợ bị cấp trên trả thù, hãy kiểm tra xem tổ chức của bạn có chương trình thanh tra viên (ombudsman program) hoặc đường dây nóng tố cáo sai phạm (whistle-blowing hotline) không.</w:t>
        <w:bookmarkEnd w:id="431"/>
        <w:t/>
      </w:r>
    </w:p>
    <w:p>
      <w:pPr>
        <w:pStyle w:val="Para 011"/>
      </w:pPr>
      <w:r>
        <w:t>Suy ngẫm sau khi sự việc đã xảy ra</w:t>
      </w:r>
    </w:p>
    <w:p>
      <w:pPr>
        <w:pStyle w:val="Para 003"/>
      </w:pPr>
      <w:r>
        <w:t>Học hỏi từ kinh nghiệm là một hành trình lặp đi lặp lại suốt đời: Rất nhiều sự trưởng thành diễn ra sau khi các quyết định được đưa ra và hành động được thực hiện. Người có đạo đức không hoàn hảo, nhưng khi họ mắc sai lầm, họ xem xét lại và suy ngẫm về chúng để có thể làm tốt hơn trong tương lai. Thật vậy, rất nhiều nghiên cứu—trong các lĩnh vực đa dạng như tâm lý học, khoa học máy tính, điều dưỡng và giáo dục—cho thấy rằng suy ngẫm là bước đầu tiên quan trọng trong việc học hỏi từ kinh nghiệm cá nhân trong quá khứ. Suy ngẫm về cả thành công lẫn thất bại giúp mọi người tránh không chỉ những sai phạm lặp lại mà còn cả sự “phân mảnh bản sắc” (identity segmentation), trong đó họ chia tách cuộc sống cá nhân và nghề nghiệp và có lẽ sống theo một bộ quy tắc đạo đức rất khác nhau trong mỗi phần.</w:t>
      </w:r>
    </w:p>
    <w:p>
      <w:pPr>
        <w:pStyle w:val="Para 003"/>
      </w:pPr>
      <w:r>
        <w:t>Nhưng sự tự suy ngẫm cũng có những hạn chế. Đôi khi những sai phạm đạo đức là hiển nhiên; những lúc khác, sự lựa chọn lại mơ hồ. Hơn nữa, con người có thể bị giới hạn bởi chính quan điểm của mình cũng như bởi lịch sử cá nhân và những định kiến. Đó là lý do tại sao chúng ta nên tìm kiếm lời khuyên từ những người mà chúng ta tin tưởng. Bạn có thể tiếp cận điều này giống như bạn tiếp cận phản hồi về hiệu suất công việc: bằng cách đặt những câu hỏi cụ thể, tránh thái độ phòng thủ và bày tỏ lòng biết ơn.</w:t>
      </w:r>
    </w:p>
    <w:p>
      <w:pPr>
        <w:pStyle w:val="Para 003"/>
      </w:pPr>
      <w:r>
        <w:t xml:space="preserve">Cuối cùng, bạn có thể tham gia vào điều mà Amy Wrzesniewski của Yale gọi là kiến tạo công việc (job crafting): định hình trải nghiệm công việc của bạn bằng cách chủ động điều chỉnh các nhiệm vụ bạn đảm nhận, các mối quan hệ tại nơi làm việc, và thậm chí cả cách bạn nhìn nhận công việc của mình, sao cho công việc trở nên có ý nghĩa hơn và giúp bạn phát huy tiềm năng. Bạn có thể áp dụng kiến tạo công việc vào sự nghiệp đạo đức của mình bằng cách thực hiện những thay đổi từ dưới lên đối với công việc và cách bạn tiếp cận nó, điều này sẽ giúp bạn trở nên đức hạnh hơn. Ví dụ, trong một số nghiên cứu sớm nhất về kiến tạo công việc, Wrzesniewski và các đồng nghiệp phát hiện ra rằng nhiều nhân viên dọn phòng bệnh viện nhìn nhận công việc của họ theo cách khiến họ cảm thấy mình như những người chữa lành, chứ không phải người lao công. Họ không chỉ dọn phòng; họ giúp tạo ra một môi trường chữa lành yên bình. Một nhân viên vệ sinh đã dùng nụ cười và sự hài hước của mình để giúp bệnh nhân ung thư thư giãn và cảm thấy thoải mái hơn. Cô tìm kiếm cơ hội để tương tác với họ, tin rằng mình có thể là một điểm sáng thoáng qua trong bóng tối của quá trình hóa trị đang diễn ra của họ. Cô đã kiến tạo công việc của mình để giúp bản thân phát triển và nuôi dưỡng những đức tính khi về già (eulogy virtues) như tình yêu thương, lòng trắc ẩn, sự tử tế và lòng trung thành.</w:t>
      </w:r>
      <w:r>
        <w:rPr>
          <w:rStyle w:val="Text0"/>
        </w:rPr>
        <w:t/>
      </w:r>
      <w:r>
        <w:t xml:space="preserve"/>
        <w:bookmarkStart w:id="432" w:name="page_133"/>
        <w:t/>
        <w:bookmarkEnd w:id="432"/>
        <w:t/>
      </w:r>
    </w:p>
    <w:p>
      <w:pPr>
        <w:pStyle w:val="Para 048"/>
      </w:pPr>
      <w:r>
        <w:drawing>
          <wp:anchor distL="0" distR="0" distT="0" distB="0" simplePos="0" relativeHeight="1" behindDoc="0" locked="0" layoutInCell="1" allowOverlap="1">
            <wp:simplePos x="0" y="0"/>
            <wp:positionH relativeFrom="margin">
              <wp:align>center</wp:align>
            </wp:positionH>
            <wp:positionV relativeFrom="line">
              <wp:align>top</wp:align>
            </wp:positionV>
            <wp:extent cx="1778000" cy="0"/>
            <wp:effectExtent l="0" r="0" t="0" b="0"/>
            <wp:wrapTopAndBottom/>
            <wp:docPr id="36" name="line.png" descr="image"/>
            <wp:cNvGraphicFramePr>
              <a:graphicFrameLocks noChangeAspect="1"/>
            </wp:cNvGraphicFramePr>
            <a:graphic>
              <a:graphicData uri="http://schemas.openxmlformats.org/drawingml/2006/picture">
                <pic:pic>
                  <pic:nvPicPr>
                    <pic:cNvPr id="0" name="line.png" descr="image"/>
                    <pic:cNvPicPr/>
                  </pic:nvPicPr>
                  <pic:blipFill>
                    <a:blip r:embed="rId20"/>
                    <a:stretch>
                      <a:fillRect/>
                    </a:stretch>
                  </pic:blipFill>
                  <pic:spPr>
                    <a:xfrm>
                      <a:off x="0" y="0"/>
                      <a:ext cx="1778000" cy="0"/>
                    </a:xfrm>
                    <a:prstGeom prst="rect">
                      <a:avLst/>
                    </a:prstGeom>
                  </pic:spPr>
                </pic:pic>
              </a:graphicData>
            </a:graphic>
          </wp:anchor>
        </w:drawing>
      </w:r>
    </w:p>
    <w:p>
      <w:pPr>
        <w:pStyle w:val="Para 003"/>
      </w:pPr>
      <w:r>
        <w:t>Bạn có thể cảm thấy rằng việc trở thành một chuyên gia có đạo đức không khó đến thế. Như cha mẹ bạn có thể đã nói, chỉ cần làm điều đúng đắn. Nhưng bằng chứng cho thấy rằng ngoài thế giới thực, việc giữ vững lập trường đạo đức ngày càng trở nên khó khăn. Vì vậy, hãy kiểm soát sự nghiệp đạo đức của bạn bằng cách nuôi dưỡng sự khiêm tốn về đạo đức (moral humility), chuẩn bị cho những tình huống thách thức, giữ bình tĩnh trong thời điểm đó, và suy ngẫm về mức độ bạn đã sống đúng với các giá trị và khát vọng của mình.</w:t>
      </w:r>
    </w:p>
    <w:p>
      <w:pPr>
        <w:pStyle w:val="Para 044"/>
      </w:pPr>
      <w:r>
        <w:t xml:space="preserve">Được xuất bản lần đầu vào tháng 1–tháng 2 năm 2020. Tái bản R2001L</w:t>
      </w:r>
      <w:r>
        <w:rPr>
          <w:rStyle w:val="Text10"/>
        </w:rPr>
        <w:t/>
      </w:r>
    </w:p>
    <w:p>
      <w:pPr>
        <w:pStyle w:val="Para 012"/>
      </w:pPr>
      <w:r>
        <w:t xml:space="preserve"> </w:t>
      </w:r>
    </w:p>
    <w:p>
      <w:bookmarkStart w:id="433" w:name="Top_of_ch12_xhtml"/>
      <w:bookmarkStart w:id="434" w:name="When_and_How_to_Respond_to_Micro"/>
      <w:pPr>
        <w:pStyle w:val="Para 012"/>
        <w:pageBreakBefore w:val="on"/>
      </w:pPr>
      <w:r>
        <w:t xml:space="preserve"> </w:t>
      </w:r>
      <w:bookmarkEnd w:id="433"/>
      <w:bookmarkEnd w:id="434"/>
    </w:p>
    <w:p>
      <w:bookmarkStart w:id="435" w:name="When_and_How_to_Respond_to_Micro_1"/>
      <w:pPr>
        <w:pStyle w:val="Para 039"/>
      </w:pPr>
      <w:r>
        <w:bookmarkStart w:id="436" w:name="page_135"/>
        <w:t>Khi nào và cách phản hồi trước những lời xúc phạm vi tế (Microaggressions)</w:t>
        <w:bookmarkEnd w:id="436"/>
        <w:t/>
      </w:r>
      <w:bookmarkEnd w:id="435"/>
    </w:p>
    <w:p>
      <w:bookmarkStart w:id="437" w:name="by_Ella_F__Washington__Alison_Ha"/>
      <w:pPr>
        <w:pStyle w:val="Para 040"/>
      </w:pPr>
      <w:r>
        <w:t>bởi Ella F. Washington, Alison Hall Birch, và Laura Morgan Roberts</w:t>
      </w:r>
      <w:bookmarkEnd w:id="437"/>
    </w:p>
    <w:p>
      <w:pPr>
        <w:pStyle w:val="Para 003"/>
      </w:pPr>
      <w:r>
        <w:rPr>
          <w:rStyle w:val="Text4"/>
        </w:rPr>
        <w:t>TẠI CÁC NƠI LÀM VIỆC Ở MỸ—và trên khắp thế giới—mọi người đang tham gia vào những cuộc trò chuyện thực sự về chủng tộc, công lý, sự đa dạng, bình đẳng và hòa nhập, được truyền cảm hứng bởi sự trỗi dậy của phong trào Black Lives Matter và các cuộc biểu tình rộng khắp chống lại sự tàn bạo không được kiểm soát đối với các cộng đồng da màu dưới tay cảnh sát. Đó là một điều tốt, hy vọng sẽ mở đường cho hành động chống phân biệt chủng tộc có ý nghĩa từ cả cá nhân lẫn tổ chức. Nhưng những cuộc thảo luận đó sẽ rất khó chịu, như chúng gần như luôn luôn như vậy—không chỉ đối với nhân viên và lãnh đạo da trắng, những người có thể lần đầu tiên đối mặt với đặc quyền của mình, mà còn đối với người da màu, đặc biệt là người Mỹ da đen, những người biết rằng những cuộc trò chuyện thẳng thắn với đồng nghiệp sẽ có nghĩa là họ phải đối mặt hoặc cần phải lên tiếng về những “lời xúc phạm vi tế” (microaggressions).</w:t>
      </w:r>
      <w:r>
        <w:t/>
      </w:r>
    </w:p>
    <w:p>
      <w:pPr>
        <w:pStyle w:val="Para 003"/>
      </w:pPr>
      <w:r>
        <w:t>Đây là những sự việc trong đó ai đó vô tình (hoặc cố ý) đưa ra một tuyên bố xúc phạm hoặc hỏi một câu hỏi thiếu tế nhị. Những lời xúc phạm vi tế được định nghĩa là “những sự sỉ nhục bằng lời nói, hành vi và môi trường truyền đạt những lời miệt thị, xúc phạm hoặc tiêu cực về chủng tộc đến người hoặc nhóm bị nhắm tới.” Đối với người da đen, chúng hiện diện khắp nơi trong công việc và cuộc sống hàng ngày. Dưới đây là một vài câu nói tưởng chừng vô hại nhưng, trong bối cảnh của những giả định và định kiến phân biệt chủng tộc, có thể khá gây tổn thương:</w:t>
        <w:bookmarkStart w:id="438" w:name="page_136"/>
        <w:t/>
        <w:bookmarkEnd w:id="438"/>
        <w:t/>
      </w:r>
    </w:p>
    <w:p>
      <w:pPr>
        <w:numPr>
          <w:ilvl w:val="0"/>
          <w:numId w:val="33"/>
        </w:numPr>
        <w:pStyle w:val="Para 003"/>
      </w:pPr>
      <w:r>
        <w:rPr>
          <w:rStyle w:val="Text0"/>
        </w:rPr>
        <w:t>“Khi tôi nhìn bạn, tôi không thấy màu da.” (ngụ ý rằng người đó không thừa nhận sự da đen của bạn hoặc sẽ không dùng nó để chống lại bạn)</w:t>
      </w:r>
      <w:r>
        <w:t xml:space="preserve"/>
      </w:r>
    </w:p>
    <w:p>
      <w:pPr>
        <w:numPr>
          <w:ilvl w:val="0"/>
          <w:numId w:val="33"/>
        </w:numPr>
        <w:pStyle w:val="Para 003"/>
      </w:pPr>
      <w:r>
        <w:rPr>
          <w:rStyle w:val="Text0"/>
        </w:rPr>
        <w:t>“Tất cả chúng ta đều là một chủng tộc: loài người.” (ngụ ý rằng trải nghiệm của bạn với tư cách là người da đen không khác gì trải nghiệm của những người thuộc các chủng tộc khác)</w:t>
      </w:r>
      <w:r>
        <w:t xml:space="preserve"/>
      </w:r>
    </w:p>
    <w:p>
      <w:pPr>
        <w:numPr>
          <w:ilvl w:val="0"/>
          <w:numId w:val="33"/>
        </w:numPr>
        <w:pStyle w:val="Para 003"/>
      </w:pPr>
      <w:r>
        <w:rPr>
          <w:rStyle w:val="Text0"/>
        </w:rPr>
        <w:t>“Bạn ăn nói lưu loát quá.” (ngụ ý rằng người da đen thường không có khả năng trò chuyện trí tuệ một cách thành thạo)</w:t>
      </w:r>
      <w:r>
        <w:t xml:space="preserve"/>
      </w:r>
    </w:p>
    <w:p>
      <w:pPr>
        <w:numPr>
          <w:ilvl w:val="0"/>
          <w:numId w:val="33"/>
        </w:numPr>
        <w:pStyle w:val="Para 070"/>
      </w:pPr>
      <w:r>
        <w:t>“Hôm nay tóc bạn bồng bềnh quá! Bạn định để kiểu đó đi gặp khách hàng à?” (ngụ ý rằng các kiểu tóc tự nhiên của người da đen không chuyên nghiệp)</w:t>
      </w:r>
      <w:r>
        <w:rPr>
          <w:rStyle w:val="Text0"/>
        </w:rPr>
        <w:t xml:space="preserve"/>
      </w:r>
    </w:p>
    <w:p>
      <w:pPr>
        <w:numPr>
          <w:ilvl w:val="0"/>
          <w:numId w:val="33"/>
        </w:numPr>
        <w:pStyle w:val="Para 003"/>
      </w:pPr>
      <w:r>
        <w:rPr>
          <w:rStyle w:val="Text0"/>
        </w:rPr>
        <w:t>“Ai cũng có thể thành công trong xã hội nếu họ làm việc đủ chăm chỉ.” (ngụ ý rằng kết quả chênh lệch của người da đen là do lười biếng)</w:t>
      </w:r>
      <w:r>
        <w:t xml:space="preserve"/>
      </w:r>
    </w:p>
    <w:p>
      <w:pPr>
        <w:pStyle w:val="Para 003"/>
      </w:pPr>
      <w:r>
        <w:t xml:space="preserve">Như chính từ ngữ gợi ý, những lời xúc phạm vi tế có vẻ nhỏ nhặt; nhưng khi tích tụ theo thời gian, chúng có thể có tác động có hại đến trải nghiệm, sức khỏe thể chất và sức khỏe tâm lý của một nhân viên. Thực tế, nghiên cứu cho thấy rằng các hình thức phân biệt đối xử tinh vi giữa các cá nhân như những lời xúc phạm vi tế ít nhất cũng có hại như những biểu hiện phân biệt đối xử công khai hơn.</w:t>
      </w:r>
      <w:r>
        <w:rPr>
          <w:rStyle w:val="Text0"/>
        </w:rPr>
        <w:t/>
      </w:r>
      <w:r>
        <w:t xml:space="preserve"/>
      </w:r>
    </w:p>
    <w:p>
      <w:pPr>
        <w:pStyle w:val="Para 003"/>
      </w:pPr>
      <w:r>
        <w:t>Những lời xúc phạm vi tế củng cố đặc quyền của người da trắng và làm suy yếu văn hóa hòa nhập. Giải pháp tốt nhất, tất nhiên, là nâng cao nhận thức về những lời xúc phạm vi tế, nhấn mạnh rằng nhân viên phải ngừng thực hiện chúng, và lên tiếng với những người làm điều đó. Nhưng trong trường hợp không có những thay đổi đó—và hiểu rằng việc ngăn chặn hoàn toàn có lẽ là bất khả thi—thì nhân viên và quản lý da đen (và những người thuộc các nhóm yếu thế khác) nên phản hồi như thế nào trước những lời xúc phạm vi tế mà họ phải đối mặt, trong và ngoài các cuộc thảo luận hiện tại về chủng tộc tại nơi làm việc?</w:t>
      </w:r>
    </w:p>
    <w:p>
      <w:pPr>
        <w:pStyle w:val="Para 034"/>
      </w:pPr>
      <w:r>
        <w:t>Ý tưởng tóm tắt</w:t>
      </w:r>
    </w:p>
    <w:p>
      <w:pPr>
        <w:pStyle w:val="Para 019"/>
      </w:pPr>
      <w:r>
        <w:bookmarkStart w:id="439" w:name="page_137"/>
        <w:t>Những lời xúc phạm vi tế được định nghĩa là những sự sỉ nhục bằng lời nói, hành vi và môi trường truyền đạt những lời miệt thị, xúc phạm hoặc tiêu cực về chủng tộc đến người hoặc nhóm bị nhắm tới. Đối với người da đen, chúng hiện diện khắp nơi trong công việc và cuộc sống hàng ngày.</w:t>
        <w:bookmarkEnd w:id="439"/>
        <w:t/>
      </w:r>
    </w:p>
    <w:p>
      <w:pPr>
        <w:pStyle w:val="Para 019"/>
      </w:pPr>
      <w:r>
        <w:t>Khi bạn là người nhận phải một lời xúc phạm vi tế, bạn có thể phản hồi theo một trong ba cách: bỏ qua, lên tiếng ngay lập tức, hoặc đề cập đến nó vào một thời điểm sau đó. Làm thế nào để bạn quyết định con đường nào là phù hợp cho tình huống và xử lý cuộc trò chuyện nếu bạn chọn có một cuộc trò chuyện? Đầu tiên, hãy phân định điều gì quan trọng với bạn. Thứ hai, hãy làm dịu người đã thực hiện lời xúc phạm vi tế; giải thích rằng bạn muốn có một cuộc trò chuyện khó chịu. Thứ ba, thách thức họ làm rõ tuyên bố hoặc hành động của họ, sau đó hướng họ tập trung vào tác động tiêu cực mà nó gây ra. Cuối cùng, hãy quyết định cách bạn muốn để sự việc ảnh hưởng đến mình.</w:t>
      </w:r>
    </w:p>
    <w:p>
      <w:pPr>
        <w:pStyle w:val="Para 003"/>
      </w:pPr>
      <w:r>
        <w:t>Có ba cách phản ứng chính:</w:t>
      </w:r>
    </w:p>
    <w:p>
      <w:pPr>
        <w:pStyle w:val="Para 003"/>
      </w:pPr>
      <w:r>
        <w:rPr>
          <w:rStyle w:val="Text0"/>
        </w:rPr>
        <w:t>Bỏ qua. Trong một thời gian dài, phản ứng mặc định phổ biến nhất là chọn không đề cập đến những bình luận xúc phạm tại nơi làm việc. Bởi vì chúng phổ biến nhưng tinh vi, việc đối mặt với chúng có thể làm cạn kiệt cảm xúc. Tuy nhiên, sự im lặng đặt một gánh nặng cảm xúc (emotional tax) lên nhân viên da đen, những người bị bỏ lại với những băn khoăn về chuyện gì đã xảy ra và tại sao, nghi ngờ quyền được cảm thấy bị xúc phạm của mình, và củng cố niềm tin rằng họ không an toàn khỏi sự hạ thấp giá trị bản sắc tại nơi làm việc.</w:t>
      </w:r>
      <w:r>
        <w:t xml:space="preserve"/>
      </w:r>
    </w:p>
    <w:p>
      <w:pPr>
        <w:pStyle w:val="Para 003"/>
      </w:pPr>
      <w:r>
        <w:rPr>
          <w:rStyle w:val="Text0"/>
        </w:rPr>
        <w:t>Phản hồi ngay lập tức. Cách tiếp cận này cho phép sự vi phạm được lên tiếng và tác động của nó được giải thích trong khi các chi tiết của sự việc vẫn còn mới mẻ trong tâm trí của tất cả những người liên quan. Tính tức thời là một thành phần quan trọng của việc sửa chữa hành vi xấu. Nhưng cách tiếp cận này có thể rủi ro. Người vi phạm có thể trở nên phòng thủ, khiến người bị nhắm tới cảm thấy như họ bằng cách nào đó đã “mất kiểm soát”, không thể hiện bản thân tốt nhất, và sẽ bị gán nhãn là người hay than vãn quá nhạy cảm, kẻ gây rối, hoặc hình mẫu rập khuôn về người da đen giận dữ.</w:t>
      </w:r>
      <w:r>
        <w:t xml:space="preserve"/>
      </w:r>
    </w:p>
    <w:p>
      <w:pPr>
        <w:pStyle w:val="Para 003"/>
      </w:pPr>
      <w:r>
        <w:rPr>
          <w:rStyle w:val="Text0"/>
        </w:rPr>
        <w:t>Phản hồi sau đó. Một phản ứng ôn hòa hơn là nói chuyện riêng với người vi phạm vào một thời điểm sau đó để giải thích tại sao lời xúc phạm vi tế đó lại gây khó chịu. Ở đây, rủi ro nằm ở độ trễ thời gian. Một cuộc trò chuyện tiếp theo đòi hỏi phải giúp người đã thực hiện lời xúc phạm vi tế trước tiên nhớ lại nó và sau đó hiểu được tác động của nó. Nhân viên da đen nêu ra vấn đề có thể bị coi là nhỏ nhen—giống như một người đã nuôi dưỡng sự oán giận hoặc bám víu vào “những điều nhỏ nhặt”—trong khi bên kia, vốn “không có ý xấu”, đã bỏ qua. Những lời buộc tội như vậy là một hình thức thao túng tâm lý về chủng tộc (racial gaslighting), có thể rất gây tổn thương.</w:t>
      </w:r>
      <w:r>
        <w:t xml:space="preserve"/>
        <w:bookmarkStart w:id="440" w:name="page_138"/>
        <w:t/>
        <w:bookmarkEnd w:id="440"/>
        <w:t/>
      </w:r>
    </w:p>
    <w:p>
      <w:pPr>
        <w:pStyle w:val="Para 003"/>
      </w:pPr>
      <w:r>
        <w:t>Chúng tôi khuyến nghị khuôn khổ sau đây để xác định hướng đi nào là tốt nhất cho bạn trong bất kỳ tình huống nào và sau đó, nếu bạn quyết định phản hồi, để đảm bảo một cuộc đối thoại hiệu quả.</w:t>
      </w:r>
    </w:p>
    <w:p>
      <w:pPr>
        <w:pStyle w:val="Para 023"/>
      </w:pPr>
      <w:r>
        <w:t>Phân định</w:t>
      </w:r>
    </w:p>
    <w:p>
      <w:pPr>
        <w:pStyle w:val="Para 003"/>
      </w:pPr>
      <w:r>
        <w:t>Xác định mức độ đầu tư mà bạn muốn dành cho việc giải quyết lời xúc phạm vi tế. Đừng cảm thấy áp lực phải phản hồi mọi sự việc; thay vào đó, hãy cảm thấy được trao quyền để làm điều đó khi bạn quyết định mình nên làm. Hãy cân nhắc:</w:t>
      </w:r>
    </w:p>
    <w:p>
      <w:pPr>
        <w:numPr>
          <w:ilvl w:val="0"/>
          <w:numId w:val="34"/>
        </w:numPr>
        <w:pStyle w:val="Para 003"/>
      </w:pPr>
      <w:r>
        <w:rPr>
          <w:rStyle w:val="Text0"/>
        </w:rPr>
        <w:t>Tầm quan trọng của vấn đề và mối quan hệ. Nếu một trong hai hoặc cả hai đều quan trọng với bạn, thì né tránh là cách tiếp cận sai lầm. Hãy thể hiện bản thân theo cách tôn trọng sự quan tâm của bạn dành cho bên kia, và khẳng định bản thân theo cách thừa nhận mối quan ngại của bạn về vấn đề này.</w:t>
      </w:r>
      <w:r>
        <w:t/>
      </w:r>
    </w:p>
    <w:p>
      <w:pPr>
        <w:numPr>
          <w:ilvl w:val="0"/>
          <w:numId w:val="34"/>
        </w:numPr>
        <w:pStyle w:val="Para 003"/>
      </w:pPr>
      <w:r>
        <w:rPr>
          <w:rStyle w:val="Text0"/>
        </w:rPr>
        <w:t>Cảm xúc của bạn. Những lời nói hay hành động vô tình mang tính phân biệt (microaggressions) có thể khiến bạn nghi ngờ liệu phản ứng của mình có chính đáng hay không. Hãy cho phép bản thân cảm nhận những gì mình đang cảm nhận, dù đó là tức giận, thất vọng, bực bội, khó chịu, bối rối, xấu hổ, kiệt sức hay bất cứ điều gì khác. Mọi cảm xúc đều chính đáng và nên được cân nhắc khi bạn quyết định có phản hồi hay không, phản hồi như thế nào và khi nào. Với những cảm xúc tiêu cực mạnh hơn như tức giận, thường thì tốt nhất là giải quyết sự việc sau đó. Nếu bạn đang bối rối, phản hồi ngay lập tức có thể phù hợp hơn. Nếu bạn chỉ đơn giản là kiệt sức vì gánh nặng của việc vừa làm việc vừa là người da đen, có lẽ tốt nhất là bỏ qua—ý là tốt nhất cho bạn, chứ không phải cho người gây ra sự việc.</w:t>
      </w:r>
      <w:r>
        <w:t xml:space="preserve"/>
      </w:r>
    </w:p>
    <w:p>
      <w:pPr>
        <w:numPr>
          <w:ilvl w:val="0"/>
          <w:numId w:val="34"/>
        </w:numPr>
        <w:pStyle w:val="Para 003"/>
      </w:pPr>
      <w:r>
        <w:rPr>
          <w:rStyle w:val="Text0"/>
        </w:rPr>
        <w:t>Bạn muốn được nhìn nhận như thế nào ở hiện tại và trong tương lai. Việc lên tiếng hay giữ im lặng đều có những hệ quả riêng. Chỉ bạn mới có thể xác định điều gì quan trọng hơn với mình trong từng tình huống cụ thể.</w:t>
      </w:r>
      <w:r>
        <w:t xml:space="preserve"/>
      </w:r>
    </w:p>
    <w:p>
      <w:pPr>
        <w:pStyle w:val="Para 023"/>
      </w:pPr>
      <w:r>
        <w:bookmarkStart w:id="441" w:name="page_139"/>
        <w:t>Hóa giải sự phòng thủ (Disarm)</w:t>
        <w:bookmarkEnd w:id="441"/>
        <w:t/>
      </w:r>
    </w:p>
    <w:p>
      <w:pPr>
        <w:pStyle w:val="Para 003"/>
      </w:pPr>
      <w:r>
        <w:t>Nếu bạn chọn đối mặt với một hành vi microaggression, hãy sẵn sàng hóa giải sự phòng thủ của người đã gây ra nó. Một lý do khiến chúng ta tránh các cuộc trò chuyện về chủng tộc là vì chúng khiến mọi người trở nên phòng thủ. Những người gây ra microaggression thường sợ bị xem là—hoặc tệ hơn, bị phát hiện là—kẻ phân biệt chủng tộc. Hãy giải thích rằng cuộc trò chuyện có thể khiến họ không thoải mái, nhưng những gì họ vừa nói hoặc làm cũng đã khiến bạn không thoải mái. Hãy mời họ cùng bạn ngồi lại trong sự ngượng ngùng từ lời nói hoặc hành động của họ, trong khi hai người cùng nhau tìm hiểu gốc rễ của hành vi đó.</w:t>
      </w:r>
    </w:p>
    <w:p>
      <w:pPr>
        <w:pStyle w:val="Para 023"/>
      </w:pPr>
      <w:r>
        <w:t>Thách thức để làm rõ (Defy)</w:t>
      </w:r>
    </w:p>
    <w:p>
      <w:pPr>
        <w:pStyle w:val="Para 003"/>
      </w:pPr>
      <w:r>
        <w:t>Hãy thách thức người gây ra sự việc làm rõ phát ngôn hoặc hành động của họ. Dùng một câu hỏi gợi mở, chẳng hạn như “Ý anh/chị là sao?” Điều này cho họ cơ hội tự kiểm điểm khi họ phân tích những gì đã xảy ra. Và nó cũng cho bạn cơ hội đánh giá tốt hơn ý định của họ. Một trong những đặc quyền lớn nhất là sự tự do không nhận ra mình có đặc quyền, vì vậy microaggression thường là những hành vi xúc phạm vô tình. Hãy thừa nhận rằng bạn chấp nhận ý định của họ như họ đã nói, nhưng hãy định hướng lại cuộc trò chuyện xoay quanh tác động của hành vi microaggression đó. Giải thích cách bạn diễn giải ban đầu và lý do tại sao. Nếu họ tiếp tục khăng khăng rằng họ “không có ý như vậy”, hãy nhắc họ rằng bạn trân trọng việc họ sẵn lòng làm rõ ý định và hy vọng họ cũng trân trọng việc bạn sẵn lòng làm rõ tác động của nó.</w:t>
      </w:r>
      <w:r>
        <w:rPr>
          <w:rStyle w:val="Text0"/>
        </w:rPr>
        <w:t/>
      </w:r>
      <w:r>
        <w:t/>
      </w:r>
      <w:r>
        <w:rPr>
          <w:rStyle w:val="Text0"/>
        </w:rPr>
        <w:t/>
      </w:r>
      <w:r>
        <w:t/>
      </w:r>
    </w:p>
    <w:p>
      <w:pPr>
        <w:pStyle w:val="Para 023"/>
      </w:pPr>
      <w:r>
        <w:t>Quyết định (Decide)</w:t>
      </w:r>
    </w:p>
    <w:p>
      <w:pPr>
        <w:pStyle w:val="Para 003"/>
      </w:pPr>
      <w:r>
        <w:t>Bạn kiểm soát việc sự việc này sẽ có ý nghĩa gì đối với cuộc sống và công việc của bạn—bạn sẽ rút ra được gì từ tương tác đó và bạn sẽ cho phép nó lấy đi điều gì từ bạn. Người da đen, cũng như những người có nhiều bản dạng thiểu số và giao thoa khác, vốn đã phải chịu những kỳ vọng và đánh giá thiên kiến tại nơi làm việc. Cuộc sống vốn đã đủ mệt mỏi mà không cần để những microaggression kéo bạn xuống. Hãy để việc bảo vệ niềm vui của bạn trở thành hành động phản kháng lớn nhất và bền bỉ nhất của bạn.</w:t>
      </w:r>
    </w:p>
    <w:p>
      <w:pPr>
        <w:pStyle w:val="Para 003"/>
      </w:pPr>
      <w:r>
        <w:t xml:space="preserve">Một lời khuyên cho những đồng minh không phải người da đen, cả cũ lẫn mới: Công việc của một đồng minh (allyship) rất khó khăn. Bạn sẽ mắc sai lầm khi học hỏi—và bạn sẽ luôn luôn học hỏi. Đối với bất kỳ ai bị cáo buộc đã gây ra một microaggression hoặc đang tư vấn cho người bị cáo buộc, đây là vài lưu ý về cách phản hồi:</w:t>
        <w:bookmarkStart w:id="442" w:name="page_140"/>
        <w:t/>
        <w:bookmarkEnd w:id="442"/>
        <w:t/>
      </w:r>
    </w:p>
    <w:p>
      <w:pPr>
        <w:numPr>
          <w:ilvl w:val="0"/>
          <w:numId w:val="35"/>
        </w:numPr>
        <w:pStyle w:val="Para 003"/>
      </w:pPr>
      <w:r>
        <w:t>Hãy nhớ rằng ý định không thể lấn át tác động.</w:t>
      </w:r>
    </w:p>
    <w:p>
      <w:pPr>
        <w:numPr>
          <w:ilvl w:val="0"/>
          <w:numId w:val="35"/>
        </w:numPr>
        <w:pStyle w:val="Para 003"/>
      </w:pPr>
      <w:r>
        <w:t>Hãy tìm cách thấu hiểu trải nghiệm của các đồng nghiệp, cấp trên và nhân viên da đen của bạn mà không bắt họ chịu trách nhiệm giáo dục bạn.</w:t>
      </w:r>
    </w:p>
    <w:p>
      <w:pPr>
        <w:numPr>
          <w:ilvl w:val="0"/>
          <w:numId w:val="35"/>
        </w:numPr>
        <w:pStyle w:val="Para 003"/>
      </w:pPr>
      <w:r>
        <w:t>Hãy tin tưởng các đồng nghiệp da đen khi họ chọn chia sẻ góc nhìn của mình; đừng trở nên phòng thủ hay đóng vai người phản biện.</w:t>
      </w:r>
    </w:p>
    <w:p>
      <w:pPr>
        <w:numPr>
          <w:ilvl w:val="0"/>
          <w:numId w:val="35"/>
        </w:numPr>
        <w:pStyle w:val="Para 003"/>
      </w:pPr>
      <w:r>
        <w:t>Hãy sẵn sàng suy nghĩ lại về phần lớn những gì bạn từng cho là đúng về thế giới và nơi làm việc của mình, và chấp nhận rằng có thể bạn đã vô tình tiếp tay tạo ra sự bất bình đẳng.</w:t>
      </w:r>
    </w:p>
    <w:p>
      <w:pPr>
        <w:pStyle w:val="Para 003"/>
      </w:pPr>
      <w:r>
        <w:t>Mặc dù ngày càng nhiều tổ chức khuyến khích các cuộc thảo luận thẳng thắn về chủng tộc tại nơi làm việc, chúng ta không thể phớt lờ những phản ứng dữ dội trong quá khứ mà nhân viên da đen đã phải chịu đựng khi lên tiếng. Thay đổi văn hóa cần thời gian và sự chủ đích. Vì vậy, dù chúng tôi khuyến khích đối thoại kịp thời và có chiến lược về microaggression, cuối cùng mỗi cá nhân vẫn phải tự quyết định cách phản hồi sao cho chân thực nhất với con người họ và cách họ muốn được nhìn nhận.</w:t>
      </w:r>
    </w:p>
    <w:p>
      <w:pPr>
        <w:pStyle w:val="Para 044"/>
      </w:pPr>
      <w:r>
        <w:t xml:space="preserve">Phỏng theo nội dung được xuất bản lần đầu vào tháng 7 năm 2020. Mã tái bản H05Q4G</w:t>
      </w:r>
      <w:r>
        <w:rPr>
          <w:rStyle w:val="Text10"/>
        </w:rPr>
        <w:t/>
      </w:r>
    </w:p>
    <w:p>
      <w:pPr>
        <w:pStyle w:val="Para 012"/>
      </w:pPr>
      <w:r>
        <w:t xml:space="preserve"> </w:t>
      </w:r>
    </w:p>
    <w:p>
      <w:bookmarkStart w:id="443" w:name="About_the_Contributors_ERIKA_AND"/>
      <w:bookmarkStart w:id="444" w:name="Top_of_ata_xhtml"/>
      <w:pPr>
        <w:pStyle w:val="Para 012"/>
        <w:pageBreakBefore w:val="on"/>
      </w:pPr>
      <w:r>
        <w:t xml:space="preserve"> </w:t>
      </w:r>
      <w:bookmarkEnd w:id="443"/>
      <w:bookmarkEnd w:id="444"/>
    </w:p>
    <w:p>
      <w:pPr>
        <w:pStyle w:val="Para 034"/>
      </w:pPr>
      <w:r>
        <w:bookmarkStart w:id="445" w:name="page_141"/>
        <w:t>Về các tác giả</w:t>
        <w:bookmarkEnd w:id="445"/>
        <w:t/>
      </w:r>
    </w:p>
    <w:p>
      <w:pPr>
        <w:pStyle w:val="Para 026"/>
      </w:pPr>
      <w:r>
        <w:rPr>
          <w:rStyle w:val="Text3"/>
        </w:rPr>
        <w:t>ERIKA ANDERSEN là đối tác sáng lập của Proteus International và là tác giả của các cuốn Growing Great Employees, Being Strategic, Leading So People Will Follow, và cuốn sắp ra mắt Be Bad First.</w:t>
      </w:r>
      <w:r>
        <w:t xml:space="preserve"/>
      </w:r>
      <w:r>
        <w:rPr>
          <w:rStyle w:val="Text0"/>
        </w:rPr>
        <w:t/>
      </w:r>
      <w:r>
        <w:t xml:space="preserve"/>
      </w:r>
      <w:r>
        <w:rPr>
          <w:rStyle w:val="Text0"/>
        </w:rPr>
        <w:t/>
      </w:r>
      <w:r>
        <w:t xml:space="preserve"/>
      </w:r>
      <w:r>
        <w:rPr>
          <w:rStyle w:val="Text0"/>
        </w:rPr>
        <w:t/>
      </w:r>
      <w:r>
        <w:t xml:space="preserve"/>
      </w:r>
      <w:r>
        <w:rPr>
          <w:rStyle w:val="Text0"/>
        </w:rPr>
        <w:t/>
      </w:r>
      <w:r>
        <w:t/>
      </w:r>
    </w:p>
    <w:p>
      <w:pPr>
        <w:pStyle w:val="Para 026"/>
      </w:pPr>
      <w:r>
        <w:rPr>
          <w:rStyle w:val="Text3"/>
        </w:rPr>
        <w:t>JOSEPH L. BADARACCO là Giáo sư Đạo đức Kinh doanh John Shad tại Harvard Business School, nơi ông đã giảng dạy các khóa học về lãnh đạo, chiến lược, trách nhiệm doanh nghiệp và quản trị. Các cuốn sách của ông về những chủ đề này bao gồm cuốn sách bán chạy nhất của New York Times Leading Quietly, Defining Moments, và Step Back: Bringing the Art of Reflection into Your Busy Life (Harvard Business Review Press, 2020).</w:t>
      </w:r>
      <w:r>
        <w:t xml:space="preserve"/>
      </w:r>
      <w:r>
        <w:rPr>
          <w:rStyle w:val="Text0"/>
        </w:rPr>
        <w:t/>
      </w:r>
      <w:r>
        <w:t xml:space="preserve"/>
      </w:r>
      <w:r>
        <w:rPr>
          <w:rStyle w:val="Text0"/>
        </w:rPr>
        <w:t/>
      </w:r>
      <w:r>
        <w:t xml:space="preserve"/>
      </w:r>
      <w:r>
        <w:rPr>
          <w:rStyle w:val="Text0"/>
        </w:rPr>
        <w:t/>
      </w:r>
      <w:r>
        <w:t xml:space="preserve"/>
      </w:r>
      <w:r>
        <w:rPr>
          <w:rStyle w:val="Text0"/>
        </w:rPr>
        <w:t/>
      </w:r>
      <w:r>
        <w:t xml:space="preserve"/>
      </w:r>
    </w:p>
    <w:p>
      <w:pPr>
        <w:pStyle w:val="Para 026"/>
      </w:pPr>
      <w:r>
        <w:rPr>
          <w:rStyle w:val="Text3"/>
        </w:rPr>
        <w:t>ALISON HALL BIRCH là trợ lý giáo sư tại College of Business thuộc University of Texas, Arlington (UTA), nơi bà nghiên cứu về định kiến dựa trên sự kỳ thị, quản lý sự đa dạng và lãnh đạo.</w:t>
      </w:r>
      <w:r>
        <w:t xml:space="preserve"/>
      </w:r>
    </w:p>
    <w:p>
      <w:pPr>
        <w:pStyle w:val="Para 026"/>
      </w:pPr>
      <w:r>
        <w:rPr>
          <w:rStyle w:val="Text3"/>
        </w:rPr>
        <w:t>JULIAN BIRKINSHAW là phó hiệu trưởng và giáo sư về chiến lược và khởi nghiệp tại London Business School. Cuốn sách gần đây nhất của ông là Fast/Forward: Make Your Company Fit for the Future.</w:t>
      </w:r>
      <w:r>
        <w:t xml:space="preserve"/>
      </w:r>
      <w:r>
        <w:rPr>
          <w:rStyle w:val="Text0"/>
        </w:rPr>
        <w:t/>
      </w:r>
      <w:r>
        <w:t/>
      </w:r>
    </w:p>
    <w:p>
      <w:pPr>
        <w:pStyle w:val="Para 026"/>
      </w:pPr>
      <w:r>
        <w:rPr>
          <w:rStyle w:val="Text3"/>
        </w:rPr>
        <w:t>JORDAN COHEN là một giám đốc điều hành tại LifeLabs Learning.</w:t>
      </w:r>
      <w:r>
        <w:t xml:space="preserve"/>
      </w:r>
    </w:p>
    <w:p>
      <w:pPr>
        <w:pStyle w:val="Para 026"/>
      </w:pPr>
      <w:r>
        <w:rPr>
          <w:rStyle w:val="Text3"/>
        </w:rPr>
        <w:t>CHRISTINA CONGLETON là nhà tư vấn lãnh đạo và thay đổi tại Axon Coaching và nghiên cứu về căng thẳng và não bộ tại University of Denver. Bà có bằng thạc sĩ về phát triển con người và tâm lý học từ Harvard University.</w:t>
      </w:r>
      <w:r>
        <w:t xml:space="preserve"/>
      </w:r>
    </w:p>
    <w:p>
      <w:pPr>
        <w:pStyle w:val="Para 026"/>
      </w:pPr>
      <w:r>
        <w:rPr>
          <w:rStyle w:val="Text3"/>
        </w:rPr>
        <w:t>NICK CRAIG là chủ tịch của Authentic Leadership Institute.</w:t>
      </w:r>
      <w:r>
        <w:t xml:space="preserve"/>
      </w:r>
    </w:p>
    <w:p>
      <w:pPr>
        <w:pStyle w:val="Para 026"/>
      </w:pPr>
      <w:r>
        <w:rPr>
          <w:rStyle w:val="Text3"/>
        </w:rPr>
        <w:t>ROB CROSS là Giáo sư Edward A. Madden về Lãnh đạo Toàn cầu tại Babson College và là đồng tác giả của The Hidden Power of Social Networks (Harvard Business Review Press, 2004).</w:t>
      </w:r>
      <w:r>
        <w:t xml:space="preserve"/>
      </w:r>
      <w:r>
        <w:rPr>
          <w:rStyle w:val="Text0"/>
        </w:rPr>
        <w:t/>
      </w:r>
      <w:r>
        <w:t xml:space="preserve"/>
      </w:r>
    </w:p>
    <w:p>
      <w:pPr>
        <w:pStyle w:val="Para 026"/>
      </w:pPr>
      <w:r>
        <w:rPr>
          <w:rStyle w:val="Text3"/>
        </w:rPr>
        <w:t>SUSAN DAVID là nhà sáng lập của Harvard/McLean Institute of Coaching, là giảng viên tại Harvard Medical School, và được công nhận là một trong những nhà tư tưởng quản trị hàng đầu thế giới. Bà là tác giả của cuốn sách bán chạy số 1 của Wall Street Journal, Emotional Agility (Avery), dựa trên khái niệm được HBR vinh danh là Ý tưởng Quản trị của Năm. Là một diễn giả và cố vấn được săn đón, David đã làm việc với đội ngũ lãnh đạo cấp cao của hàng trăm tổ chức lớn, bao gồm United Nations, Ernst &amp; Young, và World Economic Forum.</w:t>
      </w:r>
      <w:r>
        <w:t xml:space="preserve"/>
        <w:bookmarkStart w:id="446" w:name="page_142"/>
        <w:t/>
        <w:bookmarkEnd w:id="446"/>
        <w:t xml:space="preserve"/>
      </w:r>
      <w:r>
        <w:rPr>
          <w:rStyle w:val="Text0"/>
        </w:rPr>
        <w:t/>
      </w:r>
      <w:r>
        <w:t xml:space="preserve"/>
      </w:r>
      <w:r>
        <w:rPr>
          <w:rStyle w:val="Text0"/>
        </w:rPr>
        <w:t/>
      </w:r>
      <w:r>
        <w:t xml:space="preserve"/>
      </w:r>
    </w:p>
    <w:p>
      <w:pPr>
        <w:pStyle w:val="Para 026"/>
      </w:pPr>
      <w:r>
        <w:rPr>
          <w:rStyle w:val="Text3"/>
        </w:rPr>
        <w:t>JAMES R. DETERT là giáo sư quản trị kinh doanh và phó khoa phụ trách Chương trình Bằng cấp Điều hành và Sáng kiến Lãnh đạo tại Darden School of Business thuộc University of Virginia.</w:t>
      </w:r>
      <w:r>
        <w:t xml:space="preserve"/>
      </w:r>
    </w:p>
    <w:p>
      <w:pPr>
        <w:pStyle w:val="Para 026"/>
      </w:pPr>
      <w:r>
        <w:rPr>
          <w:rStyle w:val="Text3"/>
        </w:rPr>
        <w:t>SCOTT K. EDINGER là nhà sáng lập của Edinger Consulting Group. Cuốn sách mới nhất của ông là The Hidden Leader: Discover and Develop Greatness within Your Company (AMACOM, 2015).</w:t>
      </w:r>
      <w:r>
        <w:t xml:space="preserve"/>
      </w:r>
      <w:r>
        <w:rPr>
          <w:rStyle w:val="Text0"/>
        </w:rPr>
        <w:t/>
      </w:r>
      <w:r>
        <w:t xml:space="preserve"/>
      </w:r>
    </w:p>
    <w:p>
      <w:pPr>
        <w:pStyle w:val="Para 026"/>
      </w:pPr>
      <w:r>
        <w:rPr>
          <w:rStyle w:val="Text3"/>
        </w:rPr>
        <w:t>JOSEPH R. FOLKMAN là chủ tịch của Zenger Folkman, một công ty tư vấn phát triển lãnh đạo. Ông là đồng tác giả của cuốn Speed: How Leaders Accelerate Successful Execution (McGraw Hill, 2016).</w:t>
      </w:r>
      <w:r>
        <w:t xml:space="preserve"/>
      </w:r>
      <w:r>
        <w:rPr>
          <w:rStyle w:val="Text0"/>
        </w:rPr>
        <w:t/>
      </w:r>
      <w:r>
        <w:t xml:space="preserve"/>
      </w:r>
    </w:p>
    <w:p>
      <w:pPr>
        <w:pStyle w:val="Para 026"/>
      </w:pPr>
      <w:r>
        <w:rPr>
          <w:rStyle w:val="Text3"/>
        </w:rPr>
        <w:t>W. BRAD JOHNSON là giáo sư tâm lý học tại Khoa Lãnh đạo, Đạo đức và Luật tại United States Naval Academy và là cộng tác viên giảng dạy tại trường sau đại học của Johns Hopkins University. Ông là đồng tác giả của Athena Rising: How and Why Men Should Mentor Women, The Elements of Mentoring, và Good Guys: How Men Can Be Better Allies for Women in the Workplace (Harvard Business Review Press, 2020).</w:t>
      </w:r>
      <w:r>
        <w:t xml:space="preserve"/>
      </w:r>
      <w:r>
        <w:rPr>
          <w:rStyle w:val="Text0"/>
        </w:rPr>
        <w:t/>
      </w:r>
      <w:r>
        <w:t xml:space="preserve"/>
      </w:r>
      <w:r>
        <w:rPr>
          <w:rStyle w:val="Text0"/>
        </w:rPr>
        <w:t/>
      </w:r>
      <w:r>
        <w:t xml:space="preserve"/>
      </w:r>
      <w:r>
        <w:rPr>
          <w:rStyle w:val="Text0"/>
        </w:rPr>
        <w:t/>
      </w:r>
      <w:r>
        <w:t xml:space="preserve"/>
      </w:r>
    </w:p>
    <w:p>
      <w:pPr>
        <w:pStyle w:val="Para 026"/>
      </w:pPr>
      <w:r>
        <w:rPr>
          <w:rStyle w:val="Text3"/>
        </w:rPr>
        <w:t>DEBORAH M. KOLB là Giáo sư Deloitte Ellen Gabriel về Phụ nữ trong Lãnh đạo (Emerita) và là đồng sáng lập của Center for Gender in Organizations tại Simmons College School of Management. Là chuyên gia về đàm phán và lãnh đạo, bà là đồng giám đốc của Dự án Đàm phán tại Nơi làm việc thuộc Program on Negotiation tại Harvard Law School. Bà là đồng tác giả của Negotiating at Work: Turn Small Wins into Big Gains (Jossey-Bass, 2015).</w:t>
      </w:r>
      <w:r>
        <w:t xml:space="preserve"/>
      </w:r>
      <w:r>
        <w:rPr>
          <w:rStyle w:val="Text0"/>
        </w:rPr>
        <w:t/>
      </w:r>
      <w:r>
        <w:t xml:space="preserve"/>
      </w:r>
    </w:p>
    <w:p>
      <w:pPr>
        <w:pStyle w:val="Para 026"/>
      </w:pPr>
      <w:r>
        <w:rPr>
          <w:rStyle w:val="Text3"/>
        </w:rPr>
        <w:bookmarkStart w:id="447" w:name="page_143"/>
        <w:t>MARYAM KOUCHAKI là phó giáo sư về quản trị và tổ chức tại Kellogg School of Management, Đại học Northwestern. Nghiên cứu của bà tập trung vào việc ra quyết định và đạo đức.</w:t>
        <w:bookmarkEnd w:id="447"/>
        <w:t/>
      </w:r>
      <w:r>
        <w:t xml:space="preserve"/>
      </w:r>
    </w:p>
    <w:p>
      <w:pPr>
        <w:pStyle w:val="Para 026"/>
      </w:pPr>
      <w:r>
        <w:rPr>
          <w:rStyle w:val="Text3"/>
        </w:rPr>
        <w:t>JENNIFER PETRIGLIERI là phó giáo sư về hành vi tổ chức tại INSEAD và là tác giả của cuốn Couples That Work: How Dual-Career Couples Can Thrive in Love and Work (Harvard Business Review Press, 2019).</w:t>
      </w:r>
      <w:r>
        <w:t xml:space="preserve"/>
      </w:r>
      <w:r>
        <w:rPr>
          <w:rStyle w:val="Text0"/>
        </w:rPr>
        <w:t/>
      </w:r>
      <w:r>
        <w:t xml:space="preserve"/>
      </w:r>
    </w:p>
    <w:p>
      <w:pPr>
        <w:pStyle w:val="Para 026"/>
      </w:pPr>
      <w:r>
        <w:rPr>
          <w:rStyle w:val="Text3"/>
        </w:rPr>
        <w:t>LAURA MORGAN ROBERTS là giáo sư thực hành tại Darden School of Business, Đại học Virginia, đồng thời là đồng biên tập của cuốn Race, Work and Leadership: New Perspectives on the Black Experience (Harvard Business Review Press, 2019).</w:t>
      </w:r>
      <w:r>
        <w:t xml:space="preserve"/>
      </w:r>
      <w:r>
        <w:rPr>
          <w:rStyle w:val="Text0"/>
        </w:rPr>
        <w:t/>
      </w:r>
      <w:r>
        <w:t xml:space="preserve"/>
      </w:r>
    </w:p>
    <w:p>
      <w:pPr>
        <w:pStyle w:val="Para 026"/>
      </w:pPr>
      <w:r>
        <w:rPr>
          <w:rStyle w:val="Text3"/>
        </w:rPr>
        <w:t>DAVID G. SMITH là giáo sư xã hội học tại College of Leadership and Ethics, United States Naval War College. Ông là đồng tác giả của Athena Rising: How and Why Men Should Mentor Women và Good Guys: How Men Can Be Better Allies for Women in the Workplace (Harvard Business Review Press, 2020).</w:t>
      </w:r>
      <w:r>
        <w:t xml:space="preserve"/>
      </w:r>
      <w:r>
        <w:rPr>
          <w:rStyle w:val="Text0"/>
        </w:rPr>
        <w:t/>
      </w:r>
      <w:r>
        <w:t xml:space="preserve"/>
      </w:r>
      <w:r>
        <w:rPr>
          <w:rStyle w:val="Text0"/>
        </w:rPr>
        <w:t/>
      </w:r>
      <w:r>
        <w:t xml:space="preserve"/>
      </w:r>
    </w:p>
    <w:p>
      <w:pPr>
        <w:pStyle w:val="Para 026"/>
      </w:pPr>
      <w:r>
        <w:rPr>
          <w:rStyle w:val="Text3"/>
        </w:rPr>
        <w:t>ISAAC H. SMITH là trợ lý giáo sư về hành vi tổ chức và nhân sự tại BYU Marriott School of Business.</w:t>
      </w:r>
      <w:r>
        <w:t xml:space="preserve"/>
      </w:r>
    </w:p>
    <w:p>
      <w:pPr>
        <w:pStyle w:val="Para 026"/>
      </w:pPr>
      <w:r>
        <w:rPr>
          <w:rStyle w:val="Text3"/>
        </w:rPr>
        <w:t>SCOTT SNOOK là phó giáo sư về hành vi tổ chức tại Harvard Business School. Ông từng phục vụ trong Lực lượng Công binh Lục quân Hoa Kỳ hơn 22 năm.</w:t>
      </w:r>
      <w:r>
        <w:t xml:space="preserve"/>
      </w:r>
    </w:p>
    <w:p>
      <w:pPr>
        <w:pStyle w:val="Para 026"/>
      </w:pPr>
      <w:r>
        <w:rPr>
          <w:rStyle w:val="Text3"/>
        </w:rPr>
        <w:t>SCOTT TAYLOR là phó giáo sư về hành vi tổ chức tại Babson College.</w:t>
      </w:r>
      <w:r>
        <w:t xml:space="preserve"/>
      </w:r>
    </w:p>
    <w:p>
      <w:pPr>
        <w:pStyle w:val="Para 026"/>
      </w:pPr>
      <w:r>
        <w:rPr>
          <w:rStyle w:val="Text3"/>
        </w:rPr>
        <w:t>ELLA F. WASHINGTON là giáo sư thực hành tại McDonough School of Business, Đại học Georgetown, và là nhà sáng lập Ellavate Solutions, đơn vị cung cấp huấn luyện điều hành cùng chiến lược và đào tạo về đa dạng và hòa nhập cho các tổ chức.</w:t>
      </w:r>
      <w:r>
        <w:t xml:space="preserve"/>
      </w:r>
    </w:p>
    <w:p>
      <w:pPr>
        <w:pStyle w:val="Para 026"/>
      </w:pPr>
      <w:r>
        <w:rPr>
          <w:rStyle w:val="Text3"/>
        </w:rPr>
        <w:bookmarkStart w:id="448" w:name="page_144"/>
        <w:t>DEB ZEHNER có 15 năm kinh nghiệm thực hiện nghiên cứu, phát triển các tài sản dựa trên mạng lưới và dẫn dắt các dự án mạng lưới tổ chức, gần đây nhất là với Connected Commons.</w:t>
        <w:bookmarkEnd w:id="448"/>
        <w:t/>
      </w:r>
      <w:r>
        <w:t xml:space="preserve"/>
      </w:r>
    </w:p>
    <w:p>
      <w:pPr>
        <w:pStyle w:val="Para 026"/>
      </w:pPr>
      <w:r>
        <w:rPr>
          <w:rStyle w:val="Text3"/>
        </w:rPr>
        <w:t>JOHN H. ZENGER là CEO của Zenger Folkman, một công ty tư vấn phát triển lãnh đạo. Ông là đồng tác giả của cuốn Speed: How Leaders Accelerate Successful Execution (McGraw Hill, 2016).</w:t>
      </w:r>
      <w:r>
        <w:t xml:space="preserve"/>
      </w:r>
      <w:r>
        <w:rPr>
          <w:rStyle w:val="Text0"/>
        </w:rPr>
        <w:t/>
      </w:r>
      <w:r>
        <w:t xml:space="preserve"/>
      </w:r>
    </w:p>
    <w:p>
      <w:pPr>
        <w:pStyle w:val="Para 012"/>
      </w:pPr>
      <w:r>
        <w:t xml:space="preserve"> </w:t>
      </w:r>
    </w:p>
    <w:p>
      <w:bookmarkStart w:id="449" w:name="Index_Acceptance_and_Commitment"/>
      <w:bookmarkStart w:id="450" w:name="Top_of_index_xhtml"/>
      <w:pPr>
        <w:pStyle w:val="Para 012"/>
        <w:pageBreakBefore w:val="on"/>
      </w:pPr>
      <w:r>
        <w:t xml:space="preserve"> </w:t>
      </w:r>
      <w:bookmarkEnd w:id="449"/>
      <w:bookmarkEnd w:id="450"/>
    </w:p>
    <w:p>
      <w:pPr>
        <w:pStyle w:val="Para 034"/>
      </w:pPr>
      <w:r>
        <w:t>Mục lục</w:t>
      </w:r>
    </w:p>
    <w:p>
      <w:pPr>
        <w:pStyle w:val="Para 024"/>
      </w:pPr>
      <w:r>
        <w:t xml:space="preserve">Liệu pháp Chấp nhận và Cam kết (Acceptance and Commitment Therapy - ACT), 61</w:t>
      </w:r>
      <w:hyperlink w:anchor="page_61">
        <w:r>
          <w:rPr>
            <w:rStyle w:val="Text1"/>
          </w:rPr>
          <w:t/>
        </w:r>
      </w:hyperlink>
    </w:p>
    <w:p>
      <w:pPr>
        <w:pStyle w:val="Para 002"/>
      </w:pPr>
      <w:r>
        <w:t xml:space="preserve">tự vận động cho bản thân, 115–123</w:t>
      </w:r>
      <w:hyperlink w:anchor="page_115">
        <w:r>
          <w:rPr>
            <w:rStyle w:val="Text1"/>
          </w:rPr>
          <w:t/>
        </w:r>
      </w:hyperlink>
      <w:r>
        <w:t/>
      </w:r>
      <w:hyperlink w:anchor="page_123">
        <w:r>
          <w:rPr>
            <w:rStyle w:val="Text1"/>
          </w:rPr>
          <w:t/>
        </w:r>
      </w:hyperlink>
    </w:p>
    <w:p>
      <w:pPr>
        <w:pStyle w:val="Para 002"/>
      </w:pPr>
      <w:r>
        <w:t xml:space="preserve">Anderson, Erika, 15–22</w:t>
      </w:r>
      <w:hyperlink w:anchor="page_15">
        <w:r>
          <w:rPr>
            <w:rStyle w:val="Text1"/>
          </w:rPr>
          <w:t/>
        </w:r>
      </w:hyperlink>
      <w:r>
        <w:t/>
      </w:r>
      <w:hyperlink w:anchor="page_22">
        <w:r>
          <w:rPr>
            <w:rStyle w:val="Text1"/>
          </w:rPr>
          <w:t/>
        </w:r>
      </w:hyperlink>
    </w:p>
    <w:p>
      <w:pPr>
        <w:pStyle w:val="Para 002"/>
      </w:pPr>
      <w:r>
        <w:t xml:space="preserve">Appiah, Kwame Anthony, 70</w:t>
      </w:r>
      <w:hyperlink w:anchor="page_70">
        <w:r>
          <w:rPr>
            <w:rStyle w:val="Text1"/>
          </w:rPr>
          <w:t/>
        </w:r>
      </w:hyperlink>
    </w:p>
    <w:p>
      <w:pPr>
        <w:pStyle w:val="Para 002"/>
      </w:pPr>
      <w:r>
        <w:t xml:space="preserve">Aristotle, 71, 130</w:t>
      </w:r>
      <w:hyperlink w:anchor="page_71">
        <w:r>
          <w:rPr>
            <w:rStyle w:val="Text1"/>
          </w:rPr>
          <w:t/>
        </w:r>
      </w:hyperlink>
      <w:r>
        <w:t xml:space="preserve"/>
      </w:r>
      <w:hyperlink w:anchor="page_130">
        <w:r>
          <w:rPr>
            <w:rStyle w:val="Text1"/>
          </w:rPr>
          <w:t/>
        </w:r>
      </w:hyperlink>
    </w:p>
    <w:p>
      <w:pPr>
        <w:pStyle w:val="Para 002"/>
      </w:pPr>
      <w:r>
        <w:t xml:space="preserve">khát vọng, việc học và, 15, 16–17. Xem thêm mục tiêu</w:t>
      </w:r>
      <w:hyperlink w:anchor="page_15">
        <w:r>
          <w:rPr>
            <w:rStyle w:val="Text1"/>
          </w:rPr>
          <w:t/>
        </w:r>
      </w:hyperlink>
      <w:r>
        <w:t xml:space="preserve"/>
      </w:r>
      <w:hyperlink w:anchor="page_16">
        <w:r>
          <w:rPr>
            <w:rStyle w:val="Text1"/>
          </w:rPr>
          <w:t/>
        </w:r>
      </w:hyperlink>
      <w:r>
        <w:t/>
      </w:r>
      <w:hyperlink w:anchor="page_17">
        <w:r>
          <w:rPr>
            <w:rStyle w:val="Text1"/>
          </w:rPr>
          <w:t/>
        </w:r>
      </w:hyperlink>
      <w:r>
        <w:t xml:space="preserve"/>
      </w:r>
      <w:r>
        <w:rPr>
          <w:rStyle w:val="Text0"/>
        </w:rPr>
        <w:t/>
      </w:r>
      <w:r>
        <w:t xml:space="preserve"/>
      </w:r>
    </w:p>
    <w:p>
      <w:pPr>
        <w:pStyle w:val="Para 002"/>
      </w:pPr>
      <w:r>
        <w:t xml:space="preserve">sự quyết đoán, 26</w:t>
      </w:r>
      <w:hyperlink w:anchor="page_26">
        <w:r>
          <w:rPr>
            <w:rStyle w:val="Text1"/>
          </w:rPr>
          <w:t/>
        </w:r>
      </w:hyperlink>
    </w:p>
    <w:p>
      <w:pPr>
        <w:pStyle w:val="Para 002"/>
      </w:pPr>
      <w:r>
        <w:t xml:space="preserve">hỗ trợ bất đối xứng, 87–88</w:t>
      </w:r>
      <w:hyperlink w:anchor="page_87">
        <w:r>
          <w:rPr>
            <w:rStyle w:val="Text1"/>
          </w:rPr>
          <w:t/>
        </w:r>
      </w:hyperlink>
      <w:r>
        <w:t/>
      </w:r>
      <w:hyperlink w:anchor="page_88">
        <w:r>
          <w:rPr>
            <w:rStyle w:val="Text1"/>
          </w:rPr>
          <w:t/>
        </w:r>
      </w:hyperlink>
    </w:p>
    <w:p>
      <w:pPr>
        <w:pStyle w:val="Para 024"/>
      </w:pPr>
      <w:r>
        <w:t xml:space="preserve">Badaracco, Joseph L., 67–75</w:t>
      </w:r>
      <w:hyperlink w:anchor="page_67">
        <w:r>
          <w:rPr>
            <w:rStyle w:val="Text1"/>
          </w:rPr>
          <w:t/>
        </w:r>
      </w:hyperlink>
      <w:r>
        <w:t/>
      </w:r>
      <w:hyperlink w:anchor="page_75">
        <w:r>
          <w:rPr>
            <w:rStyle w:val="Text1"/>
          </w:rPr>
          <w:t/>
        </w:r>
      </w:hyperlink>
    </w:p>
    <w:p>
      <w:pPr>
        <w:pStyle w:val="Para 002"/>
      </w:pPr>
      <w:r>
        <w:t xml:space="preserve">Bandura, Albert, 21</w:t>
      </w:r>
      <w:hyperlink w:anchor="page_21">
        <w:r>
          <w:rPr>
            <w:rStyle w:val="Text1"/>
          </w:rPr>
          <w:t/>
        </w:r>
      </w:hyperlink>
    </w:p>
    <w:p>
      <w:pPr>
        <w:pStyle w:val="Para 002"/>
      </w:pPr>
      <w:r>
        <w:t xml:space="preserve">Barchechath, Johann, 46</w:t>
      </w:r>
      <w:hyperlink w:anchor="page_46">
        <w:r>
          <w:rPr>
            <w:rStyle w:val="Text1"/>
          </w:rPr>
          <w:t/>
        </w:r>
      </w:hyperlink>
    </w:p>
    <w:p>
      <w:pPr>
        <w:pStyle w:val="Para 002"/>
      </w:pPr>
      <w:r>
        <w:t xml:space="preserve">Bartle Bogle Hegarty, 100</w:t>
      </w:r>
      <w:hyperlink w:anchor="page_100">
        <w:r>
          <w:rPr>
            <w:rStyle w:val="Text1"/>
          </w:rPr>
          <w:t/>
        </w:r>
      </w:hyperlink>
    </w:p>
    <w:p>
      <w:pPr>
        <w:pStyle w:val="Para 002"/>
      </w:pPr>
      <w:r>
        <w:t xml:space="preserve">BATNA, 119, 120–121</w:t>
      </w:r>
      <w:hyperlink w:anchor="page_119">
        <w:r>
          <w:rPr>
            <w:rStyle w:val="Text1"/>
          </w:rPr>
          <w:t/>
        </w:r>
      </w:hyperlink>
      <w:r>
        <w:t xml:space="preserve"/>
      </w:r>
      <w:hyperlink w:anchor="page_120">
        <w:r>
          <w:rPr>
            <w:rStyle w:val="Text1"/>
          </w:rPr>
          <w:t/>
        </w:r>
      </w:hyperlink>
      <w:r>
        <w:t/>
      </w:r>
      <w:hyperlink w:anchor="page_121">
        <w:r>
          <w:rPr>
            <w:rStyle w:val="Text1"/>
          </w:rPr>
          <w:t/>
        </w:r>
      </w:hyperlink>
    </w:p>
    <w:p>
      <w:pPr>
        <w:pStyle w:val="Para 002"/>
      </w:pPr>
      <w:r>
        <w:t xml:space="preserve">BBH Labs, 100</w:t>
      </w:r>
      <w:hyperlink w:anchor="page_100">
        <w:r>
          <w:rPr>
            <w:rStyle w:val="Text1"/>
          </w:rPr>
          <w:t/>
        </w:r>
      </w:hyperlink>
    </w:p>
    <w:p>
      <w:pPr>
        <w:pStyle w:val="Para 002"/>
      </w:pPr>
      <w:r>
        <w:t xml:space="preserve">Ben &amp; Jerry's, 9</w:t>
      </w:r>
      <w:hyperlink w:anchor="page_9">
        <w:r>
          <w:rPr>
            <w:rStyle w:val="Text1"/>
          </w:rPr>
          <w:t/>
        </w:r>
      </w:hyperlink>
    </w:p>
    <w:p>
      <w:pPr>
        <w:pStyle w:val="Para 002"/>
      </w:pPr>
      <w:r>
        <w:t xml:space="preserve">thiên kiến, trong tự đánh giá, 18–19, 126</w:t>
      </w:r>
      <w:hyperlink w:anchor="page_18">
        <w:r>
          <w:rPr>
            <w:rStyle w:val="Text1"/>
          </w:rPr>
          <w:t/>
        </w:r>
      </w:hyperlink>
      <w:r>
        <w:t/>
      </w:r>
      <w:hyperlink w:anchor="page_19">
        <w:r>
          <w:rPr>
            <w:rStyle w:val="Text1"/>
          </w:rPr>
          <w:t/>
        </w:r>
      </w:hyperlink>
      <w:r>
        <w:t xml:space="preserve"/>
      </w:r>
      <w:hyperlink w:anchor="page_126">
        <w:r>
          <w:rPr>
            <w:rStyle w:val="Text1"/>
          </w:rPr>
          <w:t/>
        </w:r>
      </w:hyperlink>
    </w:p>
    <w:p>
      <w:pPr>
        <w:pStyle w:val="Para 002"/>
      </w:pPr>
      <w:r>
        <w:t xml:space="preserve">Birch, Alison Hall, 135–140</w:t>
      </w:r>
      <w:hyperlink w:anchor="page_135">
        <w:r>
          <w:rPr>
            <w:rStyle w:val="Text1"/>
          </w:rPr>
          <w:t/>
        </w:r>
      </w:hyperlink>
      <w:r>
        <w:t/>
      </w:r>
      <w:hyperlink w:anchor="page_140">
        <w:r>
          <w:rPr>
            <w:rStyle w:val="Text1"/>
          </w:rPr>
          <w:t/>
        </w:r>
      </w:hyperlink>
    </w:p>
    <w:p>
      <w:pPr>
        <w:pStyle w:val="Para 002"/>
      </w:pPr>
      <w:r>
        <w:t xml:space="preserve">Birkinshaw, Julian, 39–48</w:t>
      </w:r>
      <w:hyperlink w:anchor="page_39">
        <w:r>
          <w:rPr>
            <w:rStyle w:val="Text1"/>
          </w:rPr>
          <w:t/>
        </w:r>
      </w:hyperlink>
      <w:r>
        <w:t/>
      </w:r>
      <w:hyperlink w:anchor="page_48">
        <w:r>
          <w:rPr>
            <w:rStyle w:val="Text1"/>
          </w:rPr>
          <w:t/>
        </w:r>
      </w:hyperlink>
    </w:p>
    <w:p>
      <w:pPr>
        <w:pStyle w:val="Para 002"/>
      </w:pPr>
      <w:r>
        <w:t xml:space="preserve">Black Lives Matter, 135</w:t>
      </w:r>
      <w:hyperlink w:anchor="page_135">
        <w:r>
          <w:rPr>
            <w:rStyle w:val="Text1"/>
          </w:rPr>
          <w:t/>
        </w:r>
      </w:hyperlink>
    </w:p>
    <w:p>
      <w:pPr>
        <w:pStyle w:val="Para 002"/>
      </w:pPr>
      <w:r>
        <w:t xml:space="preserve">BNP Paribas, 46</w:t>
      </w:r>
      <w:hyperlink w:anchor="page_46">
        <w:r>
          <w:rPr>
            <w:rStyle w:val="Text1"/>
          </w:rPr>
          <w:t/>
        </w:r>
      </w:hyperlink>
    </w:p>
    <w:p>
      <w:pPr>
        <w:pStyle w:val="Para 002"/>
      </w:pPr>
      <w:r>
        <w:t xml:space="preserve">Bond, Frank, 60</w:t>
      </w:r>
      <w:hyperlink w:anchor="page_60">
        <w:r>
          <w:rPr>
            <w:rStyle w:val="Text1"/>
          </w:rPr>
          <w:t/>
        </w:r>
      </w:hyperlink>
    </w:p>
    <w:p>
      <w:pPr>
        <w:pStyle w:val="Para 002"/>
      </w:pPr>
      <w:r>
        <w:t xml:space="preserve">ranh giới (boundaries), 83, 84</w:t>
      </w:r>
      <w:hyperlink w:anchor="page_83">
        <w:r>
          <w:rPr>
            <w:rStyle w:val="Text1"/>
          </w:rPr>
          <w:t/>
        </w:r>
      </w:hyperlink>
      <w:r>
        <w:t xml:space="preserve"/>
      </w:r>
      <w:hyperlink w:anchor="page_84">
        <w:r>
          <w:rPr>
            <w:rStyle w:val="Text1"/>
          </w:rPr>
          <w:t/>
        </w:r>
      </w:hyperlink>
    </w:p>
    <w:p>
      <w:pPr>
        <w:pStyle w:val="Para 059"/>
      </w:pPr>
      <w:r>
        <w:t>Brain Rules (Medina), 19</w:t>
      </w:r>
      <w:r>
        <w:rPr>
          <w:rStyle w:val="Text0"/>
        </w:rPr>
        <w:t xml:space="preserve"/>
      </w:r>
      <w:hyperlink w:anchor="page_19">
        <w:r>
          <w:rPr>
            <w:rStyle w:val="Text12"/>
          </w:rPr>
          <w:t/>
        </w:r>
      </w:hyperlink>
    </w:p>
    <w:p>
      <w:pPr>
        <w:pStyle w:val="Para 002"/>
      </w:pPr>
      <w:r>
        <w:t xml:space="preserve">Brooks, David, 126</w:t>
      </w:r>
      <w:hyperlink w:anchor="page_126">
        <w:r>
          <w:rPr>
            <w:rStyle w:val="Text1"/>
          </w:rPr>
          <w:t/>
        </w:r>
      </w:hyperlink>
    </w:p>
    <w:p>
      <w:pPr>
        <w:pStyle w:val="Para 002"/>
      </w:pPr>
      <w:r>
        <w:t xml:space="preserve">Bruno, Evan, 102</w:t>
      </w:r>
      <w:hyperlink w:anchor="page_102">
        <w:r>
          <w:rPr>
            <w:rStyle w:val="Text1"/>
          </w:rPr>
          <w:t/>
        </w:r>
      </w:hyperlink>
    </w:p>
    <w:p>
      <w:pPr>
        <w:pStyle w:val="Para 002"/>
      </w:pPr>
      <w:r>
        <w:t xml:space="preserve">Bryant, Vincent, 46–47</w:t>
      </w:r>
      <w:hyperlink w:anchor="page_46">
        <w:r>
          <w:rPr>
            <w:rStyle w:val="Text1"/>
          </w:rPr>
          <w:t/>
        </w:r>
      </w:hyperlink>
      <w:r>
        <w:t/>
      </w:r>
      <w:hyperlink w:anchor="page_47">
        <w:r>
          <w:rPr>
            <w:rStyle w:val="Text1"/>
          </w:rPr>
          <w:t/>
        </w:r>
      </w:hyperlink>
    </w:p>
    <w:p>
      <w:pPr>
        <w:pStyle w:val="Para 002"/>
      </w:pPr>
      <w:r>
        <w:t xml:space="preserve">tránh kiệt sức (burnout), 49–57</w:t>
      </w:r>
      <w:hyperlink w:anchor="page_49">
        <w:r>
          <w:rPr>
            <w:rStyle w:val="Text1"/>
          </w:rPr>
          <w:t/>
        </w:r>
      </w:hyperlink>
      <w:r>
        <w:t/>
      </w:r>
      <w:hyperlink w:anchor="page_57">
        <w:r>
          <w:rPr>
            <w:rStyle w:val="Text1"/>
          </w:rPr>
          <w:t/>
        </w:r>
      </w:hyperlink>
    </w:p>
    <w:p>
      <w:pPr>
        <w:pStyle w:val="Para 059"/>
      </w:pPr>
      <w:r>
        <w:t>The Business Ethics Field Guide, 131</w:t>
      </w:r>
      <w:r>
        <w:rPr>
          <w:rStyle w:val="Text0"/>
        </w:rPr>
        <w:t xml:space="preserve"/>
      </w:r>
      <w:hyperlink w:anchor="page_131_1">
        <w:r>
          <w:rPr>
            <w:rStyle w:val="Text12"/>
          </w:rPr>
          <w:t/>
        </w:r>
      </w:hyperlink>
    </w:p>
    <w:p>
      <w:pPr>
        <w:pStyle w:val="Para 024"/>
      </w:pPr>
      <w:r>
        <w:t xml:space="preserve">Cascade Engineering, 101–102</w:t>
      </w:r>
      <w:hyperlink w:anchor="page_101">
        <w:r>
          <w:rPr>
            <w:rStyle w:val="Text1"/>
          </w:rPr>
          <w:t/>
        </w:r>
      </w:hyperlink>
      <w:r>
        <w:t/>
      </w:r>
      <w:hyperlink w:anchor="page_102">
        <w:r>
          <w:rPr>
            <w:rStyle w:val="Text1"/>
          </w:rPr>
          <w:t/>
        </w:r>
      </w:hyperlink>
    </w:p>
    <w:p>
      <w:pPr>
        <w:pStyle w:val="Para 002"/>
      </w:pPr>
      <w:r>
        <w:t xml:space="preserve">C’de Baca, J., 62</w:t>
      </w:r>
      <w:hyperlink w:anchor="page_62">
        <w:r>
          <w:rPr>
            <w:rStyle w:val="Text1"/>
          </w:rPr>
          <w:t/>
        </w:r>
      </w:hyperlink>
    </w:p>
    <w:p>
      <w:pPr>
        <w:pStyle w:val="Para 002"/>
      </w:pPr>
      <w:r>
        <w:t xml:space="preserve">thay đổi, học cách học và, 15</w:t>
      </w:r>
      <w:hyperlink w:anchor="page_15">
        <w:r>
          <w:rPr>
            <w:rStyle w:val="Text1"/>
          </w:rPr>
          <w:t/>
        </w:r>
      </w:hyperlink>
    </w:p>
    <w:p>
      <w:pPr>
        <w:pStyle w:val="Para 002"/>
      </w:pPr>
      <w:r>
        <w:t xml:space="preserve">Charles Schwab, 2</w:t>
      </w:r>
      <w:hyperlink w:anchor="page_2">
        <w:r>
          <w:rPr>
            <w:rStyle w:val="Text1"/>
          </w:rPr>
          <w:t/>
        </w:r>
      </w:hyperlink>
    </w:p>
    <w:p>
      <w:pPr>
        <w:pStyle w:val="Para 002"/>
      </w:pPr>
      <w:r>
        <w:t xml:space="preserve">Christensen, Clayton, 127</w:t>
      </w:r>
      <w:hyperlink w:anchor="page_127">
        <w:r>
          <w:rPr>
            <w:rStyle w:val="Text1"/>
          </w:rPr>
          <w:t/>
        </w:r>
      </w:hyperlink>
    </w:p>
    <w:p>
      <w:pPr>
        <w:pStyle w:val="Para 002"/>
      </w:pPr>
      <w:r>
        <w:t xml:space="preserve">câu hỏi vòng tròn (circular questions), 122</w:t>
      </w:r>
      <w:hyperlink w:anchor="page_122">
        <w:r>
          <w:rPr>
            <w:rStyle w:val="Text1"/>
          </w:rPr>
          <w:t/>
        </w:r>
      </w:hyperlink>
    </w:p>
    <w:p>
      <w:pPr>
        <w:pStyle w:val="Para 002"/>
      </w:pPr>
      <w:r>
        <w:t xml:space="preserve">Cisco, 54</w:t>
      </w:r>
      <w:hyperlink w:anchor="page_54">
        <w:r>
          <w:rPr>
            <w:rStyle w:val="Text1"/>
          </w:rPr>
          <w:t/>
        </w:r>
      </w:hyperlink>
    </w:p>
    <w:p>
      <w:pPr>
        <w:pStyle w:val="Para 002"/>
      </w:pPr>
      <w:r>
        <w:t xml:space="preserve">Cohen, Jordan, 39–48</w:t>
      </w:r>
      <w:hyperlink w:anchor="page_39">
        <w:r>
          <w:rPr>
            <w:rStyle w:val="Text1"/>
          </w:rPr>
          <w:t/>
        </w:r>
      </w:hyperlink>
      <w:r>
        <w:t/>
      </w:r>
      <w:hyperlink w:anchor="page_48">
        <w:r>
          <w:rPr>
            <w:rStyle w:val="Text1"/>
          </w:rPr>
          <w:t/>
        </w:r>
      </w:hyperlink>
    </w:p>
    <w:p>
      <w:pPr>
        <w:pStyle w:val="Para 002"/>
      </w:pPr>
      <w:r>
        <w:t xml:space="preserve">hợp tác (collaboration), 49–57</w:t>
      </w:r>
      <w:hyperlink w:anchor="page_49">
        <w:r>
          <w:rPr>
            <w:rStyle w:val="Text1"/>
          </w:rPr>
          <w:t/>
        </w:r>
      </w:hyperlink>
      <w:r>
        <w:t/>
      </w:r>
      <w:hyperlink w:anchor="page_57">
        <w:r>
          <w:rPr>
            <w:rStyle w:val="Text1"/>
          </w:rPr>
          <w:t/>
        </w:r>
      </w:hyperlink>
    </w:p>
    <w:p>
      <w:pPr>
        <w:pStyle w:val="Para 002"/>
      </w:pPr>
      <w:r>
        <w:t xml:space="preserve">giữ cho nó hiệu quả, 55–57</w:t>
      </w:r>
      <w:hyperlink w:anchor="page_55">
        <w:r>
          <w:rPr>
            <w:rStyle w:val="Text1"/>
          </w:rPr>
          <w:t/>
        </w:r>
      </w:hyperlink>
      <w:r>
        <w:t/>
      </w:r>
      <w:hyperlink w:anchor="page_57">
        <w:r>
          <w:rPr>
            <w:rStyle w:val="Text1"/>
          </w:rPr>
          <w:t/>
        </w:r>
      </w:hyperlink>
    </w:p>
    <w:p>
      <w:pPr>
        <w:pStyle w:val="Para 002"/>
      </w:pPr>
      <w:r>
        <w:t xml:space="preserve">hợp tác ảo, 55–56</w:t>
      </w:r>
      <w:hyperlink w:anchor="page_55">
        <w:r>
          <w:rPr>
            <w:rStyle w:val="Text1"/>
          </w:rPr>
          <w:t/>
        </w:r>
      </w:hyperlink>
      <w:r>
        <w:t/>
      </w:r>
      <w:hyperlink w:anchor="page_56">
        <w:r>
          <w:rPr>
            <w:rStyle w:val="Text1"/>
          </w:rPr>
          <w:t/>
        </w:r>
      </w:hyperlink>
    </w:p>
    <w:p>
      <w:pPr>
        <w:pStyle w:val="Para 002"/>
      </w:pPr>
      <w:r>
        <w:t xml:space="preserve">quá tải hợp tác (collaborative overload), 49–57</w:t>
      </w:r>
      <w:hyperlink w:anchor="page_49">
        <w:r>
          <w:rPr>
            <w:rStyle w:val="Text1"/>
          </w:rPr>
          <w:t/>
        </w:r>
      </w:hyperlink>
      <w:r>
        <w:t/>
      </w:r>
      <w:hyperlink w:anchor="page_57">
        <w:r>
          <w:rPr>
            <w:rStyle w:val="Text1"/>
          </w:rPr>
          <w:t/>
        </w:r>
      </w:hyperlink>
    </w:p>
    <w:p>
      <w:pPr>
        <w:pStyle w:val="Para 002"/>
      </w:pPr>
      <w:r>
        <w:t xml:space="preserve">hành vi trong đó, 50, 55–57</w:t>
      </w:r>
      <w:hyperlink w:anchor="page_50">
        <w:r>
          <w:rPr>
            <w:rStyle w:val="Text1"/>
          </w:rPr>
          <w:t/>
        </w:r>
      </w:hyperlink>
      <w:r>
        <w:t xml:space="preserve"/>
      </w:r>
      <w:hyperlink w:anchor="page_55">
        <w:r>
          <w:rPr>
            <w:rStyle w:val="Text1"/>
          </w:rPr>
          <w:t/>
        </w:r>
      </w:hyperlink>
      <w:r>
        <w:t/>
      </w:r>
      <w:hyperlink w:anchor="page_57">
        <w:r>
          <w:rPr>
            <w:rStyle w:val="Text1"/>
          </w:rPr>
          <w:t/>
        </w:r>
      </w:hyperlink>
    </w:p>
    <w:p>
      <w:pPr>
        <w:pStyle w:val="Para 002"/>
      </w:pPr>
      <w:r>
        <w:t xml:space="preserve">niềm tin trong đó, 50, 52–53</w:t>
      </w:r>
      <w:hyperlink w:anchor="page_50">
        <w:r>
          <w:rPr>
            <w:rStyle w:val="Text1"/>
          </w:rPr>
          <w:t/>
        </w:r>
      </w:hyperlink>
      <w:r>
        <w:t xml:space="preserve"/>
      </w:r>
      <w:hyperlink w:anchor="page_52">
        <w:r>
          <w:rPr>
            <w:rStyle w:val="Text1"/>
          </w:rPr>
          <w:t/>
        </w:r>
      </w:hyperlink>
      <w:r>
        <w:t/>
      </w:r>
      <w:hyperlink w:anchor="page_53">
        <w:r>
          <w:rPr>
            <w:rStyle w:val="Text1"/>
          </w:rPr>
          <w:t/>
        </w:r>
      </w:hyperlink>
    </w:p>
    <w:p>
      <w:pPr>
        <w:pStyle w:val="Para 002"/>
      </w:pPr>
      <w:r>
        <w:t xml:space="preserve">loại bỏ những thứ không cần thiết và, 54–55</w:t>
      </w:r>
      <w:hyperlink w:anchor="page_54">
        <w:r>
          <w:rPr>
            <w:rStyle w:val="Text1"/>
          </w:rPr>
          <w:t/>
        </w:r>
      </w:hyperlink>
      <w:r>
        <w:t/>
      </w:r>
      <w:hyperlink w:anchor="page_55">
        <w:r>
          <w:rPr>
            <w:rStyle w:val="Text1"/>
          </w:rPr>
          <w:t/>
        </w:r>
      </w:hyperlink>
    </w:p>
    <w:p>
      <w:pPr>
        <w:pStyle w:val="Para 002"/>
      </w:pPr>
      <w:r>
        <w:t xml:space="preserve">duy trì năng suất và, 55–57</w:t>
      </w:r>
      <w:hyperlink w:anchor="page_55">
        <w:r>
          <w:rPr>
            <w:rStyle w:val="Text1"/>
          </w:rPr>
          <w:t/>
        </w:r>
      </w:hyperlink>
      <w:r>
        <w:t/>
      </w:r>
      <w:hyperlink w:anchor="page_57">
        <w:r>
          <w:rPr>
            <w:rStyle w:val="Text1"/>
          </w:rPr>
          <w:t/>
        </w:r>
      </w:hyperlink>
    </w:p>
    <w:p>
      <w:pPr>
        <w:pStyle w:val="Para 002"/>
      </w:pPr>
      <w:r>
        <w:t xml:space="preserve">vai trò, lịch trình và mạng lưới trong đó, 50, 54–55</w:t>
      </w:r>
      <w:hyperlink w:anchor="page_50">
        <w:r>
          <w:rPr>
            <w:rStyle w:val="Text1"/>
          </w:rPr>
          <w:t/>
        </w:r>
      </w:hyperlink>
      <w:r>
        <w:t xml:space="preserve"/>
      </w:r>
      <w:hyperlink w:anchor="page_54">
        <w:r>
          <w:rPr>
            <w:rStyle w:val="Text1"/>
          </w:rPr>
          <w:t/>
        </w:r>
      </w:hyperlink>
      <w:r>
        <w:t/>
      </w:r>
      <w:hyperlink w:anchor="page_55">
        <w:r>
          <w:rPr>
            <w:rStyle w:val="Text1"/>
          </w:rPr>
          <w:t/>
        </w:r>
      </w:hyperlink>
    </w:p>
    <w:p>
      <w:pPr>
        <w:pStyle w:val="Para 002"/>
      </w:pPr>
      <w:r>
        <w:t xml:space="preserve">các loại, 50–52</w:t>
      </w:r>
      <w:hyperlink w:anchor="page_50">
        <w:r>
          <w:rPr>
            <w:rStyle w:val="Text1"/>
          </w:rPr>
          <w:t/>
        </w:r>
      </w:hyperlink>
      <w:r>
        <w:t/>
      </w:r>
      <w:hyperlink w:anchor="page_52">
        <w:r>
          <w:rPr>
            <w:rStyle w:val="Text1"/>
          </w:rPr>
          <w:t/>
        </w:r>
      </w:hyperlink>
    </w:p>
    <w:p>
      <w:pPr>
        <w:pStyle w:val="Para 002"/>
      </w:pPr>
      <w:r>
        <w:t xml:space="preserve">giao tiếp, 34–35</w:t>
      </w:r>
      <w:hyperlink w:anchor="page_34">
        <w:r>
          <w:rPr>
            <w:rStyle w:val="Text1"/>
          </w:rPr>
          <w:t/>
        </w:r>
      </w:hyperlink>
      <w:r>
        <w:t/>
      </w:r>
      <w:hyperlink w:anchor="page_35">
        <w:r>
          <w:rPr>
            <w:rStyle w:val="Text1"/>
          </w:rPr>
          <w:t/>
        </w:r>
      </w:hyperlink>
    </w:p>
    <w:p>
      <w:pPr>
        <w:pStyle w:val="Para 002"/>
      </w:pPr>
      <w:r>
        <w:t xml:space="preserve">về hành vi xâm phạm vi mô (microaggressions), 135–140</w:t>
      </w:r>
      <w:hyperlink w:anchor="page_135">
        <w:r>
          <w:rPr>
            <w:rStyle w:val="Text1"/>
          </w:rPr>
          <w:t/>
        </w:r>
      </w:hyperlink>
      <w:r>
        <w:t/>
      </w:r>
      <w:hyperlink w:anchor="page_140">
        <w:r>
          <w:rPr>
            <w:rStyle w:val="Text1"/>
          </w:rPr>
          <w:t/>
        </w:r>
      </w:hyperlink>
    </w:p>
    <w:p>
      <w:pPr>
        <w:pStyle w:val="Para 002"/>
      </w:pPr>
      <w:r>
        <w:t xml:space="preserve">về đạo đức/luân lý, 128</w:t>
      </w:r>
      <w:hyperlink w:anchor="page_128">
        <w:r>
          <w:rPr>
            <w:rStyle w:val="Text1"/>
          </w:rPr>
          <w:t/>
        </w:r>
      </w:hyperlink>
    </w:p>
    <w:p>
      <w:pPr>
        <w:pStyle w:val="Para 002"/>
      </w:pPr>
      <w:r>
        <w:t xml:space="preserve">lên tiếng về bất công chủng tộc và, 103–108</w:t>
      </w:r>
      <w:hyperlink w:anchor="page_103">
        <w:r>
          <w:rPr>
            <w:rStyle w:val="Text1"/>
          </w:rPr>
          <w:t/>
        </w:r>
      </w:hyperlink>
      <w:r>
        <w:t/>
      </w:r>
      <w:hyperlink w:anchor="page_108">
        <w:r>
          <w:rPr>
            <w:rStyle w:val="Text1"/>
          </w:rPr>
          <w:t/>
        </w:r>
      </w:hyperlink>
    </w:p>
    <w:p>
      <w:pPr>
        <w:pStyle w:val="Para 002"/>
      </w:pPr>
      <w:r>
        <w:t xml:space="preserve">loại bỏ những thứ không cần thiết, 54</w:t>
      </w:r>
      <w:hyperlink w:anchor="page_54">
        <w:r>
          <w:rPr>
            <w:rStyle w:val="Text1"/>
          </w:rPr>
          <w:t/>
        </w:r>
      </w:hyperlink>
    </w:p>
    <w:p>
      <w:pPr>
        <w:pStyle w:val="Para 002"/>
      </w:pPr>
      <w:r>
        <w:t xml:space="preserve">định hình vấn đề trong, 106–107</w:t>
      </w:r>
      <w:hyperlink w:anchor="page_106">
        <w:r>
          <w:rPr>
            <w:rStyle w:val="Text1"/>
          </w:rPr>
          <w:t/>
        </w:r>
      </w:hyperlink>
      <w:r>
        <w:t/>
      </w:r>
      <w:hyperlink w:anchor="page_107">
        <w:r>
          <w:rPr>
            <w:rStyle w:val="Text1"/>
          </w:rPr>
          <w:t/>
        </w:r>
      </w:hyperlink>
    </w:p>
    <w:p>
      <w:pPr>
        <w:pStyle w:val="Para 002"/>
      </w:pPr>
      <w:r>
        <w:t xml:space="preserve">chuẩn bị nền tảng cho các cuộc đối đầu, 95–97</w:t>
      </w:r>
      <w:hyperlink w:anchor="page_95">
        <w:r>
          <w:rPr>
            <w:rStyle w:val="Text1"/>
          </w:rPr>
          <w:t/>
        </w:r>
      </w:hyperlink>
      <w:r>
        <w:t/>
      </w:r>
      <w:hyperlink w:anchor="page_97">
        <w:r>
          <w:rPr>
            <w:rStyle w:val="Text1"/>
          </w:rPr>
          <w:t/>
        </w:r>
      </w:hyperlink>
    </w:p>
    <w:p>
      <w:pPr>
        <w:pStyle w:val="Para 002"/>
      </w:pPr>
      <w:r>
        <w:t xml:space="preserve">lắng nghe và, 111–112</w:t>
      </w:r>
      <w:hyperlink w:anchor="page_111_1">
        <w:r>
          <w:rPr>
            <w:rStyle w:val="Text1"/>
          </w:rPr>
          <w:t/>
        </w:r>
      </w:hyperlink>
      <w:r>
        <w:t/>
      </w:r>
      <w:hyperlink w:anchor="page_112">
        <w:r>
          <w:rPr>
            <w:rStyle w:val="Text1"/>
          </w:rPr>
          <w:t/>
        </w:r>
      </w:hyperlink>
    </w:p>
    <w:p>
      <w:pPr>
        <w:pStyle w:val="Para 002"/>
      </w:pPr>
      <w:r>
        <w:t xml:space="preserve">chuẩn mực cho, 55–56</w:t>
      </w:r>
      <w:hyperlink w:anchor="page_55">
        <w:r>
          <w:rPr>
            <w:rStyle w:val="Text1"/>
          </w:rPr>
          <w:t/>
        </w:r>
      </w:hyperlink>
      <w:r>
        <w:t/>
      </w:r>
      <w:hyperlink w:anchor="page_56">
        <w:r>
          <w:rPr>
            <w:rStyle w:val="Text1"/>
          </w:rPr>
          <w:t/>
        </w:r>
      </w:hyperlink>
    </w:p>
    <w:p>
      <w:pPr>
        <w:pStyle w:val="Para 002"/>
      </w:pPr>
      <w:r>
        <w:t xml:space="preserve">thuyết phục người khác và, 99–100</w:t>
      </w:r>
      <w:hyperlink w:anchor="page_99">
        <w:r>
          <w:rPr>
            <w:rStyle w:val="Text1"/>
          </w:rPr>
          <w:t/>
        </w:r>
      </w:hyperlink>
      <w:r>
        <w:t/>
      </w:r>
      <w:hyperlink w:anchor="page_100">
        <w:r>
          <w:rPr>
            <w:rStyle w:val="Text1"/>
          </w:rPr>
          <w:t/>
        </w:r>
      </w:hyperlink>
    </w:p>
    <w:p>
      <w:pPr>
        <w:pStyle w:val="Para 002"/>
      </w:pPr>
      <w:r>
        <w:t xml:space="preserve">thời gian dành cho, 49</w:t>
      </w:r>
      <w:hyperlink w:anchor="page_49">
        <w:r>
          <w:rPr>
            <w:rStyle w:val="Text1"/>
          </w:rPr>
          <w:t/>
        </w:r>
      </w:hyperlink>
    </w:p>
    <w:p>
      <w:pPr>
        <w:pStyle w:val="Para 002"/>
      </w:pPr>
      <w:r>
        <w:t xml:space="preserve">những người đồng hành năng lực (competency companions), 26–28, 33–36. Xem thêm năng lực lãnh đạo</w:t>
      </w:r>
      <w:hyperlink w:anchor="page_26">
        <w:r>
          <w:rPr>
            <w:rStyle w:val="Text1"/>
          </w:rPr>
          <w:t/>
        </w:r>
      </w:hyperlink>
      <w:r>
        <w:t/>
      </w:r>
      <w:hyperlink w:anchor="page_28">
        <w:r>
          <w:rPr>
            <w:rStyle w:val="Text1"/>
          </w:rPr>
          <w:t/>
        </w:r>
      </w:hyperlink>
      <w:r>
        <w:t xml:space="preserve"/>
      </w:r>
      <w:hyperlink w:anchor="page_33">
        <w:r>
          <w:rPr>
            <w:rStyle w:val="Text1"/>
          </w:rPr>
          <w:t/>
        </w:r>
      </w:hyperlink>
      <w:r>
        <w:t/>
      </w:r>
      <w:hyperlink w:anchor="page_36">
        <w:r>
          <w:rPr>
            <w:rStyle w:val="Text1"/>
          </w:rPr>
          <w:t/>
        </w:r>
      </w:hyperlink>
      <w:r>
        <w:t xml:space="preserve"/>
      </w:r>
      <w:r>
        <w:rPr>
          <w:rStyle w:val="Text0"/>
        </w:rPr>
        <w:t/>
      </w:r>
      <w:r>
        <w:t xml:space="preserve"/>
      </w:r>
    </w:p>
    <w:p>
      <w:pPr>
        <w:pStyle w:val="Para 002"/>
      </w:pPr>
      <w:r>
        <w:t xml:space="preserve">hành vi can đảm một cách khôn ngoan (competently courageous behavior), 94</w:t>
      </w:r>
      <w:hyperlink w:anchor="page_94">
        <w:r>
          <w:rPr>
            <w:rStyle w:val="Text1"/>
          </w:rPr>
          <w:t/>
        </w:r>
      </w:hyperlink>
    </w:p>
    <w:p>
      <w:pPr>
        <w:pStyle w:val="Para 002"/>
      </w:pPr>
      <w:r>
        <w:t xml:space="preserve">kỹ năng bổ trợ, 24</w:t>
      </w:r>
      <w:hyperlink w:anchor="page_24">
        <w:r>
          <w:rPr>
            <w:rStyle w:val="Text1"/>
          </w:rPr>
          <w:t/>
        </w:r>
      </w:hyperlink>
    </w:p>
    <w:p>
      <w:pPr>
        <w:pStyle w:val="Para 002"/>
      </w:pPr>
      <w:r>
        <w:t xml:space="preserve">sự tự tin, học cách học và, 21–22</w:t>
      </w:r>
      <w:hyperlink w:anchor="page_21">
        <w:r>
          <w:rPr>
            <w:rStyle w:val="Text1"/>
          </w:rPr>
          <w:t/>
        </w:r>
      </w:hyperlink>
      <w:r>
        <w:t/>
      </w:r>
      <w:hyperlink w:anchor="page_22">
        <w:r>
          <w:rPr>
            <w:rStyle w:val="Text1"/>
          </w:rPr>
          <w:t/>
        </w:r>
      </w:hyperlink>
    </w:p>
    <w:p>
      <w:pPr>
        <w:pStyle w:val="Para 002"/>
      </w:pPr>
      <w:r>
        <w:t xml:space="preserve">Congleton, Christina, 59–66</w:t>
      </w:r>
      <w:hyperlink w:anchor="page_59">
        <w:r>
          <w:rPr>
            <w:rStyle w:val="Text1"/>
          </w:rPr>
          <w:t/>
        </w:r>
      </w:hyperlink>
      <w:r>
        <w:t/>
      </w:r>
      <w:hyperlink w:anchor="page_66">
        <w:r>
          <w:rPr>
            <w:rStyle w:val="Text1"/>
          </w:rPr>
          <w:t/>
        </w:r>
      </w:hyperlink>
    </w:p>
    <w:p>
      <w:pPr>
        <w:pStyle w:val="Para 002"/>
      </w:pPr>
      <w:r>
        <w:t xml:space="preserve">Connected Commons, 49</w:t>
      </w:r>
      <w:hyperlink w:anchor="page_49">
        <w:r>
          <w:rPr>
            <w:rStyle w:val="Text1"/>
          </w:rPr>
          <w:t/>
        </w:r>
      </w:hyperlink>
    </w:p>
    <w:p>
      <w:pPr>
        <w:pStyle w:val="Para 002"/>
      </w:pPr>
      <w:r>
        <w:t xml:space="preserve">thỏa thuận, cho các cặp đôi, 82–83</w:t>
      </w:r>
      <w:hyperlink w:anchor="page_82">
        <w:r>
          <w:rPr>
            <w:rStyle w:val="Text1"/>
          </w:rPr>
          <w:t/>
        </w:r>
      </w:hyperlink>
      <w:r>
        <w:t/>
      </w:r>
      <w:hyperlink w:anchor="page_83">
        <w:r>
          <w:rPr>
            <w:rStyle w:val="Text1"/>
          </w:rPr>
          <w:t/>
        </w:r>
      </w:hyperlink>
    </w:p>
    <w:p>
      <w:pPr>
        <w:pStyle w:val="Para 002"/>
      </w:pPr>
      <w:r>
        <w:t xml:space="preserve">nghĩa vụ cốt lõi, 68, 69–70. Xem thêm các cặp đôi sự nghiệp kép (dual-career couples)</w:t>
      </w:r>
      <w:hyperlink w:anchor="page_68">
        <w:r>
          <w:rPr>
            <w:rStyle w:val="Text1"/>
          </w:rPr>
          <w:t/>
        </w:r>
      </w:hyperlink>
      <w:r>
        <w:t xml:space="preserve"/>
      </w:r>
      <w:hyperlink w:anchor="page_69">
        <w:r>
          <w:rPr>
            <w:rStyle w:val="Text1"/>
          </w:rPr>
          <w:t/>
        </w:r>
      </w:hyperlink>
      <w:r>
        <w:t/>
      </w:r>
      <w:hyperlink w:anchor="page_70">
        <w:r>
          <w:rPr>
            <w:rStyle w:val="Text1"/>
          </w:rPr>
          <w:t/>
        </w:r>
      </w:hyperlink>
      <w:r>
        <w:t xml:space="preserve"/>
      </w:r>
      <w:r>
        <w:rPr>
          <w:rStyle w:val="Text0"/>
        </w:rPr>
        <w:t/>
      </w:r>
      <w:r>
        <w:t xml:space="preserve"/>
      </w:r>
    </w:p>
    <w:p>
      <w:pPr>
        <w:pStyle w:val="Para 002"/>
      </w:pPr>
      <w:r>
        <w:t xml:space="preserve">phân tích chi phí - lợi ích, 68–69, 130</w:t>
      </w:r>
      <w:hyperlink w:anchor="page_68">
        <w:r>
          <w:rPr>
            <w:rStyle w:val="Text1"/>
          </w:rPr>
          <w:t/>
        </w:r>
      </w:hyperlink>
      <w:r>
        <w:t/>
      </w:r>
      <w:hyperlink w:anchor="page_69">
        <w:r>
          <w:rPr>
            <w:rStyle w:val="Text1"/>
          </w:rPr>
          <w:t/>
        </w:r>
      </w:hyperlink>
      <w:r>
        <w:t xml:space="preserve"/>
      </w:r>
      <w:hyperlink w:anchor="page_130">
        <w:r>
          <w:rPr>
            <w:rStyle w:val="Text1"/>
          </w:rPr>
          <w:t/>
        </w:r>
      </w:hyperlink>
    </w:p>
    <w:p>
      <w:pPr>
        <w:pStyle w:val="Para 002"/>
      </w:pPr>
      <w:r>
        <w:t xml:space="preserve">cắt giảm chi phí, 41</w:t>
      </w:r>
      <w:hyperlink w:anchor="page_41">
        <w:r>
          <w:rPr>
            <w:rStyle w:val="Text1"/>
          </w:rPr>
          <w:t/>
        </w:r>
      </w:hyperlink>
    </w:p>
    <w:p>
      <w:pPr>
        <w:pStyle w:val="Para 059"/>
      </w:pPr>
      <w:r>
        <w:t>Couples That Work (Petriglieri), 79</w:t>
      </w:r>
      <w:r>
        <w:rPr>
          <w:rStyle w:val="Text0"/>
        </w:rPr>
        <w:t xml:space="preserve"/>
      </w:r>
      <w:hyperlink w:anchor="page_79">
        <w:r>
          <w:rPr>
            <w:rStyle w:val="Text12"/>
          </w:rPr>
          <w:t/>
        </w:r>
      </w:hyperlink>
    </w:p>
    <w:p>
      <w:pPr>
        <w:pStyle w:val="Para 002"/>
      </w:pPr>
      <w:r>
        <w:bookmarkStart w:id="451" w:name="page_146"/>
        <w:t>lòng can đảm, 93–113</w:t>
        <w:bookmarkEnd w:id="451"/>
        <w:t xml:space="preserve"/>
      </w:r>
      <w:hyperlink w:anchor="page_93">
        <w:r>
          <w:rPr>
            <w:rStyle w:val="Text1"/>
          </w:rPr>
          <w:t/>
        </w:r>
      </w:hyperlink>
      <w:r>
        <w:t/>
      </w:r>
      <w:hyperlink w:anchor="page_113">
        <w:r>
          <w:rPr>
            <w:rStyle w:val="Text1"/>
          </w:rPr>
          <w:t/>
        </w:r>
      </w:hyperlink>
    </w:p>
    <w:p>
      <w:pPr>
        <w:pStyle w:val="Para 002"/>
      </w:pPr>
      <w:r>
        <w:t xml:space="preserve">lường trước phản ứng tiêu cực và, 106</w:t>
      </w:r>
      <w:hyperlink w:anchor="page_106">
        <w:r>
          <w:rPr>
            <w:rStyle w:val="Text1"/>
          </w:rPr>
          <w:t/>
        </w:r>
      </w:hyperlink>
    </w:p>
    <w:p>
      <w:pPr>
        <w:pStyle w:val="Para 002"/>
      </w:pPr>
      <w:r>
        <w:t xml:space="preserve">lên tiếng về bất công chủng tộc và, 103–108</w:t>
      </w:r>
      <w:hyperlink w:anchor="page_103">
        <w:r>
          <w:rPr>
            <w:rStyle w:val="Text1"/>
          </w:rPr>
          <w:t/>
        </w:r>
      </w:hyperlink>
      <w:r>
        <w:t/>
      </w:r>
      <w:hyperlink w:anchor="page_108">
        <w:r>
          <w:rPr>
            <w:rStyle w:val="Text1"/>
          </w:rPr>
          <w:t/>
        </w:r>
      </w:hyperlink>
    </w:p>
    <w:p>
      <w:pPr>
        <w:pStyle w:val="Para 002"/>
      </w:pPr>
      <w:r>
        <w:t xml:space="preserve">điều tiết cảm xúc và, 105</w:t>
      </w:r>
      <w:hyperlink w:anchor="page_105">
        <w:r>
          <w:rPr>
            <w:rStyle w:val="Text1"/>
          </w:rPr>
          <w:t/>
        </w:r>
      </w:hyperlink>
    </w:p>
    <w:p>
      <w:pPr>
        <w:pStyle w:val="Para 002"/>
      </w:pPr>
      <w:r>
        <w:t xml:space="preserve">chọn trận chiến của bạn và, 97–99</w:t>
      </w:r>
      <w:hyperlink w:anchor="page_97">
        <w:r>
          <w:rPr>
            <w:rStyle w:val="Text1"/>
          </w:rPr>
          <w:t/>
        </w:r>
      </w:hyperlink>
      <w:r>
        <w:t/>
      </w:r>
      <w:hyperlink w:anchor="page_99">
        <w:r>
          <w:rPr>
            <w:rStyle w:val="Text1"/>
          </w:rPr>
          <w:t/>
        </w:r>
      </w:hyperlink>
    </w:p>
    <w:p>
      <w:pPr>
        <w:pStyle w:val="Para 002"/>
      </w:pPr>
      <w:r>
        <w:t xml:space="preserve">theo đuổi đến cùng và, 101–102, 107–108</w:t>
      </w:r>
      <w:hyperlink w:anchor="page_101">
        <w:r>
          <w:rPr>
            <w:rStyle w:val="Text1"/>
          </w:rPr>
          <w:t/>
        </w:r>
      </w:hyperlink>
      <w:r>
        <w:t/>
      </w:r>
      <w:hyperlink w:anchor="page_102">
        <w:r>
          <w:rPr>
            <w:rStyle w:val="Text1"/>
          </w:rPr>
          <w:t/>
        </w:r>
      </w:hyperlink>
      <w:r>
        <w:t xml:space="preserve"/>
      </w:r>
      <w:hyperlink w:anchor="page_107">
        <w:r>
          <w:rPr>
            <w:rStyle w:val="Text1"/>
          </w:rPr>
          <w:t/>
        </w:r>
      </w:hyperlink>
      <w:r>
        <w:t/>
      </w:r>
      <w:hyperlink w:anchor="page_108">
        <w:r>
          <w:rPr>
            <w:rStyle w:val="Text1"/>
          </w:rPr>
          <w:t/>
        </w:r>
      </w:hyperlink>
    </w:p>
    <w:p>
      <w:pPr>
        <w:pStyle w:val="Para 002"/>
      </w:pPr>
      <w:r>
        <w:t xml:space="preserve">định hình vấn đề và, 106–107</w:t>
      </w:r>
      <w:hyperlink w:anchor="page_106">
        <w:r>
          <w:rPr>
            <w:rStyle w:val="Text1"/>
          </w:rPr>
          <w:t/>
        </w:r>
      </w:hyperlink>
      <w:r>
        <w:t/>
      </w:r>
      <w:hyperlink w:anchor="page_107">
        <w:r>
          <w:rPr>
            <w:rStyle w:val="Text1"/>
          </w:rPr>
          <w:t/>
        </w:r>
      </w:hyperlink>
    </w:p>
    <w:p>
      <w:pPr>
        <w:pStyle w:val="Para 002"/>
      </w:pPr>
      <w:r>
        <w:t xml:space="preserve">đọc thêm về, 99</w:t>
      </w:r>
      <w:hyperlink w:anchor="page_99">
        <w:r>
          <w:rPr>
            <w:rStyle w:val="Text1"/>
          </w:rPr>
          <w:t/>
        </w:r>
      </w:hyperlink>
    </w:p>
    <w:p>
      <w:pPr>
        <w:pStyle w:val="Para 002"/>
      </w:pPr>
      <w:r>
        <w:t xml:space="preserve">các vấn đề đa dạng giới và, 108–113</w:t>
      </w:r>
      <w:hyperlink w:anchor="page_108">
        <w:r>
          <w:rPr>
            <w:rStyle w:val="Text1"/>
          </w:rPr>
          <w:t/>
        </w:r>
      </w:hyperlink>
      <w:r>
        <w:t/>
      </w:r>
      <w:hyperlink w:anchor="page_113">
        <w:r>
          <w:rPr>
            <w:rStyle w:val="Text1"/>
          </w:rPr>
          <w:t/>
        </w:r>
      </w:hyperlink>
    </w:p>
    <w:p>
      <w:pPr>
        <w:pStyle w:val="Para 002"/>
      </w:pPr>
      <w:r>
        <w:t xml:space="preserve">bắt đầu và, 102–103</w:t>
      </w:r>
      <w:hyperlink w:anchor="page_102">
        <w:r>
          <w:rPr>
            <w:rStyle w:val="Text1"/>
          </w:rPr>
          <w:t/>
        </w:r>
      </w:hyperlink>
      <w:r>
        <w:t/>
      </w:r>
      <w:hyperlink w:anchor="page_103">
        <w:r>
          <w:rPr>
            <w:rStyle w:val="Text1"/>
          </w:rPr>
          <w:t/>
        </w:r>
      </w:hyperlink>
    </w:p>
    <w:p>
      <w:pPr>
        <w:pStyle w:val="Para 002"/>
      </w:pPr>
      <w:r>
        <w:t xml:space="preserve">chuẩn bị nền tảng cho cuộc đối đầu, 95–97</w:t>
      </w:r>
      <w:hyperlink w:anchor="page_95">
        <w:r>
          <w:rPr>
            <w:rStyle w:val="Text1"/>
          </w:rPr>
          <w:t/>
        </w:r>
      </w:hyperlink>
      <w:r>
        <w:t/>
      </w:r>
      <w:hyperlink w:anchor="page_97">
        <w:r>
          <w:rPr>
            <w:rStyle w:val="Text1"/>
          </w:rPr>
          <w:t/>
        </w:r>
      </w:hyperlink>
    </w:p>
    <w:p>
      <w:pPr>
        <w:pStyle w:val="Para 002"/>
      </w:pPr>
      <w:r>
        <w:t xml:space="preserve">thuyết phục người khác và, 99–100</w:t>
      </w:r>
      <w:hyperlink w:anchor="page_99">
        <w:r>
          <w:rPr>
            <w:rStyle w:val="Text1"/>
          </w:rPr>
          <w:t/>
        </w:r>
      </w:hyperlink>
      <w:r>
        <w:t/>
      </w:r>
      <w:hyperlink w:anchor="page_100">
        <w:r>
          <w:rPr>
            <w:rStyle w:val="Text1"/>
          </w:rPr>
          <w:t/>
        </w:r>
      </w:hyperlink>
    </w:p>
    <w:p>
      <w:pPr>
        <w:pStyle w:val="Para 002"/>
      </w:pPr>
      <w:r>
        <w:t xml:space="preserve">thời điểm và, 97–99</w:t>
      </w:r>
      <w:hyperlink w:anchor="page_97">
        <w:r>
          <w:rPr>
            <w:rStyle w:val="Text1"/>
          </w:rPr>
          <w:t/>
        </w:r>
      </w:hyperlink>
      <w:r>
        <w:t/>
      </w:r>
      <w:hyperlink w:anchor="page_99">
        <w:r>
          <w:rPr>
            <w:rStyle w:val="Text1"/>
          </w:rPr>
          <w:t/>
        </w:r>
      </w:hyperlink>
    </w:p>
    <w:p>
      <w:pPr>
        <w:pStyle w:val="Para 002"/>
      </w:pPr>
      <w:r>
        <w:t xml:space="preserve">Craig, Nick, 1–13</w:t>
      </w:r>
      <w:hyperlink w:anchor="page_1">
        <w:r>
          <w:rPr>
            <w:rStyle w:val="Text1"/>
          </w:rPr>
          <w:t/>
        </w:r>
      </w:hyperlink>
      <w:r>
        <w:t/>
      </w:r>
      <w:hyperlink w:anchor="page_13">
        <w:r>
          <w:rPr>
            <w:rStyle w:val="Text1"/>
          </w:rPr>
          <w:t/>
        </w:r>
      </w:hyperlink>
    </w:p>
    <w:p>
      <w:pPr>
        <w:pStyle w:val="Para 002"/>
      </w:pPr>
      <w:r>
        <w:t xml:space="preserve">sự sáng tạo, đàm phán và, 119–120</w:t>
      </w:r>
      <w:hyperlink w:anchor="page_119">
        <w:r>
          <w:rPr>
            <w:rStyle w:val="Text1"/>
          </w:rPr>
          <w:t/>
        </w:r>
      </w:hyperlink>
      <w:r>
        <w:t/>
      </w:r>
      <w:hyperlink w:anchor="page_120">
        <w:r>
          <w:rPr>
            <w:rStyle w:val="Text1"/>
          </w:rPr>
          <w:t/>
        </w:r>
      </w:hyperlink>
    </w:p>
    <w:p>
      <w:pPr>
        <w:pStyle w:val="Para 002"/>
      </w:pPr>
      <w:r>
        <w:t xml:space="preserve">Cross, Rob, 49–57</w:t>
      </w:r>
      <w:hyperlink w:anchor="page_49">
        <w:r>
          <w:rPr>
            <w:rStyle w:val="Text1"/>
          </w:rPr>
          <w:t/>
        </w:r>
      </w:hyperlink>
      <w:r>
        <w:t/>
      </w:r>
      <w:hyperlink w:anchor="page_57">
        <w:r>
          <w:rPr>
            <w:rStyle w:val="Text1"/>
          </w:rPr>
          <w:t/>
        </w:r>
      </w:hyperlink>
    </w:p>
    <w:p>
      <w:pPr>
        <w:pStyle w:val="Para 002"/>
      </w:pPr>
      <w:r>
        <w:t xml:space="preserve">văn hóa hòa nhập, 136</w:t>
      </w:r>
      <w:hyperlink w:anchor="page_136">
        <w:r>
          <w:rPr>
            <w:rStyle w:val="Text1"/>
          </w:rPr>
          <w:t/>
        </w:r>
      </w:hyperlink>
    </w:p>
    <w:p>
      <w:pPr>
        <w:pStyle w:val="Para 002"/>
      </w:pPr>
      <w:r>
        <w:t xml:space="preserve">Cummings, E. E., 5</w:t>
      </w:r>
      <w:hyperlink w:anchor="page_5">
        <w:r>
          <w:rPr>
            <w:rStyle w:val="Text1"/>
          </w:rPr>
          <w:t/>
        </w:r>
      </w:hyperlink>
    </w:p>
    <w:p>
      <w:pPr>
        <w:pStyle w:val="Para 002"/>
      </w:pPr>
      <w:r>
        <w:t xml:space="preserve">sự tò mò, học hỏi và, 15, 19–21</w:t>
      </w:r>
      <w:hyperlink w:anchor="page_15">
        <w:r>
          <w:rPr>
            <w:rStyle w:val="Text1"/>
          </w:rPr>
          <w:t/>
        </w:r>
      </w:hyperlink>
      <w:r>
        <w:t xml:space="preserve"/>
      </w:r>
      <w:hyperlink w:anchor="page_19">
        <w:r>
          <w:rPr>
            <w:rStyle w:val="Text1"/>
          </w:rPr>
          <w:t/>
        </w:r>
      </w:hyperlink>
      <w:r>
        <w:t/>
      </w:r>
      <w:hyperlink w:anchor="page_21">
        <w:r>
          <w:rPr>
            <w:rStyle w:val="Text1"/>
          </w:rPr>
          <w:t/>
        </w:r>
      </w:hyperlink>
    </w:p>
    <w:p>
      <w:pPr>
        <w:pStyle w:val="Para 024"/>
      </w:pPr>
      <w:r>
        <w:t xml:space="preserve">David, Susan, 59–66</w:t>
      </w:r>
      <w:hyperlink w:anchor="page_59">
        <w:r>
          <w:rPr>
            <w:rStyle w:val="Text1"/>
          </w:rPr>
          <w:t/>
        </w:r>
      </w:hyperlink>
      <w:r>
        <w:t/>
      </w:r>
      <w:hyperlink w:anchor="page_66">
        <w:r>
          <w:rPr>
            <w:rStyle w:val="Text1"/>
          </w:rPr>
          <w:t/>
        </w:r>
      </w:hyperlink>
    </w:p>
    <w:p>
      <w:pPr>
        <w:pStyle w:val="Para 002"/>
      </w:pPr>
      <w:r>
        <w:t xml:space="preserve">ra quyết định, 67–75</w:t>
      </w:r>
      <w:hyperlink w:anchor="page_67">
        <w:r>
          <w:rPr>
            <w:rStyle w:val="Text1"/>
          </w:rPr>
          <w:t/>
        </w:r>
      </w:hyperlink>
      <w:r>
        <w:t/>
      </w:r>
      <w:hyperlink w:anchor="page_75">
        <w:r>
          <w:rPr>
            <w:rStyle w:val="Text1"/>
          </w:rPr>
          <w:t/>
        </w:r>
      </w:hyperlink>
    </w:p>
    <w:p>
      <w:pPr>
        <w:pStyle w:val="Para 002"/>
      </w:pPr>
      <w:r>
        <w:t xml:space="preserve">nghĩa vụ cốt lõi và, 68, 69–70</w:t>
      </w:r>
      <w:hyperlink w:anchor="page_68">
        <w:r>
          <w:rPr>
            <w:rStyle w:val="Text1"/>
          </w:rPr>
          <w:t/>
        </w:r>
      </w:hyperlink>
      <w:r>
        <w:t xml:space="preserve"/>
      </w:r>
      <w:hyperlink w:anchor="page_69">
        <w:r>
          <w:rPr>
            <w:rStyle w:val="Text1"/>
          </w:rPr>
          <w:t/>
        </w:r>
      </w:hyperlink>
      <w:r>
        <w:t/>
      </w:r>
      <w:hyperlink w:anchor="page_70">
        <w:r>
          <w:rPr>
            <w:rStyle w:val="Text1"/>
          </w:rPr>
          <w:t/>
        </w:r>
      </w:hyperlink>
    </w:p>
    <w:p>
      <w:pPr>
        <w:pStyle w:val="Para 002"/>
      </w:pPr>
      <w:r>
        <w:t xml:space="preserve">đạo đức/luân lý, 129–132</w:t>
      </w:r>
      <w:hyperlink w:anchor="page_129">
        <w:r>
          <w:rPr>
            <w:rStyle w:val="Text1"/>
          </w:rPr>
          <w:t/>
        </w:r>
      </w:hyperlink>
      <w:r>
        <w:t/>
      </w:r>
      <w:hyperlink w:anchor="page_132">
        <w:r>
          <w:rPr>
            <w:rStyle w:val="Text1"/>
          </w:rPr>
          <w:t/>
        </w:r>
      </w:hyperlink>
    </w:p>
    <w:p>
      <w:pPr>
        <w:pStyle w:val="Para 002"/>
      </w:pPr>
      <w:r>
        <w:t xml:space="preserve">sống với quyết định và, 72</w:t>
      </w:r>
      <w:hyperlink w:anchor="page_72">
        <w:r>
          <w:rPr>
            <w:rStyle w:val="Text1"/>
          </w:rPr>
          <w:t/>
        </w:r>
      </w:hyperlink>
    </w:p>
    <w:p>
      <w:pPr>
        <w:pStyle w:val="Para 002"/>
      </w:pPr>
      <w:r>
        <w:t xml:space="preserve">dựa trên tiền bạc, 82–85</w:t>
      </w:r>
      <w:hyperlink w:anchor="page_82">
        <w:r>
          <w:rPr>
            <w:rStyle w:val="Text1"/>
          </w:rPr>
          <w:t/>
        </w:r>
      </w:hyperlink>
      <w:r>
        <w:t/>
      </w:r>
      <w:hyperlink w:anchor="page_85">
        <w:r>
          <w:rPr>
            <w:rStyle w:val="Text1"/>
          </w:rPr>
          <w:t/>
        </w:r>
      </w:hyperlink>
    </w:p>
    <w:p>
      <w:pPr>
        <w:pStyle w:val="Para 002"/>
      </w:pPr>
      <w:r>
        <w:t xml:space="preserve">trong đàm phán, 117</w:t>
      </w:r>
      <w:hyperlink w:anchor="page_117">
        <w:r>
          <w:rPr>
            <w:rStyle w:val="Text1"/>
          </w:rPr>
          <w:t/>
        </w:r>
      </w:hyperlink>
    </w:p>
    <w:p>
      <w:pPr>
        <w:pStyle w:val="Para 002"/>
      </w:pPr>
      <w:r>
        <w:t xml:space="preserve">hệ quả ròng, hệ quả ròng trong, 68–69</w:t>
      </w:r>
      <w:hyperlink w:anchor="page_68">
        <w:r>
          <w:rPr>
            <w:rStyle w:val="Text1"/>
          </w:rPr>
          <w:t/>
        </w:r>
      </w:hyperlink>
      <w:r>
        <w:t/>
      </w:r>
      <w:hyperlink w:anchor="page_69">
        <w:r>
          <w:rPr>
            <w:rStyle w:val="Text1"/>
          </w:rPr>
          <w:t/>
        </w:r>
      </w:hyperlink>
    </w:p>
    <w:p>
      <w:pPr>
        <w:pStyle w:val="Para 002"/>
      </w:pPr>
      <w:r>
        <w:t xml:space="preserve">trong thực tế, 73–74</w:t>
      </w:r>
      <w:hyperlink w:anchor="page_73">
        <w:r>
          <w:rPr>
            <w:rStyle w:val="Text1"/>
          </w:rPr>
          <w:t/>
        </w:r>
      </w:hyperlink>
      <w:r>
        <w:t/>
      </w:r>
      <w:hyperlink w:anchor="page_74">
        <w:r>
          <w:rPr>
            <w:rStyle w:val="Text1"/>
          </w:rPr>
          <w:t/>
        </w:r>
      </w:hyperlink>
    </w:p>
    <w:p>
      <w:pPr>
        <w:pStyle w:val="Para 002"/>
      </w:pPr>
      <w:r>
        <w:t xml:space="preserve">tính thực dụng và, 68, 70–71</w:t>
      </w:r>
      <w:hyperlink w:anchor="page_68">
        <w:r>
          <w:rPr>
            <w:rStyle w:val="Text1"/>
          </w:rPr>
          <w:t/>
        </w:r>
      </w:hyperlink>
      <w:r>
        <w:t xml:space="preserve"/>
      </w:r>
      <w:hyperlink w:anchor="page_70">
        <w:r>
          <w:rPr>
            <w:rStyle w:val="Text1"/>
          </w:rPr>
          <w:t/>
        </w:r>
      </w:hyperlink>
      <w:r>
        <w:t/>
      </w:r>
      <w:hyperlink w:anchor="page_71">
        <w:r>
          <w:rPr>
            <w:rStyle w:val="Text1"/>
          </w:rPr>
          <w:t/>
        </w:r>
      </w:hyperlink>
    </w:p>
    <w:p>
      <w:pPr>
        <w:pStyle w:val="Para 002"/>
      </w:pPr>
      <w:r>
        <w:t xml:space="preserve">câu hỏi để cải thiện, 67–68</w:t>
      </w:r>
      <w:hyperlink w:anchor="page_67">
        <w:r>
          <w:rPr>
            <w:rStyle w:val="Text1"/>
          </w:rPr>
          <w:t/>
        </w:r>
      </w:hyperlink>
      <w:r>
        <w:t/>
      </w:r>
      <w:hyperlink w:anchor="page_68">
        <w:r>
          <w:rPr>
            <w:rStyle w:val="Text1"/>
          </w:rPr>
          <w:t/>
        </w:r>
      </w:hyperlink>
    </w:p>
    <w:p>
      <w:pPr>
        <w:pStyle w:val="Para 002"/>
      </w:pPr>
      <w:r>
        <w:t xml:space="preserve">điều bạn có thể chấp nhận sống chung và, 68, 71–72</w:t>
      </w:r>
      <w:hyperlink w:anchor="page_68">
        <w:r>
          <w:rPr>
            <w:rStyle w:val="Text1"/>
          </w:rPr>
          <w:t/>
        </w:r>
      </w:hyperlink>
      <w:r>
        <w:t xml:space="preserve"/>
      </w:r>
      <w:hyperlink w:anchor="page_71">
        <w:r>
          <w:rPr>
            <w:rStyle w:val="Text1"/>
          </w:rPr>
          <w:t/>
        </w:r>
      </w:hyperlink>
      <w:r>
        <w:t/>
      </w:r>
      <w:hyperlink w:anchor="page_72">
        <w:r>
          <w:rPr>
            <w:rStyle w:val="Text1"/>
          </w:rPr>
          <w:t/>
        </w:r>
      </w:hyperlink>
    </w:p>
    <w:p>
      <w:pPr>
        <w:pStyle w:val="Para 002"/>
      </w:pPr>
      <w:r>
        <w:t xml:space="preserve">thái độ phòng thủ, 86–87</w:t>
      </w:r>
      <w:hyperlink w:anchor="page_86">
        <w:r>
          <w:rPr>
            <w:rStyle w:val="Text1"/>
          </w:rPr>
          <w:t/>
        </w:r>
      </w:hyperlink>
      <w:r>
        <w:t/>
      </w:r>
      <w:hyperlink w:anchor="page_87">
        <w:r>
          <w:rPr>
            <w:rStyle w:val="Text1"/>
          </w:rPr>
          <w:t/>
        </w:r>
      </w:hyperlink>
    </w:p>
    <w:p>
      <w:pPr>
        <w:pStyle w:val="Para 002"/>
      </w:pPr>
      <w:r>
        <w:t xml:space="preserve">de Geus, Arie, 15</w:t>
      </w:r>
      <w:hyperlink w:anchor="page_15">
        <w:r>
          <w:rPr>
            <w:rStyle w:val="Text1"/>
          </w:rPr>
          <w:t/>
        </w:r>
      </w:hyperlink>
    </w:p>
    <w:p>
      <w:pPr>
        <w:pStyle w:val="Para 002"/>
      </w:pPr>
      <w:r>
        <w:t xml:space="preserve">ủy quyền, 46</w:t>
      </w:r>
      <w:hyperlink w:anchor="page_46">
        <w:r>
          <w:rPr>
            <w:rStyle w:val="Text1"/>
          </w:rPr>
          <w:t/>
        </w:r>
      </w:hyperlink>
    </w:p>
    <w:p>
      <w:pPr>
        <w:pStyle w:val="Para 002"/>
      </w:pPr>
      <w:r>
        <w:t xml:space="preserve">thuyết nghĩa vụ (deontology), 130</w:t>
      </w:r>
      <w:hyperlink w:anchor="page_130">
        <w:r>
          <w:rPr>
            <w:rStyle w:val="Text1"/>
          </w:rPr>
          <w:t/>
        </w:r>
      </w:hyperlink>
    </w:p>
    <w:p>
      <w:pPr>
        <w:pStyle w:val="Para 002"/>
      </w:pPr>
      <w:r>
        <w:t xml:space="preserve">Detert, James R., 93–113</w:t>
      </w:r>
      <w:hyperlink w:anchor="page_93">
        <w:r>
          <w:rPr>
            <w:rStyle w:val="Text1"/>
          </w:rPr>
          <w:t/>
        </w:r>
      </w:hyperlink>
      <w:r>
        <w:t/>
      </w:r>
      <w:hyperlink w:anchor="page_113">
        <w:r>
          <w:rPr>
            <w:rStyle w:val="Text1"/>
          </w:rPr>
          <w:t/>
        </w:r>
      </w:hyperlink>
    </w:p>
    <w:p>
      <w:pPr>
        <w:pStyle w:val="Para 002"/>
      </w:pPr>
      <w:r>
        <w:t xml:space="preserve">sự phát triển, phi tuyến tính, 24</w:t>
      </w:r>
      <w:hyperlink w:anchor="page_24">
        <w:r>
          <w:rPr>
            <w:rStyle w:val="Text1"/>
          </w:rPr>
          <w:t/>
        </w:r>
      </w:hyperlink>
    </w:p>
    <w:p>
      <w:pPr>
        <w:pStyle w:val="Para 002"/>
      </w:pPr>
      <w:r>
        <w:t xml:space="preserve">kế hoạch phát triển, 8. Xem thêm các cặp đôi sự nghiệp kép</w:t>
      </w:r>
      <w:hyperlink w:anchor="page_8">
        <w:r>
          <w:rPr>
            <w:rStyle w:val="Text1"/>
          </w:rPr>
          <w:t/>
        </w:r>
      </w:hyperlink>
      <w:r>
        <w:t xml:space="preserve"/>
      </w:r>
      <w:r>
        <w:rPr>
          <w:rStyle w:val="Text0"/>
        </w:rPr>
        <w:t/>
      </w:r>
      <w:r>
        <w:t xml:space="preserve"/>
      </w:r>
    </w:p>
    <w:p>
      <w:pPr>
        <w:pStyle w:val="Para 002"/>
      </w:pPr>
      <w:r>
        <w:t xml:space="preserve">tự vận động cho bản thân và, 115–123</w:t>
      </w:r>
      <w:hyperlink w:anchor="page_115">
        <w:r>
          <w:rPr>
            <w:rStyle w:val="Text1"/>
          </w:rPr>
          <w:t/>
        </w:r>
      </w:hyperlink>
      <w:r>
        <w:t/>
      </w:r>
      <w:hyperlink w:anchor="page_123">
        <w:r>
          <w:rPr>
            <w:rStyle w:val="Text1"/>
          </w:rPr>
          <w:t/>
        </w:r>
      </w:hyperlink>
    </w:p>
    <w:p>
      <w:pPr>
        <w:pStyle w:val="Para 002"/>
      </w:pPr>
      <w:r>
        <w:t>sự đa dạng</w:t>
      </w:r>
    </w:p>
    <w:p>
      <w:pPr>
        <w:pStyle w:val="Para 002"/>
      </w:pPr>
      <w:r>
        <w:t xml:space="preserve">lên tiếng về bất công chủng tộc và, 103–108</w:t>
      </w:r>
      <w:hyperlink w:anchor="page_103">
        <w:r>
          <w:rPr>
            <w:rStyle w:val="Text1"/>
          </w:rPr>
          <w:t/>
        </w:r>
      </w:hyperlink>
      <w:r>
        <w:t/>
      </w:r>
      <w:hyperlink w:anchor="page_108">
        <w:r>
          <w:rPr>
            <w:rStyle w:val="Text1"/>
          </w:rPr>
          <w:t/>
        </w:r>
      </w:hyperlink>
    </w:p>
    <w:p>
      <w:pPr>
        <w:pStyle w:val="Para 002"/>
      </w:pPr>
      <w:r>
        <w:t xml:space="preserve">giới (gender), nam giới là đồng minh trong, 108–113</w:t>
      </w:r>
      <w:hyperlink w:anchor="page_108">
        <w:r>
          <w:rPr>
            <w:rStyle w:val="Text1"/>
          </w:rPr>
          <w:t/>
        </w:r>
      </w:hyperlink>
      <w:r>
        <w:t/>
      </w:r>
      <w:hyperlink w:anchor="page_113">
        <w:r>
          <w:rPr>
            <w:rStyle w:val="Text1"/>
          </w:rPr>
          <w:t/>
        </w:r>
      </w:hyperlink>
    </w:p>
    <w:p>
      <w:pPr>
        <w:pStyle w:val="Para 002"/>
      </w:pPr>
      <w:r>
        <w:t xml:space="preserve">phản hồi trước hành vi xâm phạm vi mô (microaggressions) và, 135–140</w:t>
      </w:r>
      <w:hyperlink w:anchor="page_135">
        <w:r>
          <w:rPr>
            <w:rStyle w:val="Text1"/>
          </w:rPr>
          <w:t/>
        </w:r>
      </w:hyperlink>
      <w:r>
        <w:t/>
      </w:r>
      <w:hyperlink w:anchor="page_140">
        <w:r>
          <w:rPr>
            <w:rStyle w:val="Text1"/>
          </w:rPr>
          <w:t/>
        </w:r>
      </w:hyperlink>
    </w:p>
    <w:p>
      <w:pPr>
        <w:pStyle w:val="Para 002"/>
      </w:pPr>
      <w:r>
        <w:t xml:space="preserve">Donner, Jonathan, 3</w:t>
      </w:r>
      <w:hyperlink w:anchor="page_3">
        <w:r>
          <w:rPr>
            <w:rStyle w:val="Text1"/>
          </w:rPr>
          <w:t/>
        </w:r>
      </w:hyperlink>
    </w:p>
    <w:p>
      <w:pPr>
        <w:pStyle w:val="Para 002"/>
      </w:pPr>
      <w:r>
        <w:t xml:space="preserve">mô hình hai trụ cột chính của các cặp đôi, 84–85</w:t>
      </w:r>
      <w:hyperlink w:anchor="page_84">
        <w:r>
          <w:rPr>
            <w:rStyle w:val="Text1"/>
          </w:rPr>
          <w:t/>
        </w:r>
      </w:hyperlink>
      <w:r>
        <w:t/>
      </w:r>
      <w:hyperlink w:anchor="page_85">
        <w:r>
          <w:rPr>
            <w:rStyle w:val="Text1"/>
          </w:rPr>
          <w:t/>
        </w:r>
      </w:hyperlink>
    </w:p>
    <w:p>
      <w:pPr>
        <w:pStyle w:val="Para 002"/>
      </w:pPr>
      <w:r>
        <w:t xml:space="preserve">Drucker, Peter, 37, 126</w:t>
      </w:r>
      <w:hyperlink w:anchor="page_37">
        <w:r>
          <w:rPr>
            <w:rStyle w:val="Text1"/>
          </w:rPr>
          <w:t/>
        </w:r>
      </w:hyperlink>
      <w:r>
        <w:t xml:space="preserve"/>
      </w:r>
      <w:hyperlink w:anchor="page_126">
        <w:r>
          <w:rPr>
            <w:rStyle w:val="Text1"/>
          </w:rPr>
          <w:t/>
        </w:r>
      </w:hyperlink>
    </w:p>
    <w:p>
      <w:pPr>
        <w:pStyle w:val="Para 002"/>
      </w:pPr>
      <w:r>
        <w:t xml:space="preserve">các cặp đôi sự nghiệp kép (dual-career couples), 77–91</w:t>
      </w:r>
      <w:hyperlink w:anchor="page_77">
        <w:r>
          <w:rPr>
            <w:rStyle w:val="Text1"/>
          </w:rPr>
          <w:t/>
        </w:r>
      </w:hyperlink>
      <w:r>
        <w:t/>
      </w:r>
      <w:hyperlink w:anchor="page_91">
        <w:r>
          <w:rPr>
            <w:rStyle w:val="Text1"/>
          </w:rPr>
          <w:t/>
        </w:r>
      </w:hyperlink>
    </w:p>
    <w:p>
      <w:pPr>
        <w:pStyle w:val="Para 002"/>
      </w:pPr>
      <w:r>
        <w:t xml:space="preserve">ranh giới cho, 83</w:t>
      </w:r>
      <w:hyperlink w:anchor="page_83">
        <w:r>
          <w:rPr>
            <w:rStyle w:val="Text1"/>
          </w:rPr>
          <w:t/>
        </w:r>
      </w:hyperlink>
    </w:p>
    <w:p>
      <w:pPr>
        <w:pStyle w:val="Para 002"/>
      </w:pPr>
      <w:r>
        <w:t xml:space="preserve">thách thức đối mặt, 78–79</w:t>
      </w:r>
      <w:hyperlink w:anchor="page_78">
        <w:r>
          <w:rPr>
            <w:rStyle w:val="Text1"/>
          </w:rPr>
          <w:t/>
        </w:r>
      </w:hyperlink>
      <w:r>
        <w:t/>
      </w:r>
      <w:hyperlink w:anchor="page_79">
        <w:r>
          <w:rPr>
            <w:rStyle w:val="Text1"/>
          </w:rPr>
          <w:t/>
        </w:r>
      </w:hyperlink>
    </w:p>
    <w:p>
      <w:pPr>
        <w:pStyle w:val="Para 002"/>
      </w:pPr>
      <w:r>
        <w:t xml:space="preserve">thỏa thuận cho, 82–83</w:t>
      </w:r>
      <w:hyperlink w:anchor="page_82">
        <w:r>
          <w:rPr>
            <w:rStyle w:val="Text1"/>
          </w:rPr>
          <w:t/>
        </w:r>
      </w:hyperlink>
      <w:r>
        <w:t/>
      </w:r>
      <w:hyperlink w:anchor="page_83">
        <w:r>
          <w:rPr>
            <w:rStyle w:val="Text1"/>
          </w:rPr>
          <w:t/>
        </w:r>
      </w:hyperlink>
    </w:p>
    <w:p>
      <w:pPr>
        <w:pStyle w:val="Para 002"/>
      </w:pPr>
      <w:r>
        <w:t xml:space="preserve">nỗi sợ của, 83, 84</w:t>
      </w:r>
      <w:hyperlink w:anchor="page_83">
        <w:r>
          <w:rPr>
            <w:rStyle w:val="Text1"/>
          </w:rPr>
          <w:t/>
        </w:r>
      </w:hyperlink>
      <w:r>
        <w:t xml:space="preserve"/>
      </w:r>
      <w:hyperlink w:anchor="page_84">
        <w:r>
          <w:rPr>
            <w:rStyle w:val="Text1"/>
          </w:rPr>
          <w:t/>
        </w:r>
      </w:hyperlink>
    </w:p>
    <w:p>
      <w:pPr>
        <w:pStyle w:val="Para 002"/>
      </w:pPr>
      <w:r>
        <w:t xml:space="preserve">mất mát và cơ hội trong, 88–91</w:t>
      </w:r>
      <w:hyperlink w:anchor="page_88">
        <w:r>
          <w:rPr>
            <w:rStyle w:val="Text1"/>
          </w:rPr>
          <w:t/>
        </w:r>
      </w:hyperlink>
      <w:r>
        <w:t/>
      </w:r>
      <w:hyperlink w:anchor="page_91">
        <w:r>
          <w:rPr>
            <w:rStyle w:val="Text1"/>
          </w:rPr>
          <w:t/>
        </w:r>
      </w:hyperlink>
    </w:p>
    <w:p>
      <w:pPr>
        <w:pStyle w:val="Para 002"/>
      </w:pPr>
      <w:r>
        <w:t xml:space="preserve">ra quyết định dựa trên tiền bạc trong, 82–85</w:t>
      </w:r>
      <w:hyperlink w:anchor="page_82">
        <w:r>
          <w:rPr>
            <w:rStyle w:val="Text1"/>
          </w:rPr>
          <w:t/>
        </w:r>
      </w:hyperlink>
      <w:r>
        <w:t/>
      </w:r>
      <w:hyperlink w:anchor="page_85">
        <w:r>
          <w:rPr>
            <w:rStyle w:val="Text1"/>
          </w:rPr>
          <w:t/>
        </w:r>
      </w:hyperlink>
    </w:p>
    <w:p>
      <w:pPr>
        <w:pStyle w:val="Para 002"/>
      </w:pPr>
      <w:r>
        <w:t xml:space="preserve">ưu tiên, sự nghiệp và cam kết gia đình trong, 84–85</w:t>
      </w:r>
      <w:hyperlink w:anchor="page_84">
        <w:r>
          <w:rPr>
            <w:rStyle w:val="Text1"/>
          </w:rPr>
          <w:t/>
        </w:r>
      </w:hyperlink>
      <w:r>
        <w:t/>
      </w:r>
      <w:hyperlink w:anchor="page_85">
        <w:r>
          <w:rPr>
            <w:rStyle w:val="Text1"/>
          </w:rPr>
          <w:t/>
        </w:r>
      </w:hyperlink>
    </w:p>
    <w:p>
      <w:pPr>
        <w:pStyle w:val="Para 002"/>
      </w:pPr>
      <w:r>
        <w:t xml:space="preserve">tái tạo bản thân, 85–88</w:t>
      </w:r>
      <w:hyperlink w:anchor="page_85">
        <w:r>
          <w:rPr>
            <w:rStyle w:val="Text1"/>
          </w:rPr>
          <w:t/>
        </w:r>
      </w:hyperlink>
      <w:r>
        <w:t/>
      </w:r>
      <w:hyperlink w:anchor="page_88">
        <w:r>
          <w:rPr>
            <w:rStyle w:val="Text1"/>
          </w:rPr>
          <w:t/>
        </w:r>
      </w:hyperlink>
    </w:p>
    <w:p>
      <w:pPr>
        <w:pStyle w:val="Para 002"/>
      </w:pPr>
      <w:r>
        <w:t xml:space="preserve">nghiên cứu về, 80</w:t>
      </w:r>
      <w:hyperlink w:anchor="page_80">
        <w:r>
          <w:rPr>
            <w:rStyle w:val="Text1"/>
          </w:rPr>
          <w:t/>
        </w:r>
      </w:hyperlink>
    </w:p>
    <w:p>
      <w:pPr>
        <w:pStyle w:val="Para 002"/>
      </w:pPr>
      <w:r>
        <w:t xml:space="preserve">điểm chuyển tiếp trong, 79–80</w:t>
      </w:r>
      <w:hyperlink w:anchor="page_79">
        <w:r>
          <w:rPr>
            <w:rStyle w:val="Text1"/>
          </w:rPr>
          <w:t/>
        </w:r>
      </w:hyperlink>
      <w:r>
        <w:t/>
      </w:r>
      <w:hyperlink w:anchor="page_80">
        <w:r>
          <w:rPr>
            <w:rStyle w:val="Text1"/>
          </w:rPr>
          <w:t/>
        </w:r>
      </w:hyperlink>
    </w:p>
    <w:p>
      <w:pPr>
        <w:pStyle w:val="Para 002"/>
      </w:pPr>
      <w:r>
        <w:t xml:space="preserve">làm việc như một cặp đôi, 80–85</w:t>
      </w:r>
      <w:hyperlink w:anchor="page_80">
        <w:r>
          <w:rPr>
            <w:rStyle w:val="Text1"/>
          </w:rPr>
          <w:t/>
        </w:r>
      </w:hyperlink>
      <w:r>
        <w:t/>
      </w:r>
      <w:hyperlink w:anchor="page_85">
        <w:r>
          <w:rPr>
            <w:rStyle w:val="Text1"/>
          </w:rPr>
          <w:t/>
        </w:r>
      </w:hyperlink>
    </w:p>
    <w:p>
      <w:pPr>
        <w:pStyle w:val="Para 002"/>
      </w:pPr>
      <w:r>
        <w:t xml:space="preserve">Dunning, David, 18</w:t>
      </w:r>
      <w:hyperlink w:anchor="page_18">
        <w:r>
          <w:rPr>
            <w:rStyle w:val="Text1"/>
          </w:rPr>
          <w:t/>
        </w:r>
      </w:hyperlink>
    </w:p>
    <w:p>
      <w:pPr>
        <w:pStyle w:val="Para 024"/>
      </w:pPr>
      <w:r>
        <w:t xml:space="preserve">Edinger, Scott K., 23–38</w:t>
      </w:r>
      <w:hyperlink w:anchor="page_23">
        <w:r>
          <w:rPr>
            <w:rStyle w:val="Text1"/>
          </w:rPr>
          <w:t/>
        </w:r>
      </w:hyperlink>
      <w:r>
        <w:t/>
      </w:r>
      <w:hyperlink w:anchor="page_38">
        <w:r>
          <w:rPr>
            <w:rStyle w:val="Text1"/>
          </w:rPr>
          <w:t/>
        </w:r>
      </w:hyperlink>
    </w:p>
    <w:p>
      <w:pPr>
        <w:pStyle w:val="Para 059"/>
      </w:pPr>
      <w:r>
        <w:t>The Effective Executive (Drucker), 37</w:t>
      </w:r>
      <w:r>
        <w:rPr>
          <w:rStyle w:val="Text0"/>
        </w:rPr>
        <w:t xml:space="preserve"/>
      </w:r>
      <w:hyperlink w:anchor="page_37">
        <w:r>
          <w:rPr>
            <w:rStyle w:val="Text12"/>
          </w:rPr>
          <w:t/>
        </w:r>
      </w:hyperlink>
    </w:p>
    <w:p>
      <w:pPr>
        <w:pStyle w:val="Para 002"/>
      </w:pPr>
      <w:r>
        <w:t xml:space="preserve">sự nhanh nhẹn cảm xúc (emotional agility), 59–66</w:t>
      </w:r>
      <w:hyperlink w:anchor="page_59">
        <w:r>
          <w:rPr>
            <w:rStyle w:val="Text1"/>
          </w:rPr>
          <w:t/>
        </w:r>
      </w:hyperlink>
      <w:r>
        <w:t/>
      </w:r>
      <w:hyperlink w:anchor="page_66">
        <w:r>
          <w:rPr>
            <w:rStyle w:val="Text1"/>
          </w:rPr>
          <w:t/>
        </w:r>
      </w:hyperlink>
    </w:p>
    <w:p>
      <w:pPr>
        <w:pStyle w:val="Para 002"/>
      </w:pPr>
      <w:r>
        <w:t xml:space="preserve">định nghĩa của, 60</w:t>
      </w:r>
      <w:hyperlink w:anchor="page_60">
        <w:r>
          <w:rPr>
            <w:rStyle w:val="Text1"/>
          </w:rPr>
          <w:t/>
        </w:r>
      </w:hyperlink>
    </w:p>
    <w:p>
      <w:pPr>
        <w:pStyle w:val="Para 002"/>
      </w:pPr>
      <w:r>
        <w:t xml:space="preserve">đánh giá sự nhanh nhẹn cảm xúc của bạn, 65</w:t>
      </w:r>
      <w:hyperlink w:anchor="page_65">
        <w:r>
          <w:rPr>
            <w:rStyle w:val="Text1"/>
          </w:rPr>
          <w:t/>
        </w:r>
      </w:hyperlink>
    </w:p>
    <w:p>
      <w:pPr>
        <w:pStyle w:val="Para 002"/>
      </w:pPr>
      <w:r>
        <w:t xml:space="preserve">hành vi xâm phạm vi mô (microaggressions) và, 138</w:t>
      </w:r>
      <w:hyperlink w:anchor="page_138">
        <w:r>
          <w:rPr>
            <w:rStyle w:val="Text1"/>
          </w:rPr>
          <w:t/>
        </w:r>
      </w:hyperlink>
    </w:p>
    <w:p>
      <w:pPr>
        <w:pStyle w:val="Para 002"/>
      </w:pPr>
      <w:r>
        <w:t xml:space="preserve">thuyết phục người khác và, 99–100</w:t>
      </w:r>
      <w:hyperlink w:anchor="page_99">
        <w:r>
          <w:rPr>
            <w:rStyle w:val="Text1"/>
          </w:rPr>
          <w:t/>
        </w:r>
      </w:hyperlink>
      <w:r>
        <w:t/>
      </w:r>
      <w:hyperlink w:anchor="page_100">
        <w:r>
          <w:rPr>
            <w:rStyle w:val="Text1"/>
          </w:rPr>
          <w:t/>
        </w:r>
      </w:hyperlink>
    </w:p>
    <w:p>
      <w:pPr>
        <w:pStyle w:val="Para 002"/>
      </w:pPr>
      <w:r>
        <w:t xml:space="preserve">ảo ảnh đạo đức (ethical mirage), 126</w:t>
      </w:r>
      <w:hyperlink w:anchor="page_126">
        <w:r>
          <w:rPr>
            <w:rStyle w:val="Text1"/>
          </w:rPr>
          <w:t/>
        </w:r>
      </w:hyperlink>
    </w:p>
    <w:p>
      <w:pPr>
        <w:pStyle w:val="Para 002"/>
      </w:pPr>
      <w:r>
        <w:bookmarkStart w:id="452" w:name="page_147"/>
        <w:t>đạo đức và luân lý, 125–133</w:t>
        <w:bookmarkEnd w:id="452"/>
        <w:t xml:space="preserve"/>
      </w:r>
      <w:hyperlink w:anchor="page_125">
        <w:r>
          <w:rPr>
            <w:rStyle w:val="Text1"/>
          </w:rPr>
          <w:t/>
        </w:r>
      </w:hyperlink>
      <w:r>
        <w:t/>
      </w:r>
      <w:hyperlink w:anchor="page_133">
        <w:r>
          <w:rPr>
            <w:rStyle w:val="Text1"/>
          </w:rPr>
          <w:t/>
        </w:r>
      </w:hyperlink>
    </w:p>
    <w:p>
      <w:pPr>
        <w:pStyle w:val="Para 002"/>
      </w:pPr>
      <w:r>
        <w:t xml:space="preserve">ra quyết định và, 69–70, 129–132</w:t>
      </w:r>
      <w:hyperlink w:anchor="page_69">
        <w:r>
          <w:rPr>
            <w:rStyle w:val="Text1"/>
          </w:rPr>
          <w:t/>
        </w:r>
      </w:hyperlink>
      <w:r>
        <w:t/>
      </w:r>
      <w:hyperlink w:anchor="page_70">
        <w:r>
          <w:rPr>
            <w:rStyle w:val="Text1"/>
          </w:rPr>
          <w:t/>
        </w:r>
      </w:hyperlink>
      <w:r>
        <w:t xml:space="preserve"/>
      </w:r>
      <w:hyperlink w:anchor="page_129">
        <w:r>
          <w:rPr>
            <w:rStyle w:val="Text1"/>
          </w:rPr>
          <w:t/>
        </w:r>
      </w:hyperlink>
      <w:r>
        <w:t/>
      </w:r>
      <w:hyperlink w:anchor="page_132">
        <w:r>
          <w:rPr>
            <w:rStyle w:val="Text1"/>
          </w:rPr>
          <w:t/>
        </w:r>
      </w:hyperlink>
    </w:p>
    <w:p>
      <w:pPr>
        <w:pStyle w:val="Para 002"/>
      </w:pPr>
      <w:r>
        <w:t xml:space="preserve">lòng can đảm thường ngày và, 93–113</w:t>
      </w:r>
      <w:hyperlink w:anchor="page_93">
        <w:r>
          <w:rPr>
            <w:rStyle w:val="Text1"/>
          </w:rPr>
          <w:t/>
        </w:r>
      </w:hyperlink>
      <w:r>
        <w:t/>
      </w:r>
      <w:hyperlink w:anchor="page_113">
        <w:r>
          <w:rPr>
            <w:rStyle w:val="Text1"/>
          </w:rPr>
          <w:t/>
        </w:r>
      </w:hyperlink>
    </w:p>
    <w:p>
      <w:pPr>
        <w:pStyle w:val="Para 002"/>
      </w:pPr>
      <w:r>
        <w:t xml:space="preserve">lên kế hoạch để trở nên tốt và, 126–129</w:t>
      </w:r>
      <w:hyperlink w:anchor="page_126">
        <w:r>
          <w:rPr>
            <w:rStyle w:val="Text1"/>
          </w:rPr>
          <w:t/>
        </w:r>
      </w:hyperlink>
      <w:r>
        <w:t/>
      </w:r>
      <w:hyperlink w:anchor="page_129">
        <w:r>
          <w:rPr>
            <w:rStyle w:val="Text1"/>
          </w:rPr>
          <w:t/>
        </w:r>
      </w:hyperlink>
    </w:p>
    <w:p>
      <w:pPr>
        <w:pStyle w:val="Para 002"/>
      </w:pPr>
      <w:r>
        <w:t xml:space="preserve">suy ngẫm về, 132–133</w:t>
      </w:r>
      <w:hyperlink w:anchor="page_132">
        <w:r>
          <w:rPr>
            <w:rStyle w:val="Text1"/>
          </w:rPr>
          <w:t/>
        </w:r>
      </w:hyperlink>
      <w:r>
        <w:t/>
      </w:r>
      <w:hyperlink w:anchor="page_133">
        <w:r>
          <w:rPr>
            <w:rStyle w:val="Text1"/>
          </w:rPr>
          <w:t/>
        </w:r>
      </w:hyperlink>
    </w:p>
    <w:p>
      <w:pPr>
        <w:pStyle w:val="Para 002"/>
      </w:pPr>
      <w:r>
        <w:t xml:space="preserve">phản ứng với hành vi xâm phạm vi mô (microaggressions) và, 135–140</w:t>
      </w:r>
      <w:hyperlink w:anchor="page_135">
        <w:r>
          <w:rPr>
            <w:rStyle w:val="Text1"/>
          </w:rPr>
          <w:t/>
        </w:r>
      </w:hyperlink>
      <w:r>
        <w:t/>
      </w:r>
      <w:hyperlink w:anchor="page_140">
        <w:r>
          <w:rPr>
            <w:rStyle w:val="Text1"/>
          </w:rPr>
          <w:t/>
        </w:r>
      </w:hyperlink>
    </w:p>
    <w:p>
      <w:pPr>
        <w:pStyle w:val="Para 002"/>
      </w:pPr>
      <w:r>
        <w:t xml:space="preserve">đức tính khi về già (eulogy virtues), 126</w:t>
      </w:r>
      <w:hyperlink w:anchor="page_126">
        <w:r>
          <w:rPr>
            <w:rStyle w:val="Text1"/>
          </w:rPr>
          <w:t/>
        </w:r>
      </w:hyperlink>
    </w:p>
    <w:p>
      <w:pPr>
        <w:pStyle w:val="Para 002"/>
      </w:pPr>
      <w:r>
        <w:t xml:space="preserve">Exon, Mel, 100</w:t>
      </w:r>
      <w:hyperlink w:anchor="page_100">
        <w:r>
          <w:rPr>
            <w:rStyle w:val="Text1"/>
          </w:rPr>
          <w:t/>
        </w:r>
      </w:hyperlink>
    </w:p>
    <w:p>
      <w:pPr>
        <w:pStyle w:val="Para 002"/>
      </w:pPr>
      <w:r>
        <w:t xml:space="preserve">kỳ vọng, 128</w:t>
      </w:r>
      <w:hyperlink w:anchor="page_128">
        <w:r>
          <w:rPr>
            <w:rStyle w:val="Text1"/>
          </w:rPr>
          <w:t/>
        </w:r>
      </w:hyperlink>
    </w:p>
    <w:p>
      <w:pPr>
        <w:pStyle w:val="Para 002"/>
      </w:pPr>
      <w:r>
        <w:t xml:space="preserve">văn hóa, 79</w:t>
      </w:r>
      <w:hyperlink w:anchor="page_79">
        <w:r>
          <w:rPr>
            <w:rStyle w:val="Text1"/>
          </w:rPr>
          <w:t/>
        </w:r>
      </w:hyperlink>
    </w:p>
    <w:p>
      <w:pPr>
        <w:pStyle w:val="Para 002"/>
      </w:pPr>
      <w:r>
        <w:t xml:space="preserve">của người khác, 54, 85</w:t>
      </w:r>
      <w:hyperlink w:anchor="page_54">
        <w:r>
          <w:rPr>
            <w:rStyle w:val="Text1"/>
          </w:rPr>
          <w:t/>
        </w:r>
      </w:hyperlink>
      <w:r>
        <w:t xml:space="preserve"/>
      </w:r>
      <w:hyperlink w:anchor="page_85">
        <w:r>
          <w:rPr>
            <w:rStyle w:val="Text1"/>
          </w:rPr>
          <w:t/>
        </w:r>
      </w:hyperlink>
    </w:p>
    <w:p>
      <w:pPr>
        <w:pStyle w:val="Para 024"/>
      </w:pPr>
      <w:r>
        <w:t xml:space="preserve">đàn ông giả vờ ủng hộ nữ quyền (fake male feminists), 110</w:t>
      </w:r>
      <w:hyperlink w:anchor="page_110">
        <w:r>
          <w:rPr>
            <w:rStyle w:val="Text1"/>
          </w:rPr>
          <w:t/>
        </w:r>
      </w:hyperlink>
    </w:p>
    <w:p>
      <w:pPr>
        <w:pStyle w:val="Para 002"/>
      </w:pPr>
      <w:r>
        <w:t xml:space="preserve">điểm yếu chí mạng, 29</w:t>
      </w:r>
      <w:hyperlink w:anchor="page_29">
        <w:r>
          <w:rPr>
            <w:rStyle w:val="Text1"/>
          </w:rPr>
          <w:t/>
        </w:r>
      </w:hyperlink>
    </w:p>
    <w:p>
      <w:pPr>
        <w:pStyle w:val="Para 002"/>
      </w:pPr>
      <w:r>
        <w:t xml:space="preserve">phản hồi, xác định điểm mạnh bằng, 29–32</w:t>
      </w:r>
      <w:hyperlink w:anchor="page_29">
        <w:r>
          <w:rPr>
            <w:rStyle w:val="Text1"/>
          </w:rPr>
          <w:t/>
        </w:r>
      </w:hyperlink>
      <w:r>
        <w:t/>
      </w:r>
      <w:hyperlink w:anchor="page_32">
        <w:r>
          <w:rPr>
            <w:rStyle w:val="Text1"/>
          </w:rPr>
          <w:t/>
        </w:r>
      </w:hyperlink>
    </w:p>
    <w:p>
      <w:pPr>
        <w:pStyle w:val="Para 002"/>
      </w:pPr>
      <w:r>
        <w:t xml:space="preserve">Fisher, Roger, 119</w:t>
      </w:r>
      <w:hyperlink w:anchor="page_119">
        <w:r>
          <w:rPr>
            <w:rStyle w:val="Text1"/>
          </w:rPr>
          <w:t/>
        </w:r>
      </w:hyperlink>
    </w:p>
    <w:p>
      <w:pPr>
        <w:pStyle w:val="Para 002"/>
      </w:pPr>
      <w:r>
        <w:t xml:space="preserve">Fletcher, Terry, 73–74</w:t>
      </w:r>
      <w:hyperlink w:anchor="page_73">
        <w:r>
          <w:rPr>
            <w:rStyle w:val="Text1"/>
          </w:rPr>
          <w:t/>
        </w:r>
      </w:hyperlink>
      <w:r>
        <w:t/>
      </w:r>
      <w:hyperlink w:anchor="page_74">
        <w:r>
          <w:rPr>
            <w:rStyle w:val="Text1"/>
          </w:rPr>
          <w:t/>
        </w:r>
      </w:hyperlink>
    </w:p>
    <w:p>
      <w:pPr>
        <w:pStyle w:val="Para 002"/>
      </w:pPr>
      <w:r>
        <w:t xml:space="preserve">Folkman, Joseph R., 23–38</w:t>
      </w:r>
      <w:hyperlink w:anchor="page_23">
        <w:r>
          <w:rPr>
            <w:rStyle w:val="Text1"/>
          </w:rPr>
          <w:t/>
        </w:r>
      </w:hyperlink>
      <w:r>
        <w:t/>
      </w:r>
      <w:hyperlink w:anchor="page_38">
        <w:r>
          <w:rPr>
            <w:rStyle w:val="Text1"/>
          </w:rPr>
          <w:t/>
        </w:r>
      </w:hyperlink>
    </w:p>
    <w:p>
      <w:pPr>
        <w:pStyle w:val="Para 002"/>
      </w:pPr>
      <w:r>
        <w:t>định khung (framing)</w:t>
      </w:r>
    </w:p>
    <w:p>
      <w:pPr>
        <w:pStyle w:val="Para 002"/>
      </w:pPr>
      <w:r>
        <w:t xml:space="preserve">học cách học và, 16–17</w:t>
      </w:r>
      <w:hyperlink w:anchor="page_16">
        <w:r>
          <w:rPr>
            <w:rStyle w:val="Text1"/>
          </w:rPr>
          <w:t/>
        </w:r>
      </w:hyperlink>
      <w:r>
        <w:t/>
      </w:r>
      <w:hyperlink w:anchor="page_17">
        <w:r>
          <w:rPr>
            <w:rStyle w:val="Text1"/>
          </w:rPr>
          <w:t/>
        </w:r>
      </w:hyperlink>
    </w:p>
    <w:p>
      <w:pPr>
        <w:pStyle w:val="Para 002"/>
      </w:pPr>
      <w:r>
        <w:t xml:space="preserve">trong đàm phán, 119–120</w:t>
      </w:r>
      <w:hyperlink w:anchor="page_119">
        <w:r>
          <w:rPr>
            <w:rStyle w:val="Text1"/>
          </w:rPr>
          <w:t/>
        </w:r>
      </w:hyperlink>
      <w:r>
        <w:t/>
      </w:r>
      <w:hyperlink w:anchor="page_120">
        <w:r>
          <w:rPr>
            <w:rStyle w:val="Text1"/>
          </w:rPr>
          <w:t/>
        </w:r>
      </w:hyperlink>
    </w:p>
    <w:p>
      <w:pPr>
        <w:pStyle w:val="Para 002"/>
      </w:pPr>
      <w:r>
        <w:t xml:space="preserve">Franklin, Benjamin, 126</w:t>
      </w:r>
      <w:hyperlink w:anchor="page_126">
        <w:r>
          <w:rPr>
            <w:rStyle w:val="Text1"/>
          </w:rPr>
          <w:t/>
        </w:r>
      </w:hyperlink>
    </w:p>
    <w:p>
      <w:pPr>
        <w:pStyle w:val="Para 002"/>
      </w:pPr>
      <w:r>
        <w:t xml:space="preserve">Friedman, Becky, 73–74</w:t>
      </w:r>
      <w:hyperlink w:anchor="page_73">
        <w:r>
          <w:rPr>
            <w:rStyle w:val="Text1"/>
          </w:rPr>
          <w:t/>
        </w:r>
      </w:hyperlink>
      <w:r>
        <w:t/>
      </w:r>
      <w:hyperlink w:anchor="page_74">
        <w:r>
          <w:rPr>
            <w:rStyle w:val="Text1"/>
          </w:rPr>
          <w:t/>
        </w:r>
      </w:hyperlink>
    </w:p>
    <w:p>
      <w:pPr>
        <w:pStyle w:val="Para 024"/>
      </w:pPr>
      <w:r>
        <w:t xml:space="preserve">GDF SUEZ Energy Services, 46</w:t>
      </w:r>
      <w:hyperlink w:anchor="page_46">
        <w:r>
          <w:rPr>
            <w:rStyle w:val="Text1"/>
          </w:rPr>
          <w:t/>
        </w:r>
      </w:hyperlink>
    </w:p>
    <w:p>
      <w:pPr>
        <w:pStyle w:val="Para 002"/>
      </w:pPr>
      <w:r>
        <w:t xml:space="preserve">đa dạng giới, 108–113</w:t>
      </w:r>
      <w:hyperlink w:anchor="page_108">
        <w:r>
          <w:rPr>
            <w:rStyle w:val="Text1"/>
          </w:rPr>
          <w:t/>
        </w:r>
      </w:hyperlink>
      <w:r>
        <w:t/>
      </w:r>
      <w:hyperlink w:anchor="page_113">
        <w:r>
          <w:rPr>
            <w:rStyle w:val="Text1"/>
          </w:rPr>
          <w:t/>
        </w:r>
      </w:hyperlink>
    </w:p>
    <w:p>
      <w:pPr>
        <w:pStyle w:val="Para 002"/>
      </w:pPr>
      <w:r>
        <w:t xml:space="preserve">bài kiểm tra tính khái quát, 130</w:t>
      </w:r>
      <w:hyperlink w:anchor="page_130">
        <w:r>
          <w:rPr>
            <w:rStyle w:val="Text1"/>
          </w:rPr>
          <w:t/>
        </w:r>
      </w:hyperlink>
    </w:p>
    <w:p>
      <w:pPr>
        <w:pStyle w:val="Para 002"/>
      </w:pPr>
      <w:r>
        <w:t xml:space="preserve">George, Bill, 2</w:t>
      </w:r>
      <w:hyperlink w:anchor="page_2">
        <w:r>
          <w:rPr>
            <w:rStyle w:val="Text1"/>
          </w:rPr>
          <w:t/>
        </w:r>
      </w:hyperlink>
    </w:p>
    <w:p>
      <w:pPr>
        <w:pStyle w:val="Para 002"/>
      </w:pPr>
      <w:r>
        <w:rPr>
          <w:rStyle w:val="Text0"/>
        </w:rPr>
        <w:t>Getting to Yes (Fisher &amp; Ury), 119</w:t>
      </w:r>
      <w:r>
        <w:t xml:space="preserve"/>
      </w:r>
      <w:hyperlink w:anchor="page_119">
        <w:r>
          <w:rPr>
            <w:rStyle w:val="Text1"/>
          </w:rPr>
          <w:t/>
        </w:r>
      </w:hyperlink>
    </w:p>
    <w:p>
      <w:pPr>
        <w:pStyle w:val="Para 002"/>
      </w:pPr>
      <w:r>
        <w:t xml:space="preserve">Gill, Catherine, 96, 101</w:t>
      </w:r>
      <w:hyperlink w:anchor="page_96">
        <w:r>
          <w:rPr>
            <w:rStyle w:val="Text1"/>
          </w:rPr>
          <w:t/>
        </w:r>
      </w:hyperlink>
      <w:r>
        <w:t xml:space="preserve"/>
      </w:r>
      <w:hyperlink w:anchor="page_101">
        <w:r>
          <w:rPr>
            <w:rStyle w:val="Text1"/>
          </w:rPr>
          <w:t/>
        </w:r>
      </w:hyperlink>
    </w:p>
    <w:p>
      <w:pPr>
        <w:pStyle w:val="Para 002"/>
      </w:pPr>
      <w:r>
        <w:t xml:space="preserve">Glaxo, 98–99</w:t>
      </w:r>
      <w:hyperlink w:anchor="page_98">
        <w:r>
          <w:rPr>
            <w:rStyle w:val="Text1"/>
          </w:rPr>
          <w:t/>
        </w:r>
      </w:hyperlink>
      <w:r>
        <w:t/>
      </w:r>
      <w:hyperlink w:anchor="page_99">
        <w:r>
          <w:rPr>
            <w:rStyle w:val="Text1"/>
          </w:rPr>
          <w:t/>
        </w:r>
      </w:hyperlink>
    </w:p>
    <w:p>
      <w:pPr>
        <w:pStyle w:val="Para 002"/>
      </w:pPr>
      <w:r>
        <w:t>mục tiêu</w:t>
      </w:r>
    </w:p>
    <w:p>
      <w:pPr>
        <w:pStyle w:val="Para 002"/>
      </w:pPr>
      <w:r>
        <w:t xml:space="preserve">chọn trận chiến của bạn và, 97–99</w:t>
      </w:r>
      <w:hyperlink w:anchor="page_97">
        <w:r>
          <w:rPr>
            <w:rStyle w:val="Text1"/>
          </w:rPr>
          <w:t/>
        </w:r>
      </w:hyperlink>
      <w:r>
        <w:t/>
      </w:r>
      <w:hyperlink w:anchor="page_99">
        <w:r>
          <w:rPr>
            <w:rStyle w:val="Text1"/>
          </w:rPr>
          <w:t/>
        </w:r>
      </w:hyperlink>
    </w:p>
    <w:p>
      <w:pPr>
        <w:pStyle w:val="Para 002"/>
      </w:pPr>
      <w:r>
        <w:t xml:space="preserve">từ tác động đến mục đích, 10, 11–12</w:t>
      </w:r>
      <w:hyperlink w:anchor="page_10">
        <w:r>
          <w:rPr>
            <w:rStyle w:val="Text1"/>
          </w:rPr>
          <w:t/>
        </w:r>
      </w:hyperlink>
      <w:r>
        <w:t xml:space="preserve"/>
      </w:r>
      <w:hyperlink w:anchor="page_11">
        <w:r>
          <w:rPr>
            <w:rStyle w:val="Text1"/>
          </w:rPr>
          <w:t/>
        </w:r>
      </w:hyperlink>
      <w:r>
        <w:t/>
      </w:r>
      <w:hyperlink w:anchor="page_12">
        <w:r>
          <w:rPr>
            <w:rStyle w:val="Text1"/>
          </w:rPr>
          <w:t/>
        </w:r>
      </w:hyperlink>
    </w:p>
    <w:p>
      <w:pPr>
        <w:pStyle w:val="Para 002"/>
      </w:pPr>
      <w:r>
        <w:t xml:space="preserve">dành thời gian cho, 55</w:t>
      </w:r>
      <w:hyperlink w:anchor="page_55">
        <w:r>
          <w:rPr>
            <w:rStyle w:val="Text1"/>
          </w:rPr>
          <w:t/>
        </w:r>
      </w:hyperlink>
    </w:p>
    <w:p>
      <w:pPr>
        <w:pStyle w:val="Para 002"/>
      </w:pPr>
      <w:r>
        <w:t xml:space="preserve">cho các cuộc đàm phán, 117</w:t>
      </w:r>
      <w:hyperlink w:anchor="page_117">
        <w:r>
          <w:rPr>
            <w:rStyle w:val="Text1"/>
          </w:rPr>
          <w:t/>
        </w:r>
      </w:hyperlink>
    </w:p>
    <w:p>
      <w:pPr>
        <w:pStyle w:val="Para 002"/>
      </w:pPr>
      <w:r>
        <w:t xml:space="preserve">lên kế hoạch để hành xử có đạo đức và, 126–127</w:t>
      </w:r>
      <w:hyperlink w:anchor="page_126">
        <w:r>
          <w:rPr>
            <w:rStyle w:val="Text1"/>
          </w:rPr>
          <w:t/>
        </w:r>
      </w:hyperlink>
      <w:r>
        <w:t/>
      </w:r>
      <w:hyperlink w:anchor="page_127">
        <w:r>
          <w:rPr>
            <w:rStyle w:val="Text1"/>
          </w:rPr>
          <w:t/>
        </w:r>
      </w:hyperlink>
    </w:p>
    <w:p>
      <w:pPr>
        <w:pStyle w:val="Para 002"/>
      </w:pPr>
      <w:r>
        <w:t xml:space="preserve">Gollwitzer, Peter, 127–128</w:t>
      </w:r>
      <w:hyperlink w:anchor="page_127">
        <w:r>
          <w:rPr>
            <w:rStyle w:val="Text1"/>
          </w:rPr>
          <w:t/>
        </w:r>
      </w:hyperlink>
      <w:r>
        <w:t/>
      </w:r>
      <w:hyperlink w:anchor="page_128">
        <w:r>
          <w:rPr>
            <w:rStyle w:val="Text1"/>
          </w:rPr>
          <w:t/>
        </w:r>
      </w:hyperlink>
    </w:p>
    <w:p>
      <w:pPr>
        <w:pStyle w:val="Para 059"/>
      </w:pPr>
      <w:r>
        <w:t>Good Guys: How Men Can Become Better Allies for Women in the Workplace (Johnson &amp; Smith), 111–112</w:t>
      </w:r>
      <w:r>
        <w:rPr>
          <w:rStyle w:val="Text0"/>
        </w:rPr>
        <w:t xml:space="preserve"/>
      </w:r>
      <w:hyperlink w:anchor="page_111_1">
        <w:r>
          <w:rPr>
            <w:rStyle w:val="Text12"/>
          </w:rPr>
          <w:t/>
        </w:r>
      </w:hyperlink>
      <w:r>
        <w:rPr>
          <w:rStyle w:val="Text0"/>
        </w:rPr>
        <w:t/>
      </w:r>
      <w:hyperlink w:anchor="page_112">
        <w:r>
          <w:rPr>
            <w:rStyle w:val="Text12"/>
          </w:rPr>
          <w:t/>
        </w:r>
      </w:hyperlink>
    </w:p>
    <w:p>
      <w:pPr>
        <w:pStyle w:val="Para 002"/>
      </w:pPr>
      <w:r>
        <w:t xml:space="preserve">Google, 1–2, 105</w:t>
      </w:r>
      <w:hyperlink w:anchor="page_1">
        <w:r>
          <w:rPr>
            <w:rStyle w:val="Text1"/>
          </w:rPr>
          <w:t/>
        </w:r>
      </w:hyperlink>
      <w:r>
        <w:t/>
      </w:r>
      <w:hyperlink w:anchor="page_2">
        <w:r>
          <w:rPr>
            <w:rStyle w:val="Text1"/>
          </w:rPr>
          <w:t/>
        </w:r>
      </w:hyperlink>
      <w:r>
        <w:t xml:space="preserve"/>
      </w:r>
      <w:hyperlink w:anchor="page_105">
        <w:r>
          <w:rPr>
            <w:rStyle w:val="Text1"/>
          </w:rPr>
          <w:t/>
        </w:r>
      </w:hyperlink>
      <w:r>
        <w:t xml:space="preserve"/>
      </w:r>
    </w:p>
    <w:p>
      <w:pPr>
        <w:pStyle w:val="Para 024"/>
      </w:pPr>
      <w:r>
        <w:t xml:space="preserve">Hayes, Steven C., 61</w:t>
      </w:r>
      <w:hyperlink w:anchor="page_61">
        <w:r>
          <w:rPr>
            <w:rStyle w:val="Text1"/>
          </w:rPr>
          <w:t/>
        </w:r>
      </w:hyperlink>
    </w:p>
    <w:p>
      <w:pPr>
        <w:pStyle w:val="Para 002"/>
      </w:pPr>
      <w:r>
        <w:t xml:space="preserve">sức khỏe, mục đích sống và, 1</w:t>
      </w:r>
      <w:hyperlink w:anchor="page_1">
        <w:r>
          <w:rPr>
            <w:rStyle w:val="Text1"/>
          </w:rPr>
          <w:t/>
        </w:r>
      </w:hyperlink>
    </w:p>
    <w:p>
      <w:pPr>
        <w:pStyle w:val="Para 002"/>
      </w:pPr>
      <w:r>
        <w:t xml:space="preserve">Heineken USA, 2, 4, 9</w:t>
      </w:r>
      <w:hyperlink w:anchor="page_2">
        <w:r>
          <w:rPr>
            <w:rStyle w:val="Text1"/>
          </w:rPr>
          <w:t/>
        </w:r>
      </w:hyperlink>
      <w:r>
        <w:t xml:space="preserve"/>
      </w:r>
      <w:hyperlink w:anchor="page_4">
        <w:r>
          <w:rPr>
            <w:rStyle w:val="Text1"/>
          </w:rPr>
          <w:t/>
        </w:r>
      </w:hyperlink>
      <w:r>
        <w:t xml:space="preserve"/>
      </w:r>
      <w:hyperlink w:anchor="page_9">
        <w:r>
          <w:rPr>
            <w:rStyle w:val="Text1"/>
          </w:rPr>
          <w:t/>
        </w:r>
      </w:hyperlink>
    </w:p>
    <w:p>
      <w:pPr>
        <w:pStyle w:val="Para 002"/>
      </w:pPr>
      <w:r>
        <w:t xml:space="preserve">Holmes, Oliver Wendell, 4</w:t>
      </w:r>
      <w:hyperlink w:anchor="page_4">
        <w:r>
          <w:rPr>
            <w:rStyle w:val="Text1"/>
          </w:rPr>
          <w:t/>
        </w:r>
      </w:hyperlink>
    </w:p>
    <w:p>
      <w:pPr>
        <w:pStyle w:val="Para 002"/>
      </w:pPr>
      <w:r>
        <w:t xml:space="preserve">sự trung thực, 26</w:t>
      </w:r>
      <w:hyperlink w:anchor="page_26">
        <w:r>
          <w:rPr>
            <w:rStyle w:val="Text1"/>
          </w:rPr>
          <w:t/>
        </w:r>
      </w:hyperlink>
    </w:p>
    <w:p>
      <w:pPr>
        <w:pStyle w:val="Para 002"/>
      </w:pPr>
      <w:r>
        <w:t xml:space="preserve">“How Will You Measure Your Life?” (Christensen), 127</w:t>
      </w:r>
      <w:hyperlink w:anchor="page_127">
        <w:r>
          <w:rPr>
            <w:rStyle w:val="Text1"/>
          </w:rPr>
          <w:t/>
        </w:r>
      </w:hyperlink>
    </w:p>
    <w:p>
      <w:pPr>
        <w:pStyle w:val="Para 002"/>
      </w:pPr>
      <w:r>
        <w:t xml:space="preserve">sự khiêm tốn, 112, 125–126</w:t>
      </w:r>
      <w:hyperlink w:anchor="page_112">
        <w:r>
          <w:rPr>
            <w:rStyle w:val="Text1"/>
          </w:rPr>
          <w:t/>
        </w:r>
      </w:hyperlink>
      <w:r>
        <w:t xml:space="preserve"/>
      </w:r>
      <w:hyperlink w:anchor="page_125">
        <w:r>
          <w:rPr>
            <w:rStyle w:val="Text1"/>
          </w:rPr>
          <w:t/>
        </w:r>
      </w:hyperlink>
      <w:r>
        <w:t/>
      </w:r>
      <w:hyperlink w:anchor="page_126">
        <w:r>
          <w:rPr>
            <w:rStyle w:val="Text1"/>
          </w:rPr>
          <w:t/>
        </w:r>
      </w:hyperlink>
    </w:p>
    <w:p>
      <w:pPr>
        <w:pStyle w:val="Para 002"/>
      </w:pPr>
      <w:r>
        <w:t xml:space="preserve">câu hỏi kiểm chứng giả thuyết, 121</w:t>
      </w:r>
      <w:hyperlink w:anchor="page_121">
        <w:r>
          <w:rPr>
            <w:rStyle w:val="Text1"/>
          </w:rPr>
          <w:t/>
        </w:r>
      </w:hyperlink>
    </w:p>
    <w:p>
      <w:pPr>
        <w:pStyle w:val="Para 024"/>
      </w:pPr>
      <w:r>
        <w:t>bản sắc</w:t>
      </w:r>
    </w:p>
    <w:p>
      <w:pPr>
        <w:pStyle w:val="Para 002"/>
      </w:pPr>
      <w:r>
        <w:t xml:space="preserve">việc ra quyết định và, 68, 71–72</w:t>
      </w:r>
      <w:hyperlink w:anchor="page_68">
        <w:r>
          <w:rPr>
            <w:rStyle w:val="Text1"/>
          </w:rPr>
          <w:t/>
        </w:r>
      </w:hyperlink>
      <w:r>
        <w:t xml:space="preserve"/>
      </w:r>
      <w:hyperlink w:anchor="page_71">
        <w:r>
          <w:rPr>
            <w:rStyle w:val="Text1"/>
          </w:rPr>
          <w:t/>
        </w:r>
      </w:hyperlink>
      <w:r>
        <w:t/>
      </w:r>
      <w:hyperlink w:anchor="page_72">
        <w:r>
          <w:rPr>
            <w:rStyle w:val="Text1"/>
          </w:rPr>
          <w:t/>
        </w:r>
      </w:hyperlink>
    </w:p>
    <w:p>
      <w:pPr>
        <w:pStyle w:val="Para 002"/>
      </w:pPr>
      <w:r>
        <w:t xml:space="preserve">ở các cặp đôi cùng phát triển sự nghiệp, 85–86</w:t>
      </w:r>
      <w:hyperlink w:anchor="page_85">
        <w:r>
          <w:rPr>
            <w:rStyle w:val="Text1"/>
          </w:rPr>
          <w:t/>
        </w:r>
      </w:hyperlink>
      <w:r>
        <w:t/>
      </w:r>
      <w:hyperlink w:anchor="page_86">
        <w:r>
          <w:rPr>
            <w:rStyle w:val="Text1"/>
          </w:rPr>
          <w:t/>
        </w:r>
      </w:hyperlink>
    </w:p>
    <w:p>
      <w:pPr>
        <w:pStyle w:val="Para 002"/>
      </w:pPr>
      <w:r>
        <w:t xml:space="preserve">mục đích sống và, 4–5</w:t>
      </w:r>
      <w:hyperlink w:anchor="page_4">
        <w:r>
          <w:rPr>
            <w:rStyle w:val="Text1"/>
          </w:rPr>
          <w:t/>
        </w:r>
      </w:hyperlink>
      <w:r>
        <w:t/>
      </w:r>
      <w:hyperlink w:anchor="page_5">
        <w:r>
          <w:rPr>
            <w:rStyle w:val="Text1"/>
          </w:rPr>
          <w:t/>
        </w:r>
      </w:hyperlink>
    </w:p>
    <w:p>
      <w:pPr>
        <w:pStyle w:val="Para 002"/>
      </w:pPr>
      <w:r>
        <w:t xml:space="preserve">sự tái tạo bản thân, 89–91</w:t>
      </w:r>
      <w:hyperlink w:anchor="page_89">
        <w:r>
          <w:rPr>
            <w:rStyle w:val="Text1"/>
          </w:rPr>
          <w:t/>
        </w:r>
      </w:hyperlink>
      <w:r>
        <w:t/>
      </w:r>
      <w:hyperlink w:anchor="page_91">
        <w:r>
          <w:rPr>
            <w:rStyle w:val="Text1"/>
          </w:rPr>
          <w:t/>
        </w:r>
      </w:hyperlink>
    </w:p>
    <w:p>
      <w:pPr>
        <w:pStyle w:val="Para 002"/>
      </w:pPr>
      <w:r>
        <w:t xml:space="preserve">và lý do chúng ta làm quá nhiều, 52–53</w:t>
      </w:r>
      <w:hyperlink w:anchor="page_52">
        <w:r>
          <w:rPr>
            <w:rStyle w:val="Text1"/>
          </w:rPr>
          <w:t/>
        </w:r>
      </w:hyperlink>
      <w:r>
        <w:t/>
      </w:r>
      <w:hyperlink w:anchor="page_53">
        <w:r>
          <w:rPr>
            <w:rStyle w:val="Text1"/>
          </w:rPr>
          <w:t/>
        </w:r>
      </w:hyperlink>
    </w:p>
    <w:p>
      <w:pPr>
        <w:pStyle w:val="Para 002"/>
      </w:pPr>
      <w:r>
        <w:t xml:space="preserve">sự phân mảnh bản sắc, 132</w:t>
      </w:r>
      <w:hyperlink w:anchor="page_132">
        <w:r>
          <w:rPr>
            <w:rStyle w:val="Text1"/>
          </w:rPr>
          <w:t/>
        </w:r>
      </w:hyperlink>
    </w:p>
    <w:p>
      <w:pPr>
        <w:pStyle w:val="Para 002"/>
      </w:pPr>
      <w:r>
        <w:t xml:space="preserve">If (công ty môi giới bảo hiểm Scandinavian), 39–40, 45</w:t>
      </w:r>
      <w:hyperlink w:anchor="page_39">
        <w:r>
          <w:rPr>
            <w:rStyle w:val="Text1"/>
          </w:rPr>
          <w:t/>
        </w:r>
      </w:hyperlink>
      <w:r>
        <w:t/>
      </w:r>
      <w:hyperlink w:anchor="page_40">
        <w:r>
          <w:rPr>
            <w:rStyle w:val="Text1"/>
          </w:rPr>
          <w:t/>
        </w:r>
      </w:hyperlink>
      <w:r>
        <w:t xml:space="preserve"/>
      </w:r>
      <w:hyperlink w:anchor="page_45">
        <w:r>
          <w:rPr>
            <w:rStyle w:val="Text1"/>
          </w:rPr>
          <w:t/>
        </w:r>
      </w:hyperlink>
    </w:p>
    <w:p>
      <w:pPr>
        <w:pStyle w:val="Para 002"/>
      </w:pPr>
      <w:r>
        <w:t xml:space="preserve">lập kế hoạch nếu-thì, 127–128</w:t>
      </w:r>
      <w:hyperlink w:anchor="page_127">
        <w:r>
          <w:rPr>
            <w:rStyle w:val="Text1"/>
          </w:rPr>
          <w:t/>
        </w:r>
      </w:hyperlink>
      <w:r>
        <w:t/>
      </w:r>
      <w:hyperlink w:anchor="page_128">
        <w:r>
          <w:rPr>
            <w:rStyle w:val="Text1"/>
          </w:rPr>
          <w:t/>
        </w:r>
      </w:hyperlink>
    </w:p>
    <w:p>
      <w:pPr>
        <w:pStyle w:val="Para 002"/>
      </w:pPr>
      <w:r>
        <w:t xml:space="preserve">ý định thực thi, 127–128</w:t>
      </w:r>
      <w:hyperlink w:anchor="page_127">
        <w:r>
          <w:rPr>
            <w:rStyle w:val="Text1"/>
          </w:rPr>
          <w:t/>
        </w:r>
      </w:hyperlink>
      <w:r>
        <w:t/>
      </w:r>
      <w:hyperlink w:anchor="page_128">
        <w:r>
          <w:rPr>
            <w:rStyle w:val="Text1"/>
          </w:rPr>
          <w:t/>
        </w:r>
      </w:hyperlink>
    </w:p>
    <w:p>
      <w:pPr>
        <w:pStyle w:val="Para 002"/>
      </w:pPr>
      <w:r>
        <w:t xml:space="preserve">sự không thể thiếu, 23–38</w:t>
      </w:r>
      <w:hyperlink w:anchor="page_23">
        <w:r>
          <w:rPr>
            <w:rStyle w:val="Text1"/>
          </w:rPr>
          <w:t/>
        </w:r>
      </w:hyperlink>
      <w:r>
        <w:t/>
      </w:r>
      <w:hyperlink w:anchor="page_38">
        <w:r>
          <w:rPr>
            <w:rStyle w:val="Text1"/>
          </w:rPr>
          <w:t/>
        </w:r>
      </w:hyperlink>
    </w:p>
    <w:p>
      <w:pPr>
        <w:pStyle w:val="Para 002"/>
      </w:pPr>
      <w:r>
        <w:t xml:space="preserve">sự cá nhân hóa, 85–86</w:t>
      </w:r>
      <w:hyperlink w:anchor="page_85">
        <w:r>
          <w:rPr>
            <w:rStyle w:val="Text1"/>
          </w:rPr>
          <w:t/>
        </w:r>
      </w:hyperlink>
      <w:r>
        <w:t/>
      </w:r>
      <w:hyperlink w:anchor="page_86">
        <w:r>
          <w:rPr>
            <w:rStyle w:val="Text1"/>
          </w:rPr>
          <w:t/>
        </w:r>
      </w:hyperlink>
    </w:p>
    <w:p>
      <w:pPr>
        <w:pStyle w:val="Para 002"/>
      </w:pPr>
      <w:r>
        <w:t xml:space="preserve">thu thập thông tin, cho các cuộc đàm phán, 118</w:t>
      </w:r>
      <w:hyperlink w:anchor="page_118">
        <w:r>
          <w:rPr>
            <w:rStyle w:val="Text1"/>
          </w:rPr>
          <w:t/>
        </w:r>
      </w:hyperlink>
    </w:p>
    <w:p>
      <w:pPr>
        <w:pStyle w:val="Para 002"/>
      </w:pPr>
      <w:r>
        <w:t xml:space="preserve">sự chính trực, 26</w:t>
      </w:r>
      <w:hyperlink w:anchor="page_26">
        <w:r>
          <w:rPr>
            <w:rStyle w:val="Text1"/>
          </w:rPr>
          <w:t/>
        </w:r>
      </w:hyperlink>
    </w:p>
    <w:p>
      <w:pPr>
        <w:pStyle w:val="Para 002"/>
      </w:pPr>
      <w:r>
        <w:t xml:space="preserve">hiệu ứng tương tác, 24–28</w:t>
      </w:r>
      <w:hyperlink w:anchor="page_24">
        <w:r>
          <w:rPr>
            <w:rStyle w:val="Text1"/>
          </w:rPr>
          <w:t/>
        </w:r>
      </w:hyperlink>
      <w:r>
        <w:t/>
      </w:r>
      <w:hyperlink w:anchor="page_28">
        <w:r>
          <w:rPr>
            <w:rStyle w:val="Text1"/>
          </w:rPr>
          <w:t/>
        </w:r>
      </w:hyperlink>
    </w:p>
    <w:p>
      <w:pPr>
        <w:pStyle w:val="Para 002"/>
      </w:pPr>
      <w:r>
        <w:t xml:space="preserve">sự phụ thuộc lẫn nhau, 118–119</w:t>
      </w:r>
      <w:hyperlink w:anchor="page_118">
        <w:r>
          <w:rPr>
            <w:rStyle w:val="Text1"/>
          </w:rPr>
          <w:t/>
        </w:r>
      </w:hyperlink>
      <w:r>
        <w:t/>
      </w:r>
      <w:hyperlink w:anchor="page_119">
        <w:r>
          <w:rPr>
            <w:rStyle w:val="Text1"/>
          </w:rPr>
          <w:t/>
        </w:r>
      </w:hyperlink>
    </w:p>
    <w:p>
      <w:pPr>
        <w:pStyle w:val="Para 002"/>
      </w:pPr>
      <w:r>
        <w:t xml:space="preserve">sự tự vấn nội tâm, 5–8. Xem thêm sự phản tư</w:t>
      </w:r>
      <w:hyperlink w:anchor="page_5">
        <w:r>
          <w:rPr>
            <w:rStyle w:val="Text1"/>
          </w:rPr>
          <w:t/>
        </w:r>
      </w:hyperlink>
      <w:r>
        <w:t/>
      </w:r>
      <w:hyperlink w:anchor="page_8">
        <w:r>
          <w:rPr>
            <w:rStyle w:val="Text1"/>
          </w:rPr>
          <w:t/>
        </w:r>
      </w:hyperlink>
      <w:r>
        <w:t xml:space="preserve"/>
      </w:r>
      <w:r>
        <w:rPr>
          <w:rStyle w:val="Text0"/>
        </w:rPr>
        <w:t/>
      </w:r>
      <w:r>
        <w:t xml:space="preserve"/>
      </w:r>
    </w:p>
    <w:p>
      <w:pPr>
        <w:pStyle w:val="Para 024"/>
      </w:pPr>
      <w:r>
        <w:bookmarkStart w:id="453" w:name="page_148"/>
        <w:t>tái thiết kế công việc (job crafting), 132–133</w:t>
        <w:bookmarkEnd w:id="453"/>
        <w:t xml:space="preserve"/>
      </w:r>
      <w:hyperlink w:anchor="page_132">
        <w:r>
          <w:rPr>
            <w:rStyle w:val="Text1"/>
          </w:rPr>
          <w:t/>
        </w:r>
      </w:hyperlink>
      <w:r>
        <w:t/>
      </w:r>
      <w:hyperlink w:anchor="page_133">
        <w:r>
          <w:rPr>
            <w:rStyle w:val="Text1"/>
          </w:rPr>
          <w:t/>
        </w:r>
      </w:hyperlink>
    </w:p>
    <w:p>
      <w:pPr>
        <w:pStyle w:val="Para 002"/>
      </w:pPr>
      <w:r>
        <w:t xml:space="preserve">Johnson, W. Brad, 108–113</w:t>
      </w:r>
      <w:hyperlink w:anchor="page_108">
        <w:r>
          <w:rPr>
            <w:rStyle w:val="Text1"/>
          </w:rPr>
          <w:t/>
        </w:r>
      </w:hyperlink>
      <w:r>
        <w:t/>
      </w:r>
      <w:hyperlink w:anchor="page_113">
        <w:r>
          <w:rPr>
            <w:rStyle w:val="Text1"/>
          </w:rPr>
          <w:t/>
        </w:r>
      </w:hyperlink>
    </w:p>
    <w:p>
      <w:pPr>
        <w:pStyle w:val="Para 002"/>
      </w:pPr>
      <w:r>
        <w:t xml:space="preserve">khả năng phán đoán, 67–68. Xem thêm việc ra quyết định</w:t>
      </w:r>
      <w:hyperlink w:anchor="page_67">
        <w:r>
          <w:rPr>
            <w:rStyle w:val="Text1"/>
          </w:rPr>
          <w:t/>
        </w:r>
      </w:hyperlink>
      <w:r>
        <w:t/>
      </w:r>
      <w:hyperlink w:anchor="page_68">
        <w:r>
          <w:rPr>
            <w:rStyle w:val="Text1"/>
          </w:rPr>
          <w:t/>
        </w:r>
      </w:hyperlink>
      <w:r>
        <w:t xml:space="preserve"/>
      </w:r>
      <w:r>
        <w:rPr>
          <w:rStyle w:val="Text0"/>
        </w:rPr>
        <w:t/>
      </w:r>
      <w:r>
        <w:t xml:space="preserve"/>
      </w:r>
    </w:p>
    <w:p>
      <w:pPr>
        <w:pStyle w:val="Para 024"/>
      </w:pPr>
      <w:r>
        <w:t xml:space="preserve">Đại học Bang Kansas, 105</w:t>
      </w:r>
      <w:hyperlink w:anchor="page_105">
        <w:r>
          <w:rPr>
            <w:rStyle w:val="Text1"/>
          </w:rPr>
          <w:t/>
        </w:r>
      </w:hyperlink>
    </w:p>
    <w:p>
      <w:pPr>
        <w:pStyle w:val="Para 002"/>
      </w:pPr>
      <w:r>
        <w:t xml:space="preserve">Kärnekull, Sven, 47–48</w:t>
      </w:r>
      <w:hyperlink w:anchor="page_47">
        <w:r>
          <w:rPr>
            <w:rStyle w:val="Text1"/>
          </w:rPr>
          <w:t/>
        </w:r>
      </w:hyperlink>
      <w:r>
        <w:t/>
      </w:r>
      <w:hyperlink w:anchor="page_48">
        <w:r>
          <w:rPr>
            <w:rStyle w:val="Text1"/>
          </w:rPr>
          <w:t/>
        </w:r>
      </w:hyperlink>
    </w:p>
    <w:p>
      <w:pPr>
        <w:pStyle w:val="Para 002"/>
      </w:pPr>
      <w:r>
        <w:t xml:space="preserve">Keller, Fred, 101–102</w:t>
      </w:r>
      <w:hyperlink w:anchor="page_101">
        <w:r>
          <w:rPr>
            <w:rStyle w:val="Text1"/>
          </w:rPr>
          <w:t/>
        </w:r>
      </w:hyperlink>
      <w:r>
        <w:t/>
      </w:r>
      <w:hyperlink w:anchor="page_102">
        <w:r>
          <w:rPr>
            <w:rStyle w:val="Text1"/>
          </w:rPr>
          <w:t/>
        </w:r>
      </w:hyperlink>
    </w:p>
    <w:p>
      <w:pPr>
        <w:pStyle w:val="Para 002"/>
      </w:pPr>
      <w:r>
        <w:t xml:space="preserve">King, Martin Luther, Jr., 110</w:t>
      </w:r>
      <w:hyperlink w:anchor="page_110">
        <w:r>
          <w:rPr>
            <w:rStyle w:val="Text1"/>
          </w:rPr>
          <w:t/>
        </w:r>
      </w:hyperlink>
    </w:p>
    <w:p>
      <w:pPr>
        <w:pStyle w:val="Para 002"/>
      </w:pPr>
      <w:r>
        <w:t xml:space="preserve">nhân viên tri thức (knowledge workers), năng suất của, 39–48</w:t>
      </w:r>
      <w:hyperlink w:anchor="page_39">
        <w:r>
          <w:rPr>
            <w:rStyle w:val="Text1"/>
          </w:rPr>
          <w:t/>
        </w:r>
      </w:hyperlink>
      <w:r>
        <w:t/>
      </w:r>
      <w:hyperlink w:anchor="page_48">
        <w:r>
          <w:rPr>
            <w:rStyle w:val="Text1"/>
          </w:rPr>
          <w:t/>
        </w:r>
      </w:hyperlink>
    </w:p>
    <w:p>
      <w:pPr>
        <w:pStyle w:val="Para 002"/>
      </w:pPr>
      <w:r>
        <w:t xml:space="preserve">Kolb, Deborah M., 115–123</w:t>
      </w:r>
      <w:hyperlink w:anchor="page_115">
        <w:r>
          <w:rPr>
            <w:rStyle w:val="Text1"/>
          </w:rPr>
          <w:t/>
        </w:r>
      </w:hyperlink>
      <w:r>
        <w:t/>
      </w:r>
      <w:hyperlink w:anchor="page_123">
        <w:r>
          <w:rPr>
            <w:rStyle w:val="Text1"/>
          </w:rPr>
          <w:t/>
        </w:r>
      </w:hyperlink>
    </w:p>
    <w:p>
      <w:pPr>
        <w:pStyle w:val="Para 002"/>
      </w:pPr>
      <w:r>
        <w:t xml:space="preserve">Kouchaki, Maryam, 125–133</w:t>
      </w:r>
      <w:hyperlink w:anchor="page_125">
        <w:r>
          <w:rPr>
            <w:rStyle w:val="Text1"/>
          </w:rPr>
          <w:t/>
        </w:r>
      </w:hyperlink>
      <w:r>
        <w:t/>
      </w:r>
      <w:hyperlink w:anchor="page_133">
        <w:r>
          <w:rPr>
            <w:rStyle w:val="Text1"/>
          </w:rPr>
          <w:t/>
        </w:r>
      </w:hyperlink>
    </w:p>
    <w:p>
      <w:pPr>
        <w:pStyle w:val="Para 002"/>
      </w:pPr>
      <w:r>
        <w:t xml:space="preserve">Kumar, Shantanu, 45–46, 47</w:t>
      </w:r>
      <w:hyperlink w:anchor="page_45">
        <w:r>
          <w:rPr>
            <w:rStyle w:val="Text1"/>
          </w:rPr>
          <w:t/>
        </w:r>
      </w:hyperlink>
      <w:r>
        <w:t/>
      </w:r>
      <w:hyperlink w:anchor="page_46">
        <w:r>
          <w:rPr>
            <w:rStyle w:val="Text1"/>
          </w:rPr>
          <w:t/>
        </w:r>
      </w:hyperlink>
      <w:r>
        <w:t xml:space="preserve"/>
      </w:r>
      <w:hyperlink w:anchor="page_47">
        <w:r>
          <w:rPr>
            <w:rStyle w:val="Text1"/>
          </w:rPr>
          <w:t/>
        </w:r>
      </w:hyperlink>
    </w:p>
    <w:p>
      <w:pPr>
        <w:pStyle w:val="Para 024"/>
      </w:pPr>
      <w:r>
        <w:t xml:space="preserve">việc dán nhãn suy nghĩ/cảm xúc, 63–64</w:t>
      </w:r>
      <w:hyperlink w:anchor="page_63">
        <w:r>
          <w:rPr>
            <w:rStyle w:val="Text1"/>
          </w:rPr>
          <w:t/>
        </w:r>
      </w:hyperlink>
      <w:r>
        <w:t/>
      </w:r>
      <w:hyperlink w:anchor="page_64">
        <w:r>
          <w:rPr>
            <w:rStyle w:val="Text1"/>
          </w:rPr>
          <w:t/>
        </w:r>
      </w:hyperlink>
    </w:p>
    <w:p>
      <w:pPr>
        <w:pStyle w:val="Para 002"/>
      </w:pPr>
      <w:r>
        <w:t xml:space="preserve">Laitinen, Lotta, 39–40, 45, 47</w:t>
      </w:r>
      <w:hyperlink w:anchor="page_39">
        <w:r>
          <w:rPr>
            <w:rStyle w:val="Text1"/>
          </w:rPr>
          <w:t/>
        </w:r>
      </w:hyperlink>
      <w:r>
        <w:t/>
      </w:r>
      <w:hyperlink w:anchor="page_40">
        <w:r>
          <w:rPr>
            <w:rStyle w:val="Text1"/>
          </w:rPr>
          <w:t/>
        </w:r>
      </w:hyperlink>
      <w:r>
        <w:t xml:space="preserve"/>
      </w:r>
      <w:hyperlink w:anchor="page_45">
        <w:r>
          <w:rPr>
            <w:rStyle w:val="Text1"/>
          </w:rPr>
          <w:t/>
        </w:r>
      </w:hyperlink>
      <w:r>
        <w:t xml:space="preserve"/>
      </w:r>
      <w:hyperlink w:anchor="page_47">
        <w:r>
          <w:rPr>
            <w:rStyle w:val="Text1"/>
          </w:rPr>
          <w:t/>
        </w:r>
      </w:hyperlink>
    </w:p>
    <w:p>
      <w:pPr>
        <w:pStyle w:val="Para 002"/>
      </w:pPr>
      <w:r>
        <w:t>ngôn ngữ</w:t>
      </w:r>
    </w:p>
    <w:p>
      <w:pPr>
        <w:pStyle w:val="Para 002"/>
      </w:pPr>
      <w:r>
        <w:t xml:space="preserve">sự tò mò và, 20–21</w:t>
      </w:r>
      <w:hyperlink w:anchor="page_20">
        <w:r>
          <w:rPr>
            <w:rStyle w:val="Text1"/>
          </w:rPr>
          <w:t/>
        </w:r>
      </w:hyperlink>
      <w:r>
        <w:t/>
      </w:r>
      <w:hyperlink w:anchor="page_21">
        <w:r>
          <w:rPr>
            <w:rStyle w:val="Text1"/>
          </w:rPr>
          <w:t/>
        </w:r>
      </w:hyperlink>
    </w:p>
    <w:p>
      <w:pPr>
        <w:pStyle w:val="Para 002"/>
      </w:pPr>
      <w:r>
        <w:t xml:space="preserve">trong các kế hoạch mục đích cá nhân, 8–9</w:t>
      </w:r>
      <w:hyperlink w:anchor="page_8">
        <w:r>
          <w:rPr>
            <w:rStyle w:val="Text1"/>
          </w:rPr>
          <w:t/>
        </w:r>
      </w:hyperlink>
      <w:r>
        <w:t/>
      </w:r>
      <w:hyperlink w:anchor="page_9">
        <w:r>
          <w:rPr>
            <w:rStyle w:val="Text1"/>
          </w:rPr>
          <w:t/>
        </w:r>
      </w:hyperlink>
    </w:p>
    <w:p>
      <w:pPr>
        <w:pStyle w:val="Para 002"/>
      </w:pPr>
      <w:r>
        <w:t xml:space="preserve">việc tự nói chuyện với bản thân và, 18–19</w:t>
      </w:r>
      <w:hyperlink w:anchor="page_18">
        <w:r>
          <w:rPr>
            <w:rStyle w:val="Text1"/>
          </w:rPr>
          <w:t/>
        </w:r>
      </w:hyperlink>
      <w:r>
        <w:t/>
      </w:r>
      <w:hyperlink w:anchor="page_19">
        <w:r>
          <w:rPr>
            <w:rStyle w:val="Text1"/>
          </w:rPr>
          <w:t/>
        </w:r>
      </w:hyperlink>
    </w:p>
    <w:p>
      <w:pPr>
        <w:pStyle w:val="Para 002"/>
      </w:pPr>
      <w:r>
        <w:t>khả năng lãnh đạo</w:t>
      </w:r>
    </w:p>
    <w:p>
      <w:pPr>
        <w:pStyle w:val="Para 002"/>
      </w:pPr>
      <w:r>
        <w:t xml:space="preserve">sự quá tải hợp tác (collaborative overload) và, 49–50</w:t>
      </w:r>
      <w:hyperlink w:anchor="page_49">
        <w:r>
          <w:rPr>
            <w:rStyle w:val="Text1"/>
          </w:rPr>
          <w:t/>
        </w:r>
      </w:hyperlink>
      <w:r>
        <w:t/>
      </w:r>
      <w:hyperlink w:anchor="page_50">
        <w:r>
          <w:rPr>
            <w:rStyle w:val="Text1"/>
          </w:rPr>
          <w:t/>
        </w:r>
      </w:hyperlink>
    </w:p>
    <w:p>
      <w:pPr>
        <w:pStyle w:val="Para 002"/>
      </w:pPr>
      <w:r>
        <w:t xml:space="preserve">việc ra quyết định và, 67–75</w:t>
      </w:r>
      <w:hyperlink w:anchor="page_67">
        <w:r>
          <w:rPr>
            <w:rStyle w:val="Text1"/>
          </w:rPr>
          <w:t/>
        </w:r>
      </w:hyperlink>
      <w:r>
        <w:t/>
      </w:r>
      <w:hyperlink w:anchor="page_75">
        <w:r>
          <w:rPr>
            <w:rStyle w:val="Text1"/>
          </w:rPr>
          <w:t/>
        </w:r>
      </w:hyperlink>
    </w:p>
    <w:p>
      <w:pPr>
        <w:pStyle w:val="Para 002"/>
      </w:pPr>
      <w:r>
        <w:t xml:space="preserve">sự linh hoạt cảm xúc (emotional agility) và, 59–66</w:t>
      </w:r>
      <w:hyperlink w:anchor="page_59">
        <w:r>
          <w:rPr>
            <w:rStyle w:val="Text1"/>
          </w:rPr>
          <w:t/>
        </w:r>
      </w:hyperlink>
      <w:r>
        <w:t/>
      </w:r>
      <w:hyperlink w:anchor="page_66">
        <w:r>
          <w:rPr>
            <w:rStyle w:val="Text1"/>
          </w:rPr>
          <w:t/>
        </w:r>
      </w:hyperlink>
    </w:p>
    <w:p>
      <w:pPr>
        <w:pStyle w:val="Para 002"/>
      </w:pPr>
      <w:r>
        <w:t xml:space="preserve">việc làm cho bản thân trở nên không thể thiếu và, 23–38</w:t>
      </w:r>
      <w:hyperlink w:anchor="page_23">
        <w:r>
          <w:rPr>
            <w:rStyle w:val="Text1"/>
          </w:rPr>
          <w:t/>
        </w:r>
      </w:hyperlink>
      <w:r>
        <w:t/>
      </w:r>
      <w:hyperlink w:anchor="page_38">
        <w:r>
          <w:rPr>
            <w:rStyle w:val="Text1"/>
          </w:rPr>
          <w:t/>
        </w:r>
      </w:hyperlink>
    </w:p>
    <w:p>
      <w:pPr>
        <w:pStyle w:val="Para 002"/>
      </w:pPr>
      <w:r>
        <w:t xml:space="preserve">từ mục đích đến tác động trong, 1–13</w:t>
      </w:r>
      <w:hyperlink w:anchor="page_1">
        <w:r>
          <w:rPr>
            <w:rStyle w:val="Text1"/>
          </w:rPr>
          <w:t/>
        </w:r>
      </w:hyperlink>
      <w:r>
        <w:t/>
      </w:r>
      <w:hyperlink w:anchor="page_13">
        <w:r>
          <w:rPr>
            <w:rStyle w:val="Text1"/>
          </w:rPr>
          <w:t/>
        </w:r>
      </w:hyperlink>
    </w:p>
    <w:p>
      <w:pPr>
        <w:pStyle w:val="Para 002"/>
      </w:pPr>
      <w:r>
        <w:t xml:space="preserve">các năng lực lãnh đạo, 23–38</w:t>
      </w:r>
      <w:hyperlink w:anchor="page_23">
        <w:r>
          <w:rPr>
            <w:rStyle w:val="Text1"/>
          </w:rPr>
          <w:t/>
        </w:r>
      </w:hyperlink>
      <w:r>
        <w:t/>
      </w:r>
      <w:hyperlink w:anchor="page_38">
        <w:r>
          <w:rPr>
            <w:rStyle w:val="Text1"/>
          </w:rPr>
          <w:t/>
        </w:r>
      </w:hyperlink>
    </w:p>
    <w:p>
      <w:pPr>
        <w:pStyle w:val="Para 002"/>
      </w:pPr>
      <w:r>
        <w:t xml:space="preserve">sự quyết đoán, 26</w:t>
      </w:r>
      <w:hyperlink w:anchor="page_26">
        <w:r>
          <w:rPr>
            <w:rStyle w:val="Text1"/>
          </w:rPr>
          <w:t/>
        </w:r>
      </w:hyperlink>
    </w:p>
    <w:p>
      <w:pPr>
        <w:pStyle w:val="Para 002"/>
      </w:pPr>
      <w:r>
        <w:t xml:space="preserve">việc xây dựng điểm mạnh trong, 29–36</w:t>
      </w:r>
      <w:hyperlink w:anchor="page_29">
        <w:r>
          <w:rPr>
            <w:rStyle w:val="Text1"/>
          </w:rPr>
          <w:t/>
        </w:r>
      </w:hyperlink>
      <w:r>
        <w:t/>
      </w:r>
      <w:hyperlink w:anchor="page_36">
        <w:r>
          <w:rPr>
            <w:rStyle w:val="Text1"/>
          </w:rPr>
          <w:t/>
        </w:r>
      </w:hyperlink>
    </w:p>
    <w:p>
      <w:pPr>
        <w:pStyle w:val="Para 002"/>
      </w:pPr>
      <w:r>
        <w:t xml:space="preserve">các năng lực bổ trợ (competency companions) trong, 26–28, 33–35</w:t>
      </w:r>
      <w:hyperlink w:anchor="page_26">
        <w:r>
          <w:rPr>
            <w:rStyle w:val="Text1"/>
          </w:rPr>
          <w:t/>
        </w:r>
      </w:hyperlink>
      <w:r>
        <w:t/>
      </w:r>
      <w:hyperlink w:anchor="page_28">
        <w:r>
          <w:rPr>
            <w:rStyle w:val="Text1"/>
          </w:rPr>
          <w:t/>
        </w:r>
      </w:hyperlink>
      <w:r>
        <w:t xml:space="preserve"/>
      </w:r>
      <w:hyperlink w:anchor="page_33">
        <w:r>
          <w:rPr>
            <w:rStyle w:val="Text1"/>
          </w:rPr>
          <w:t/>
        </w:r>
      </w:hyperlink>
      <w:r>
        <w:t/>
      </w:r>
      <w:hyperlink w:anchor="page_35">
        <w:r>
          <w:rPr>
            <w:rStyle w:val="Text1"/>
          </w:rPr>
          <w:t/>
        </w:r>
      </w:hyperlink>
    </w:p>
    <w:p>
      <w:pPr>
        <w:pStyle w:val="Para 002"/>
      </w:pPr>
      <w:r>
        <w:t xml:space="preserve">tập trung vào kết quả, 25</w:t>
      </w:r>
      <w:hyperlink w:anchor="page_25">
        <w:r>
          <w:rPr>
            <w:rStyle w:val="Text1"/>
          </w:rPr>
          <w:t/>
        </w:r>
      </w:hyperlink>
    </w:p>
    <w:p>
      <w:pPr>
        <w:pStyle w:val="Para 002"/>
      </w:pPr>
      <w:r>
        <w:t xml:space="preserve">sự trung thực và chính trực, 26</w:t>
      </w:r>
      <w:hyperlink w:anchor="page_26">
        <w:r>
          <w:rPr>
            <w:rStyle w:val="Text1"/>
          </w:rPr>
          <w:t/>
        </w:r>
      </w:hyperlink>
    </w:p>
    <w:p>
      <w:pPr>
        <w:pStyle w:val="Para 002"/>
      </w:pPr>
      <w:r>
        <w:t xml:space="preserve">các hiệu ứng tương tác trong, 24–28</w:t>
      </w:r>
      <w:hyperlink w:anchor="page_24">
        <w:r>
          <w:rPr>
            <w:rStyle w:val="Text1"/>
          </w:rPr>
          <w:t/>
        </w:r>
      </w:hyperlink>
      <w:r>
        <w:t/>
      </w:r>
      <w:hyperlink w:anchor="page_28">
        <w:r>
          <w:rPr>
            <w:rStyle w:val="Text1"/>
          </w:rPr>
          <w:t/>
        </w:r>
      </w:hyperlink>
    </w:p>
    <w:p>
      <w:pPr>
        <w:pStyle w:val="Para 002"/>
      </w:pPr>
      <w:r>
        <w:t xml:space="preserve">việc xây dựng mối quan hệ, 25</w:t>
      </w:r>
      <w:hyperlink w:anchor="page_25">
        <w:r>
          <w:rPr>
            <w:rStyle w:val="Text1"/>
          </w:rPr>
          <w:t/>
        </w:r>
      </w:hyperlink>
    </w:p>
    <w:p>
      <w:pPr>
        <w:pStyle w:val="Para 002"/>
      </w:pPr>
      <w:r>
        <w:t>học hỏi</w:t>
      </w:r>
    </w:p>
    <w:p>
      <w:pPr>
        <w:pStyle w:val="Para 002"/>
      </w:pPr>
      <w:r>
        <w:t xml:space="preserve">về đạo đức/luân lý, 132</w:t>
      </w:r>
      <w:hyperlink w:anchor="page_132">
        <w:r>
          <w:rPr>
            <w:rStyle w:val="Text1"/>
          </w:rPr>
          <w:t/>
        </w:r>
      </w:hyperlink>
    </w:p>
    <w:p>
      <w:pPr>
        <w:pStyle w:val="Para 002"/>
      </w:pPr>
      <w:r>
        <w:t xml:space="preserve">khát vọng và, 15, 16–17</w:t>
      </w:r>
      <w:hyperlink w:anchor="page_15">
        <w:r>
          <w:rPr>
            <w:rStyle w:val="Text1"/>
          </w:rPr>
          <w:t/>
        </w:r>
      </w:hyperlink>
      <w:r>
        <w:t xml:space="preserve"/>
      </w:r>
      <w:hyperlink w:anchor="page_16">
        <w:r>
          <w:rPr>
            <w:rStyle w:val="Text1"/>
          </w:rPr>
          <w:t/>
        </w:r>
      </w:hyperlink>
      <w:r>
        <w:t/>
      </w:r>
      <w:hyperlink w:anchor="page_17">
        <w:r>
          <w:rPr>
            <w:rStyle w:val="Text1"/>
          </w:rPr>
          <w:t/>
        </w:r>
      </w:hyperlink>
    </w:p>
    <w:p>
      <w:pPr>
        <w:pStyle w:val="Para 002"/>
      </w:pPr>
      <w:r>
        <w:t xml:space="preserve">sự tò mò và, 15, 19–21</w:t>
      </w:r>
      <w:hyperlink w:anchor="page_15">
        <w:r>
          <w:rPr>
            <w:rStyle w:val="Text1"/>
          </w:rPr>
          <w:t/>
        </w:r>
      </w:hyperlink>
      <w:r>
        <w:t xml:space="preserve"/>
      </w:r>
      <w:hyperlink w:anchor="page_19">
        <w:r>
          <w:rPr>
            <w:rStyle w:val="Text1"/>
          </w:rPr>
          <w:t/>
        </w:r>
      </w:hyperlink>
      <w:r>
        <w:t/>
      </w:r>
      <w:hyperlink w:anchor="page_21">
        <w:r>
          <w:rPr>
            <w:rStyle w:val="Text1"/>
          </w:rPr>
          <w:t/>
        </w:r>
      </w:hyperlink>
    </w:p>
    <w:p>
      <w:pPr>
        <w:pStyle w:val="Para 002"/>
      </w:pPr>
      <w:r>
        <w:t xml:space="preserve">để phát triển điểm mạnh, 23–38</w:t>
      </w:r>
      <w:hyperlink w:anchor="page_23">
        <w:r>
          <w:rPr>
            <w:rStyle w:val="Text1"/>
          </w:rPr>
          <w:t/>
        </w:r>
      </w:hyperlink>
      <w:r>
        <w:t/>
      </w:r>
      <w:hyperlink w:anchor="page_38">
        <w:r>
          <w:rPr>
            <w:rStyle w:val="Text1"/>
          </w:rPr>
          <w:t/>
        </w:r>
      </w:hyperlink>
    </w:p>
    <w:p>
      <w:pPr>
        <w:pStyle w:val="Para 002"/>
      </w:pPr>
      <w:r>
        <w:t xml:space="preserve">hiệu ứng tương tác trong, 24–28</w:t>
      </w:r>
      <w:hyperlink w:anchor="page_24">
        <w:r>
          <w:rPr>
            <w:rStyle w:val="Text1"/>
          </w:rPr>
          <w:t/>
        </w:r>
      </w:hyperlink>
      <w:r>
        <w:t/>
      </w:r>
      <w:hyperlink w:anchor="page_28">
        <w:r>
          <w:rPr>
            <w:rStyle w:val="Text1"/>
          </w:rPr>
          <w:t/>
        </w:r>
      </w:hyperlink>
    </w:p>
    <w:p>
      <w:pPr>
        <w:pStyle w:val="Para 002"/>
      </w:pPr>
      <w:r>
        <w:t xml:space="preserve">học cách học và, 15–22</w:t>
      </w:r>
      <w:hyperlink w:anchor="page_15">
        <w:r>
          <w:rPr>
            <w:rStyle w:val="Text1"/>
          </w:rPr>
          <w:t/>
        </w:r>
      </w:hyperlink>
      <w:r>
        <w:t/>
      </w:r>
      <w:hyperlink w:anchor="page_22">
        <w:r>
          <w:rPr>
            <w:rStyle w:val="Text1"/>
          </w:rPr>
          <w:t/>
        </w:r>
      </w:hyperlink>
    </w:p>
    <w:p>
      <w:pPr>
        <w:pStyle w:val="Para 002"/>
      </w:pPr>
      <w:r>
        <w:t xml:space="preserve">tố chất cá nhân để thành công, 15</w:t>
      </w:r>
      <w:hyperlink w:anchor="page_15">
        <w:r>
          <w:rPr>
            <w:rStyle w:val="Text1"/>
          </w:rPr>
          <w:t/>
        </w:r>
      </w:hyperlink>
    </w:p>
    <w:p>
      <w:pPr>
        <w:pStyle w:val="Para 002"/>
      </w:pPr>
      <w:r>
        <w:t xml:space="preserve">sự tự nhận thức và, 15, 18–19</w:t>
      </w:r>
      <w:hyperlink w:anchor="page_15">
        <w:r>
          <w:rPr>
            <w:rStyle w:val="Text1"/>
          </w:rPr>
          <w:t/>
        </w:r>
      </w:hyperlink>
      <w:r>
        <w:t xml:space="preserve"/>
      </w:r>
      <w:hyperlink w:anchor="page_18">
        <w:r>
          <w:rPr>
            <w:rStyle w:val="Text1"/>
          </w:rPr>
          <w:t/>
        </w:r>
      </w:hyperlink>
      <w:r>
        <w:t/>
      </w:r>
      <w:hyperlink w:anchor="page_19">
        <w:r>
          <w:rPr>
            <w:rStyle w:val="Text1"/>
          </w:rPr>
          <w:t/>
        </w:r>
      </w:hyperlink>
    </w:p>
    <w:p>
      <w:pPr>
        <w:pStyle w:val="Para 002"/>
      </w:pPr>
      <w:r>
        <w:t xml:space="preserve">sự dễ bị tổn thương (vulnerability) và, 15, 21–22</w:t>
      </w:r>
      <w:hyperlink w:anchor="page_15">
        <w:r>
          <w:rPr>
            <w:rStyle w:val="Text1"/>
          </w:rPr>
          <w:t/>
        </w:r>
      </w:hyperlink>
      <w:r>
        <w:t xml:space="preserve"/>
      </w:r>
      <w:hyperlink w:anchor="page_21">
        <w:r>
          <w:rPr>
            <w:rStyle w:val="Text1"/>
          </w:rPr>
          <w:t/>
        </w:r>
      </w:hyperlink>
      <w:r>
        <w:t/>
      </w:r>
      <w:hyperlink w:anchor="page_22">
        <w:r>
          <w:rPr>
            <w:rStyle w:val="Text1"/>
          </w:rPr>
          <w:t/>
        </w:r>
      </w:hyperlink>
    </w:p>
    <w:p>
      <w:pPr>
        <w:pStyle w:val="Para 002"/>
      </w:pPr>
      <w:r>
        <w:t xml:space="preserve">tuổi thọ, 89</w:t>
      </w:r>
      <w:hyperlink w:anchor="page_89">
        <w:r>
          <w:rPr>
            <w:rStyle w:val="Text1"/>
          </w:rPr>
          <w:t/>
        </w:r>
      </w:hyperlink>
    </w:p>
    <w:p>
      <w:pPr>
        <w:pStyle w:val="Para 002"/>
      </w:pPr>
      <w:r>
        <w:t xml:space="preserve">lắng nghe, 111–112</w:t>
      </w:r>
      <w:hyperlink w:anchor="page_111_1">
        <w:r>
          <w:rPr>
            <w:rStyle w:val="Text1"/>
          </w:rPr>
          <w:t/>
        </w:r>
      </w:hyperlink>
      <w:r>
        <w:t/>
      </w:r>
      <w:hyperlink w:anchor="page_112">
        <w:r>
          <w:rPr>
            <w:rStyle w:val="Text1"/>
          </w:rPr>
          <w:t/>
        </w:r>
      </w:hyperlink>
    </w:p>
    <w:p>
      <w:pPr>
        <w:pStyle w:val="Para 024"/>
      </w:pPr>
      <w:r>
        <w:t xml:space="preserve">Machiavelli, Niccolò, 70–71</w:t>
      </w:r>
      <w:hyperlink w:anchor="page_70">
        <w:r>
          <w:rPr>
            <w:rStyle w:val="Text1"/>
          </w:rPr>
          <w:t/>
        </w:r>
      </w:hyperlink>
      <w:r>
        <w:t/>
      </w:r>
      <w:hyperlink w:anchor="page_71">
        <w:r>
          <w:rPr>
            <w:rStyle w:val="Text1"/>
          </w:rPr>
          <w:t/>
        </w:r>
      </w:hyperlink>
    </w:p>
    <w:p>
      <w:pPr>
        <w:pStyle w:val="Para 002"/>
      </w:pPr>
      <w:r>
        <w:t xml:space="preserve">đồng minh nam, trong hòa nhập giới, 108–113</w:t>
      </w:r>
      <w:hyperlink w:anchor="page_108">
        <w:r>
          <w:rPr>
            <w:rStyle w:val="Text1"/>
          </w:rPr>
          <w:t/>
        </w:r>
      </w:hyperlink>
      <w:r>
        <w:t/>
      </w:r>
      <w:hyperlink w:anchor="page_113">
        <w:r>
          <w:rPr>
            <w:rStyle w:val="Text1"/>
          </w:rPr>
          <w:t/>
        </w:r>
      </w:hyperlink>
    </w:p>
    <w:p>
      <w:pPr>
        <w:pStyle w:val="Para 002"/>
      </w:pPr>
      <w:r>
        <w:t xml:space="preserve">Matthews, D. B., 62</w:t>
      </w:r>
      <w:hyperlink w:anchor="page_62">
        <w:r>
          <w:rPr>
            <w:rStyle w:val="Text1"/>
          </w:rPr>
          <w:t/>
        </w:r>
      </w:hyperlink>
    </w:p>
    <w:p>
      <w:pPr>
        <w:pStyle w:val="Para 002"/>
      </w:pPr>
      <w:r>
        <w:t xml:space="preserve">McKinsey &amp; Company, 109</w:t>
      </w:r>
      <w:hyperlink w:anchor="page_109">
        <w:r>
          <w:rPr>
            <w:rStyle w:val="Text1"/>
          </w:rPr>
          <w:t/>
        </w:r>
      </w:hyperlink>
    </w:p>
    <w:p>
      <w:pPr>
        <w:pStyle w:val="Para 002"/>
      </w:pPr>
      <w:r>
        <w:t xml:space="preserve">Medina, John, 19</w:t>
      </w:r>
      <w:hyperlink w:anchor="page_19">
        <w:r>
          <w:rPr>
            <w:rStyle w:val="Text1"/>
          </w:rPr>
          <w:t/>
        </w:r>
      </w:hyperlink>
    </w:p>
    <w:p>
      <w:pPr>
        <w:pStyle w:val="Para 002"/>
      </w:pPr>
      <w:r>
        <w:t xml:space="preserve">các cuộc họp, 55</w:t>
      </w:r>
      <w:hyperlink w:anchor="page_55">
        <w:r>
          <w:rPr>
            <w:rStyle w:val="Text1"/>
          </w:rPr>
          <w:t/>
        </w:r>
      </w:hyperlink>
    </w:p>
    <w:p>
      <w:pPr>
        <w:pStyle w:val="Para 002"/>
      </w:pPr>
      <w:r>
        <w:t xml:space="preserve">người cố vấn, 128</w:t>
      </w:r>
      <w:hyperlink w:anchor="page_128">
        <w:r>
          <w:rPr>
            <w:rStyle w:val="Text1"/>
          </w:rPr>
          <w:t/>
        </w:r>
      </w:hyperlink>
    </w:p>
    <w:p>
      <w:pPr>
        <w:pStyle w:val="Para 002"/>
      </w:pPr>
      <w:r>
        <w:t xml:space="preserve">hành vi xâm phạm vi mô (microaggressions), 135–140</w:t>
      </w:r>
      <w:hyperlink w:anchor="page_135">
        <w:r>
          <w:rPr>
            <w:rStyle w:val="Text1"/>
          </w:rPr>
          <w:t/>
        </w:r>
      </w:hyperlink>
      <w:r>
        <w:t/>
      </w:r>
      <w:hyperlink w:anchor="page_140">
        <w:r>
          <w:rPr>
            <w:rStyle w:val="Text1"/>
          </w:rPr>
          <w:t/>
        </w:r>
      </w:hyperlink>
    </w:p>
    <w:p>
      <w:pPr>
        <w:pStyle w:val="Para 002"/>
      </w:pPr>
      <w:r>
        <w:t xml:space="preserve">định nghĩa về, 135</w:t>
      </w:r>
      <w:hyperlink w:anchor="page_135">
        <w:r>
          <w:rPr>
            <w:rStyle w:val="Text1"/>
          </w:rPr>
          <w:t/>
        </w:r>
      </w:hyperlink>
    </w:p>
    <w:p>
      <w:pPr>
        <w:pStyle w:val="Para 002"/>
      </w:pPr>
      <w:r>
        <w:t xml:space="preserve">chống lại kẻ gây hấn và, 139</w:t>
      </w:r>
      <w:hyperlink w:anchor="page_139">
        <w:r>
          <w:rPr>
            <w:rStyle w:val="Text1"/>
          </w:rPr>
          <w:t/>
        </w:r>
      </w:hyperlink>
    </w:p>
    <w:p>
      <w:pPr>
        <w:pStyle w:val="Para 002"/>
      </w:pPr>
      <w:r>
        <w:t xml:space="preserve">vô hiệu hóa kẻ gây hấn và, 139</w:t>
      </w:r>
      <w:hyperlink w:anchor="page_139">
        <w:r>
          <w:rPr>
            <w:rStyle w:val="Text1"/>
          </w:rPr>
          <w:t/>
        </w:r>
      </w:hyperlink>
    </w:p>
    <w:p>
      <w:pPr>
        <w:pStyle w:val="Para 002"/>
      </w:pPr>
      <w:r>
        <w:t xml:space="preserve">nhận diện, 138</w:t>
      </w:r>
      <w:hyperlink w:anchor="page_138">
        <w:r>
          <w:rPr>
            <w:rStyle w:val="Text1"/>
          </w:rPr>
          <w:t/>
        </w:r>
      </w:hyperlink>
    </w:p>
    <w:p>
      <w:pPr>
        <w:pStyle w:val="Para 002"/>
      </w:pPr>
      <w:r>
        <w:t xml:space="preserve">kiểm soát tình huống, 139–140</w:t>
      </w:r>
      <w:hyperlink w:anchor="page_139">
        <w:r>
          <w:rPr>
            <w:rStyle w:val="Text1"/>
          </w:rPr>
          <w:t/>
        </w:r>
      </w:hyperlink>
      <w:r>
        <w:t/>
      </w:r>
      <w:hyperlink w:anchor="page_140">
        <w:r>
          <w:rPr>
            <w:rStyle w:val="Text1"/>
          </w:rPr>
          <w:t/>
        </w:r>
      </w:hyperlink>
    </w:p>
    <w:p>
      <w:pPr>
        <w:pStyle w:val="Para 002"/>
      </w:pPr>
      <w:r>
        <w:t xml:space="preserve">các cách phản ứng lại, 136–138</w:t>
      </w:r>
      <w:hyperlink w:anchor="page_136">
        <w:r>
          <w:rPr>
            <w:rStyle w:val="Text1"/>
          </w:rPr>
          <w:t/>
        </w:r>
      </w:hyperlink>
      <w:r>
        <w:t/>
      </w:r>
      <w:hyperlink w:anchor="page_138">
        <w:r>
          <w:rPr>
            <w:rStyle w:val="Text1"/>
          </w:rPr>
          <w:t/>
        </w:r>
      </w:hyperlink>
    </w:p>
    <w:p>
      <w:pPr>
        <w:pStyle w:val="Para 002"/>
      </w:pPr>
      <w:r>
        <w:t xml:space="preserve">Microsoft, 54</w:t>
      </w:r>
      <w:hyperlink w:anchor="page_54">
        <w:r>
          <w:rPr>
            <w:rStyle w:val="Text1"/>
          </w:rPr>
          <w:t/>
        </w:r>
      </w:hyperlink>
    </w:p>
    <w:p>
      <w:pPr>
        <w:pStyle w:val="Para 002"/>
      </w:pPr>
      <w:r>
        <w:t xml:space="preserve">khủng hoảng tuổi trung niên, 85–86</w:t>
      </w:r>
      <w:hyperlink w:anchor="page_85">
        <w:r>
          <w:rPr>
            <w:rStyle w:val="Text1"/>
          </w:rPr>
          <w:t/>
        </w:r>
      </w:hyperlink>
      <w:r>
        <w:t/>
      </w:r>
      <w:hyperlink w:anchor="page_86">
        <w:r>
          <w:rPr>
            <w:rStyle w:val="Text1"/>
          </w:rPr>
          <w:t/>
        </w:r>
      </w:hyperlink>
    </w:p>
    <w:p>
      <w:pPr>
        <w:pStyle w:val="Para 002"/>
      </w:pPr>
      <w:r>
        <w:t xml:space="preserve">thí nghiệm Milgram, 131</w:t>
      </w:r>
      <w:hyperlink w:anchor="page_131_1">
        <w:r>
          <w:rPr>
            <w:rStyle w:val="Text1"/>
          </w:rPr>
          <w:t/>
        </w:r>
      </w:hyperlink>
    </w:p>
    <w:p>
      <w:pPr>
        <w:pStyle w:val="Para 002"/>
      </w:pPr>
      <w:r>
        <w:t xml:space="preserve">Miller, W. R., 62</w:t>
      </w:r>
      <w:hyperlink w:anchor="page_62">
        <w:r>
          <w:rPr>
            <w:rStyle w:val="Text1"/>
          </w:rPr>
          <w:t/>
        </w:r>
      </w:hyperlink>
    </w:p>
    <w:p>
      <w:pPr>
        <w:pStyle w:val="Para 002"/>
      </w:pPr>
      <w:r>
        <w:t xml:space="preserve">bài kiểm tra gương (mirror test), 131</w:t>
      </w:r>
      <w:hyperlink w:anchor="page_131_1">
        <w:r>
          <w:rPr>
            <w:rStyle w:val="Text1"/>
          </w:rPr>
          <w:t/>
        </w:r>
      </w:hyperlink>
    </w:p>
    <w:p>
      <w:pPr>
        <w:pStyle w:val="Para 002"/>
      </w:pPr>
      <w:r>
        <w:t xml:space="preserve">sai lầm, học hỏi từ, 21</w:t>
      </w:r>
      <w:hyperlink w:anchor="page_21">
        <w:r>
          <w:rPr>
            <w:rStyle w:val="Text1"/>
          </w:rPr>
          <w:t/>
        </w:r>
      </w:hyperlink>
    </w:p>
    <w:p>
      <w:pPr>
        <w:pStyle w:val="Para 002"/>
      </w:pPr>
      <w:r>
        <w:t xml:space="preserve">sự ngờ vực, 86–87</w:t>
      </w:r>
      <w:hyperlink w:anchor="page_86">
        <w:r>
          <w:rPr>
            <w:rStyle w:val="Text1"/>
          </w:rPr>
          <w:t/>
        </w:r>
      </w:hyperlink>
      <w:r>
        <w:t/>
      </w:r>
      <w:hyperlink w:anchor="page_87">
        <w:r>
          <w:rPr>
            <w:rStyle w:val="Text1"/>
          </w:rPr>
          <w:t/>
        </w:r>
      </w:hyperlink>
    </w:p>
    <w:p>
      <w:pPr>
        <w:pStyle w:val="Para 002"/>
      </w:pPr>
      <w:r>
        <w:t xml:space="preserve">tiền bạc, ra quyết định dựa trên, 82–85</w:t>
      </w:r>
      <w:hyperlink w:anchor="page_82">
        <w:r>
          <w:rPr>
            <w:rStyle w:val="Text1"/>
          </w:rPr>
          <w:t/>
        </w:r>
      </w:hyperlink>
      <w:r>
        <w:t/>
      </w:r>
      <w:hyperlink w:anchor="page_85">
        <w:r>
          <w:rPr>
            <w:rStyle w:val="Text1"/>
          </w:rPr>
          <w:t/>
        </w:r>
      </w:hyperlink>
    </w:p>
    <w:p>
      <w:pPr>
        <w:pStyle w:val="Para 002"/>
      </w:pPr>
      <w:r>
        <w:t xml:space="preserve">sự khiêm tốn về đạo đức (moral humility), 125–126</w:t>
      </w:r>
      <w:hyperlink w:anchor="page_125">
        <w:r>
          <w:rPr>
            <w:rStyle w:val="Text1"/>
          </w:rPr>
          <w:t/>
        </w:r>
      </w:hyperlink>
      <w:r>
        <w:t/>
      </w:r>
      <w:hyperlink w:anchor="page_126">
        <w:r>
          <w:rPr>
            <w:rStyle w:val="Text1"/>
          </w:rPr>
          <w:t/>
        </w:r>
      </w:hyperlink>
    </w:p>
    <w:p>
      <w:pPr>
        <w:pStyle w:val="Para 002"/>
      </w:pPr>
      <w:r>
        <w:t xml:space="preserve">trí tưởng tượng đạo đức (moral imagination), 70</w:t>
      </w:r>
      <w:hyperlink w:anchor="page_70">
        <w:r>
          <w:rPr>
            <w:rStyle w:val="Text1"/>
          </w:rPr>
          <w:t/>
        </w:r>
      </w:hyperlink>
    </w:p>
    <w:p>
      <w:pPr>
        <w:pStyle w:val="Para 002"/>
      </w:pPr>
      <w:r>
        <w:t xml:space="preserve">Mặc Tử, 68–69</w:t>
      </w:r>
      <w:hyperlink w:anchor="page_68">
        <w:r>
          <w:rPr>
            <w:rStyle w:val="Text1"/>
          </w:rPr>
          <w:t/>
        </w:r>
      </w:hyperlink>
      <w:r>
        <w:t/>
      </w:r>
      <w:hyperlink w:anchor="page_69">
        <w:r>
          <w:rPr>
            <w:rStyle w:val="Text1"/>
          </w:rPr>
          <w:t/>
        </w:r>
      </w:hyperlink>
    </w:p>
    <w:p>
      <w:pPr>
        <w:pStyle w:val="Para 002"/>
      </w:pPr>
      <w:r>
        <w:t xml:space="preserve">MyAnalytics, 54</w:t>
      </w:r>
      <w:hyperlink w:anchor="page_54">
        <w:r>
          <w:rPr>
            <w:rStyle w:val="Text1"/>
          </w:rPr>
          <w:t/>
        </w:r>
      </w:hyperlink>
    </w:p>
    <w:p>
      <w:pPr>
        <w:pStyle w:val="Para 024"/>
      </w:pPr>
      <w:r>
        <w:bookmarkStart w:id="454" w:name="page_149"/>
        <w:t>những câu chuyện nội tâm (internal narratives), 18–19</w:t>
        <w:bookmarkEnd w:id="454"/>
        <w:t xml:space="preserve"/>
      </w:r>
      <w:hyperlink w:anchor="page_18">
        <w:r>
          <w:rPr>
            <w:rStyle w:val="Text1"/>
          </w:rPr>
          <w:t/>
        </w:r>
      </w:hyperlink>
      <w:r>
        <w:t/>
      </w:r>
      <w:hyperlink w:anchor="page_19">
        <w:r>
          <w:rPr>
            <w:rStyle w:val="Text1"/>
          </w:rPr>
          <w:t/>
        </w:r>
      </w:hyperlink>
    </w:p>
    <w:p>
      <w:pPr>
        <w:pStyle w:val="Para 002"/>
      </w:pPr>
      <w:r>
        <w:t xml:space="preserve">đàm phán, 115–123</w:t>
      </w:r>
      <w:hyperlink w:anchor="page_115">
        <w:r>
          <w:rPr>
            <w:rStyle w:val="Text1"/>
          </w:rPr>
          <w:t/>
        </w:r>
      </w:hyperlink>
      <w:r>
        <w:t/>
      </w:r>
      <w:hyperlink w:anchor="page_123">
        <w:r>
          <w:rPr>
            <w:rStyle w:val="Text1"/>
          </w:rPr>
          <w:t/>
        </w:r>
      </w:hyperlink>
    </w:p>
    <w:p>
      <w:pPr>
        <w:pStyle w:val="Para 002"/>
      </w:pPr>
      <w:r>
        <w:t xml:space="preserve">tính sáng tạo trong, 119–120</w:t>
      </w:r>
      <w:hyperlink w:anchor="page_119">
        <w:r>
          <w:rPr>
            <w:rStyle w:val="Text1"/>
          </w:rPr>
          <w:t/>
        </w:r>
      </w:hyperlink>
      <w:r>
        <w:t/>
      </w:r>
      <w:hyperlink w:anchor="page_120">
        <w:r>
          <w:rPr>
            <w:rStyle w:val="Text1"/>
          </w:rPr>
          <w:t/>
        </w:r>
      </w:hyperlink>
    </w:p>
    <w:p>
      <w:pPr>
        <w:pStyle w:val="Para 002"/>
      </w:pPr>
      <w:r>
        <w:t xml:space="preserve">khởi xướng, 120–121</w:t>
      </w:r>
      <w:hyperlink w:anchor="page_120">
        <w:r>
          <w:rPr>
            <w:rStyle w:val="Text1"/>
          </w:rPr>
          <w:t/>
        </w:r>
      </w:hyperlink>
      <w:r>
        <w:t/>
      </w:r>
      <w:hyperlink w:anchor="page_121">
        <w:r>
          <w:rPr>
            <w:rStyle w:val="Text1"/>
          </w:rPr>
          <w:t/>
        </w:r>
      </w:hyperlink>
    </w:p>
    <w:p>
      <w:pPr>
        <w:pStyle w:val="Para 002"/>
      </w:pPr>
      <w:r>
        <w:t xml:space="preserve">điều hướng, 121–123</w:t>
      </w:r>
      <w:hyperlink w:anchor="page_121">
        <w:r>
          <w:rPr>
            <w:rStyle w:val="Text1"/>
          </w:rPr>
          <w:t/>
        </w:r>
      </w:hyperlink>
      <w:r>
        <w:t/>
      </w:r>
      <w:hyperlink w:anchor="page_123">
        <w:r>
          <w:rPr>
            <w:rStyle w:val="Text1"/>
          </w:rPr>
          <w:t/>
        </w:r>
      </w:hyperlink>
    </w:p>
    <w:p>
      <w:pPr>
        <w:pStyle w:val="Para 002"/>
      </w:pPr>
      <w:r>
        <w:t xml:space="preserve">chuẩn bị cho, 118–120</w:t>
      </w:r>
      <w:hyperlink w:anchor="page_118">
        <w:r>
          <w:rPr>
            <w:rStyle w:val="Text1"/>
          </w:rPr>
          <w:t/>
        </w:r>
      </w:hyperlink>
      <w:r>
        <w:t/>
      </w:r>
      <w:hyperlink w:anchor="page_120">
        <w:r>
          <w:rPr>
            <w:rStyle w:val="Text1"/>
          </w:rPr>
          <w:t/>
        </w:r>
      </w:hyperlink>
    </w:p>
    <w:p>
      <w:pPr>
        <w:pStyle w:val="Para 002"/>
      </w:pPr>
      <w:r>
        <w:t xml:space="preserve">nhận diện cơ hội cho, 116–117</w:t>
      </w:r>
      <w:hyperlink w:anchor="page_116">
        <w:r>
          <w:rPr>
            <w:rStyle w:val="Text1"/>
          </w:rPr>
          <w:t/>
        </w:r>
      </w:hyperlink>
      <w:r>
        <w:t/>
      </w:r>
      <w:hyperlink w:anchor="page_117">
        <w:r>
          <w:rPr>
            <w:rStyle w:val="Text1"/>
          </w:rPr>
          <w:t/>
        </w:r>
      </w:hyperlink>
    </w:p>
    <w:p>
      <w:pPr>
        <w:pStyle w:val="Para 002"/>
      </w:pPr>
      <w:r>
        <w:t xml:space="preserve">mạng lưới quan hệ, 56, 128</w:t>
      </w:r>
      <w:hyperlink w:anchor="page_56">
        <w:r>
          <w:rPr>
            <w:rStyle w:val="Text1"/>
          </w:rPr>
          <w:t/>
        </w:r>
      </w:hyperlink>
      <w:r>
        <w:t xml:space="preserve"/>
      </w:r>
      <w:hyperlink w:anchor="page_128">
        <w:r>
          <w:rPr>
            <w:rStyle w:val="Text1"/>
          </w:rPr>
          <w:t/>
        </w:r>
      </w:hyperlink>
    </w:p>
    <w:p>
      <w:pPr>
        <w:pStyle w:val="Para 002"/>
      </w:pPr>
      <w:r>
        <w:t xml:space="preserve">sự phát triển phi tuyến tính (nonlinear development), 24</w:t>
      </w:r>
      <w:hyperlink w:anchor="page_24">
        <w:r>
          <w:rPr>
            <w:rStyle w:val="Text1"/>
          </w:rPr>
          <w:t/>
        </w:r>
      </w:hyperlink>
    </w:p>
    <w:p>
      <w:pPr>
        <w:pStyle w:val="Para 002"/>
      </w:pPr>
      <w:r>
        <w:t>chuẩn mực</w:t>
      </w:r>
    </w:p>
    <w:p>
      <w:pPr>
        <w:pStyle w:val="Para 002"/>
      </w:pPr>
      <w:r>
        <w:t xml:space="preserve">về giao tiếp, 54</w:t>
      </w:r>
      <w:hyperlink w:anchor="page_54">
        <w:r>
          <w:rPr>
            <w:rStyle w:val="Text1"/>
          </w:rPr>
          <w:t/>
        </w:r>
      </w:hyperlink>
    </w:p>
    <w:p>
      <w:pPr>
        <w:pStyle w:val="Para 002"/>
      </w:pPr>
      <w:r>
        <w:t xml:space="preserve">công việc luôn bật (always-on work), 50</w:t>
      </w:r>
      <w:hyperlink w:anchor="page_50">
        <w:r>
          <w:rPr>
            <w:rStyle w:val="Text1"/>
          </w:rPr>
          <w:t/>
        </w:r>
      </w:hyperlink>
    </w:p>
    <w:p>
      <w:pPr>
        <w:pStyle w:val="Para 002"/>
      </w:pPr>
      <w:r>
        <w:t xml:space="preserve">thách thức, 94–95</w:t>
      </w:r>
      <w:hyperlink w:anchor="page_94">
        <w:r>
          <w:rPr>
            <w:rStyle w:val="Text1"/>
          </w:rPr>
          <w:t/>
        </w:r>
      </w:hyperlink>
      <w:r>
        <w:t/>
      </w:r>
      <w:hyperlink w:anchor="page_95">
        <w:r>
          <w:rPr>
            <w:rStyle w:val="Text1"/>
          </w:rPr>
          <w:t/>
        </w:r>
      </w:hyperlink>
    </w:p>
    <w:p>
      <w:pPr>
        <w:pStyle w:val="Para 002"/>
      </w:pPr>
      <w:r>
        <w:t xml:space="preserve">giao tiếp, 55–56</w:t>
      </w:r>
      <w:hyperlink w:anchor="page_55">
        <w:r>
          <w:rPr>
            <w:rStyle w:val="Text1"/>
          </w:rPr>
          <w:t/>
        </w:r>
      </w:hyperlink>
      <w:r>
        <w:t/>
      </w:r>
      <w:hyperlink w:anchor="page_56">
        <w:r>
          <w:rPr>
            <w:rStyle w:val="Text1"/>
          </w:rPr>
          <w:t/>
        </w:r>
      </w:hyperlink>
    </w:p>
    <w:p>
      <w:pPr>
        <w:pStyle w:val="Para 002"/>
      </w:pPr>
      <w:r>
        <w:t xml:space="preserve">sự phù hợp đạo đức và, 129</w:t>
      </w:r>
      <w:hyperlink w:anchor="page_129">
        <w:r>
          <w:rPr>
            <w:rStyle w:val="Text1"/>
          </w:rPr>
          <w:t/>
        </w:r>
      </w:hyperlink>
    </w:p>
    <w:p>
      <w:pPr>
        <w:pStyle w:val="Para 002"/>
      </w:pPr>
      <w:r>
        <w:t xml:space="preserve">năng suất và, 43</w:t>
      </w:r>
      <w:hyperlink w:anchor="page_43">
        <w:r>
          <w:rPr>
            <w:rStyle w:val="Text1"/>
          </w:rPr>
          <w:t/>
        </w:r>
      </w:hyperlink>
    </w:p>
    <w:p>
      <w:pPr>
        <w:pStyle w:val="Para 024"/>
      </w:pPr>
      <w:r>
        <w:t xml:space="preserve">giảm tải nhiệm vụ, 46–47</w:t>
      </w:r>
      <w:hyperlink w:anchor="page_46">
        <w:r>
          <w:rPr>
            <w:rStyle w:val="Text1"/>
          </w:rPr>
          <w:t/>
        </w:r>
      </w:hyperlink>
      <w:r>
        <w:t/>
      </w:r>
      <w:hyperlink w:anchor="page_47">
        <w:r>
          <w:rPr>
            <w:rStyle w:val="Text1"/>
          </w:rPr>
          <w:t/>
        </w:r>
      </w:hyperlink>
    </w:p>
    <w:p>
      <w:pPr>
        <w:pStyle w:val="Para 002"/>
      </w:pPr>
      <w:r>
        <w:t xml:space="preserve">thuê ngoài, 43</w:t>
      </w:r>
      <w:hyperlink w:anchor="page_43">
        <w:r>
          <w:rPr>
            <w:rStyle w:val="Text1"/>
          </w:rPr>
          <w:t/>
        </w:r>
      </w:hyperlink>
    </w:p>
    <w:p>
      <w:pPr>
        <w:pStyle w:val="Para 024"/>
      </w:pPr>
      <w:r>
        <w:t>đam mê</w:t>
      </w:r>
    </w:p>
    <w:p>
      <w:pPr>
        <w:pStyle w:val="Para 002"/>
      </w:pPr>
      <w:r>
        <w:t xml:space="preserve">mục đích và, 6–8</w:t>
      </w:r>
      <w:hyperlink w:anchor="page_6">
        <w:r>
          <w:rPr>
            <w:rStyle w:val="Text1"/>
          </w:rPr>
          <w:t/>
        </w:r>
      </w:hyperlink>
      <w:r>
        <w:t/>
      </w:r>
      <w:hyperlink w:anchor="page_8">
        <w:r>
          <w:rPr>
            <w:rStyle w:val="Text1"/>
          </w:rPr>
          <w:t/>
        </w:r>
      </w:hyperlink>
    </w:p>
    <w:p>
      <w:pPr>
        <w:pStyle w:val="Para 002"/>
      </w:pPr>
      <w:r>
        <w:t xml:space="preserve">phát triển điểm mạnh và, 32–33</w:t>
      </w:r>
      <w:hyperlink w:anchor="page_32">
        <w:r>
          <w:rPr>
            <w:rStyle w:val="Text1"/>
          </w:rPr>
          <w:t/>
        </w:r>
      </w:hyperlink>
      <w:r>
        <w:t/>
      </w:r>
      <w:hyperlink w:anchor="page_33">
        <w:r>
          <w:rPr>
            <w:rStyle w:val="Text1"/>
          </w:rPr>
          <w:t/>
        </w:r>
      </w:hyperlink>
    </w:p>
    <w:p>
      <w:pPr>
        <w:pStyle w:val="Para 002"/>
      </w:pPr>
      <w:r>
        <w:t xml:space="preserve">hiệu ứng bệ đỡ (pedestal effect), 110</w:t>
      </w:r>
      <w:hyperlink w:anchor="page_110">
        <w:r>
          <w:rPr>
            <w:rStyle w:val="Text1"/>
          </w:rPr>
          <w:t/>
        </w:r>
      </w:hyperlink>
    </w:p>
    <w:p>
      <w:pPr>
        <w:pStyle w:val="Para 002"/>
      </w:pPr>
      <w:r>
        <w:t xml:space="preserve">Personal Values Card Sort, 62</w:t>
      </w:r>
      <w:hyperlink w:anchor="page_62">
        <w:r>
          <w:rPr>
            <w:rStyle w:val="Text1"/>
          </w:rPr>
          <w:t/>
        </w:r>
      </w:hyperlink>
    </w:p>
    <w:p>
      <w:pPr>
        <w:pStyle w:val="Para 002"/>
      </w:pPr>
      <w:r>
        <w:t xml:space="preserve">Petriglieri, Jennifer, 77–91</w:t>
      </w:r>
      <w:hyperlink w:anchor="page_77">
        <w:r>
          <w:rPr>
            <w:rStyle w:val="Text1"/>
          </w:rPr>
          <w:t/>
        </w:r>
      </w:hyperlink>
      <w:r>
        <w:t/>
      </w:r>
      <w:hyperlink w:anchor="page_91">
        <w:r>
          <w:rPr>
            <w:rStyle w:val="Text1"/>
          </w:rPr>
          <w:t/>
        </w:r>
      </w:hyperlink>
    </w:p>
    <w:p>
      <w:pPr>
        <w:pStyle w:val="Para 002"/>
      </w:pPr>
      <w:r>
        <w:t xml:space="preserve">Pew Research, 78</w:t>
      </w:r>
      <w:hyperlink w:anchor="page_78">
        <w:r>
          <w:rPr>
            <w:rStyle w:val="Text1"/>
          </w:rPr>
          <w:t/>
        </w:r>
      </w:hyperlink>
    </w:p>
    <w:p>
      <w:pPr>
        <w:pStyle w:val="Para 002"/>
      </w:pPr>
      <w:r>
        <w:t xml:space="preserve">Pfizer, 43</w:t>
      </w:r>
      <w:hyperlink w:anchor="page_43">
        <w:r>
          <w:rPr>
            <w:rStyle w:val="Text1"/>
          </w:rPr>
          <w:t/>
        </w:r>
      </w:hyperlink>
    </w:p>
    <w:p>
      <w:pPr>
        <w:pStyle w:val="Para 002"/>
      </w:pPr>
      <w:r>
        <w:t xml:space="preserve">các góc nhìn triết học (philosophical perspectives), 130–131</w:t>
      </w:r>
      <w:hyperlink w:anchor="page_130">
        <w:r>
          <w:rPr>
            <w:rStyle w:val="Text1"/>
          </w:rPr>
          <w:t/>
        </w:r>
      </w:hyperlink>
      <w:r>
        <w:t/>
      </w:r>
      <w:hyperlink w:anchor="page_131_1">
        <w:r>
          <w:rPr>
            <w:rStyle w:val="Text1"/>
          </w:rPr>
          <w:t/>
        </w:r>
      </w:hyperlink>
    </w:p>
    <w:p>
      <w:pPr>
        <w:pStyle w:val="Para 002"/>
      </w:pPr>
      <w:r>
        <w:t>lập kế hoạch</w:t>
      </w:r>
    </w:p>
    <w:p>
      <w:pPr>
        <w:pStyle w:val="Para 002"/>
      </w:pPr>
      <w:r>
        <w:t xml:space="preserve">phát triển, 8, 9</w:t>
      </w:r>
      <w:hyperlink w:anchor="page_8">
        <w:r>
          <w:rPr>
            <w:rStyle w:val="Text1"/>
          </w:rPr>
          <w:t/>
        </w:r>
      </w:hyperlink>
      <w:r>
        <w:t xml:space="preserve"/>
      </w:r>
      <w:hyperlink w:anchor="page_9">
        <w:r>
          <w:rPr>
            <w:rStyle w:val="Text1"/>
          </w:rPr>
          <w:t/>
        </w:r>
      </w:hyperlink>
    </w:p>
    <w:p>
      <w:pPr>
        <w:pStyle w:val="Para 002"/>
      </w:pPr>
      <w:r>
        <w:t xml:space="preserve">nếu-thì (if-then), 127–128</w:t>
      </w:r>
      <w:hyperlink w:anchor="page_127">
        <w:r>
          <w:rPr>
            <w:rStyle w:val="Text1"/>
          </w:rPr>
          <w:t/>
        </w:r>
      </w:hyperlink>
      <w:r>
        <w:t/>
      </w:r>
      <w:hyperlink w:anchor="page_128">
        <w:r>
          <w:rPr>
            <w:rStyle w:val="Text1"/>
          </w:rPr>
          <w:t/>
        </w:r>
      </w:hyperlink>
    </w:p>
    <w:p>
      <w:pPr>
        <w:pStyle w:val="Para 002"/>
      </w:pPr>
      <w:r>
        <w:t xml:space="preserve">để tăng năng suất, 47–48</w:t>
      </w:r>
      <w:hyperlink w:anchor="page_47">
        <w:r>
          <w:rPr>
            <w:rStyle w:val="Text1"/>
          </w:rPr>
          <w:t/>
        </w:r>
      </w:hyperlink>
      <w:r>
        <w:t/>
      </w:r>
      <w:hyperlink w:anchor="page_48">
        <w:r>
          <w:rPr>
            <w:rStyle w:val="Text1"/>
          </w:rPr>
          <w:t/>
        </w:r>
      </w:hyperlink>
    </w:p>
    <w:p>
      <w:pPr>
        <w:pStyle w:val="Para 002"/>
      </w:pPr>
      <w:r>
        <w:t xml:space="preserve">từ mục đích đến tác động (purpose-to-impact), 8–13</w:t>
      </w:r>
      <w:hyperlink w:anchor="page_8">
        <w:r>
          <w:rPr>
            <w:rStyle w:val="Text1"/>
          </w:rPr>
          <w:t/>
        </w:r>
      </w:hyperlink>
      <w:r>
        <w:t/>
      </w:r>
      <w:hyperlink w:anchor="page_13">
        <w:r>
          <w:rPr>
            <w:rStyle w:val="Text1"/>
          </w:rPr>
          <w:t/>
        </w:r>
      </w:hyperlink>
    </w:p>
    <w:p>
      <w:pPr>
        <w:pStyle w:val="Para 002"/>
      </w:pPr>
      <w:r>
        <w:t xml:space="preserve">chính sách, đạo đức và, 132</w:t>
      </w:r>
      <w:hyperlink w:anchor="page_132">
        <w:r>
          <w:rPr>
            <w:rStyle w:val="Text1"/>
          </w:rPr>
          <w:t/>
        </w:r>
      </w:hyperlink>
    </w:p>
    <w:p>
      <w:pPr>
        <w:pStyle w:val="Para 002"/>
      </w:pPr>
      <w:r>
        <w:t xml:space="preserve">chủ nghĩa thực dụng, 70–71, 81</w:t>
      </w:r>
      <w:hyperlink w:anchor="page_70">
        <w:r>
          <w:rPr>
            <w:rStyle w:val="Text1"/>
          </w:rPr>
          <w:t/>
        </w:r>
      </w:hyperlink>
      <w:r>
        <w:t/>
      </w:r>
      <w:hyperlink w:anchor="page_71">
        <w:r>
          <w:rPr>
            <w:rStyle w:val="Text1"/>
          </w:rPr>
          <w:t/>
        </w:r>
      </w:hyperlink>
      <w:r>
        <w:t xml:space="preserve"/>
      </w:r>
      <w:hyperlink w:anchor="page_81">
        <w:r>
          <w:rPr>
            <w:rStyle w:val="Text1"/>
          </w:rPr>
          <w:t/>
        </w:r>
      </w:hyperlink>
    </w:p>
    <w:p>
      <w:pPr>
        <w:pStyle w:val="Para 002"/>
      </w:pPr>
      <w:r>
        <w:t xml:space="preserve">mô hình chính-phụ của các cặp đôi, 84–85</w:t>
      </w:r>
      <w:hyperlink w:anchor="page_84">
        <w:r>
          <w:rPr>
            <w:rStyle w:val="Text1"/>
          </w:rPr>
          <w:t/>
        </w:r>
      </w:hyperlink>
      <w:r>
        <w:t/>
      </w:r>
      <w:hyperlink w:anchor="page_85">
        <w:r>
          <w:rPr>
            <w:rStyle w:val="Text1"/>
          </w:rPr>
          <w:t/>
        </w:r>
      </w:hyperlink>
    </w:p>
    <w:p>
      <w:pPr>
        <w:pStyle w:val="Para 002"/>
      </w:pPr>
      <w:r>
        <w:t xml:space="preserve">Princeton Theological Seminary, 131</w:t>
      </w:r>
      <w:hyperlink w:anchor="page_131_1">
        <w:r>
          <w:rPr>
            <w:rStyle w:val="Text1"/>
          </w:rPr>
          <w:t/>
        </w:r>
      </w:hyperlink>
    </w:p>
    <w:p>
      <w:pPr>
        <w:pStyle w:val="Para 002"/>
      </w:pPr>
      <w:r>
        <w:t xml:space="preserve">năng suất, 39–48</w:t>
      </w:r>
      <w:hyperlink w:anchor="page_39">
        <w:r>
          <w:rPr>
            <w:rStyle w:val="Text1"/>
          </w:rPr>
          <w:t/>
        </w:r>
      </w:hyperlink>
      <w:r>
        <w:t/>
      </w:r>
      <w:hyperlink w:anchor="page_48">
        <w:r>
          <w:rPr>
            <w:rStyle w:val="Text1"/>
          </w:rPr>
          <w:t/>
        </w:r>
      </w:hyperlink>
    </w:p>
    <w:p>
      <w:pPr>
        <w:pStyle w:val="Para 002"/>
      </w:pPr>
      <w:r>
        <w:t xml:space="preserve">sự hợp tác và, 55–57</w:t>
      </w:r>
      <w:hyperlink w:anchor="page_55">
        <w:r>
          <w:rPr>
            <w:rStyle w:val="Text1"/>
          </w:rPr>
          <w:t/>
        </w:r>
      </w:hyperlink>
      <w:r>
        <w:t/>
      </w:r>
      <w:hyperlink w:anchor="page_57">
        <w:r>
          <w:rPr>
            <w:rStyle w:val="Text1"/>
          </w:rPr>
          <w:t/>
        </w:r>
      </w:hyperlink>
    </w:p>
    <w:p>
      <w:pPr>
        <w:pStyle w:val="Para 002"/>
      </w:pPr>
      <w:r>
        <w:t xml:space="preserve">bỏ bớt, giao việc, hoặc thiết kế lại và, 46–47</w:t>
      </w:r>
      <w:hyperlink w:anchor="page_46">
        <w:r>
          <w:rPr>
            <w:rStyle w:val="Text1"/>
          </w:rPr>
          <w:t/>
        </w:r>
      </w:hyperlink>
      <w:r>
        <w:t/>
      </w:r>
      <w:hyperlink w:anchor="page_47">
        <w:r>
          <w:rPr>
            <w:rStyle w:val="Text1"/>
          </w:rPr>
          <w:t/>
        </w:r>
      </w:hyperlink>
    </w:p>
    <w:p>
      <w:pPr>
        <w:pStyle w:val="Para 002"/>
      </w:pPr>
      <w:r>
        <w:t xml:space="preserve">hoạt động tạo giá trị so với tốn thời gian và, 39–41</w:t>
      </w:r>
      <w:r>
        <w:rPr>
          <w:rStyle w:val="Text0"/>
        </w:rPr>
        <w:t/>
      </w:r>
      <w:r>
        <w:t xml:space="preserve"/>
      </w:r>
      <w:hyperlink w:anchor="page_39">
        <w:r>
          <w:rPr>
            <w:rStyle w:val="Text1"/>
          </w:rPr>
          <w:t/>
        </w:r>
      </w:hyperlink>
      <w:r>
        <w:t/>
      </w:r>
      <w:hyperlink w:anchor="page_41">
        <w:r>
          <w:rPr>
            <w:rStyle w:val="Text1"/>
          </w:rPr>
          <w:t/>
        </w:r>
      </w:hyperlink>
    </w:p>
    <w:p>
      <w:pPr>
        <w:pStyle w:val="Para 002"/>
      </w:pPr>
      <w:r>
        <w:t xml:space="preserve">tư cách tâm lý (psychological standing), 111, 112</w:t>
      </w:r>
      <w:hyperlink w:anchor="page_111_1">
        <w:r>
          <w:rPr>
            <w:rStyle w:val="Text1"/>
          </w:rPr>
          <w:t/>
        </w:r>
      </w:hyperlink>
      <w:r>
        <w:t xml:space="preserve"/>
      </w:r>
      <w:hyperlink w:anchor="page_112">
        <w:r>
          <w:rPr>
            <w:rStyle w:val="Text1"/>
          </w:rPr>
          <w:t/>
        </w:r>
      </w:hyperlink>
    </w:p>
    <w:p>
      <w:pPr>
        <w:pStyle w:val="Para 002"/>
      </w:pPr>
      <w:r>
        <w:t xml:space="preserve">bài kiểm tra công khai (publicity test), 130</w:t>
      </w:r>
      <w:hyperlink w:anchor="page_130">
        <w:r>
          <w:rPr>
            <w:rStyle w:val="Text1"/>
          </w:rPr>
          <w:t/>
        </w:r>
      </w:hyperlink>
    </w:p>
    <w:p>
      <w:pPr>
        <w:pStyle w:val="Para 002"/>
      </w:pPr>
      <w:r>
        <w:t xml:space="preserve">mục đích, 1–13</w:t>
      </w:r>
      <w:hyperlink w:anchor="page_1">
        <w:r>
          <w:rPr>
            <w:rStyle w:val="Text1"/>
          </w:rPr>
          <w:t/>
        </w:r>
      </w:hyperlink>
      <w:r>
        <w:t/>
      </w:r>
      <w:hyperlink w:anchor="page_13">
        <w:r>
          <w:rPr>
            <w:rStyle w:val="Text1"/>
          </w:rPr>
          <w:t/>
        </w:r>
      </w:hyperlink>
    </w:p>
    <w:p>
      <w:pPr>
        <w:pStyle w:val="Para 002"/>
      </w:pPr>
      <w:r>
        <w:t xml:space="preserve">định nghĩa về, 4–5</w:t>
      </w:r>
      <w:hyperlink w:anchor="page_4">
        <w:r>
          <w:rPr>
            <w:rStyle w:val="Text1"/>
          </w:rPr>
          <w:t/>
        </w:r>
      </w:hyperlink>
      <w:r>
        <w:t/>
      </w:r>
      <w:hyperlink w:anchor="page_5">
        <w:r>
          <w:rPr>
            <w:rStyle w:val="Text1"/>
          </w:rPr>
          <w:t/>
        </w:r>
      </w:hyperlink>
    </w:p>
    <w:p>
      <w:pPr>
        <w:pStyle w:val="Para 002"/>
      </w:pPr>
      <w:r>
        <w:t xml:space="preserve">giải thích, 9–10</w:t>
      </w:r>
      <w:hyperlink w:anchor="page_9">
        <w:r>
          <w:rPr>
            <w:rStyle w:val="Text1"/>
          </w:rPr>
          <w:t/>
        </w:r>
      </w:hyperlink>
      <w:r>
        <w:t/>
      </w:r>
      <w:hyperlink w:anchor="page_10">
        <w:r>
          <w:rPr>
            <w:rStyle w:val="Text1"/>
          </w:rPr>
          <w:t/>
        </w:r>
      </w:hyperlink>
    </w:p>
    <w:p>
      <w:pPr>
        <w:pStyle w:val="Para 002"/>
      </w:pPr>
      <w:r>
        <w:t xml:space="preserve">mục tiêu dựa trên, 10, 11</w:t>
      </w:r>
      <w:hyperlink w:anchor="page_10">
        <w:r>
          <w:rPr>
            <w:rStyle w:val="Text1"/>
          </w:rPr>
          <w:t/>
        </w:r>
      </w:hyperlink>
      <w:r>
        <w:t xml:space="preserve"/>
      </w:r>
      <w:hyperlink w:anchor="page_11">
        <w:r>
          <w:rPr>
            <w:rStyle w:val="Text1"/>
          </w:rPr>
          <w:t/>
        </w:r>
      </w:hyperlink>
    </w:p>
    <w:p>
      <w:pPr>
        <w:pStyle w:val="Para 002"/>
      </w:pPr>
      <w:r>
        <w:t xml:space="preserve">làm thế nào để tìm ra, 5–8</w:t>
      </w:r>
      <w:hyperlink w:anchor="page_5">
        <w:r>
          <w:rPr>
            <w:rStyle w:val="Text1"/>
          </w:rPr>
          <w:t/>
        </w:r>
      </w:hyperlink>
      <w:r>
        <w:t/>
      </w:r>
      <w:hyperlink w:anchor="page_8">
        <w:r>
          <w:rPr>
            <w:rStyle w:val="Text1"/>
          </w:rPr>
          <w:t/>
        </w:r>
      </w:hyperlink>
    </w:p>
    <w:p>
      <w:pPr>
        <w:pStyle w:val="Para 002"/>
      </w:pPr>
      <w:r>
        <w:t xml:space="preserve">cá nhân, cảm giác về, 1–3</w:t>
      </w:r>
      <w:hyperlink w:anchor="page_1">
        <w:r>
          <w:rPr>
            <w:rStyle w:val="Text1"/>
          </w:rPr>
          <w:t/>
        </w:r>
      </w:hyperlink>
      <w:r>
        <w:t/>
      </w:r>
      <w:hyperlink w:anchor="page_3">
        <w:r>
          <w:rPr>
            <w:rStyle w:val="Text1"/>
          </w:rPr>
          <w:t/>
        </w:r>
      </w:hyperlink>
    </w:p>
    <w:p>
      <w:pPr>
        <w:pStyle w:val="Para 002"/>
      </w:pPr>
      <w:r>
        <w:t xml:space="preserve">tổ chức, 1–2</w:t>
      </w:r>
      <w:hyperlink w:anchor="page_1">
        <w:r>
          <w:rPr>
            <w:rStyle w:val="Text1"/>
          </w:rPr>
          <w:t/>
        </w:r>
      </w:hyperlink>
      <w:r>
        <w:t/>
      </w:r>
      <w:hyperlink w:anchor="page_2">
        <w:r>
          <w:rPr>
            <w:rStyle w:val="Text1"/>
          </w:rPr>
          <w:t/>
        </w:r>
      </w:hyperlink>
    </w:p>
    <w:p>
      <w:pPr>
        <w:pStyle w:val="Para 002"/>
      </w:pPr>
      <w:r>
        <w:t xml:space="preserve">đưa vào hành động, 8–13</w:t>
      </w:r>
      <w:hyperlink w:anchor="page_8">
        <w:r>
          <w:rPr>
            <w:rStyle w:val="Text1"/>
          </w:rPr>
          <w:t/>
        </w:r>
      </w:hyperlink>
      <w:r>
        <w:t/>
      </w:r>
      <w:hyperlink w:anchor="page_13">
        <w:r>
          <w:rPr>
            <w:rStyle w:val="Text1"/>
          </w:rPr>
          <w:t/>
        </w:r>
      </w:hyperlink>
    </w:p>
    <w:p>
      <w:pPr>
        <w:pStyle w:val="Para 002"/>
      </w:pPr>
      <w:r>
        <w:t>tuyên bố mục đích (purpose statements)</w:t>
      </w:r>
    </w:p>
    <w:p>
      <w:pPr>
        <w:pStyle w:val="Para 002"/>
      </w:pPr>
      <w:r>
        <w:t xml:space="preserve">cá nhân, 1–3, 6–7</w:t>
      </w:r>
      <w:hyperlink w:anchor="page_1">
        <w:r>
          <w:rPr>
            <w:rStyle w:val="Text1"/>
          </w:rPr>
          <w:t/>
        </w:r>
      </w:hyperlink>
      <w:r>
        <w:t/>
      </w:r>
      <w:hyperlink w:anchor="page_3">
        <w:r>
          <w:rPr>
            <w:rStyle w:val="Text1"/>
          </w:rPr>
          <w:t/>
        </w:r>
      </w:hyperlink>
      <w:r>
        <w:t xml:space="preserve"/>
      </w:r>
      <w:hyperlink w:anchor="page_6">
        <w:r>
          <w:rPr>
            <w:rStyle w:val="Text1"/>
          </w:rPr>
          <w:t/>
        </w:r>
      </w:hyperlink>
      <w:r>
        <w:t/>
      </w:r>
      <w:hyperlink w:anchor="page_7">
        <w:r>
          <w:rPr>
            <w:rStyle w:val="Text1"/>
          </w:rPr>
          <w:t/>
        </w:r>
      </w:hyperlink>
    </w:p>
    <w:p>
      <w:pPr>
        <w:pStyle w:val="Para 002"/>
      </w:pPr>
      <w:r>
        <w:t xml:space="preserve">tổ chức, 1–2</w:t>
      </w:r>
      <w:hyperlink w:anchor="page_1">
        <w:r>
          <w:rPr>
            <w:rStyle w:val="Text1"/>
          </w:rPr>
          <w:t/>
        </w:r>
      </w:hyperlink>
      <w:r>
        <w:t/>
      </w:r>
      <w:hyperlink w:anchor="page_2">
        <w:r>
          <w:rPr>
            <w:rStyle w:val="Text1"/>
          </w:rPr>
          <w:t/>
        </w:r>
      </w:hyperlink>
    </w:p>
    <w:p>
      <w:pPr>
        <w:pStyle w:val="Para 002"/>
      </w:pPr>
      <w:r>
        <w:t xml:space="preserve">cá nhân mẫu, 9–10</w:t>
      </w:r>
      <w:hyperlink w:anchor="page_9">
        <w:r>
          <w:rPr>
            <w:rStyle w:val="Text1"/>
          </w:rPr>
          <w:t/>
        </w:r>
      </w:hyperlink>
      <w:r>
        <w:t/>
      </w:r>
      <w:hyperlink w:anchor="page_10">
        <w:r>
          <w:rPr>
            <w:rStyle w:val="Text1"/>
          </w:rPr>
          <w:t/>
        </w:r>
      </w:hyperlink>
    </w:p>
    <w:p>
      <w:pPr>
        <w:pStyle w:val="Para 024"/>
      </w:pPr>
      <w:r>
        <w:t xml:space="preserve">những chiến thắng nhanh chóng, 46</w:t>
      </w:r>
      <w:hyperlink w:anchor="page_46">
        <w:r>
          <w:rPr>
            <w:rStyle w:val="Text1"/>
          </w:rPr>
          <w:t/>
        </w:r>
      </w:hyperlink>
    </w:p>
    <w:p>
      <w:pPr>
        <w:pStyle w:val="Para 024"/>
      </w:pPr>
      <w:r>
        <w:t xml:space="preserve">bất công chủng tộc, 135–140</w:t>
      </w:r>
      <w:hyperlink w:anchor="page_135">
        <w:r>
          <w:rPr>
            <w:rStyle w:val="Text1"/>
          </w:rPr>
          <w:t/>
        </w:r>
      </w:hyperlink>
      <w:r>
        <w:t/>
      </w:r>
      <w:hyperlink w:anchor="page_140">
        <w:r>
          <w:rPr>
            <w:rStyle w:val="Text1"/>
          </w:rPr>
          <w:t/>
        </w:r>
      </w:hyperlink>
    </w:p>
    <w:p>
      <w:pPr>
        <w:pStyle w:val="Para 002"/>
      </w:pPr>
      <w:r>
        <w:t xml:space="preserve">lên tiếng tại nơi làm việc, 103–108</w:t>
      </w:r>
      <w:hyperlink w:anchor="page_103">
        <w:r>
          <w:rPr>
            <w:rStyle w:val="Text1"/>
          </w:rPr>
          <w:t/>
        </w:r>
      </w:hyperlink>
      <w:r>
        <w:t/>
      </w:r>
      <w:hyperlink w:anchor="page_108">
        <w:r>
          <w:rPr>
            <w:rStyle w:val="Text1"/>
          </w:rPr>
          <w:t/>
        </w:r>
      </w:hyperlink>
    </w:p>
    <w:p>
      <w:pPr>
        <w:pStyle w:val="Para 002"/>
      </w:pPr>
      <w:r>
        <w:t xml:space="preserve">sự hợp lý hóa, 130–131</w:t>
      </w:r>
      <w:hyperlink w:anchor="page_130">
        <w:r>
          <w:rPr>
            <w:rStyle w:val="Text1"/>
          </w:rPr>
          <w:t/>
        </w:r>
      </w:hyperlink>
      <w:r>
        <w:t/>
      </w:r>
      <w:hyperlink w:anchor="page_131_1">
        <w:r>
          <w:rPr>
            <w:rStyle w:val="Text1"/>
          </w:rPr>
          <w:t/>
        </w:r>
      </w:hyperlink>
    </w:p>
    <w:p>
      <w:pPr>
        <w:pStyle w:val="Para 002"/>
      </w:pPr>
      <w:r>
        <w:t xml:space="preserve">câu hỏi có đi có lại, 121</w:t>
      </w:r>
      <w:hyperlink w:anchor="page_121">
        <w:r>
          <w:rPr>
            <w:rStyle w:val="Text1"/>
          </w:rPr>
          <w:t/>
        </w:r>
      </w:hyperlink>
    </w:p>
    <w:p>
      <w:pPr>
        <w:pStyle w:val="Para 002"/>
      </w:pPr>
      <w:r>
        <w:t xml:space="preserve">thiết kế lại công việc, 46, 47</w:t>
      </w:r>
      <w:hyperlink w:anchor="page_46">
        <w:r>
          <w:rPr>
            <w:rStyle w:val="Text1"/>
          </w:rPr>
          <w:t/>
        </w:r>
      </w:hyperlink>
      <w:r>
        <w:t xml:space="preserve"/>
      </w:r>
      <w:hyperlink w:anchor="page_47">
        <w:r>
          <w:rPr>
            <w:rStyle w:val="Text1"/>
          </w:rPr>
          <w:t/>
        </w:r>
      </w:hyperlink>
    </w:p>
    <w:p>
      <w:pPr>
        <w:pStyle w:val="Para 002"/>
      </w:pPr>
      <w:r>
        <w:t>sự suy ngẫm</w:t>
      </w:r>
    </w:p>
    <w:p>
      <w:pPr>
        <w:pStyle w:val="Para 002"/>
      </w:pPr>
      <w:r>
        <w:t xml:space="preserve">đạo đức/luân lý và, 132–133</w:t>
      </w:r>
      <w:hyperlink w:anchor="page_132">
        <w:r>
          <w:rPr>
            <w:rStyle w:val="Text1"/>
          </w:rPr>
          <w:t/>
        </w:r>
      </w:hyperlink>
      <w:r>
        <w:t/>
      </w:r>
      <w:hyperlink w:anchor="page_133">
        <w:r>
          <w:rPr>
            <w:rStyle w:val="Text1"/>
          </w:rPr>
          <w:t/>
        </w:r>
      </w:hyperlink>
    </w:p>
    <w:p>
      <w:pPr>
        <w:pStyle w:val="Para 002"/>
      </w:pPr>
      <w:r>
        <w:t xml:space="preserve">tìm kiếm mục đích của bạn và, 5–8</w:t>
      </w:r>
      <w:hyperlink w:anchor="page_5">
        <w:r>
          <w:rPr>
            <w:rStyle w:val="Text1"/>
          </w:rPr>
          <w:t/>
        </w:r>
      </w:hyperlink>
      <w:r>
        <w:t/>
      </w:r>
      <w:hyperlink w:anchor="page_8">
        <w:r>
          <w:rPr>
            <w:rStyle w:val="Text1"/>
          </w:rPr>
          <w:t/>
        </w:r>
      </w:hyperlink>
    </w:p>
    <w:p>
      <w:pPr>
        <w:pStyle w:val="Para 002"/>
      </w:pPr>
      <w:r>
        <w:t xml:space="preserve">dành thời gian cho, 55</w:t>
      </w:r>
      <w:hyperlink w:anchor="page_55">
        <w:r>
          <w:rPr>
            <w:rStyle w:val="Text1"/>
          </w:rPr>
          <w:t/>
        </w:r>
      </w:hyperlink>
    </w:p>
    <w:p>
      <w:pPr>
        <w:pStyle w:val="Para 002"/>
      </w:pPr>
      <w:r>
        <w:t xml:space="preserve">môi trường pháp lý, 41</w:t>
      </w:r>
      <w:hyperlink w:anchor="page_41">
        <w:r>
          <w:rPr>
            <w:rStyle w:val="Text1"/>
          </w:rPr>
          <w:t/>
        </w:r>
      </w:hyperlink>
    </w:p>
    <w:p>
      <w:pPr>
        <w:pStyle w:val="Para 002"/>
      </w:pPr>
      <w:r>
        <w:t xml:space="preserve">sự tái tạo bản thân, 89–91</w:t>
      </w:r>
      <w:hyperlink w:anchor="page_89">
        <w:r>
          <w:rPr>
            <w:rStyle w:val="Text1"/>
          </w:rPr>
          <w:t/>
        </w:r>
      </w:hyperlink>
      <w:r>
        <w:t/>
      </w:r>
      <w:hyperlink w:anchor="page_91">
        <w:r>
          <w:rPr>
            <w:rStyle w:val="Text1"/>
          </w:rPr>
          <w:t/>
        </w:r>
      </w:hyperlink>
    </w:p>
    <w:p>
      <w:pPr>
        <w:pStyle w:val="Para 002"/>
      </w:pPr>
      <w:r>
        <w:t xml:space="preserve">các mối quan hệ. Xem thêm các cặp đôi sự nghiệp kép</w:t>
      </w:r>
      <w:r>
        <w:rPr>
          <w:rStyle w:val="Text0"/>
        </w:rPr>
        <w:t/>
      </w:r>
      <w:r>
        <w:t xml:space="preserve"/>
      </w:r>
    </w:p>
    <w:p>
      <w:pPr>
        <w:pStyle w:val="Para 002"/>
      </w:pPr>
      <w:r>
        <w:t xml:space="preserve">xây dựng, như một năng lực lãnh đạo, 25</w:t>
      </w:r>
      <w:hyperlink w:anchor="page_25">
        <w:r>
          <w:rPr>
            <w:rStyle w:val="Text1"/>
          </w:rPr>
          <w:t/>
        </w:r>
      </w:hyperlink>
    </w:p>
    <w:p>
      <w:pPr>
        <w:pStyle w:val="Para 002"/>
      </w:pPr>
      <w:r>
        <w:t xml:space="preserve">lên tiếng về bất công chủng tộc và, 104–105</w:t>
      </w:r>
      <w:hyperlink w:anchor="page_104">
        <w:r>
          <w:rPr>
            <w:rStyle w:val="Text1"/>
          </w:rPr>
          <w:t/>
        </w:r>
      </w:hyperlink>
      <w:r>
        <w:t/>
      </w:r>
      <w:hyperlink w:anchor="page_105">
        <w:r>
          <w:rPr>
            <w:rStyle w:val="Text1"/>
          </w:rPr>
          <w:t/>
        </w:r>
      </w:hyperlink>
    </w:p>
    <w:p>
      <w:pPr>
        <w:pStyle w:val="Para 002"/>
      </w:pPr>
      <w:r>
        <w:bookmarkStart w:id="455" w:name="page_150"/>
        <w:t>các mối quan hệ (tiếp theo)</w:t>
        <w:bookmarkEnd w:id="455"/>
        <w:t/>
      </w:r>
      <w:r>
        <w:rPr>
          <w:rStyle w:val="Text0"/>
        </w:rPr>
        <w:t/>
      </w:r>
      <w:r>
        <w:t/>
      </w:r>
    </w:p>
    <w:p>
      <w:pPr>
        <w:pStyle w:val="Para 002"/>
      </w:pPr>
      <w:r>
        <w:t xml:space="preserve">sự hợp tác và, 56</w:t>
      </w:r>
      <w:hyperlink w:anchor="page_56">
        <w:r>
          <w:rPr>
            <w:rStyle w:val="Text1"/>
          </w:rPr>
          <w:t/>
        </w:r>
      </w:hyperlink>
    </w:p>
    <w:p>
      <w:pPr>
        <w:pStyle w:val="Para 002"/>
      </w:pPr>
      <w:r>
        <w:t xml:space="preserve">việc ra quyết định và, 68, 71–72</w:t>
      </w:r>
      <w:hyperlink w:anchor="page_68">
        <w:r>
          <w:rPr>
            <w:rStyle w:val="Text1"/>
          </w:rPr>
          <w:t/>
        </w:r>
      </w:hyperlink>
      <w:r>
        <w:t xml:space="preserve"/>
      </w:r>
      <w:hyperlink w:anchor="page_71">
        <w:r>
          <w:rPr>
            <w:rStyle w:val="Text1"/>
          </w:rPr>
          <w:t/>
        </w:r>
      </w:hyperlink>
      <w:r>
        <w:t/>
      </w:r>
      <w:hyperlink w:anchor="page_72">
        <w:r>
          <w:rPr>
            <w:rStyle w:val="Text1"/>
          </w:rPr>
          <w:t/>
        </w:r>
      </w:hyperlink>
    </w:p>
    <w:p>
      <w:pPr>
        <w:pStyle w:val="Para 002"/>
      </w:pPr>
      <w:r>
        <w:t xml:space="preserve">sự nghiệp có đạo đức và, 128</w:t>
      </w:r>
      <w:hyperlink w:anchor="page_128">
        <w:r>
          <w:rPr>
            <w:rStyle w:val="Text1"/>
          </w:rPr>
          <w:t/>
        </w:r>
      </w:hyperlink>
    </w:p>
    <w:p>
      <w:pPr>
        <w:pStyle w:val="Para 002"/>
      </w:pPr>
      <w:r>
        <w:t xml:space="preserve">đồng minh nam giới và, 108–113</w:t>
      </w:r>
      <w:hyperlink w:anchor="page_108">
        <w:r>
          <w:rPr>
            <w:rStyle w:val="Text1"/>
          </w:rPr>
          <w:t/>
        </w:r>
      </w:hyperlink>
      <w:r>
        <w:t/>
      </w:r>
      <w:hyperlink w:anchor="page_113">
        <w:r>
          <w:rPr>
            <w:rStyle w:val="Text1"/>
          </w:rPr>
          <w:t/>
        </w:r>
      </w:hyperlink>
    </w:p>
    <w:p>
      <w:pPr>
        <w:pStyle w:val="Para 002"/>
      </w:pPr>
      <w:r>
        <w:t xml:space="preserve">đàm phán và, 120–121</w:t>
      </w:r>
      <w:hyperlink w:anchor="page_120">
        <w:r>
          <w:rPr>
            <w:rStyle w:val="Text1"/>
          </w:rPr>
          <w:t/>
        </w:r>
      </w:hyperlink>
      <w:r>
        <w:t/>
      </w:r>
      <w:hyperlink w:anchor="page_121">
        <w:r>
          <w:rPr>
            <w:rStyle w:val="Text1"/>
          </w:rPr>
          <w:t/>
        </w:r>
      </w:hyperlink>
    </w:p>
    <w:p>
      <w:pPr>
        <w:pStyle w:val="Para 002"/>
      </w:pPr>
      <w:r>
        <w:t xml:space="preserve">cho mục đích đến tác động, 11, 13</w:t>
      </w:r>
      <w:hyperlink w:anchor="page_11">
        <w:r>
          <w:rPr>
            <w:rStyle w:val="Text1"/>
          </w:rPr>
          <w:t/>
        </w:r>
      </w:hyperlink>
      <w:r>
        <w:t xml:space="preserve"/>
      </w:r>
      <w:hyperlink w:anchor="page_13">
        <w:r>
          <w:rPr>
            <w:rStyle w:val="Text1"/>
          </w:rPr>
          <w:t/>
        </w:r>
      </w:hyperlink>
    </w:p>
    <w:p>
      <w:pPr>
        <w:pStyle w:val="Para 002"/>
      </w:pPr>
      <w:r>
        <w:t xml:space="preserve">sự chuyển chỗ ở, 78</w:t>
      </w:r>
      <w:hyperlink w:anchor="page_78">
        <w:r>
          <w:rPr>
            <w:rStyle w:val="Text1"/>
          </w:rPr>
          <w:t/>
        </w:r>
      </w:hyperlink>
    </w:p>
    <w:p>
      <w:pPr>
        <w:pStyle w:val="Para 002"/>
      </w:pPr>
      <w:r>
        <w:t xml:space="preserve">phẩm chất trong sơ yếu lý lịch, 126</w:t>
      </w:r>
      <w:hyperlink w:anchor="page_126">
        <w:r>
          <w:rPr>
            <w:rStyle w:val="Text1"/>
          </w:rPr>
          <w:t/>
        </w:r>
      </w:hyperlink>
    </w:p>
    <w:p>
      <w:pPr>
        <w:pStyle w:val="Para 059"/>
      </w:pPr>
      <w:r>
        <w:t>The Road to Character (Brooks), 126</w:t>
      </w:r>
      <w:r>
        <w:rPr>
          <w:rStyle w:val="Text0"/>
        </w:rPr>
        <w:t xml:space="preserve"/>
      </w:r>
      <w:hyperlink w:anchor="page_126">
        <w:r>
          <w:rPr>
            <w:rStyle w:val="Text12"/>
          </w:rPr>
          <w:t/>
        </w:r>
      </w:hyperlink>
    </w:p>
    <w:p>
      <w:pPr>
        <w:pStyle w:val="Para 002"/>
      </w:pPr>
      <w:r>
        <w:t xml:space="preserve">Roberts, Laura Morgan, 103–108, 135–140</w:t>
      </w:r>
      <w:hyperlink w:anchor="page_103">
        <w:r>
          <w:rPr>
            <w:rStyle w:val="Text1"/>
          </w:rPr>
          <w:t/>
        </w:r>
      </w:hyperlink>
      <w:r>
        <w:t/>
      </w:r>
      <w:hyperlink w:anchor="page_108">
        <w:r>
          <w:rPr>
            <w:rStyle w:val="Text1"/>
          </w:rPr>
          <w:t/>
        </w:r>
      </w:hyperlink>
      <w:r>
        <w:t xml:space="preserve"/>
      </w:r>
      <w:hyperlink w:anchor="page_135">
        <w:r>
          <w:rPr>
            <w:rStyle w:val="Text1"/>
          </w:rPr>
          <w:t/>
        </w:r>
      </w:hyperlink>
      <w:r>
        <w:t/>
      </w:r>
      <w:hyperlink w:anchor="page_140">
        <w:r>
          <w:rPr>
            <w:rStyle w:val="Text1"/>
          </w:rPr>
          <w:t/>
        </w:r>
      </w:hyperlink>
    </w:p>
    <w:p>
      <w:pPr>
        <w:pStyle w:val="Para 002"/>
      </w:pPr>
      <w:r>
        <w:t xml:space="preserve">Root Capital, 96, 101</w:t>
      </w:r>
      <w:hyperlink w:anchor="page_96">
        <w:r>
          <w:rPr>
            <w:rStyle w:val="Text1"/>
          </w:rPr>
          <w:t/>
        </w:r>
      </w:hyperlink>
      <w:r>
        <w:t xml:space="preserve"/>
      </w:r>
      <w:hyperlink w:anchor="page_101">
        <w:r>
          <w:rPr>
            <w:rStyle w:val="Text1"/>
          </w:rPr>
          <w:t/>
        </w:r>
      </w:hyperlink>
    </w:p>
    <w:p>
      <w:pPr>
        <w:pStyle w:val="Para 024"/>
      </w:pPr>
      <w:r>
        <w:t xml:space="preserve">Sansone, Carol, 19</w:t>
      </w:r>
      <w:hyperlink w:anchor="page_19">
        <w:r>
          <w:rPr>
            <w:rStyle w:val="Text1"/>
          </w:rPr>
          <w:t/>
        </w:r>
      </w:hyperlink>
    </w:p>
    <w:p>
      <w:pPr>
        <w:pStyle w:val="Para 002"/>
      </w:pPr>
      <w:r>
        <w:t xml:space="preserve">điểm tựa an toàn (secure base), 86–87</w:t>
      </w:r>
      <w:hyperlink w:anchor="page_86">
        <w:r>
          <w:rPr>
            <w:rStyle w:val="Text1"/>
          </w:rPr>
          <w:t/>
        </w:r>
      </w:hyperlink>
      <w:r>
        <w:t/>
      </w:r>
      <w:hyperlink w:anchor="page_87">
        <w:r>
          <w:rPr>
            <w:rStyle w:val="Text1"/>
          </w:rPr>
          <w:t/>
        </w:r>
      </w:hyperlink>
    </w:p>
    <w:p>
      <w:pPr>
        <w:pStyle w:val="Para 002"/>
      </w:pPr>
      <w:r>
        <w:t xml:space="preserve">tự đánh giá (self-assessments), thiên kiến trong, 18–19, 126</w:t>
      </w:r>
      <w:hyperlink w:anchor="page_18">
        <w:r>
          <w:rPr>
            <w:rStyle w:val="Text1"/>
          </w:rPr>
          <w:t/>
        </w:r>
      </w:hyperlink>
      <w:r>
        <w:t/>
      </w:r>
      <w:hyperlink w:anchor="page_19">
        <w:r>
          <w:rPr>
            <w:rStyle w:val="Text1"/>
          </w:rPr>
          <w:t/>
        </w:r>
      </w:hyperlink>
      <w:r>
        <w:t xml:space="preserve"/>
      </w:r>
      <w:hyperlink w:anchor="page_126">
        <w:r>
          <w:rPr>
            <w:rStyle w:val="Text1"/>
          </w:rPr>
          <w:t/>
        </w:r>
      </w:hyperlink>
    </w:p>
    <w:p>
      <w:pPr>
        <w:pStyle w:val="Para 002"/>
      </w:pPr>
      <w:r>
        <w:t xml:space="preserve">tự nhận thức (self-awareness), học hỏi và, 15, 18–19</w:t>
      </w:r>
      <w:hyperlink w:anchor="page_15">
        <w:r>
          <w:rPr>
            <w:rStyle w:val="Text1"/>
          </w:rPr>
          <w:t/>
        </w:r>
      </w:hyperlink>
      <w:r>
        <w:t xml:space="preserve"/>
      </w:r>
      <w:hyperlink w:anchor="page_18">
        <w:r>
          <w:rPr>
            <w:rStyle w:val="Text1"/>
          </w:rPr>
          <w:t/>
        </w:r>
      </w:hyperlink>
      <w:r>
        <w:t/>
      </w:r>
      <w:hyperlink w:anchor="page_19">
        <w:r>
          <w:rPr>
            <w:rStyle w:val="Text1"/>
          </w:rPr>
          <w:t/>
        </w:r>
      </w:hyperlink>
    </w:p>
    <w:p>
      <w:pPr>
        <w:pStyle w:val="Para 002"/>
      </w:pPr>
      <w:r>
        <w:t xml:space="preserve">tự kiểm soát (self-control), 129</w:t>
      </w:r>
      <w:hyperlink w:anchor="page_129">
        <w:r>
          <w:rPr>
            <w:rStyle w:val="Text1"/>
          </w:rPr>
          <w:t/>
        </w:r>
      </w:hyperlink>
    </w:p>
    <w:p>
      <w:pPr>
        <w:pStyle w:val="Para 002"/>
      </w:pPr>
      <w:r>
        <w:t xml:space="preserve">tự trò chuyện nội tâm (self-talk), 18–19</w:t>
      </w:r>
      <w:hyperlink w:anchor="page_18">
        <w:r>
          <w:rPr>
            <w:rStyle w:val="Text1"/>
          </w:rPr>
          <w:t/>
        </w:r>
      </w:hyperlink>
      <w:r>
        <w:t/>
      </w:r>
      <w:hyperlink w:anchor="page_19">
        <w:r>
          <w:rPr>
            <w:rStyle w:val="Text1"/>
          </w:rPr>
          <w:t/>
        </w:r>
      </w:hyperlink>
    </w:p>
    <w:p>
      <w:pPr>
        <w:pStyle w:val="Para 002"/>
      </w:pPr>
      <w:r>
        <w:t xml:space="preserve">sự nhanh nhẹn cảm xúc (emotional agility) và, 59–66</w:t>
      </w:r>
      <w:hyperlink w:anchor="page_59">
        <w:r>
          <w:rPr>
            <w:rStyle w:val="Text1"/>
          </w:rPr>
          <w:t/>
        </w:r>
      </w:hyperlink>
      <w:r>
        <w:t/>
      </w:r>
      <w:hyperlink w:anchor="page_66">
        <w:r>
          <w:rPr>
            <w:rStyle w:val="Text1"/>
          </w:rPr>
          <w:t/>
        </w:r>
      </w:hyperlink>
    </w:p>
    <w:p>
      <w:pPr>
        <w:pStyle w:val="Para 002"/>
      </w:pPr>
      <w:r>
        <w:t xml:space="preserve">Shaw, George Bernard, 8</w:t>
      </w:r>
      <w:hyperlink w:anchor="page_8">
        <w:r>
          <w:rPr>
            <w:rStyle w:val="Text1"/>
          </w:rPr>
          <w:t/>
        </w:r>
      </w:hyperlink>
    </w:p>
    <w:p>
      <w:pPr>
        <w:pStyle w:val="Para 002"/>
      </w:pPr>
      <w:r>
        <w:t xml:space="preserve">Smith, David G., 108–113</w:t>
      </w:r>
      <w:hyperlink w:anchor="page_108">
        <w:r>
          <w:rPr>
            <w:rStyle w:val="Text1"/>
          </w:rPr>
          <w:t/>
        </w:r>
      </w:hyperlink>
      <w:r>
        <w:t/>
      </w:r>
      <w:hyperlink w:anchor="page_113">
        <w:r>
          <w:rPr>
            <w:rStyle w:val="Text1"/>
          </w:rPr>
          <w:t/>
        </w:r>
      </w:hyperlink>
    </w:p>
    <w:p>
      <w:pPr>
        <w:pStyle w:val="Para 002"/>
      </w:pPr>
      <w:r>
        <w:t xml:space="preserve">Smith, Isaac H., 125–133</w:t>
      </w:r>
      <w:hyperlink w:anchor="page_125">
        <w:r>
          <w:rPr>
            <w:rStyle w:val="Text1"/>
          </w:rPr>
          <w:t/>
        </w:r>
      </w:hyperlink>
      <w:r>
        <w:t/>
      </w:r>
      <w:hyperlink w:anchor="page_133">
        <w:r>
          <w:rPr>
            <w:rStyle w:val="Text1"/>
          </w:rPr>
          <w:t/>
        </w:r>
      </w:hyperlink>
    </w:p>
    <w:p>
      <w:pPr>
        <w:pStyle w:val="Para 002"/>
      </w:pPr>
      <w:r>
        <w:t xml:space="preserve">Smith Kline Beecham, 98–99</w:t>
      </w:r>
      <w:hyperlink w:anchor="page_98">
        <w:r>
          <w:rPr>
            <w:rStyle w:val="Text1"/>
          </w:rPr>
          <w:t/>
        </w:r>
      </w:hyperlink>
      <w:r>
        <w:t/>
      </w:r>
      <w:hyperlink w:anchor="page_99">
        <w:r>
          <w:rPr>
            <w:rStyle w:val="Text1"/>
          </w:rPr>
          <w:t/>
        </w:r>
      </w:hyperlink>
    </w:p>
    <w:p>
      <w:pPr>
        <w:pStyle w:val="Para 002"/>
      </w:pPr>
      <w:r>
        <w:t xml:space="preserve">Snook, Kathi, 2–3, 4</w:t>
      </w:r>
      <w:hyperlink w:anchor="page_2">
        <w:r>
          <w:rPr>
            <w:rStyle w:val="Text1"/>
          </w:rPr>
          <w:t/>
        </w:r>
      </w:hyperlink>
      <w:r>
        <w:t/>
      </w:r>
      <w:hyperlink w:anchor="page_3">
        <w:r>
          <w:rPr>
            <w:rStyle w:val="Text1"/>
          </w:rPr>
          <w:t/>
        </w:r>
      </w:hyperlink>
      <w:r>
        <w:t xml:space="preserve"/>
      </w:r>
      <w:hyperlink w:anchor="page_4">
        <w:r>
          <w:rPr>
            <w:rStyle w:val="Text1"/>
          </w:rPr>
          <w:t/>
        </w:r>
      </w:hyperlink>
    </w:p>
    <w:p>
      <w:pPr>
        <w:pStyle w:val="Para 002"/>
      </w:pPr>
      <w:r>
        <w:t xml:space="preserve">Snook, Scott, 1–13</w:t>
      </w:r>
      <w:hyperlink w:anchor="page_1">
        <w:r>
          <w:rPr>
            <w:rStyle w:val="Text1"/>
          </w:rPr>
          <w:t/>
        </w:r>
      </w:hyperlink>
      <w:r>
        <w:t/>
      </w:r>
      <w:hyperlink w:anchor="page_13">
        <w:r>
          <w:rPr>
            <w:rStyle w:val="Text1"/>
          </w:rPr>
          <w:t/>
        </w:r>
      </w:hyperlink>
    </w:p>
    <w:p>
      <w:pPr>
        <w:pStyle w:val="Para 002"/>
      </w:pPr>
      <w:r>
        <w:t xml:space="preserve">vốn xã hội (social capital), 112</w:t>
      </w:r>
      <w:hyperlink w:anchor="page_112">
        <w:r>
          <w:rPr>
            <w:rStyle w:val="Text1"/>
          </w:rPr>
          <w:t/>
        </w:r>
      </w:hyperlink>
    </w:p>
    <w:p>
      <w:pPr>
        <w:pStyle w:val="Para 002"/>
      </w:pPr>
      <w:r>
        <w:t xml:space="preserve">Solheim, Jostein, 9</w:t>
      </w:r>
      <w:hyperlink w:anchor="page_9">
        <w:r>
          <w:rPr>
            <w:rStyle w:val="Text1"/>
          </w:rPr>
          <w:t/>
        </w:r>
      </w:hyperlink>
    </w:p>
    <w:p>
      <w:pPr>
        <w:pStyle w:val="Para 002"/>
      </w:pPr>
      <w:r>
        <w:t xml:space="preserve">các bên liên quan (stakeholders), trong hợp tác, 56</w:t>
      </w:r>
      <w:hyperlink w:anchor="page_56">
        <w:r>
          <w:rPr>
            <w:rStyle w:val="Text1"/>
          </w:rPr>
          <w:t/>
        </w:r>
      </w:hyperlink>
    </w:p>
    <w:p>
      <w:pPr>
        <w:pStyle w:val="Para 002"/>
      </w:pPr>
      <w:r>
        <w:t xml:space="preserve">bài tập Bắt đầu/Dừng lại/Tiếp tục (Start/Stop/Continue exercise), 43–44</w:t>
      </w:r>
      <w:hyperlink w:anchor="page_43">
        <w:r>
          <w:rPr>
            <w:rStyle w:val="Text1"/>
          </w:rPr>
          <w:t/>
        </w:r>
      </w:hyperlink>
      <w:r>
        <w:t/>
      </w:r>
      <w:hyperlink w:anchor="page_44">
        <w:r>
          <w:rPr>
            <w:rStyle w:val="Text1"/>
          </w:rPr>
          <w:t/>
        </w:r>
      </w:hyperlink>
    </w:p>
    <w:p>
      <w:pPr>
        <w:pStyle w:val="Para 002"/>
      </w:pPr>
      <w:r>
        <w:t xml:space="preserve">định kiến (stereotypes), 136</w:t>
      </w:r>
      <w:hyperlink w:anchor="page_136">
        <w:r>
          <w:rPr>
            <w:rStyle w:val="Text1"/>
          </w:rPr>
          <w:t/>
        </w:r>
      </w:hyperlink>
    </w:p>
    <w:p>
      <w:pPr>
        <w:pStyle w:val="Para 002"/>
      </w:pPr>
      <w:r>
        <w:t xml:space="preserve">điểm mạnh (strengths), phát triển, 23–38</w:t>
      </w:r>
      <w:hyperlink w:anchor="page_23">
        <w:r>
          <w:rPr>
            <w:rStyle w:val="Text1"/>
          </w:rPr>
          <w:t/>
        </w:r>
      </w:hyperlink>
      <w:r>
        <w:t/>
      </w:r>
      <w:hyperlink w:anchor="page_38">
        <w:r>
          <w:rPr>
            <w:rStyle w:val="Text1"/>
          </w:rPr>
          <w:t/>
        </w:r>
      </w:hyperlink>
    </w:p>
    <w:p>
      <w:pPr>
        <w:pStyle w:val="Para 002"/>
      </w:pPr>
      <w:r>
        <w:t xml:space="preserve">chọn một điểm để tập trung, 32–33</w:t>
      </w:r>
      <w:hyperlink w:anchor="page_32">
        <w:r>
          <w:rPr>
            <w:rStyle w:val="Text1"/>
          </w:rPr>
          <w:t/>
        </w:r>
      </w:hyperlink>
      <w:r>
        <w:t/>
      </w:r>
      <w:hyperlink w:anchor="page_33">
        <w:r>
          <w:rPr>
            <w:rStyle w:val="Text1"/>
          </w:rPr>
          <w:t/>
        </w:r>
      </w:hyperlink>
    </w:p>
    <w:p>
      <w:pPr>
        <w:pStyle w:val="Para 002"/>
      </w:pPr>
      <w:r>
        <w:t xml:space="preserve">một cách thái quá, 36–37</w:t>
      </w:r>
      <w:hyperlink w:anchor="page_36">
        <w:r>
          <w:rPr>
            <w:rStyle w:val="Text1"/>
          </w:rPr>
          <w:t/>
        </w:r>
      </w:hyperlink>
      <w:r>
        <w:t/>
      </w:r>
      <w:hyperlink w:anchor="page_37">
        <w:r>
          <w:rPr>
            <w:rStyle w:val="Text1"/>
          </w:rPr>
          <w:t/>
        </w:r>
      </w:hyperlink>
    </w:p>
    <w:p>
      <w:pPr>
        <w:pStyle w:val="Para 002"/>
      </w:pPr>
      <w:r>
        <w:t xml:space="preserve">xác định điểm mạnh để, 29–32</w:t>
      </w:r>
      <w:hyperlink w:anchor="page_29">
        <w:r>
          <w:rPr>
            <w:rStyle w:val="Text1"/>
          </w:rPr>
          <w:t/>
        </w:r>
      </w:hyperlink>
      <w:r>
        <w:t/>
      </w:r>
      <w:hyperlink w:anchor="page_32">
        <w:r>
          <w:rPr>
            <w:rStyle w:val="Text1"/>
          </w:rPr>
          <w:t/>
        </w:r>
      </w:hyperlink>
    </w:p>
    <w:p>
      <w:pPr>
        <w:pStyle w:val="Para 002"/>
      </w:pPr>
      <w:r>
        <w:t xml:space="preserve">quy trình tuyến tính cho, 35–36</w:t>
      </w:r>
      <w:hyperlink w:anchor="page_35">
        <w:r>
          <w:rPr>
            <w:rStyle w:val="Text1"/>
          </w:rPr>
          <w:t/>
        </w:r>
      </w:hyperlink>
      <w:r>
        <w:t/>
      </w:r>
      <w:hyperlink w:anchor="page_36">
        <w:r>
          <w:rPr>
            <w:rStyle w:val="Text1"/>
          </w:rPr>
          <w:t/>
        </w:r>
      </w:hyperlink>
    </w:p>
    <w:p>
      <w:pPr>
        <w:pStyle w:val="Para 002"/>
      </w:pPr>
      <w:r>
        <w:t xml:space="preserve">các bước trong, 29–36</w:t>
      </w:r>
      <w:hyperlink w:anchor="page_29">
        <w:r>
          <w:rPr>
            <w:rStyle w:val="Text1"/>
          </w:rPr>
          <w:t/>
        </w:r>
      </w:hyperlink>
      <w:r>
        <w:t/>
      </w:r>
      <w:hyperlink w:anchor="page_36">
        <w:r>
          <w:rPr>
            <w:rStyle w:val="Text1"/>
          </w:rPr>
          <w:t/>
        </w:r>
      </w:hyperlink>
    </w:p>
    <w:p>
      <w:pPr>
        <w:pStyle w:val="Para 002"/>
      </w:pPr>
      <w:r>
        <w:t xml:space="preserve">tạm ngưng hoài nghi (suspension of disbelief), 86</w:t>
      </w:r>
      <w:hyperlink w:anchor="page_86">
        <w:r>
          <w:rPr>
            <w:rStyle w:val="Text1"/>
          </w:rPr>
          <w:t/>
        </w:r>
      </w:hyperlink>
    </w:p>
    <w:p>
      <w:pPr>
        <w:pStyle w:val="Para 024"/>
      </w:pPr>
      <w:r>
        <w:t xml:space="preserve">Taylor, Scott, 49–57</w:t>
      </w:r>
      <w:hyperlink w:anchor="page_49">
        <w:r>
          <w:rPr>
            <w:rStyle w:val="Text1"/>
          </w:rPr>
          <w:t/>
        </w:r>
      </w:hyperlink>
      <w:r>
        <w:t/>
      </w:r>
      <w:hyperlink w:anchor="page_57">
        <w:r>
          <w:rPr>
            <w:rStyle w:val="Text1"/>
          </w:rPr>
          <w:t/>
        </w:r>
      </w:hyperlink>
    </w:p>
    <w:p>
      <w:pPr>
        <w:pStyle w:val="Para 002"/>
      </w:pPr>
      <w:r>
        <w:t xml:space="preserve">Tenbrunsel, Ann, 126</w:t>
      </w:r>
      <w:hyperlink w:anchor="page_126">
        <w:r>
          <w:rPr>
            <w:rStyle w:val="Text1"/>
          </w:rPr>
          <w:t/>
        </w:r>
      </w:hyperlink>
    </w:p>
    <w:p>
      <w:pPr>
        <w:pStyle w:val="Para 002"/>
      </w:pPr>
      <w:r>
        <w:t xml:space="preserve">quản lý thời gian, 39–48. Xem thêm quá tải hợp tác (collaborative overload)</w:t>
      </w:r>
      <w:hyperlink w:anchor="page_39">
        <w:r>
          <w:rPr>
            <w:rStyle w:val="Text1"/>
          </w:rPr>
          <w:t/>
        </w:r>
      </w:hyperlink>
      <w:r>
        <w:t/>
      </w:r>
      <w:hyperlink w:anchor="page_48">
        <w:r>
          <w:rPr>
            <w:rStyle w:val="Text1"/>
          </w:rPr>
          <w:t/>
        </w:r>
      </w:hyperlink>
      <w:r>
        <w:t xml:space="preserve"/>
      </w:r>
      <w:r>
        <w:rPr>
          <w:rStyle w:val="Text0"/>
        </w:rPr>
        <w:t/>
      </w:r>
      <w:r>
        <w:t xml:space="preserve"/>
      </w:r>
    </w:p>
    <w:p>
      <w:pPr>
        <w:pStyle w:val="Para 002"/>
      </w:pPr>
      <w:r>
        <w:t xml:space="preserve">phân bổ thời gian giải phóng và, 47</w:t>
      </w:r>
      <w:hyperlink w:anchor="page_47">
        <w:r>
          <w:rPr>
            <w:rStyle w:val="Text1"/>
          </w:rPr>
          <w:t/>
        </w:r>
      </w:hyperlink>
    </w:p>
    <w:p>
      <w:pPr>
        <w:pStyle w:val="Para 002"/>
      </w:pPr>
      <w:r>
        <w:t xml:space="preserve">nghĩa vụ cốt lõi và, 68, 69–70</w:t>
      </w:r>
      <w:hyperlink w:anchor="page_68">
        <w:r>
          <w:rPr>
            <w:rStyle w:val="Text1"/>
          </w:rPr>
          <w:t/>
        </w:r>
      </w:hyperlink>
      <w:r>
        <w:t xml:space="preserve"/>
      </w:r>
      <w:hyperlink w:anchor="page_69">
        <w:r>
          <w:rPr>
            <w:rStyle w:val="Text1"/>
          </w:rPr>
          <w:t/>
        </w:r>
      </w:hyperlink>
      <w:r>
        <w:t/>
      </w:r>
      <w:hyperlink w:anchor="page_70">
        <w:r>
          <w:rPr>
            <w:rStyle w:val="Text1"/>
          </w:rPr>
          <w:t/>
        </w:r>
      </w:hyperlink>
    </w:p>
    <w:p>
      <w:pPr>
        <w:pStyle w:val="Para 002"/>
      </w:pPr>
      <w:r>
        <w:t xml:space="preserve">giao việc (delegating) và, 46</w:t>
      </w:r>
      <w:hyperlink w:anchor="page_46">
        <w:r>
          <w:rPr>
            <w:rStyle w:val="Text1"/>
          </w:rPr>
          <w:t/>
        </w:r>
      </w:hyperlink>
    </w:p>
    <w:p>
      <w:pPr>
        <w:pStyle w:val="Para 002"/>
      </w:pPr>
      <w:r>
        <w:t xml:space="preserve">ra quyết định có đạo đức và, 131</w:t>
      </w:r>
      <w:hyperlink w:anchor="page_131_1">
        <w:r>
          <w:rPr>
            <w:rStyle w:val="Text1"/>
          </w:rPr>
          <w:t/>
        </w:r>
      </w:hyperlink>
    </w:p>
    <w:p>
      <w:pPr>
        <w:pStyle w:val="Para 002"/>
      </w:pPr>
      <w:r>
        <w:t xml:space="preserve">xác định các hoạt động tạo giá trị gia tăng và, 44–46</w:t>
      </w:r>
      <w:hyperlink w:anchor="page_44">
        <w:r>
          <w:rPr>
            <w:rStyle w:val="Text1"/>
          </w:rPr>
          <w:t/>
        </w:r>
      </w:hyperlink>
      <w:r>
        <w:t/>
      </w:r>
      <w:hyperlink w:anchor="page_46">
        <w:r>
          <w:rPr>
            <w:rStyle w:val="Text1"/>
          </w:rPr>
          <w:t/>
        </w:r>
      </w:hyperlink>
    </w:p>
    <w:p>
      <w:pPr>
        <w:pStyle w:val="Para 002"/>
      </w:pPr>
      <w:r>
        <w:t xml:space="preserve">chuyển giao bớt nhiệm vụ và, 43, 46–47</w:t>
      </w:r>
      <w:hyperlink w:anchor="page_43">
        <w:r>
          <w:rPr>
            <w:rStyle w:val="Text1"/>
          </w:rPr>
          <w:t/>
        </w:r>
      </w:hyperlink>
      <w:r>
        <w:t xml:space="preserve"/>
      </w:r>
      <w:hyperlink w:anchor="page_46">
        <w:r>
          <w:rPr>
            <w:rStyle w:val="Text1"/>
          </w:rPr>
          <w:t/>
        </w:r>
      </w:hyperlink>
      <w:r>
        <w:t/>
      </w:r>
      <w:hyperlink w:anchor="page_47">
        <w:r>
          <w:rPr>
            <w:rStyle w:val="Text1"/>
          </w:rPr>
          <w:t/>
        </w:r>
      </w:hyperlink>
    </w:p>
    <w:p>
      <w:pPr>
        <w:pStyle w:val="Para 002"/>
      </w:pPr>
      <w:r>
        <w:t xml:space="preserve">những thắng lợi nhanh chóng (quick kills) và, 46</w:t>
      </w:r>
      <w:hyperlink w:anchor="page_46">
        <w:r>
          <w:rPr>
            <w:rStyle w:val="Text1"/>
          </w:rPr>
          <w:t/>
        </w:r>
      </w:hyperlink>
    </w:p>
    <w:p>
      <w:pPr>
        <w:pStyle w:val="Para 002"/>
      </w:pPr>
      <w:r>
        <w:t xml:space="preserve">thiết kế lại công việc và, 46, 47</w:t>
      </w:r>
      <w:hyperlink w:anchor="page_46">
        <w:r>
          <w:rPr>
            <w:rStyle w:val="Text1"/>
          </w:rPr>
          <w:t/>
        </w:r>
      </w:hyperlink>
      <w:r>
        <w:t xml:space="preserve"/>
      </w:r>
      <w:hyperlink w:anchor="page_47">
        <w:r>
          <w:rPr>
            <w:rStyle w:val="Text1"/>
          </w:rPr>
          <w:t/>
        </w:r>
      </w:hyperlink>
    </w:p>
    <w:p>
      <w:pPr>
        <w:pStyle w:val="Para 002"/>
      </w:pPr>
      <w:r>
        <w:t xml:space="preserve">niềm tin, 96</w:t>
      </w:r>
      <w:hyperlink w:anchor="page_96">
        <w:r>
          <w:rPr>
            <w:rStyle w:val="Text1"/>
          </w:rPr>
          <w:t/>
        </w:r>
      </w:hyperlink>
    </w:p>
    <w:p>
      <w:pPr>
        <w:pStyle w:val="Para 002"/>
      </w:pPr>
      <w:r>
        <w:t xml:space="preserve">lần lượt thay phiên nhau, 84–85</w:t>
      </w:r>
      <w:hyperlink w:anchor="page_84">
        <w:r>
          <w:rPr>
            <w:rStyle w:val="Text1"/>
          </w:rPr>
          <w:t/>
        </w:r>
      </w:hyperlink>
      <w:r>
        <w:t/>
      </w:r>
      <w:hyperlink w:anchor="page_85">
        <w:r>
          <w:rPr>
            <w:rStyle w:val="Text1"/>
          </w:rPr>
          <w:t/>
        </w:r>
      </w:hyperlink>
    </w:p>
    <w:p>
      <w:pPr>
        <w:pStyle w:val="Para 002"/>
      </w:pPr>
      <w:r>
        <w:t xml:space="preserve">Twain, Mark, 1</w:t>
      </w:r>
      <w:hyperlink w:anchor="page_1">
        <w:r>
          <w:rPr>
            <w:rStyle w:val="Text1"/>
          </w:rPr>
          <w:t/>
        </w:r>
      </w:hyperlink>
    </w:p>
    <w:p>
      <w:pPr>
        <w:pStyle w:val="Para 024"/>
      </w:pPr>
      <w:r>
        <w:t xml:space="preserve">Unilever, 3, 9</w:t>
      </w:r>
      <w:hyperlink w:anchor="page_3">
        <w:r>
          <w:rPr>
            <w:rStyle w:val="Text1"/>
          </w:rPr>
          <w:t/>
        </w:r>
      </w:hyperlink>
      <w:r>
        <w:t xml:space="preserve"/>
      </w:r>
      <w:hyperlink w:anchor="page_9">
        <w:r>
          <w:rPr>
            <w:rStyle w:val="Text1"/>
          </w:rPr>
          <w:t/>
        </w:r>
      </w:hyperlink>
    </w:p>
    <w:p>
      <w:pPr>
        <w:pStyle w:val="Para 002"/>
      </w:pPr>
      <w:r>
        <w:t xml:space="preserve">Ury, William, 119</w:t>
      </w:r>
      <w:hyperlink w:anchor="page_119">
        <w:r>
          <w:rPr>
            <w:rStyle w:val="Text1"/>
          </w:rPr>
          <w:t/>
        </w:r>
      </w:hyperlink>
    </w:p>
    <w:p>
      <w:pPr>
        <w:pStyle w:val="Para 002"/>
      </w:pPr>
      <w:r>
        <w:t xml:space="preserve">chủ nghĩa vị lợi (utilitarianism), 130</w:t>
      </w:r>
      <w:hyperlink w:anchor="page_130">
        <w:r>
          <w:rPr>
            <w:rStyle w:val="Text1"/>
          </w:rPr>
          <w:t/>
        </w:r>
      </w:hyperlink>
    </w:p>
    <w:p>
      <w:pPr>
        <w:pStyle w:val="Para 024"/>
      </w:pPr>
      <w:r>
        <w:t xml:space="preserve">các hoạt động tạo giá trị gia tăng, 39–48</w:t>
      </w:r>
      <w:hyperlink w:anchor="page_39">
        <w:r>
          <w:rPr>
            <w:rStyle w:val="Text1"/>
          </w:rPr>
          <w:t/>
        </w:r>
      </w:hyperlink>
      <w:r>
        <w:t/>
      </w:r>
      <w:hyperlink w:anchor="page_48">
        <w:r>
          <w:rPr>
            <w:rStyle w:val="Text1"/>
          </w:rPr>
          <w:t/>
        </w:r>
      </w:hyperlink>
    </w:p>
    <w:p>
      <w:pPr>
        <w:pStyle w:val="Para 002"/>
      </w:pPr>
      <w:r>
        <w:t xml:space="preserve">xác định, 44–46</w:t>
      </w:r>
      <w:hyperlink w:anchor="page_44">
        <w:r>
          <w:rPr>
            <w:rStyle w:val="Text1"/>
          </w:rPr>
          <w:t/>
        </w:r>
      </w:hyperlink>
      <w:r>
        <w:t/>
      </w:r>
      <w:hyperlink w:anchor="page_46">
        <w:r>
          <w:rPr>
            <w:rStyle w:val="Text1"/>
          </w:rPr>
          <w:t/>
        </w:r>
      </w:hyperlink>
    </w:p>
    <w:p>
      <w:pPr>
        <w:pStyle w:val="Para 002"/>
      </w:pPr>
      <w:r>
        <w:t xml:space="preserve">tuyên bố giá trị (value propositions), 118–119</w:t>
      </w:r>
      <w:hyperlink w:anchor="page_118">
        <w:r>
          <w:rPr>
            <w:rStyle w:val="Text1"/>
          </w:rPr>
          <w:t/>
        </w:r>
      </w:hyperlink>
      <w:r>
        <w:t/>
      </w:r>
      <w:hyperlink w:anchor="page_119">
        <w:r>
          <w:rPr>
            <w:rStyle w:val="Text1"/>
          </w:rPr>
          <w:t/>
        </w:r>
      </w:hyperlink>
    </w:p>
    <w:p>
      <w:pPr>
        <w:pStyle w:val="Para 002"/>
      </w:pPr>
      <w:r>
        <w:t xml:space="preserve">các giá trị. Xem thêm lòng can đảm</w:t>
      </w:r>
      <w:r>
        <w:rPr>
          <w:rStyle w:val="Text0"/>
        </w:rPr>
        <w:t/>
      </w:r>
      <w:r>
        <w:t xml:space="preserve"/>
      </w:r>
    </w:p>
    <w:p>
      <w:pPr>
        <w:pStyle w:val="Para 002"/>
      </w:pPr>
      <w:r>
        <w:t xml:space="preserve">chọn trận chiến của bạn và, 97–99</w:t>
      </w:r>
      <w:hyperlink w:anchor="page_97">
        <w:r>
          <w:rPr>
            <w:rStyle w:val="Text1"/>
          </w:rPr>
          <w:t/>
        </w:r>
      </w:hyperlink>
      <w:r>
        <w:t/>
      </w:r>
      <w:hyperlink w:anchor="page_99">
        <w:r>
          <w:rPr>
            <w:rStyle w:val="Text1"/>
          </w:rPr>
          <w:t/>
        </w:r>
      </w:hyperlink>
    </w:p>
    <w:p>
      <w:pPr>
        <w:pStyle w:val="Para 002"/>
      </w:pPr>
      <w:r>
        <w:t xml:space="preserve">các cặp đôi và, 82, 84</w:t>
      </w:r>
      <w:hyperlink w:anchor="page_82">
        <w:r>
          <w:rPr>
            <w:rStyle w:val="Text1"/>
          </w:rPr>
          <w:t/>
        </w:r>
      </w:hyperlink>
      <w:r>
        <w:t xml:space="preserve"/>
      </w:r>
      <w:hyperlink w:anchor="page_84">
        <w:r>
          <w:rPr>
            <w:rStyle w:val="Text1"/>
          </w:rPr>
          <w:t/>
        </w:r>
      </w:hyperlink>
    </w:p>
    <w:p>
      <w:pPr>
        <w:pStyle w:val="Para 002"/>
      </w:pPr>
      <w:r>
        <w:t xml:space="preserve">lòng can đảm và, 103</w:t>
      </w:r>
      <w:hyperlink w:anchor="page_103">
        <w:r>
          <w:rPr>
            <w:rStyle w:val="Text1"/>
          </w:rPr>
          <w:t/>
        </w:r>
      </w:hyperlink>
    </w:p>
    <w:p>
      <w:pPr>
        <w:pStyle w:val="Para 002"/>
      </w:pPr>
      <w:r>
        <w:t xml:space="preserve">ra quyết định và, 72</w:t>
      </w:r>
      <w:hyperlink w:anchor="page_72">
        <w:r>
          <w:rPr>
            <w:rStyle w:val="Text1"/>
          </w:rPr>
          <w:t/>
        </w:r>
      </w:hyperlink>
    </w:p>
    <w:p>
      <w:pPr>
        <w:pStyle w:val="Para 002"/>
      </w:pPr>
      <w:r>
        <w:t xml:space="preserve">sự nhanh nhẹn cảm xúc (emotional agility) và, 61, 62, 66</w:t>
      </w:r>
      <w:hyperlink w:anchor="page_61">
        <w:r>
          <w:rPr>
            <w:rStyle w:val="Text1"/>
          </w:rPr>
          <w:t/>
        </w:r>
      </w:hyperlink>
      <w:r>
        <w:t xml:space="preserve"/>
      </w:r>
      <w:hyperlink w:anchor="page_62">
        <w:r>
          <w:rPr>
            <w:rStyle w:val="Text1"/>
          </w:rPr>
          <w:t/>
        </w:r>
      </w:hyperlink>
      <w:r>
        <w:t xml:space="preserve"/>
      </w:r>
      <w:hyperlink w:anchor="page_66">
        <w:r>
          <w:rPr>
            <w:rStyle w:val="Text1"/>
          </w:rPr>
          <w:t/>
        </w:r>
      </w:hyperlink>
    </w:p>
    <w:p>
      <w:pPr>
        <w:pStyle w:val="Para 002"/>
      </w:pPr>
      <w:r>
        <w:t xml:space="preserve">tìm mục đích sống của bạn và, 6–8</w:t>
      </w:r>
      <w:hyperlink w:anchor="page_6">
        <w:r>
          <w:rPr>
            <w:rStyle w:val="Text1"/>
          </w:rPr>
          <w:t/>
        </w:r>
      </w:hyperlink>
      <w:r>
        <w:t/>
      </w:r>
      <w:hyperlink w:anchor="page_8">
        <w:r>
          <w:rPr>
            <w:rStyle w:val="Text1"/>
          </w:rPr>
          <w:t/>
        </w:r>
      </w:hyperlink>
    </w:p>
    <w:p>
      <w:pPr>
        <w:pStyle w:val="Para 002"/>
      </w:pPr>
      <w:r>
        <w:t xml:space="preserve">liệt kê các giá trị của bạn, 62</w:t>
      </w:r>
      <w:hyperlink w:anchor="page_62">
        <w:r>
          <w:rPr>
            <w:rStyle w:val="Text1"/>
          </w:rPr>
          <w:t/>
        </w:r>
      </w:hyperlink>
    </w:p>
    <w:p>
      <w:pPr>
        <w:pStyle w:val="Para 002"/>
      </w:pPr>
      <w:r>
        <w:t xml:space="preserve">tái tạo bản thân và, 89–90</w:t>
      </w:r>
      <w:hyperlink w:anchor="page_89">
        <w:r>
          <w:rPr>
            <w:rStyle w:val="Text1"/>
          </w:rPr>
          <w:t/>
        </w:r>
      </w:hyperlink>
      <w:r>
        <w:t/>
      </w:r>
      <w:hyperlink w:anchor="page_90">
        <w:r>
          <w:rPr>
            <w:rStyle w:val="Text1"/>
          </w:rPr>
          <w:t/>
        </w:r>
      </w:hyperlink>
    </w:p>
    <w:p>
      <w:pPr>
        <w:pStyle w:val="Para 002"/>
      </w:pPr>
      <w:r>
        <w:t xml:space="preserve">van den Brink, Dolf, 2, 4, 7–8, 9, 13</w:t>
      </w:r>
      <w:hyperlink w:anchor="page_2">
        <w:r>
          <w:rPr>
            <w:rStyle w:val="Text1"/>
          </w:rPr>
          <w:t/>
        </w:r>
      </w:hyperlink>
      <w:r>
        <w:t xml:space="preserve"/>
      </w:r>
      <w:hyperlink w:anchor="page_4">
        <w:r>
          <w:rPr>
            <w:rStyle w:val="Text1"/>
          </w:rPr>
          <w:t/>
        </w:r>
      </w:hyperlink>
      <w:r>
        <w:t xml:space="preserve"/>
      </w:r>
      <w:hyperlink w:anchor="page_7">
        <w:r>
          <w:rPr>
            <w:rStyle w:val="Text1"/>
          </w:rPr>
          <w:t/>
        </w:r>
      </w:hyperlink>
      <w:r>
        <w:t/>
      </w:r>
      <w:hyperlink w:anchor="page_8">
        <w:r>
          <w:rPr>
            <w:rStyle w:val="Text1"/>
          </w:rPr>
          <w:t/>
        </w:r>
      </w:hyperlink>
      <w:r>
        <w:t xml:space="preserve"/>
      </w:r>
      <w:hyperlink w:anchor="page_9">
        <w:r>
          <w:rPr>
            <w:rStyle w:val="Text1"/>
          </w:rPr>
          <w:t/>
        </w:r>
      </w:hyperlink>
      <w:r>
        <w:t xml:space="preserve"/>
      </w:r>
      <w:hyperlink w:anchor="page_13">
        <w:r>
          <w:rPr>
            <w:rStyle w:val="Text1"/>
          </w:rPr>
          <w:t/>
        </w:r>
      </w:hyperlink>
    </w:p>
    <w:p>
      <w:pPr>
        <w:pStyle w:val="Para 002"/>
      </w:pPr>
      <w:r>
        <w:t xml:space="preserve">các công cụ cộng tác ảo, 55–56</w:t>
      </w:r>
      <w:hyperlink w:anchor="page_55">
        <w:r>
          <w:rPr>
            <w:rStyle w:val="Text1"/>
          </w:rPr>
          <w:t/>
        </w:r>
      </w:hyperlink>
      <w:r>
        <w:t/>
      </w:r>
      <w:hyperlink w:anchor="page_56">
        <w:r>
          <w:rPr>
            <w:rStyle w:val="Text1"/>
          </w:rPr>
          <w:t/>
        </w:r>
      </w:hyperlink>
    </w:p>
    <w:p>
      <w:pPr>
        <w:pStyle w:val="Para 002"/>
      </w:pPr>
      <w:r>
        <w:t xml:space="preserve">đạo đức học đức hạnh (virtue ethics), 130</w:t>
      </w:r>
      <w:hyperlink w:anchor="page_130">
        <w:r>
          <w:rPr>
            <w:rStyle w:val="Text1"/>
          </w:rPr>
          <w:t/>
        </w:r>
      </w:hyperlink>
    </w:p>
    <w:p>
      <w:pPr>
        <w:pStyle w:val="Para 002"/>
      </w:pPr>
      <w:r>
        <w:t xml:space="preserve">các đức tính, 126</w:t>
      </w:r>
      <w:hyperlink w:anchor="page_126">
        <w:r>
          <w:rPr>
            <w:rStyle w:val="Text1"/>
          </w:rPr>
          <w:t/>
        </w:r>
      </w:hyperlink>
    </w:p>
    <w:p>
      <w:pPr>
        <w:pStyle w:val="Para 002"/>
      </w:pPr>
      <w:r>
        <w:t xml:space="preserve">sự dễ bị tổn thương, việc học hỏi và, 15, 21–22</w:t>
      </w:r>
      <w:hyperlink w:anchor="page_15">
        <w:r>
          <w:rPr>
            <w:rStyle w:val="Text1"/>
          </w:rPr>
          <w:t/>
        </w:r>
      </w:hyperlink>
      <w:r>
        <w:t xml:space="preserve"/>
      </w:r>
      <w:hyperlink w:anchor="page_21">
        <w:r>
          <w:rPr>
            <w:rStyle w:val="Text1"/>
          </w:rPr>
          <w:t/>
        </w:r>
      </w:hyperlink>
      <w:r>
        <w:t/>
      </w:r>
      <w:hyperlink w:anchor="page_22">
        <w:r>
          <w:rPr>
            <w:rStyle w:val="Text1"/>
          </w:rPr>
          <w:t/>
        </w:r>
      </w:hyperlink>
    </w:p>
    <w:p>
      <w:pPr>
        <w:pStyle w:val="Para 024"/>
      </w:pPr>
      <w:r>
        <w:bookmarkStart w:id="456" w:name="page_151_1"/>
        <w:t>Washington, Ella F., 135–140</w:t>
        <w:bookmarkEnd w:id="456"/>
        <w:t xml:space="preserve"/>
      </w:r>
      <w:hyperlink w:anchor="page_135">
        <w:r>
          <w:rPr>
            <w:rStyle w:val="Text1"/>
          </w:rPr>
          <w:t/>
        </w:r>
      </w:hyperlink>
      <w:r>
        <w:t/>
      </w:r>
      <w:hyperlink w:anchor="page_140">
        <w:r>
          <w:rPr>
            <w:rStyle w:val="Text1"/>
          </w:rPr>
          <w:t/>
        </w:r>
      </w:hyperlink>
    </w:p>
    <w:p>
      <w:pPr>
        <w:pStyle w:val="Para 002"/>
      </w:pPr>
      <w:r>
        <w:t xml:space="preserve">Wegner, Daniel, 60</w:t>
      </w:r>
      <w:hyperlink w:anchor="page_60">
        <w:r>
          <w:rPr>
            <w:rStyle w:val="Text1"/>
          </w:rPr>
          <w:t/>
        </w:r>
      </w:hyperlink>
    </w:p>
    <w:p>
      <w:pPr>
        <w:pStyle w:val="Para 002"/>
      </w:pPr>
      <w:r>
        <w:t xml:space="preserve">Wilbourne, P. L., 62</w:t>
      </w:r>
      <w:hyperlink w:anchor="page_62">
        <w:r>
          <w:rPr>
            <w:rStyle w:val="Text1"/>
          </w:rPr>
          <w:t/>
        </w:r>
      </w:hyperlink>
    </w:p>
    <w:p>
      <w:pPr>
        <w:pStyle w:val="Para 002"/>
      </w:pPr>
      <w:r>
        <w:t xml:space="preserve">hình phạt kẻ yếu đuối (wimp penalty), 109</w:t>
      </w:r>
      <w:hyperlink w:anchor="page_109">
        <w:r>
          <w:rPr>
            <w:rStyle w:val="Text1"/>
          </w:rPr>
          <w:t/>
        </w:r>
      </w:hyperlink>
    </w:p>
    <w:p>
      <w:pPr>
        <w:pStyle w:val="Para 002"/>
      </w:pPr>
      <w:r>
        <w:t xml:space="preserve">Wood, Robert, 21</w:t>
      </w:r>
      <w:hyperlink w:anchor="page_21">
        <w:r>
          <w:rPr>
            <w:rStyle w:val="Text1"/>
          </w:rPr>
          <w:t/>
        </w:r>
      </w:hyperlink>
    </w:p>
    <w:p>
      <w:pPr>
        <w:pStyle w:val="Para 002"/>
      </w:pPr>
      <w:r>
        <w:t xml:space="preserve">tính khả thi (workability), 66</w:t>
      </w:r>
      <w:hyperlink w:anchor="page_66">
        <w:r>
          <w:rPr>
            <w:rStyle w:val="Text1"/>
          </w:rPr>
          <w:t/>
        </w:r>
      </w:hyperlink>
    </w:p>
    <w:p>
      <w:pPr>
        <w:pStyle w:val="Para 002"/>
      </w:pPr>
      <w:r>
        <w:t xml:space="preserve">nơi làm việc, sự phù hợp về đạo đức với, 129</w:t>
      </w:r>
      <w:hyperlink w:anchor="page_129">
        <w:r>
          <w:rPr>
            <w:rStyle w:val="Text1"/>
          </w:rPr>
          <w:t/>
        </w:r>
      </w:hyperlink>
    </w:p>
    <w:p>
      <w:pPr>
        <w:pStyle w:val="Para 002"/>
      </w:pPr>
      <w:r>
        <w:t xml:space="preserve">Wrzesniewski, Amy, 132–133</w:t>
      </w:r>
      <w:hyperlink w:anchor="page_132">
        <w:r>
          <w:rPr>
            <w:rStyle w:val="Text1"/>
          </w:rPr>
          <w:t/>
        </w:r>
      </w:hyperlink>
      <w:r>
        <w:t/>
      </w:r>
      <w:hyperlink w:anchor="page_133">
        <w:r>
          <w:rPr>
            <w:rStyle w:val="Text1"/>
          </w:rPr>
          <w:t/>
        </w:r>
      </w:hyperlink>
    </w:p>
    <w:p>
      <w:pPr>
        <w:pStyle w:val="Para 024"/>
      </w:pPr>
      <w:r>
        <w:t xml:space="preserve">Yamada, Tachi, 98–99</w:t>
      </w:r>
      <w:hyperlink w:anchor="page_98">
        <w:r>
          <w:rPr>
            <w:rStyle w:val="Text1"/>
          </w:rPr>
          <w:t/>
        </w:r>
      </w:hyperlink>
      <w:r>
        <w:t/>
      </w:r>
      <w:hyperlink w:anchor="page_99">
        <w:r>
          <w:rPr>
            <w:rStyle w:val="Text1"/>
          </w:rPr>
          <w:t/>
        </w:r>
      </w:hyperlink>
    </w:p>
    <w:p>
      <w:pPr>
        <w:pStyle w:val="Para 024"/>
      </w:pPr>
      <w:r>
        <w:t xml:space="preserve">Zehner, Deb, 49–57</w:t>
      </w:r>
      <w:hyperlink w:anchor="page_49">
        <w:r>
          <w:rPr>
            <w:rStyle w:val="Text1"/>
          </w:rPr>
          <w:t/>
        </w:r>
      </w:hyperlink>
      <w:r>
        <w:t/>
      </w:r>
      <w:hyperlink w:anchor="page_57">
        <w:r>
          <w:rPr>
            <w:rStyle w:val="Text1"/>
          </w:rPr>
          <w:t/>
        </w:r>
      </w:hyperlink>
    </w:p>
    <w:p>
      <w:pPr>
        <w:pStyle w:val="Para 002"/>
      </w:pPr>
      <w:r>
        <w:t xml:space="preserve">Zenger, John H., 23–38</w:t>
      </w:r>
      <w:hyperlink w:anchor="page_23">
        <w:r>
          <w:rPr>
            <w:rStyle w:val="Text1"/>
          </w:rPr>
          <w:t/>
        </w:r>
      </w:hyperlink>
      <w:r>
        <w:t/>
      </w:r>
      <w:hyperlink w:anchor="page_38">
        <w:r>
          <w:rPr>
            <w:rStyle w:val="Text1"/>
          </w:rPr>
          <w:t/>
        </w:r>
      </w:hyperlink>
    </w:p>
    <w:p>
      <w:pPr>
        <w:pStyle w:val="Para 012"/>
      </w:pPr>
      <w:r>
        <w:t xml:space="preserve"> </w:t>
      </w:r>
    </w:p>
    <w:p>
      <w:bookmarkStart w:id="457" w:name="Top_of_bm01_xhtml"/>
      <w:bookmarkStart w:id="458" w:name="sbo_rt_content_3"/>
      <w:pPr>
        <w:pStyle w:val="Para 012"/>
        <w:pageBreakBefore w:val="on"/>
      </w:pPr>
      <w:r>
        <w:t xml:space="preserve"> </w:t>
      </w:r>
      <w:bookmarkEnd w:id="457"/>
      <w:bookmarkEnd w:id="458"/>
    </w:p>
    <w:p>
      <w:pPr>
        <w:pStyle w:val="Para 074"/>
      </w:pPr>
      <w:r>
        <w:drawing>
          <wp:anchor distL="0" distR="0" distT="0" distB="0" simplePos="0" relativeHeight="1" behindDoc="0" locked="0" layoutInCell="1" allowOverlap="1">
            <wp:simplePos x="0" y="0"/>
            <wp:positionH relativeFrom="margin">
              <wp:align>center</wp:align>
            </wp:positionH>
            <wp:positionV relativeFrom="line">
              <wp:align>top</wp:align>
            </wp:positionV>
            <wp:extent cx="5346700" cy="8013700"/>
            <wp:effectExtent l="0" r="0" t="0" b="0"/>
            <wp:wrapTopAndBottom/>
            <wp:docPr id="37" name="ad1.png" descr="image"/>
            <wp:cNvGraphicFramePr>
              <a:graphicFrameLocks noChangeAspect="1"/>
            </wp:cNvGraphicFramePr>
            <a:graphic>
              <a:graphicData uri="http://schemas.openxmlformats.org/drawingml/2006/picture">
                <pic:pic>
                  <pic:nvPicPr>
                    <pic:cNvPr id="0" name="ad1.png" descr="image"/>
                    <pic:cNvPicPr/>
                  </pic:nvPicPr>
                  <pic:blipFill>
                    <a:blip r:embed="rId28"/>
                    <a:stretch>
                      <a:fillRect/>
                    </a:stretch>
                  </pic:blipFill>
                  <pic:spPr>
                    <a:xfrm>
                      <a:off x="0" y="0"/>
                      <a:ext cx="5346700" cy="8013700"/>
                    </a:xfrm>
                    <a:prstGeom prst="rect">
                      <a:avLst/>
                    </a:prstGeom>
                  </pic:spPr>
                </pic:pic>
              </a:graphicData>
            </a:graphic>
          </wp:anchor>
        </w:drawing>
      </w:r>
    </w:p>
    <w:p>
      <w:pPr>
        <w:pStyle w:val="Para 012"/>
      </w:pPr>
      <w:r>
        <w:t xml:space="preserve"> </w:t>
      </w:r>
    </w:p>
    <w:p>
      <w:bookmarkStart w:id="459" w:name="Top_of_bm02_xhtml"/>
      <w:bookmarkStart w:id="460" w:name="sbo_rt_content_4"/>
      <w:pPr>
        <w:pStyle w:val="Para 012"/>
        <w:pageBreakBefore w:val="on"/>
      </w:pPr>
      <w:r>
        <w:t xml:space="preserve"> </w:t>
      </w:r>
      <w:bookmarkEnd w:id="459"/>
      <w:bookmarkEnd w:id="460"/>
    </w:p>
    <w:p>
      <w:pPr>
        <w:pStyle w:val="Para 074"/>
      </w:pPr>
      <w:r>
        <w:drawing>
          <wp:anchor distL="0" distR="0" distT="0" distB="0" simplePos="0" relativeHeight="1" behindDoc="0" locked="0" layoutInCell="1" allowOverlap="1">
            <wp:simplePos x="0" y="0"/>
            <wp:positionH relativeFrom="margin">
              <wp:align>center</wp:align>
            </wp:positionH>
            <wp:positionV relativeFrom="line">
              <wp:align>top</wp:align>
            </wp:positionV>
            <wp:extent cx="5346700" cy="7632700"/>
            <wp:effectExtent l="0" r="0" t="0" b="0"/>
            <wp:wrapTopAndBottom/>
            <wp:docPr id="38" name="ad2.png" descr="image"/>
            <wp:cNvGraphicFramePr>
              <a:graphicFrameLocks noChangeAspect="1"/>
            </wp:cNvGraphicFramePr>
            <a:graphic>
              <a:graphicData uri="http://schemas.openxmlformats.org/drawingml/2006/picture">
                <pic:pic>
                  <pic:nvPicPr>
                    <pic:cNvPr id="0" name="ad2.png" descr="image"/>
                    <pic:cNvPicPr/>
                  </pic:nvPicPr>
                  <pic:blipFill>
                    <a:blip r:embed="rId29"/>
                    <a:stretch>
                      <a:fillRect/>
                    </a:stretch>
                  </pic:blipFill>
                  <pic:spPr>
                    <a:xfrm>
                      <a:off x="0" y="0"/>
                      <a:ext cx="5346700" cy="7632700"/>
                    </a:xfrm>
                    <a:prstGeom prst="rect">
                      <a:avLst/>
                    </a:prstGeom>
                  </pic:spPr>
                </pic:pic>
              </a:graphicData>
            </a:graphic>
          </wp:anchor>
        </w:drawing>
      </w:r>
    </w:p>
    <w:p>
      <w:pPr>
        <w:pStyle w:val="Para 012"/>
      </w:pPr>
      <w:r>
        <w:t xml:space="preserve"> </w:t>
      </w:r>
    </w:p>
    <w:p>
      <w:bookmarkStart w:id="461" w:name="sbo_rt_content_5"/>
      <w:bookmarkStart w:id="462" w:name="Top_of_bm03_xhtml"/>
      <w:pPr>
        <w:pStyle w:val="Para 012"/>
        <w:pageBreakBefore w:val="on"/>
      </w:pPr>
      <w:r>
        <w:t xml:space="preserve"> </w:t>
      </w:r>
      <w:bookmarkEnd w:id="461"/>
      <w:bookmarkEnd w:id="462"/>
    </w:p>
    <w:p>
      <w:pPr>
        <w:pStyle w:val="Para 074"/>
      </w:pPr>
      <w:r>
        <w:drawing>
          <wp:anchor distL="0" distR="0" distT="0" distB="0" simplePos="0" relativeHeight="1" behindDoc="0" locked="0" layoutInCell="1" allowOverlap="1">
            <wp:simplePos x="0" y="0"/>
            <wp:positionH relativeFrom="margin">
              <wp:align>center</wp:align>
            </wp:positionH>
            <wp:positionV relativeFrom="line">
              <wp:align>top</wp:align>
            </wp:positionV>
            <wp:extent cx="5346700" cy="8013700"/>
            <wp:effectExtent l="0" r="0" t="0" b="0"/>
            <wp:wrapTopAndBottom/>
            <wp:docPr id="39" name="ad3.png" descr="image"/>
            <wp:cNvGraphicFramePr>
              <a:graphicFrameLocks noChangeAspect="1"/>
            </wp:cNvGraphicFramePr>
            <a:graphic>
              <a:graphicData uri="http://schemas.openxmlformats.org/drawingml/2006/picture">
                <pic:pic>
                  <pic:nvPicPr>
                    <pic:cNvPr id="0" name="ad3.png" descr="image"/>
                    <pic:cNvPicPr/>
                  </pic:nvPicPr>
                  <pic:blipFill>
                    <a:blip r:embed="rId30"/>
                    <a:stretch>
                      <a:fillRect/>
                    </a:stretch>
                  </pic:blipFill>
                  <pic:spPr>
                    <a:xfrm>
                      <a:off x="0" y="0"/>
                      <a:ext cx="5346700" cy="8013700"/>
                    </a:xfrm>
                    <a:prstGeom prst="rect">
                      <a:avLst/>
                    </a:prstGeom>
                  </pic:spPr>
                </pic:pic>
              </a:graphicData>
            </a:graphic>
          </wp:anchor>
        </w:drawing>
      </w:r>
    </w:p>
    <w:p>
      <w:pPr>
        <w:pStyle w:val="Para 012"/>
      </w:pPr>
      <w:r>
        <w:t xml:space="preserve"> </w:t>
      </w:r>
    </w:p>
    <w:p>
      <w:bookmarkStart w:id="463" w:name="Contents__Contents__HBR_s_10_Mus"/>
      <w:bookmarkStart w:id="464" w:name="Top_of_nav_xhtml"/>
      <w:pPr>
        <w:pStyle w:val="Para 012"/>
        <w:pageBreakBefore w:val="on"/>
      </w:pPr>
      <w:r>
        <w:t xml:space="preserve"> </w:t>
      </w:r>
      <w:bookmarkEnd w:id="463"/>
      <w:bookmarkEnd w:id="464"/>
    </w:p>
    <w:p>
      <w:pPr>
        <w:pStyle w:val="Para 130"/>
      </w:pPr>
      <w:r>
        <w:t>Mục lục</w:t>
      </w:r>
    </w:p>
    <w:p>
      <w:pPr>
        <w:pStyle w:val="Para 014"/>
      </w:pPr>
      <w:hyperlink w:anchor="con">
        <w:r>
          <w:t>Mục lục</w:t>
        </w:r>
      </w:hyperlink>
    </w:p>
    <w:p>
      <w:pPr>
        <w:pStyle w:val="Para 014"/>
      </w:pPr>
      <w:r>
        <w:t>HBR’s 10 Must Reads on Managing Yourself</w:t>
      </w:r>
      <w:r>
        <w:rPr>
          <w:rStyle w:val="Text6"/>
        </w:rPr>
        <w:t xml:space="preserve"/>
      </w:r>
    </w:p>
    <w:p>
      <w:pPr>
        <w:numPr>
          <w:ilvl w:val="0"/>
          <w:numId w:val="36"/>
        </w:numPr>
        <w:pStyle w:val="Para 014"/>
      </w:pPr>
      <w:r>
        <w:t>Trang bìa</w:t>
      </w:r>
    </w:p>
    <w:p>
      <w:pPr>
        <w:numPr>
          <w:ilvl w:val="0"/>
          <w:numId w:val="36"/>
        </w:numPr>
        <w:pStyle w:val="Para 014"/>
      </w:pPr>
      <w:r>
        <w:t>Bản quyền</w:t>
      </w:r>
    </w:p>
    <w:p>
      <w:pPr>
        <w:numPr>
          <w:ilvl w:val="0"/>
          <w:numId w:val="36"/>
        </w:numPr>
        <w:pStyle w:val="Para 014"/>
      </w:pPr>
      <w:r>
        <w:t>Mục lục</w:t>
      </w:r>
    </w:p>
    <w:p>
      <w:pPr>
        <w:numPr>
          <w:ilvl w:val="0"/>
          <w:numId w:val="36"/>
        </w:numPr>
        <w:pStyle w:val="Para 014"/>
      </w:pPr>
      <w:r>
        <w:t>Bạn Sẽ Đo Lường Cuộc Đời Mình Như Thế Nào?</w:t>
      </w:r>
    </w:p>
    <w:p>
      <w:pPr>
        <w:numPr>
          <w:ilvl w:val="0"/>
          <w:numId w:val="36"/>
        </w:numPr>
        <w:pStyle w:val="Para 014"/>
      </w:pPr>
      <w:r>
        <w:t>Quản Lý Chính Mình</w:t>
      </w:r>
    </w:p>
    <w:p>
      <w:pPr>
        <w:numPr>
          <w:ilvl w:val="0"/>
          <w:numId w:val="36"/>
        </w:numPr>
        <w:pStyle w:val="Para 014"/>
      </w:pPr>
      <w:r>
        <w:t>Thời Gian Quản Lý: Ai Đang Giữ Con Khỉ?</w:t>
      </w:r>
    </w:p>
    <w:p>
      <w:pPr>
        <w:numPr>
          <w:ilvl w:val="0"/>
          <w:numId w:val="36"/>
        </w:numPr>
        <w:pStyle w:val="Para 014"/>
      </w:pPr>
      <w:r>
        <w:t>Sức Bật Tinh Thần Hoạt Động Như Thế Nào</w:t>
      </w:r>
    </w:p>
    <w:p>
      <w:pPr>
        <w:numPr>
          <w:ilvl w:val="0"/>
          <w:numId w:val="36"/>
        </w:numPr>
        <w:pStyle w:val="Para 014"/>
      </w:pPr>
      <w:r>
        <w:t>Quản Lý Năng Lượng, Không Phải Thời Gian</w:t>
      </w:r>
    </w:p>
    <w:p>
      <w:pPr>
        <w:numPr>
          <w:ilvl w:val="0"/>
          <w:numId w:val="36"/>
        </w:numPr>
        <w:pStyle w:val="Para 014"/>
      </w:pPr>
      <w:r>
        <w:t>Mạch Não Quá Tải</w:t>
      </w:r>
    </w:p>
    <w:p>
      <w:pPr>
        <w:numPr>
          <w:ilvl w:val="0"/>
          <w:numId w:val="36"/>
        </w:numPr>
        <w:pStyle w:val="Para 014"/>
      </w:pPr>
      <w:r>
        <w:t>Làm Lãnh Đạo Giỏi Hơn, Sống Cuộc Đời Phong Phú Hơn</w:t>
      </w:r>
    </w:p>
    <w:p>
      <w:pPr>
        <w:numPr>
          <w:ilvl w:val="0"/>
          <w:numId w:val="36"/>
        </w:numPr>
        <w:pStyle w:val="Para 014"/>
      </w:pPr>
      <w:r>
        <w:t>Giành Lại Công Việc Của Bạn</w:t>
      </w:r>
    </w:p>
    <w:p>
      <w:pPr>
        <w:numPr>
          <w:ilvl w:val="0"/>
          <w:numId w:val="36"/>
        </w:numPr>
        <w:pStyle w:val="Para 014"/>
      </w:pPr>
      <w:r>
        <w:t>Khoảnh Khắc Tỏa Sáng: Bước Vào Trạng Thái Lãnh Đạo Cốt Lõi</w:t>
      </w:r>
    </w:p>
    <w:p>
      <w:pPr>
        <w:numPr>
          <w:ilvl w:val="0"/>
          <w:numId w:val="36"/>
        </w:numPr>
        <w:pStyle w:val="Para 014"/>
      </w:pPr>
      <w:r>
        <w:t>Nên Hỏi Gì Với Người Trong Gương</w:t>
      </w:r>
    </w:p>
    <w:p>
      <w:pPr>
        <w:numPr>
          <w:ilvl w:val="0"/>
          <w:numId w:val="36"/>
        </w:numPr>
        <w:pStyle w:val="Para 014"/>
      </w:pPr>
      <w:r>
        <w:t>Lãnh Đạo Bằng Trực Giác: Động Lực Ngầm Của Hiệu Suất Vượt Trội</w:t>
      </w:r>
    </w:p>
    <w:p>
      <w:pPr>
        <w:numPr>
          <w:ilvl w:val="0"/>
          <w:numId w:val="36"/>
        </w:numPr>
        <w:pStyle w:val="Para 014"/>
      </w:pPr>
      <w:r>
        <w:t>Về Các Tác Giả</w:t>
      </w:r>
    </w:p>
    <w:p>
      <w:pPr>
        <w:numPr>
          <w:ilvl w:val="0"/>
          <w:numId w:val="36"/>
        </w:numPr>
        <w:pStyle w:val="Para 014"/>
      </w:pPr>
      <w:r>
        <w:t>Chỉ Mục</w:t>
      </w:r>
    </w:p>
    <w:p>
      <w:pPr>
        <w:numPr>
          <w:ilvl w:val="0"/>
          <w:numId w:val="36"/>
        </w:numPr>
        <w:pStyle w:val="Para 014"/>
      </w:pPr>
      <w:r>
        <w:t>Bìa Sau</w:t>
      </w:r>
    </w:p>
    <w:p>
      <w:pPr>
        <w:pStyle w:val="Para 014"/>
      </w:pPr>
      <w:r>
        <w:t>HBR’s 10 Must Reads on Managing Yourself, Vol. 2</w:t>
      </w:r>
      <w:r>
        <w:rPr>
          <w:rStyle w:val="Text6"/>
        </w:rPr>
        <w:t xml:space="preserve"/>
      </w:r>
    </w:p>
    <w:p>
      <w:pPr>
        <w:numPr>
          <w:ilvl w:val="0"/>
          <w:numId w:val="37"/>
        </w:numPr>
        <w:pStyle w:val="Para 014"/>
      </w:pPr>
      <w:r>
        <w:t>Trang bìa</w:t>
      </w:r>
    </w:p>
    <w:p>
      <w:pPr>
        <w:numPr>
          <w:ilvl w:val="0"/>
          <w:numId w:val="37"/>
        </w:numPr>
        <w:pStyle w:val="Para 014"/>
      </w:pPr>
      <w:r>
        <w:t>Bản quyền</w:t>
      </w:r>
    </w:p>
    <w:p>
      <w:pPr>
        <w:numPr>
          <w:ilvl w:val="0"/>
          <w:numId w:val="37"/>
        </w:numPr>
        <w:pStyle w:val="Para 014"/>
      </w:pPr>
      <w:r>
        <w:t>Mục lục</w:t>
      </w:r>
    </w:p>
    <w:p>
      <w:pPr>
        <w:numPr>
          <w:ilvl w:val="0"/>
          <w:numId w:val="37"/>
        </w:numPr>
        <w:pStyle w:val="Para 014"/>
      </w:pPr>
      <w:r>
        <w:t>Từ Mục đích đến Tác động</w:t>
      </w:r>
    </w:p>
    <w:p>
      <w:pPr>
        <w:numPr>
          <w:ilvl w:val="0"/>
          <w:numId w:val="37"/>
        </w:numPr>
        <w:pStyle w:val="Para 014"/>
      </w:pPr>
      <w:r>
        <w:t>Học cách học</w:t>
      </w:r>
    </w:p>
    <w:p>
      <w:pPr>
        <w:numPr>
          <w:ilvl w:val="0"/>
          <w:numId w:val="37"/>
        </w:numPr>
        <w:pStyle w:val="Para 014"/>
      </w:pPr>
      <w:r>
        <w:t>Khiến bản thân trở nên không thể thay thế</w:t>
      </w:r>
    </w:p>
    <w:p>
      <w:pPr>
        <w:numPr>
          <w:ilvl w:val="0"/>
          <w:numId w:val="37"/>
        </w:numPr>
        <w:pStyle w:val="Para 014"/>
      </w:pPr>
      <w:r>
        <w:t>Dành thời gian cho công việc quan trọng</w:t>
      </w:r>
    </w:p>
    <w:p>
      <w:pPr>
        <w:numPr>
          <w:ilvl w:val="0"/>
          <w:numId w:val="37"/>
        </w:numPr>
        <w:pStyle w:val="Para 014"/>
      </w:pPr>
      <w:r>
        <w:t>Hợp tác mà không kiệt sức</w:t>
      </w:r>
    </w:p>
    <w:p>
      <w:pPr>
        <w:numPr>
          <w:ilvl w:val="0"/>
          <w:numId w:val="37"/>
        </w:numPr>
        <w:pStyle w:val="Para 014"/>
      </w:pPr>
      <w:r>
        <w:t>Sự nhanh nhạy cảm xúc (Emotional Agility)</w:t>
      </w:r>
    </w:p>
    <w:p>
      <w:pPr>
        <w:numPr>
          <w:ilvl w:val="0"/>
          <w:numId w:val="37"/>
        </w:numPr>
        <w:pStyle w:val="Para 014"/>
      </w:pPr>
      <w:r>
        <w:t>Cách giải quyết những quyết định khó khăn nhất</w:t>
      </w:r>
    </w:p>
    <w:p>
      <w:pPr>
        <w:numPr>
          <w:ilvl w:val="0"/>
          <w:numId w:val="37"/>
        </w:numPr>
        <w:pStyle w:val="Para 014"/>
      </w:pPr>
      <w:r>
        <w:t>Cách các cặp đôi sự nghiệp kép (dual-career couples) vận hành hiệu quả</w:t>
      </w:r>
    </w:p>
    <w:p>
      <w:pPr>
        <w:numPr>
          <w:ilvl w:val="0"/>
          <w:numId w:val="37"/>
        </w:numPr>
        <w:pStyle w:val="Para 014"/>
      </w:pPr>
      <w:r>
        <w:t>Nuôi dưỡng lòng dũng cảm mỗi ngày</w:t>
      </w:r>
    </w:p>
    <w:p>
      <w:pPr>
        <w:numPr>
          <w:ilvl w:val="0"/>
          <w:numId w:val="37"/>
        </w:numPr>
        <w:pStyle w:val="Para 014"/>
      </w:pPr>
      <w:r>
        <w:t>BÀI VIẾT BỔ SUNG Hãy là người bảo vệ chính mình tốt nhất</w:t>
      </w:r>
    </w:p>
    <w:p>
      <w:pPr>
        <w:numPr>
          <w:ilvl w:val="0"/>
          <w:numId w:val="37"/>
        </w:numPr>
        <w:pStyle w:val="Para 014"/>
      </w:pPr>
      <w:r>
        <w:t>Xây dựng sự nghiệp có đạo đức</w:t>
      </w:r>
    </w:p>
    <w:p>
      <w:pPr>
        <w:numPr>
          <w:ilvl w:val="0"/>
          <w:numId w:val="37"/>
        </w:numPr>
        <w:pStyle w:val="Para 014"/>
      </w:pPr>
      <w:r>
        <w:t>BÀI VIẾT KỸ THUẬT SỐ BỔ SUNG Khi nào và cách phản hồi trước hành vi phân biệt chủng tộc vi tế (microaggressions)</w:t>
      </w:r>
    </w:p>
    <w:p>
      <w:pPr>
        <w:numPr>
          <w:ilvl w:val="0"/>
          <w:numId w:val="37"/>
        </w:numPr>
        <w:pStyle w:val="Para 014"/>
      </w:pPr>
      <w:r>
        <w:t>Về các tác giả</w:t>
      </w:r>
    </w:p>
    <w:p>
      <w:pPr>
        <w:numPr>
          <w:ilvl w:val="0"/>
          <w:numId w:val="37"/>
        </w:numPr>
        <w:pStyle w:val="Para 014"/>
      </w:pPr>
      <w:r>
        <w:t>Chỉ mục</w:t>
      </w:r>
    </w:p>
    <w:p>
      <w:pPr>
        <w:pStyle w:val="Para 012"/>
      </w:pPr>
      <w:r>
        <w:t xml:space="preserve"> </w:t>
        <w:t xml:space="preserve"> </w:t>
      </w:r>
    </w:p>
    <w:p>
      <w:pPr>
        <w:pStyle w:val="Para 131"/>
      </w:pPr>
      <w:r>
        <w:t>Hướng dẫn</w:t>
      </w:r>
    </w:p>
    <w:p>
      <w:pPr>
        <w:numPr>
          <w:ilvl w:val="0"/>
          <w:numId w:val="38"/>
        </w:numPr>
        <w:pStyle w:val="Para 014"/>
      </w:pPr>
      <w:r>
        <w:t>Bìa sách</w:t>
      </w:r>
    </w:p>
    <w:p>
      <w:pPr>
        <w:numPr>
          <w:ilvl w:val="0"/>
          <w:numId w:val="38"/>
        </w:numPr>
        <w:pStyle w:val="Para 014"/>
      </w:pPr>
      <w:hyperlink w:anchor="Top_of_contents_xhtml">
        <w:r>
          <w:t>Mục lục</w:t>
        </w:r>
      </w:hyperlink>
    </w:p>
    <w:p>
      <w:pPr>
        <w:numPr>
          <w:ilvl w:val="0"/>
          <w:numId w:val="38"/>
        </w:numPr>
        <w:pStyle w:val="Para 014"/>
      </w:pPr>
      <w:hyperlink w:anchor="Top_of_contents_xhtml">
        <w:r>
          <w:t>Bìa sách</w:t>
        </w:r>
      </w:hyperlink>
    </w:p>
    <w:p>
      <w:pPr>
        <w:pStyle w:val="Para 012"/>
      </w:pPr>
      <w:r>
        <w:t xml:space="preserve"> </w:t>
      </w:r>
    </w:p>
    <w:sectPr>
      <w:pgSz w:w="12240" w:h="15840"/>
      <w:pgMar w:left="1440" w:top="1440" w:right="1440" w:bottom="1440"/>
      <w:cols w:space="720"/>
      <w:docGrid w:linePitch="360"/>
    </w:sectPr>
  </w:body>
</w:document>
</file>

<file path=word/fontTable.xml><?xml version="1.0" encoding="utf-8"?>
<w:fonts xmlns:w="http://schemas.openxmlformats.org/wordprocessingml/2006/main">
  <w:font w:name="Cambria"/>
  <w:font w:name="Farnham"/>
  <w:font w:name="Guardian_Reg"/>
  <w:font w:name="Guardian_Text_Egyp_HBR-Bold"/>
  <w:font w:name="National-Book"/>
  <w:font w:name="National-HBR-Bold"/>
  <w:font w:name="National-Light"/>
  <w:font w:name="National-Med"/>
  <w:font w:name="National-Reg"/>
  <w:font w:name="National-Semibold"/>
  <w:font w:name="Prensa-Reg"/>
</w:fonts>
</file>

<file path=word/numbering.xml><?xml version="1.0" encoding="utf-8"?>
<w:numbering xmlns:w="http://schemas.openxmlformats.org/wordprocessingml/2006/main">
  <w:abstractNum w:abstractNumId="0">
    <w:multiLevelType w:val="hybridMultilevel"/>
    <w:name w:val="List 1"/>
    <w:lvl w:ilvl="0">
      <w:start w:val="1"/>
      <w:numFmt w:val="bullet"/>
      <w:lvlText w:val=""/>
      <w:lvlJc w:val="left"/>
      <w:pPr>
        <w:ind w:hanging="360" w:left="1152"/>
      </w:pPr>
      <w:rPr>
        <w:rFonts w:ascii="Symbol" w:hAnsi="Symbol" w:hint="default"/>
      </w:rPr>
    </w:lvl>
  </w:abstractNum>
  <w:abstractNum w:abstractNumId="1">
    <w:multiLevelType w:val="hybridMultilevel"/>
    <w:name w:val="List 2"/>
    <w:lvl w:ilvl="0">
      <w:start w:val="1"/>
      <w:numFmt w:val="bullet"/>
      <w:lvlText w:val=""/>
      <w:lvlJc w:val="left"/>
      <w:pPr>
        <w:ind w:hanging="360" w:left="1152"/>
      </w:pPr>
      <w:rPr>
        <w:rFonts w:ascii="Symbol" w:hAnsi="Symbol" w:hint="default"/>
      </w:rPr>
    </w:lvl>
  </w:abstractNum>
  <w:abstractNum w:abstractNumId="2">
    <w:multiLevelType w:val="hybridMultilevel"/>
    <w:name w:val="List 3"/>
    <w:lvl w:ilvl="0">
      <w:start w:val="1"/>
      <w:numFmt w:val="bullet"/>
      <w:lvlText w:val=""/>
      <w:lvlJc w:val="left"/>
      <w:pPr>
        <w:ind w:hanging="360" w:left="1152"/>
      </w:pPr>
      <w:rPr>
        <w:rFonts w:ascii="Symbol" w:hAnsi="Symbol" w:hint="default"/>
      </w:rPr>
    </w:lvl>
  </w:abstractNum>
  <w:abstractNum w:abstractNumId="3">
    <w:multiLevelType w:val="hybridMultilevel"/>
    <w:name w:val="List 4"/>
    <w:lvl w:ilvl="0">
      <w:start w:val="1"/>
      <w:numFmt w:val="bullet"/>
      <w:lvlText w:val=""/>
      <w:lvlJc w:val="left"/>
      <w:pPr>
        <w:ind w:hanging="360" w:left="1152"/>
      </w:pPr>
      <w:rPr>
        <w:rFonts w:ascii="Symbol" w:hAnsi="Symbol" w:hint="default"/>
      </w:rPr>
    </w:lvl>
  </w:abstractNum>
  <w:abstractNum w:abstractNumId="4">
    <w:multiLevelType w:val="hybridMultilevel"/>
    <w:name w:val="List 5"/>
    <w:lvl w:ilvl="0">
      <w:start w:val="1"/>
      <w:numFmt w:val="bullet"/>
      <w:lvlText w:val=""/>
      <w:lvlJc w:val="left"/>
      <w:pPr>
        <w:ind w:hanging="360" w:left="1152"/>
      </w:pPr>
      <w:rPr>
        <w:rFonts w:ascii="Symbol" w:hAnsi="Symbol" w:hint="default"/>
      </w:rPr>
    </w:lvl>
  </w:abstractNum>
  <w:abstractNum w:abstractNumId="5">
    <w:multiLevelType w:val="hybridMultilevel"/>
    <w:name w:val="List 6"/>
    <w:lvl w:ilvl="0">
      <w:start w:val="1"/>
      <w:numFmt w:val="bullet"/>
      <w:lvlText w:val=""/>
      <w:lvlJc w:val="left"/>
      <w:pPr>
        <w:ind w:hanging="360" w:left="1152"/>
      </w:pPr>
      <w:rPr>
        <w:rFonts w:ascii="Symbol" w:hAnsi="Symbol" w:hint="default"/>
      </w:rPr>
    </w:lvl>
  </w:abstractNum>
  <w:abstractNum w:abstractNumId="6">
    <w:multiLevelType w:val="hybridMultilevel"/>
    <w:name w:val="List 7"/>
    <w:lvl w:ilvl="0">
      <w:start w:val="1"/>
      <w:numFmt w:val="bullet"/>
      <w:lvlText w:val=""/>
      <w:lvlJc w:val="left"/>
      <w:pPr>
        <w:ind w:hanging="360" w:left="1152"/>
      </w:pPr>
      <w:rPr>
        <w:rFonts w:ascii="Symbol" w:hAnsi="Symbol" w:hint="default"/>
      </w:rPr>
    </w:lvl>
  </w:abstractNum>
  <w:abstractNum w:abstractNumId="7">
    <w:multiLevelType w:val="hybridMultilevel"/>
    <w:name w:val="List 8"/>
    <w:lvl w:ilvl="0">
      <w:start w:val="1"/>
      <w:numFmt w:val="bullet"/>
      <w:lvlText w:val=""/>
      <w:lvlJc w:val="left"/>
      <w:pPr>
        <w:ind w:hanging="360" w:left="1152"/>
      </w:pPr>
      <w:rPr>
        <w:rFonts w:ascii="Symbol" w:hAnsi="Symbol" w:hint="default"/>
      </w:rPr>
    </w:lvl>
  </w:abstractNum>
  <w:abstractNum w:abstractNumId="8">
    <w:multiLevelType w:val="hybridMultilevel"/>
    <w:name w:val="List 9"/>
    <w:lvl w:ilvl="0">
      <w:start w:val="1"/>
      <w:numFmt w:val="bullet"/>
      <w:lvlText w:val=""/>
      <w:lvlJc w:val="left"/>
      <w:pPr>
        <w:ind w:hanging="360" w:left="1152"/>
      </w:pPr>
      <w:rPr>
        <w:rFonts w:ascii="Symbol" w:hAnsi="Symbol" w:hint="default"/>
      </w:rPr>
    </w:lvl>
  </w:abstractNum>
  <w:abstractNum w:abstractNumId="9">
    <w:multiLevelType w:val="hybridMultilevel"/>
    <w:name w:val="List 10"/>
    <w:lvl w:ilvl="0">
      <w:start w:val="1"/>
      <w:numFmt w:val="bullet"/>
      <w:lvlText w:val=""/>
      <w:lvlJc w:val="left"/>
      <w:pPr>
        <w:ind w:hanging="360" w:left="1152"/>
      </w:pPr>
      <w:rPr>
        <w:rFonts w:ascii="Symbol" w:hAnsi="Symbol" w:hint="default"/>
      </w:rPr>
    </w:lvl>
  </w:abstractNum>
  <w:abstractNum w:abstractNumId="10">
    <w:multiLevelType w:val="hybridMultilevel"/>
    <w:name w:val="List 11"/>
    <w:lvl w:ilvl="0">
      <w:start w:val="1"/>
      <w:numFmt w:val="bullet"/>
      <w:lvlText w:val=""/>
      <w:lvlJc w:val="left"/>
      <w:pPr>
        <w:ind w:hanging="360" w:left="1152"/>
      </w:pPr>
      <w:rPr>
        <w:rFonts w:ascii="Symbol" w:hAnsi="Symbol" w:hint="default"/>
      </w:rPr>
    </w:lvl>
  </w:abstractNum>
  <w:abstractNum w:abstractNumId="11">
    <w:multiLevelType w:val="hybridMultilevel"/>
    <w:name w:val="List 12"/>
    <w:lvl w:ilvl="0">
      <w:start w:val="1"/>
      <w:numFmt w:val="bullet"/>
      <w:lvlText w:val=""/>
      <w:lvlJc w:val="left"/>
      <w:pPr>
        <w:ind w:hanging="360" w:left="1152"/>
      </w:pPr>
      <w:rPr>
        <w:rFonts w:ascii="Symbol" w:hAnsi="Symbol" w:hint="default"/>
      </w:rPr>
    </w:lvl>
  </w:abstractNum>
  <w:abstractNum w:abstractNumId="12">
    <w:multiLevelType w:val="hybridMultilevel"/>
    <w:name w:val="List 13"/>
    <w:lvl w:ilvl="0">
      <w:start w:val="1"/>
      <w:numFmt w:val="bullet"/>
      <w:lvlText w:val=""/>
      <w:lvlJc w:val="left"/>
      <w:pPr>
        <w:ind w:hanging="360" w:left="1152"/>
      </w:pPr>
      <w:rPr>
        <w:rFonts w:ascii="Symbol" w:hAnsi="Symbol" w:hint="default"/>
      </w:rPr>
    </w:lvl>
  </w:abstractNum>
  <w:abstractNum w:abstractNumId="13">
    <w:multiLevelType w:val="hybridMultilevel"/>
    <w:name w:val="List 14"/>
    <w:lvl w:ilvl="0">
      <w:start w:val="1"/>
      <w:numFmt w:val="bullet"/>
      <w:lvlText w:val=""/>
      <w:lvlJc w:val="left"/>
      <w:pPr>
        <w:ind w:hanging="360" w:left="1152"/>
      </w:pPr>
      <w:rPr>
        <w:rFonts w:ascii="Symbol" w:hAnsi="Symbol" w:hint="default"/>
      </w:rPr>
    </w:lvl>
  </w:abstractNum>
  <w:abstractNum w:abstractNumId="14">
    <w:multiLevelType w:val="hybridMultilevel"/>
    <w:name w:val="List 15"/>
    <w:lvl w:ilvl="0">
      <w:start w:val="1"/>
      <w:numFmt w:val="bullet"/>
      <w:lvlText w:val=""/>
      <w:lvlJc w:val="left"/>
      <w:pPr>
        <w:ind w:hanging="360" w:left="1152"/>
      </w:pPr>
      <w:rPr>
        <w:rFonts w:ascii="Symbol" w:hAnsi="Symbol" w:hint="default"/>
      </w:rPr>
    </w:lvl>
  </w:abstractNum>
  <w:abstractNum w:abstractNumId="15">
    <w:multiLevelType w:val="hybridMultilevel"/>
    <w:name w:val="List 16"/>
    <w:lvl w:ilvl="0">
      <w:start w:val="1"/>
      <w:numFmt w:val="bullet"/>
      <w:lvlText w:val=""/>
      <w:lvlJc w:val="left"/>
      <w:pPr>
        <w:ind w:hanging="360" w:left="1152"/>
      </w:pPr>
      <w:rPr>
        <w:rFonts w:ascii="Symbol" w:hAnsi="Symbol" w:hint="default"/>
      </w:rPr>
    </w:lvl>
  </w:abstractNum>
  <w:abstractNum w:abstractNumId="16">
    <w:multiLevelType w:val="hybridMultilevel"/>
    <w:name w:val="List 17"/>
    <w:lvl w:ilvl="0">
      <w:start w:val="1"/>
      <w:numFmt w:val="bullet"/>
      <w:lvlText w:val=""/>
      <w:lvlJc w:val="left"/>
      <w:pPr>
        <w:ind w:hanging="360" w:left="1152"/>
      </w:pPr>
      <w:rPr>
        <w:rFonts w:ascii="Symbol" w:hAnsi="Symbol" w:hint="default"/>
      </w:rPr>
    </w:lvl>
  </w:abstractNum>
  <w:abstractNum w:abstractNumId="17">
    <w:multiLevelType w:val="hybridMultilevel"/>
    <w:name w:val="List 18"/>
    <w:lvl w:ilvl="0">
      <w:start w:val="1"/>
      <w:numFmt w:val="bullet"/>
      <w:lvlText w:val=""/>
      <w:lvlJc w:val="left"/>
      <w:pPr>
        <w:ind w:hanging="360" w:left="1152"/>
      </w:pPr>
      <w:rPr>
        <w:rFonts w:ascii="Symbol" w:hAnsi="Symbol" w:hint="default"/>
      </w:rPr>
    </w:lvl>
  </w:abstractNum>
  <w:abstractNum w:abstractNumId="18">
    <w:multiLevelType w:val="hybridMultilevel"/>
    <w:name w:val="List 19"/>
    <w:lvl w:ilvl="0">
      <w:start w:val="1"/>
      <w:numFmt w:val="bullet"/>
      <w:lvlText w:val=""/>
      <w:lvlJc w:val="left"/>
      <w:pPr>
        <w:ind w:hanging="360" w:left="1152"/>
      </w:pPr>
      <w:rPr>
        <w:rFonts w:ascii="Symbol" w:hAnsi="Symbol" w:hint="default"/>
      </w:rPr>
    </w:lvl>
  </w:abstractNum>
  <w:abstractNum w:abstractNumId="19">
    <w:multiLevelType w:val="hybridMultilevel"/>
    <w:name w:val="List 20"/>
    <w:lvl w:ilvl="0">
      <w:start w:val="1"/>
      <w:numFmt w:val="bullet"/>
      <w:lvlText w:val=""/>
      <w:lvlJc w:val="left"/>
      <w:pPr>
        <w:ind w:hanging="360" w:left="1152"/>
      </w:pPr>
      <w:rPr>
        <w:rFonts w:ascii="Symbol" w:hAnsi="Symbol" w:hint="default"/>
      </w:rPr>
    </w:lvl>
  </w:abstractNum>
  <w:abstractNum w:abstractNumId="20">
    <w:multiLevelType w:val="hybridMultilevel"/>
    <w:name w:val="List 21"/>
    <w:lvl w:ilvl="0">
      <w:start w:val="1"/>
      <w:numFmt w:val="bullet"/>
      <w:lvlText w:val=""/>
      <w:lvlJc w:val="left"/>
      <w:pPr>
        <w:ind w:hanging="360" w:left="1152"/>
      </w:pPr>
      <w:rPr>
        <w:rFonts w:ascii="Symbol" w:hAnsi="Symbol" w:hint="default"/>
      </w:rPr>
    </w:lvl>
  </w:abstractNum>
  <w:abstractNum w:abstractNumId="21">
    <w:multiLevelType w:val="hybridMultilevel"/>
    <w:name w:val="List 22"/>
    <w:lvl w:ilvl="0">
      <w:start w:val="1"/>
      <w:numFmt w:val="bullet"/>
      <w:lvlText w:val=""/>
      <w:lvlJc w:val="left"/>
      <w:pPr>
        <w:ind w:hanging="360" w:left="1152"/>
      </w:pPr>
      <w:rPr>
        <w:rFonts w:ascii="Symbol" w:hAnsi="Symbol" w:hint="default"/>
      </w:rPr>
    </w:lvl>
  </w:abstractNum>
  <w:abstractNum w:abstractNumId="22">
    <w:multiLevelType w:val="hybridMultilevel"/>
    <w:name w:val="List 23"/>
    <w:lvl w:ilvl="0">
      <w:start w:val="1"/>
      <w:numFmt w:val="bullet"/>
      <w:lvlText w:val=""/>
      <w:lvlJc w:val="left"/>
      <w:pPr>
        <w:ind w:hanging="360" w:left="1152"/>
      </w:pPr>
      <w:rPr>
        <w:rFonts w:ascii="Symbol" w:hAnsi="Symbol" w:hint="default"/>
      </w:rPr>
    </w:lvl>
  </w:abstractNum>
  <w:abstractNum w:abstractNumId="23">
    <w:multiLevelType w:val="hybridMultilevel"/>
    <w:name w:val="List 24"/>
    <w:lvl w:ilvl="0">
      <w:start w:val="1"/>
      <w:numFmt w:val="bullet"/>
      <w:lvlText w:val=""/>
      <w:lvlJc w:val="left"/>
      <w:pPr>
        <w:ind w:hanging="360" w:left="1152"/>
      </w:pPr>
      <w:rPr>
        <w:rFonts w:ascii="Symbol" w:hAnsi="Symbol" w:hint="default"/>
      </w:rPr>
    </w:lvl>
  </w:abstractNum>
  <w:abstractNum w:abstractNumId="24">
    <w:multiLevelType w:val="hybridMultilevel"/>
    <w:name w:val="List 25"/>
    <w:lvl w:ilvl="0">
      <w:start w:val="1"/>
      <w:numFmt w:val="bullet"/>
      <w:lvlText w:val=""/>
      <w:lvlJc w:val="left"/>
      <w:pPr>
        <w:ind w:hanging="360" w:left="1152"/>
      </w:pPr>
      <w:rPr>
        <w:rFonts w:ascii="Symbol" w:hAnsi="Symbol" w:hint="default"/>
      </w:rPr>
    </w:lvl>
  </w:abstractNum>
  <w:abstractNum w:abstractNumId="25">
    <w:multiLevelType w:val="hybridMultilevel"/>
    <w:name w:val="List 26"/>
    <w:lvl w:ilvl="0">
      <w:start w:val="1"/>
      <w:numFmt w:val="bullet"/>
      <w:lvlText w:val=""/>
      <w:lvlJc w:val="left"/>
      <w:pPr>
        <w:ind w:hanging="360" w:left="1152"/>
      </w:pPr>
      <w:rPr>
        <w:rFonts w:ascii="Symbol" w:hAnsi="Symbol" w:hint="default"/>
      </w:rPr>
    </w:lvl>
  </w:abstractNum>
  <w:abstractNum w:abstractNumId="26">
    <w:multiLevelType w:val="hybridMultilevel"/>
    <w:name w:val="List 27"/>
    <w:lvl w:ilvl="0">
      <w:start w:val="1"/>
      <w:numFmt w:val="bullet"/>
      <w:lvlText w:val=""/>
      <w:lvlJc w:val="left"/>
      <w:pPr>
        <w:ind w:hanging="360" w:left="1152"/>
      </w:pPr>
      <w:rPr>
        <w:rFonts w:ascii="Symbol" w:hAnsi="Symbol" w:hint="default"/>
      </w:rPr>
    </w:lvl>
  </w:abstractNum>
  <w:abstractNum w:abstractNumId="27">
    <w:multiLevelType w:val="hybridMultilevel"/>
    <w:name w:val="List 28"/>
    <w:lvl w:ilvl="0">
      <w:start w:val="1"/>
      <w:numFmt w:val="bullet"/>
      <w:lvlText w:val=""/>
      <w:lvlJc w:val="left"/>
      <w:pPr>
        <w:ind w:hanging="360" w:left="1152"/>
      </w:pPr>
      <w:rPr>
        <w:rFonts w:ascii="Symbol" w:hAnsi="Symbol" w:hint="default"/>
      </w:rPr>
    </w:lvl>
  </w:abstractNum>
  <w:abstractNum w:abstractNumId="28">
    <w:multiLevelType w:val="hybridMultilevel"/>
    <w:name w:val="List 29"/>
    <w:lvl w:ilvl="0">
      <w:start w:val="1"/>
      <w:numFmt w:val="bullet"/>
      <w:lvlText w:val=""/>
      <w:lvlJc w:val="left"/>
      <w:pPr>
        <w:ind w:hanging="360" w:left="1152"/>
      </w:pPr>
      <w:rPr>
        <w:rFonts w:ascii="Symbol" w:hAnsi="Symbol" w:hint="default"/>
      </w:rPr>
    </w:lvl>
  </w:abstractNum>
  <w:abstractNum w:abstractNumId="29">
    <w:multiLevelType w:val="hybridMultilevel"/>
    <w:name w:val="List 30"/>
    <w:lvl w:ilvl="0">
      <w:start w:val="1"/>
      <w:numFmt w:val="bullet"/>
      <w:lvlText w:val=""/>
      <w:lvlJc w:val="left"/>
      <w:pPr>
        <w:ind w:hanging="360" w:left="1152"/>
      </w:pPr>
      <w:rPr>
        <w:rFonts w:ascii="Symbol" w:hAnsi="Symbol" w:hint="default"/>
      </w:rPr>
    </w:lvl>
  </w:abstractNum>
  <w:abstractNum w:abstractNumId="30">
    <w:multiLevelType w:val="hybridMultilevel"/>
    <w:name w:val="List 31"/>
    <w:lvl w:ilvl="0">
      <w:start w:val="1"/>
      <w:numFmt w:val="bullet"/>
      <w:lvlText w:val=""/>
      <w:lvlJc w:val="left"/>
      <w:pPr>
        <w:ind w:hanging="360" w:left="1152"/>
      </w:pPr>
      <w:rPr>
        <w:rFonts w:ascii="Symbol" w:hAnsi="Symbol" w:hint="default"/>
      </w:rPr>
    </w:lvl>
  </w:abstractNum>
  <w:abstractNum w:abstractNumId="31">
    <w:multiLevelType w:val="hybridMultilevel"/>
    <w:name w:val="List 32"/>
    <w:lvl w:ilvl="0">
      <w:start w:val="1"/>
      <w:numFmt w:val="decimal"/>
      <w:lvlText w:val="%1."/>
      <w:lvlJc w:val="left"/>
      <w:pPr>
        <w:ind w:hanging="360" w:left="1152"/>
      </w:pPr>
    </w:lvl>
  </w:abstractNum>
  <w:abstractNum w:abstractNumId="32">
    <w:multiLevelType w:val="hybridMultilevel"/>
    <w:name w:val="List 33"/>
    <w:lvl w:ilvl="0">
      <w:start w:val="1"/>
      <w:numFmt w:val="bullet"/>
      <w:lvlText w:val=""/>
      <w:lvlJc w:val="left"/>
      <w:pPr>
        <w:ind w:hanging="360" w:left="1152"/>
      </w:pPr>
      <w:rPr>
        <w:rFonts w:ascii="Symbol" w:hAnsi="Symbol" w:hint="default"/>
      </w:rPr>
    </w:lvl>
  </w:abstractNum>
  <w:abstractNum w:abstractNumId="33">
    <w:multiLevelType w:val="hybridMultilevel"/>
    <w:name w:val="List 34"/>
    <w:lvl w:ilvl="0">
      <w:start w:val="1"/>
      <w:numFmt w:val="bullet"/>
      <w:lvlText w:val=""/>
      <w:lvlJc w:val="left"/>
      <w:pPr>
        <w:ind w:hanging="360" w:left="1152"/>
      </w:pPr>
      <w:rPr>
        <w:rFonts w:ascii="Symbol" w:hAnsi="Symbol" w:hint="default"/>
      </w:rPr>
    </w:lvl>
  </w:abstractNum>
  <w:abstractNum w:abstractNumId="34">
    <w:multiLevelType w:val="hybridMultilevel"/>
    <w:name w:val="List 35"/>
    <w:lvl w:ilvl="0">
      <w:start w:val="1"/>
      <w:numFmt w:val="bullet"/>
      <w:lvlText w:val=""/>
      <w:lvlJc w:val="left"/>
      <w:pPr>
        <w:ind w:hanging="360" w:left="1152"/>
      </w:pPr>
      <w:rPr>
        <w:rFonts w:ascii="Symbol" w:hAnsi="Symbol" w:hint="default"/>
      </w:rPr>
    </w:lvl>
  </w:abstractNum>
  <w:abstractNum w:abstractNumId="35">
    <w:multiLevelType w:val="hybridMultilevel"/>
    <w:name w:val="List 36"/>
    <w:lvl w:ilvl="0">
      <w:start w:val="1"/>
      <w:numFmt w:val="decimal"/>
      <w:lvlText w:val="%1."/>
      <w:lvlJc w:val="left"/>
      <w:pPr>
        <w:ind w:hanging="360" w:left="1152"/>
      </w:pPr>
    </w:lvl>
  </w:abstractNum>
  <w:abstractNum w:abstractNumId="36">
    <w:multiLevelType w:val="hybridMultilevel"/>
    <w:name w:val="List 37"/>
    <w:lvl w:ilvl="0">
      <w:start w:val="1"/>
      <w:numFmt w:val="decimal"/>
      <w:lvlText w:val="%1."/>
      <w:lvlJc w:val="left"/>
      <w:pPr>
        <w:ind w:hanging="360" w:left="1152"/>
      </w:pPr>
    </w:lvl>
  </w:abstractNum>
  <w:abstractNum w:abstractNumId="37">
    <w:multiLevelType w:val="hybridMultilevel"/>
    <w:name w:val="List 38"/>
    <w:lvl w:ilvl="0">
      <w:start w:val="1"/>
      <w:numFmt w:val="decimal"/>
      <w:lvlText w:val="%1."/>
      <w:lvlJc w:val="left"/>
      <w:pPr>
        <w:ind w:hanging="360" w:left="1152"/>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bering>
</file>

<file path=word/styles.xml><?xml version="1.0" encoding="utf-8"?>
<w:styles xmlns:w="http://schemas.openxmlformats.org/wordprocessingml/2006/main">
  <w:docDefaults>
    <w:rPrDefault>
      <w:rPr>
        <w:rFonts w:asciiTheme="minorHAnsi" w:eastAsiaTheme="minorEastAsia" w:hAnsiTheme="minorHAnsi" w:cstheme="minorBidi"/>
        <w:sz w:val="22"/>
        <w:szCs w:val="22"/>
        <w:lang w:val="en" w:eastAsia="en" w:bidi="en"/>
      </w:rPr>
    </w:rPrDefault>
    <w:pPrDefault>
      <w:pPr>
        <w:spacing w:after="0" w:line="276" w:lineRule="auto"/>
      </w:pPr>
    </w:pPrDefault>
  </w:docDefaults>
  <w:style w:styleId="Normal" w:type="paragraph" w:default="1">
    <w:name w:val="Normal"/>
    <w:qFormat/>
    <w:pPr>
      <w:spacing w:line="384" w:lineRule="atLeast"/>
      <w:jc w:val="left"/>
    </w:pPr>
    <w:rPr>
      <w:rFonts w:ascii="Guardian_Reg" w:cs="Guardian_Reg" w:eastAsia="Guardian_Reg" w:hAnsi="Guardian_Reg"/>
      <w:sz w:val="32"/>
      <w:szCs w:val="32"/>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001" w:type="paragraph">
    <w:name w:val="Para 001"/>
    <w:qFormat/>
    <w:basedOn w:val="Normal"/>
    <w:pPr>
      <w:ind w:leftChars="200"/>
      <w:pBdr>
        <w:left w:space="20"/>
      </w:pBdr>
    </w:pPr>
    <w:rPr>
      <w:rFonts w:ascii="National-Book" w:cs="National-Book" w:eastAsia="National-Book" w:hAnsi="National-Book"/>
    </w:rPr>
  </w:style>
  <w:style w:styleId="Para 002" w:type="paragraph">
    <w:name w:val="Para 002"/>
    <w:qFormat/>
    <w:basedOn w:val="Normal"/>
    <w:pPr>
      <w:spacing w:beforeLines="20"/>
      <w:ind w:leftChars="200"/>
      <w:pBdr>
        <w:left w:space="20"/>
      </w:pBdr>
    </w:pPr>
    <w:rPr>
      <w:rFonts w:ascii="Guardian_Reg" w:cs="Guardian_Reg" w:eastAsia="Guardian_Reg" w:hAnsi="Guardian_Reg"/>
      <w:sz w:val="32"/>
      <w:szCs w:val="32"/>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003" w:type="paragraph">
    <w:name w:val="Para 003"/>
    <w:qFormat/>
    <w:basedOn w:val="Normal"/>
    <w:pPr>
      <w:spacing w:line="431" w:lineRule="atLeast"/>
    </w:pPr>
    <w:rPr>
      <w:sz w:val="36"/>
      <w:szCs w:val="36"/>
    </w:rPr>
  </w:style>
  <w:style w:styleId="Para 004" w:type="paragraph">
    <w:name w:val="Para 004"/>
    <w:qFormat/>
    <w:basedOn w:val="Normal"/>
    <w:pPr>
      <w:spacing w:line="431" w:lineRule="atLeast"/>
    </w:pPr>
    <w:rPr>
      <w:rFonts w:ascii="National-Book" w:cs="National-Book" w:eastAsia="National-Book" w:hAnsi="National-Book"/>
      <w:sz w:val="36"/>
      <w:szCs w:val="36"/>
    </w:rPr>
  </w:style>
  <w:style w:styleId="Para 005" w:type="paragraph">
    <w:name w:val="Para 005"/>
    <w:qFormat/>
    <w:basedOn w:val="Normal"/>
    <w:pPr>
      <w:spacing w:beforeLines="80"/>
      <w:ind w:left="400" w:leftChars="0" w:right="400" w:rightChars="0"/>
      <w:shd w:val="clear" w:color="auto" w:fill="E3E3E3"/>
    </w:pPr>
    <w:rPr>
      <w:rFonts w:ascii="National-Book" w:cs="National-Book" w:eastAsia="National-Book" w:hAnsi="National-Book"/>
    </w:rPr>
  </w:style>
  <w:style w:styleId="Para 006" w:type="paragraph">
    <w:name w:val="Para 006"/>
    <w:qFormat/>
    <w:basedOn w:val="Normal"/>
    <w:pPr>
      <w:spacing w:line="431" w:lineRule="atLeast"/>
      <w:pBdr>
        <w:left w:val="none" w:sz="0" w:color="auto"/>
        <w:top w:val="none" w:sz="0" w:color="auto"/>
        <w:right w:val="none" w:sz="0" w:color="auto"/>
        <w:bottom w:val="none" w:sz="0" w:color="auto"/>
      </w:pBdr>
    </w:pPr>
    <w:rPr>
      <w:rFonts w:ascii="National-Book" w:cs="National-Book" w:eastAsia="National-Book" w:hAnsi="National-Book"/>
      <w:sz w:val="36"/>
      <w:szCs w:val="36"/>
      <w:vertAlign w:val="superscript"/>
    </w:rPr>
  </w:style>
  <w:style w:styleId="Para 007" w:type="paragraph">
    <w:name w:val="Para 007"/>
    <w:qFormat/>
    <w:basedOn w:val="Normal"/>
    <w:pPr>
      <w:spacing w:beforeLines="80"/>
      <w:ind w:left="400" w:leftChars="0" w:right="400" w:rightChars="0"/>
    </w:pPr>
    <w:rPr>
      <w:rFonts w:ascii="National-Book" w:cs="National-Book" w:eastAsia="National-Book" w:hAnsi="National-Book"/>
    </w:rPr>
  </w:style>
  <w:style w:styleId="Para 008" w:type="paragraph">
    <w:name w:val="Para 008"/>
    <w:qFormat/>
    <w:basedOn w:val="Normal"/>
    <w:pPr>
      <w:spacing w:beforeLines="20" w:line="431" w:lineRule="atLeast"/>
      <w:ind w:left="400" w:leftChars="0" w:right="400" w:rightChars="0"/>
    </w:pPr>
    <w:rPr>
      <w:rFonts w:ascii="National-Book" w:cs="National-Book" w:eastAsia="National-Book" w:hAnsi="National-Book"/>
      <w:sz w:val="36"/>
      <w:szCs w:val="36"/>
    </w:rPr>
  </w:style>
  <w:style w:styleId="Heading 1" w:type="paragraph">
    <w:name w:val="Heading 1"/>
    <w:qFormat/>
    <w:basedOn w:val="Normal"/>
    <w:pPr>
      <w:spacing w:beforeLines="130" w:afterLines="50" w:line="431" w:lineRule="atLeast"/>
      <w:outlineLvl w:val="1"/>
    </w:pPr>
    <w:rPr>
      <w:rFonts w:ascii="National-Semibold" w:cs="National-Semibold" w:eastAsia="National-Semibold" w:hAnsi="National-Semibold"/>
      <w:sz w:val="36"/>
      <w:szCs w:val="36"/>
      <w:b w:val="on"/>
      <w:bCs w:val="on"/>
    </w:rPr>
  </w:style>
  <w:style w:styleId="Para 010" w:type="paragraph">
    <w:name w:val="Para 010"/>
    <w:qFormat/>
    <w:basedOn w:val="Normal"/>
    <w:pPr>
      <w:spacing w:beforeLines="80" w:afterLines="80"/>
      <w:ind w:left="500" w:leftChars="0" w:right="400" w:rightChars="0"/>
      <w:shd w:val="clear" w:color="auto" w:fill="E3E3E3"/>
    </w:pPr>
    <w:rPr>
      <w:rFonts w:ascii="National-Book" w:cs="National-Book" w:eastAsia="National-Book" w:hAnsi="National-Book"/>
    </w:rPr>
  </w:style>
  <w:style w:styleId="Para 011" w:type="paragraph">
    <w:name w:val="Para 011"/>
    <w:qFormat/>
    <w:basedOn w:val="Normal"/>
    <w:pPr>
      <w:spacing w:beforeLines="130" w:afterLines="50" w:line="527" w:lineRule="atLeast"/>
    </w:pPr>
    <w:rPr>
      <w:rFonts w:ascii="National-Semibold" w:cs="National-Semibold" w:eastAsia="National-Semibold" w:hAnsi="National-Semibold"/>
      <w:sz w:val="43"/>
      <w:szCs w:val="43"/>
      <w:b w:val="on"/>
      <w:bCs w:val="on"/>
    </w:rPr>
  </w:style>
  <w:style w:styleId="Para 012" w:type="paragraph">
    <w:name w:val="Para 012"/>
    <w:qFormat/>
    <w:basedOn w:val="Normal"/>
    <w:pPr>
      <w:spacing w:line="431" w:lineRule="atLeast"/>
    </w:pPr>
    <w:rPr>
      <w:rFonts w:ascii="Cambria" w:cs="Cambria" w:eastAsia="Cambria" w:hAnsi="Cambria"/>
      <w:sz w:val="36"/>
      <w:szCs w:val="36"/>
    </w:rPr>
  </w:style>
  <w:style w:styleId="Para 013" w:type="paragraph">
    <w:name w:val="Para 013"/>
    <w:qFormat/>
    <w:basedOn w:val="Normal"/>
    <w:pPr>
      <w:spacing w:line="431" w:lineRule="atLeast"/>
    </w:pPr>
    <w:rPr>
      <w:sz w:val="36"/>
      <w:szCs w:val="36"/>
      <w:color w:val="0000FF"/>
      <w:u w:val="solid"/>
    </w:rPr>
  </w:style>
  <w:style w:styleId="Para 014" w:type="paragraph">
    <w:name w:val="Para 014"/>
    <w:qFormat/>
    <w:basedOn w:val="Normal"/>
    <w:pPr>
      <w:spacing w:line="431" w:lineRule="atLeast"/>
    </w:pPr>
    <w:rPr>
      <w:rFonts w:ascii="Cambria" w:cs="Cambria" w:eastAsia="Cambria" w:hAnsi="Cambria"/>
      <w:sz w:val="36"/>
      <w:szCs w:val="36"/>
      <w:color w:val="0000FF"/>
      <w:u w:val="solid"/>
    </w:rPr>
  </w:style>
  <w:style w:styleId="Heading 2" w:type="paragraph">
    <w:name w:val="Heading 2"/>
    <w:qFormat/>
    <w:basedOn w:val="Normal"/>
    <w:pPr>
      <w:spacing w:beforeLines="120" w:line="431" w:lineRule="atLeast"/>
      <w:outlineLvl w:val="2"/>
    </w:pPr>
    <w:rPr>
      <w:rFonts w:ascii="National-Semibold" w:cs="National-Semibold" w:eastAsia="National-Semibold" w:hAnsi="National-Semibold"/>
      <w:sz w:val="36"/>
      <w:szCs w:val="36"/>
      <w:b w:val="on"/>
      <w:bCs w:val="on"/>
    </w:rPr>
  </w:style>
  <w:style w:styleId="Para 016" w:type="paragraph">
    <w:name w:val="Para 016"/>
    <w:qFormat/>
    <w:basedOn w:val="Normal"/>
    <w:pPr>
      <w:spacing w:before="96" w:afterLines="20" w:line="431" w:lineRule="atLeast"/>
    </w:pPr>
    <w:rPr>
      <w:sz w:val="36"/>
      <w:szCs w:val="36"/>
    </w:rPr>
  </w:style>
  <w:style w:styleId="Para 017" w:type="paragraph">
    <w:name w:val="Para 017"/>
    <w:qFormat/>
    <w:basedOn w:val="Normal"/>
    <w:pPr>
      <w:spacing w:beforeLines="80" w:line="431" w:lineRule="atLeast"/>
      <w:ind w:left="400" w:leftChars="0" w:right="400" w:rightChars="0"/>
      <w:shd w:val="clear" w:color="auto" w:fill="E3E3E3"/>
    </w:pPr>
    <w:rPr>
      <w:rFonts w:ascii="National-Book" w:cs="National-Book" w:eastAsia="National-Book" w:hAnsi="National-Book"/>
      <w:sz w:val="36"/>
      <w:szCs w:val="36"/>
      <w:b w:val="on"/>
      <w:bCs w:val="on"/>
    </w:rPr>
  </w:style>
  <w:style w:styleId="Para 018" w:type="paragraph">
    <w:name w:val="Para 018"/>
    <w:qFormat/>
    <w:basedOn w:val="Normal"/>
    <w:pPr>
      <w:spacing w:beforeLines="30"/>
      <w:ind w:left="500" w:leftChars="0" w:right="400" w:rightChars="0"/>
    </w:pPr>
    <w:rPr>
      <w:rFonts w:ascii="National-Book" w:cs="National-Book" w:eastAsia="National-Book" w:hAnsi="National-Book"/>
    </w:rPr>
  </w:style>
  <w:style w:styleId="Para 019" w:type="paragraph">
    <w:name w:val="Para 019"/>
    <w:qFormat/>
    <w:basedOn w:val="Normal"/>
    <w:pPr>
      <w:spacing w:beforeLines="80" w:line="431" w:lineRule="atLeast"/>
      <w:ind w:left="400" w:leftChars="0" w:right="400" w:rightChars="0"/>
      <w:shd w:val="clear" w:color="auto" w:fill="E3E3E3"/>
    </w:pPr>
    <w:rPr>
      <w:rFonts w:ascii="National-Book" w:cs="National-Book" w:eastAsia="National-Book" w:hAnsi="National-Book"/>
      <w:sz w:val="36"/>
      <w:szCs w:val="36"/>
    </w:rPr>
  </w:style>
  <w:style w:styleId="Para 020" w:type="paragraph">
    <w:name w:val="Para 020"/>
    <w:qFormat/>
    <w:basedOn w:val="Normal"/>
    <w:pPr>
      <w:spacing w:beforeLines="80" w:line="431" w:lineRule="atLeast"/>
      <w:ind w:left="400" w:leftChars="0" w:right="400" w:rightChars="0"/>
    </w:pPr>
    <w:rPr>
      <w:rFonts w:ascii="National-Book" w:cs="National-Book" w:eastAsia="National-Book" w:hAnsi="National-Book"/>
      <w:sz w:val="36"/>
      <w:szCs w:val="36"/>
    </w:rPr>
  </w:style>
  <w:style w:styleId="Para 021" w:type="paragraph">
    <w:name w:val="Para 021"/>
    <w:qFormat/>
    <w:basedOn w:val="Normal"/>
    <w:pPr>
      <w:spacing w:beforeLines="80" w:afterLines="80"/>
      <w:ind w:left="400" w:leftChars="0"/>
    </w:pPr>
    <w:rPr>
      <w:rFonts w:ascii="National-Semibold" w:cs="National-Semibold" w:eastAsia="National-Semibold" w:hAnsi="National-Semibold"/>
      <w:b w:val="on"/>
      <w:bCs w:val="on"/>
    </w:rPr>
  </w:style>
  <w:style w:styleId="Para 022" w:type="paragraph">
    <w:name w:val="Para 022"/>
    <w:qFormat/>
    <w:basedOn w:val="Normal"/>
    <w:pPr>
      <w:spacing w:beforeLines="40"/>
      <w:ind w:left="400" w:leftChars="0" w:right="400" w:rightChars="0"/>
    </w:pPr>
    <w:rPr>
      <w:rFonts w:ascii="National-Book" w:cs="National-Book" w:eastAsia="National-Book" w:hAnsi="National-Book"/>
    </w:rPr>
  </w:style>
  <w:style w:styleId="Para 023" w:type="paragraph">
    <w:name w:val="Para 023"/>
    <w:qFormat/>
    <w:basedOn w:val="Normal"/>
    <w:pPr>
      <w:spacing w:beforeLines="100" w:line="479" w:lineRule="atLeast"/>
    </w:pPr>
    <w:rPr>
      <w:rFonts w:ascii="National-Semibold" w:cs="National-Semibold" w:eastAsia="National-Semibold" w:hAnsi="National-Semibold"/>
      <w:sz w:val="39"/>
      <w:szCs w:val="39"/>
      <w:b w:val="on"/>
      <w:bCs w:val="on"/>
    </w:rPr>
  </w:style>
  <w:style w:styleId="Para 024" w:type="paragraph">
    <w:name w:val="Para 024"/>
    <w:qFormat/>
    <w:basedOn w:val="Normal"/>
    <w:pPr>
      <w:spacing w:beforeLines="200"/>
      <w:ind w:leftChars="200"/>
      <w:pBdr>
        <w:left w:space="20"/>
      </w:pBdr>
    </w:pPr>
    <w:rPr>
      <w:rFonts w:ascii="Guardian_Reg" w:cs="Guardian_Reg" w:eastAsia="Guardian_Reg" w:hAnsi="Guardian_Reg"/>
      <w:sz w:val="32"/>
      <w:szCs w:val="32"/>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025" w:type="paragraph">
    <w:name w:val="Para 025"/>
    <w:qFormat/>
    <w:basedOn w:val="Normal"/>
    <w:pPr>
      <w:spacing w:line="527" w:lineRule="atLeast"/>
      <w:shd w:val="clear" w:color="auto" w:fill="8C8C8C"/>
    </w:pPr>
    <w:rPr>
      <w:rFonts w:ascii="National-Light" w:cs="National-Light" w:eastAsia="National-Light" w:hAnsi="National-Light"/>
      <w:sz w:val="43"/>
      <w:szCs w:val="43"/>
      <w:color w:val="FFFFFF"/>
      <w:spacing w:val="-4"/>
    </w:rPr>
  </w:style>
  <w:style w:styleId="Para 026" w:type="paragraph">
    <w:name w:val="Para 026"/>
    <w:qFormat/>
    <w:basedOn w:val="Normal"/>
    <w:pPr>
      <w:spacing w:beforeLines="100" w:line="431" w:lineRule="atLeast"/>
      <w:ind w:left="400" w:leftChars="0"/>
    </w:pPr>
    <w:rPr>
      <w:sz w:val="36"/>
      <w:szCs w:val="36"/>
    </w:rPr>
  </w:style>
  <w:style w:styleId="Para 027" w:type="paragraph">
    <w:name w:val="Para 027"/>
    <w:qFormat/>
    <w:basedOn w:val="Normal"/>
    <w:pPr>
      <w:spacing w:beforeLines="80" w:afterLines="80"/>
      <w:ind w:left="500" w:leftChars="0" w:right="400" w:rightChars="0"/>
    </w:pPr>
    <w:rPr>
      <w:rFonts w:ascii="National-Book" w:cs="National-Book" w:eastAsia="National-Book" w:hAnsi="National-Book"/>
    </w:rPr>
  </w:style>
  <w:style w:styleId="Para 028" w:type="paragraph">
    <w:name w:val="Para 028"/>
    <w:qFormat/>
    <w:basedOn w:val="Normal"/>
    <w:pPr>
      <w:spacing w:beforeLines="60" w:afterLines="60"/>
      <w:ind w:left="600" w:leftChars="0" w:right="400" w:rightChars="0"/>
    </w:pPr>
    <w:rPr>
      <w:rFonts w:ascii="National-Book" w:cs="National-Book" w:eastAsia="National-Book" w:hAnsi="National-Book"/>
    </w:rPr>
  </w:style>
  <w:style w:styleId="Para 029" w:type="paragraph">
    <w:name w:val="Para 029"/>
    <w:qFormat/>
    <w:basedOn w:val="Normal"/>
    <w:pPr>
      <w:spacing w:afterLines="100"/>
      <w:ind w:leftChars="200"/>
      <w:pBdr>
        <w:left w:space="20"/>
      </w:pBdr>
    </w:pPr>
    <w:rPr>
      <w:rFonts w:ascii="National-Book" w:cs="National-Book" w:eastAsia="National-Book" w:hAnsi="National-Book"/>
    </w:rPr>
  </w:style>
  <w:style w:styleId="Para 030" w:type="paragraph">
    <w:name w:val="Para 030"/>
    <w:qFormat/>
    <w:basedOn w:val="Normal"/>
    <w:pPr>
      <w:spacing w:beforeLines="60" w:afterLines="60"/>
      <w:ind w:left="600" w:leftChars="0" w:right="400" w:rightChars="0"/>
      <w:shd w:val="clear" w:color="auto" w:fill="E3E3E3"/>
    </w:pPr>
    <w:rPr>
      <w:rFonts w:ascii="National-Book" w:cs="National-Book" w:eastAsia="National-Book" w:hAnsi="National-Book"/>
    </w:rPr>
  </w:style>
  <w:style w:styleId="Para 031" w:type="paragraph">
    <w:name w:val="Para 031"/>
    <w:qFormat/>
    <w:basedOn w:val="Normal"/>
    <w:pPr>
      <w:spacing w:afterLines="100"/>
      <w:ind w:left="400" w:leftChars="0"/>
    </w:pPr>
    <w:rPr>
      <w:rFonts w:ascii="Guardian_Reg" w:cs="Guardian_Reg" w:eastAsia="Guardian_Reg" w:hAnsi="Guardian_Reg"/>
      <w:sz w:val="32"/>
      <w:szCs w:val="32"/>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032" w:type="paragraph">
    <w:name w:val="Para 032"/>
    <w:qFormat/>
    <w:basedOn w:val="Normal"/>
    <w:pPr>
      <w:spacing w:line="431" w:lineRule="atLeast"/>
      <w:shd w:val="clear" w:color="auto" w:fill="E3E3E3"/>
    </w:pPr>
    <w:rPr>
      <w:rFonts w:ascii="National-Book" w:cs="National-Book" w:eastAsia="National-Book" w:hAnsi="National-Book"/>
      <w:sz w:val="36"/>
      <w:szCs w:val="36"/>
    </w:rPr>
  </w:style>
  <w:style w:styleId="Para 033" w:type="paragraph">
    <w:name w:val="Para 033"/>
    <w:qFormat/>
    <w:basedOn w:val="Normal"/>
    <w:pPr>
      <w:spacing w:afterLines="30" w:line="431" w:lineRule="atLeast"/>
    </w:pPr>
    <w:rPr>
      <w:rFonts w:ascii="National-Book" w:cs="National-Book" w:eastAsia="National-Book" w:hAnsi="National-Book"/>
      <w:sz w:val="36"/>
      <w:szCs w:val="36"/>
    </w:rPr>
  </w:style>
  <w:style w:styleId="Para 034" w:type="paragraph">
    <w:name w:val="Para 034"/>
    <w:qFormat/>
    <w:basedOn w:val="Normal"/>
    <w:pPr>
      <w:spacing w:line="575" w:lineRule="atLeast"/>
      <w:shd w:val="clear" w:color="auto" w:fill="8C8C8C"/>
    </w:pPr>
    <w:rPr>
      <w:rFonts w:ascii="National-Light" w:cs="National-Light" w:eastAsia="National-Light" w:hAnsi="National-Light"/>
      <w:sz w:val="47"/>
      <w:szCs w:val="47"/>
      <w:color w:val="FFFFFF"/>
      <w:spacing w:val="-4"/>
    </w:rPr>
  </w:style>
  <w:style w:styleId="Para 035" w:type="paragraph">
    <w:name w:val="Para 035"/>
    <w:qFormat/>
    <w:basedOn w:val="Normal"/>
    <w:pPr>
      <w:spacing w:beforeLines="80" w:line="431" w:lineRule="atLeast"/>
      <w:ind w:left="400" w:leftChars="0" w:right="400" w:rightChars="0"/>
    </w:pPr>
    <w:rPr>
      <w:rFonts w:ascii="National-Med" w:cs="National-Med" w:eastAsia="National-Med" w:hAnsi="National-Med"/>
      <w:sz w:val="36"/>
      <w:szCs w:val="36"/>
      <w:b w:val="on"/>
      <w:bCs w:val="on"/>
    </w:rPr>
  </w:style>
  <w:style w:styleId="Para 036" w:type="paragraph">
    <w:name w:val="Para 036"/>
    <w:qFormat/>
    <w:basedOn w:val="Normal"/>
    <w:pPr>
      <w:spacing w:beforeLines="50" w:afterLines="50"/>
      <w:ind w:leftChars="100"/>
    </w:pPr>
    <w:rPr>
      <w:rFonts w:ascii="Guardian_Reg" w:cs="Guardian_Reg" w:eastAsia="Guardian_Reg" w:hAnsi="Guardian_Reg"/>
      <w:sz w:val="32"/>
      <w:szCs w:val="32"/>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037" w:type="paragraph">
    <w:name w:val="Para 037"/>
    <w:qFormat/>
    <w:basedOn w:val="Normal"/>
    <w:pPr>
      <w:spacing w:beforeLines="150" w:line="479" w:lineRule="atLeast"/>
      <w:ind w:left="400" w:leftChars="0"/>
    </w:pPr>
    <w:rPr>
      <w:sz w:val="39"/>
      <w:szCs w:val="39"/>
      <w:color w:val="0000FF"/>
      <w:u w:val="solid"/>
    </w:rPr>
  </w:style>
  <w:style w:styleId="Para 038" w:type="paragraph">
    <w:name w:val="Para 038"/>
    <w:qFormat/>
    <w:basedOn w:val="Normal"/>
    <w:pPr>
      <w:spacing w:beforeLines="50" w:afterLines="100" w:line="431" w:lineRule="atLeast"/>
      <w:ind w:left="600" w:leftChars="0"/>
    </w:pPr>
    <w:rPr>
      <w:rFonts w:ascii="National-Reg" w:cs="National-Reg" w:eastAsia="National-Reg" w:hAnsi="National-Reg"/>
      <w:sz w:val="36"/>
      <w:szCs w:val="36"/>
      <w:i w:val="on"/>
      <w:iCs w:val="on"/>
      <w:color w:val="0000FF"/>
      <w:u w:val="solid"/>
    </w:rPr>
  </w:style>
  <w:style w:styleId="Para 039" w:type="paragraph">
    <w:name w:val="Para 039"/>
    <w:qFormat/>
    <w:basedOn w:val="Normal"/>
    <w:pPr>
      <w:spacing w:beforeLines="300" w:line="575" w:lineRule="atLeast"/>
    </w:pPr>
    <w:rPr>
      <w:rFonts w:ascii="Prensa-Reg" w:cs="Prensa-Reg" w:eastAsia="Prensa-Reg" w:hAnsi="Prensa-Reg"/>
      <w:sz w:val="47"/>
      <w:szCs w:val="47"/>
    </w:rPr>
  </w:style>
  <w:style w:styleId="Para 040" w:type="paragraph">
    <w:name w:val="Para 040"/>
    <w:qFormat/>
    <w:basedOn w:val="Normal"/>
    <w:pPr>
      <w:spacing w:beforeLines="50" w:afterLines="300" w:line="527" w:lineRule="atLeast"/>
    </w:pPr>
    <w:rPr>
      <w:rFonts w:ascii="National-Reg" w:cs="National-Reg" w:eastAsia="National-Reg" w:hAnsi="National-Reg"/>
      <w:sz w:val="43"/>
      <w:szCs w:val="43"/>
      <w:i w:val="on"/>
      <w:iCs w:val="on"/>
    </w:rPr>
  </w:style>
  <w:style w:styleId="Para 041" w:type="paragraph">
    <w:name w:val="Para 041"/>
    <w:qFormat/>
    <w:basedOn w:val="Normal"/>
    <w:pPr>
      <w:spacing w:beforeLines="100" w:line="431" w:lineRule="atLeast"/>
      <w:ind w:left="400" w:leftChars="0"/>
    </w:pPr>
    <w:rPr>
      <w:sz w:val="36"/>
      <w:szCs w:val="36"/>
      <w:color w:val="0000FF"/>
      <w:u w:val="solid"/>
    </w:rPr>
  </w:style>
  <w:style w:styleId="Para 042" w:type="paragraph">
    <w:name w:val="Para 042"/>
    <w:qFormat/>
    <w:basedOn w:val="Normal"/>
    <w:pPr>
      <w:spacing w:afterLines="100" w:line="431" w:lineRule="atLeast"/>
      <w:ind w:left="600" w:leftChars="0"/>
    </w:pPr>
    <w:rPr>
      <w:rFonts w:ascii="National-Reg" w:cs="National-Reg" w:eastAsia="National-Reg" w:hAnsi="National-Reg"/>
      <w:sz w:val="36"/>
      <w:szCs w:val="36"/>
      <w:i w:val="on"/>
      <w:iCs w:val="on"/>
    </w:rPr>
  </w:style>
  <w:style w:styleId="Para 043" w:type="paragraph">
    <w:name w:val="Para 043"/>
    <w:qFormat/>
    <w:basedOn w:val="Normal"/>
    <w:pPr>
      <w:spacing w:beforeLines="200" w:line="527" w:lineRule="atLeast"/>
    </w:pPr>
    <w:rPr>
      <w:rFonts w:ascii="Prensa-Reg" w:cs="Prensa-Reg" w:eastAsia="Prensa-Reg" w:hAnsi="Prensa-Reg"/>
      <w:sz w:val="43"/>
      <w:szCs w:val="43"/>
    </w:rPr>
  </w:style>
  <w:style w:styleId="Para 044" w:type="paragraph">
    <w:name w:val="Para 044"/>
    <w:qFormat/>
    <w:basedOn w:val="Normal"/>
    <w:pPr>
      <w:spacing w:beforeLines="100" w:line="431" w:lineRule="atLeast"/>
      <w:jc w:val="right"/>
    </w:pPr>
    <w:rPr>
      <w:rFonts w:ascii="National-Semibold" w:cs="National-Semibold" w:eastAsia="National-Semibold" w:hAnsi="National-Semibold"/>
      <w:sz w:val="36"/>
      <w:szCs w:val="36"/>
    </w:rPr>
  </w:style>
  <w:style w:styleId="Para 045" w:type="paragraph">
    <w:name w:val="Para 045"/>
    <w:qFormat/>
    <w:basedOn w:val="Normal"/>
    <w:pPr>
      <w:spacing w:beforeLines="50" w:afterLines="300" w:line="479" w:lineRule="atLeast"/>
    </w:pPr>
    <w:rPr>
      <w:rFonts w:ascii="National-Reg" w:cs="National-Reg" w:eastAsia="National-Reg" w:hAnsi="National-Reg"/>
      <w:sz w:val="39"/>
      <w:szCs w:val="39"/>
      <w:i w:val="on"/>
      <w:iCs w:val="on"/>
    </w:rPr>
  </w:style>
  <w:style w:styleId="Para 046" w:type="paragraph">
    <w:name w:val="Para 046"/>
    <w:qFormat/>
    <w:basedOn w:val="Normal"/>
    <w:pPr>
      <w:spacing w:beforeLines="100"/>
      <w:jc w:val="right"/>
    </w:pPr>
    <w:rPr>
      <w:rFonts w:ascii="National-Semibold" w:cs="National-Semibold" w:eastAsia="National-Semibold" w:hAnsi="National-Semibold"/>
      <w:b w:val="on"/>
      <w:bCs w:val="on"/>
    </w:rPr>
  </w:style>
  <w:style w:styleId="Para 047" w:type="paragraph">
    <w:name w:val="Para 047"/>
    <w:qFormat/>
    <w:basedOn w:val="Normal"/>
    <w:pPr>
      <w:ind w:leftChars="200"/>
      <w:pBdr>
        <w:left w:space="20"/>
      </w:pBdr>
    </w:pPr>
    <w:rPr>
      <w:rFonts w:ascii="National-Book" w:cs="National-Book" w:eastAsia="National-Book" w:hAnsi="National-Book"/>
      <w:color w:val="0000FF"/>
      <w:u w:val="solid"/>
    </w:rPr>
  </w:style>
  <w:style w:styleId="Para 048" w:type="paragraph">
    <w:name w:val="Para 048"/>
    <w:qFormat/>
    <w:basedOn w:val="Normal"/>
    <w:pPr>
      <w:spacing w:beforeLines="100" w:afterLines="100" w:line="431" w:lineRule="atLeast"/>
      <w:jc w:val="center"/>
    </w:pPr>
    <w:rPr>
      <w:rFonts w:ascii="Cambria" w:cs="Cambria" w:eastAsia="Cambria" w:hAnsi="Cambria"/>
      <w:sz w:val="36"/>
      <w:szCs w:val="36"/>
    </w:rPr>
  </w:style>
  <w:style w:styleId="Para 049" w:type="paragraph">
    <w:name w:val="Para 049"/>
    <w:qFormat/>
    <w:basedOn w:val="Normal"/>
    <w:pPr>
      <w:spacing w:beforeLines="100" w:afterLines="50" w:line="527" w:lineRule="atLeast"/>
      <w:shd w:val="clear" w:color="auto" w:fill="EBEBEB"/>
      <w:pBdr>
        <w:left w:space="4"/>
        <w:top w:val="single" w:sz="5" w:color="000000"/>
      </w:pBdr>
    </w:pPr>
    <w:rPr>
      <w:rFonts w:ascii="National-Med" w:cs="National-Med" w:eastAsia="National-Med" w:hAnsi="National-Med"/>
      <w:sz w:val="43"/>
      <w:szCs w:val="43"/>
      <w:color w:val="555555"/>
      <w:spacing w:val="-1"/>
    </w:rPr>
  </w:style>
  <w:style w:styleId="Para 050" w:type="paragraph">
    <w:name w:val="Para 050"/>
    <w:qFormat/>
    <w:basedOn w:val="Normal"/>
    <w:pPr>
      <w:spacing w:beforeLines="50" w:afterLines="50" w:line="431" w:lineRule="atLeast"/>
      <w:jc w:val="center"/>
    </w:pPr>
    <w:rPr>
      <w:rFonts w:ascii="Cambria" w:cs="Cambria" w:eastAsia="Cambria" w:hAnsi="Cambria"/>
      <w:sz w:val="36"/>
      <w:szCs w:val="36"/>
    </w:rPr>
  </w:style>
  <w:style w:styleId="Para 051" w:type="paragraph">
    <w:name w:val="Para 051"/>
    <w:qFormat/>
    <w:basedOn w:val="Normal"/>
    <w:pPr>
      <w:spacing w:beforeLines="80" w:line="431" w:lineRule="atLeast"/>
      <w:ind w:left="400" w:leftChars="0" w:right="400" w:rightChars="0"/>
    </w:pPr>
    <w:rPr>
      <w:rFonts w:ascii="National-Book" w:cs="National-Book" w:eastAsia="National-Book" w:hAnsi="National-Book"/>
      <w:sz w:val="36"/>
      <w:szCs w:val="36"/>
      <w:b w:val="on"/>
      <w:bCs w:val="on"/>
    </w:rPr>
  </w:style>
  <w:style w:styleId="Para 052" w:type="paragraph">
    <w:name w:val="Para 052"/>
    <w:qFormat/>
    <w:basedOn w:val="Normal"/>
    <w:pPr>
      <w:spacing w:beforeLines="50" w:line="431" w:lineRule="atLeast"/>
      <w:ind w:left="400" w:leftChars="0" w:right="400" w:rightChars="0"/>
    </w:pPr>
    <w:rPr>
      <w:rFonts w:ascii="National-Book" w:cs="National-Book" w:eastAsia="National-Book" w:hAnsi="National-Book"/>
      <w:sz w:val="36"/>
      <w:szCs w:val="36"/>
    </w:rPr>
  </w:style>
  <w:style w:styleId="Para 053" w:type="paragraph">
    <w:name w:val="Para 053"/>
    <w:qFormat/>
    <w:basedOn w:val="Normal"/>
    <w:pPr>
      <w:spacing w:beforeLines="100" w:line="479" w:lineRule="atLeast"/>
      <w:pBdr>
        <w:left w:space="3"/>
        <w:top w:val="single" w:sz="2" w:color="000000"/>
      </w:pBdr>
    </w:pPr>
    <w:rPr>
      <w:rFonts w:ascii="National-Med" w:cs="National-Med" w:eastAsia="National-Med" w:hAnsi="National-Med"/>
      <w:sz w:val="39"/>
      <w:szCs w:val="39"/>
      <w:spacing w:val="-1"/>
    </w:rPr>
  </w:style>
  <w:style w:styleId="Para 054" w:type="paragraph">
    <w:name w:val="Para 054"/>
    <w:qFormat/>
    <w:basedOn w:val="Normal"/>
    <w:pPr>
      <w:spacing w:beforeLines="100" w:afterLines="50" w:line="575" w:lineRule="atLeast"/>
      <w:shd w:val="clear" w:color="auto" w:fill="EBEBEB"/>
      <w:pBdr>
        <w:left w:space="23"/>
        <w:top w:val="single" w:sz="5" w:color="000000"/>
      </w:pBdr>
    </w:pPr>
    <w:rPr>
      <w:rFonts w:ascii="National-Med" w:cs="National-Med" w:eastAsia="National-Med" w:hAnsi="National-Med"/>
      <w:sz w:val="47"/>
      <w:szCs w:val="47"/>
      <w:color w:val="6D6E70"/>
      <w:spacing w:val="-1"/>
    </w:rPr>
  </w:style>
  <w:style w:styleId="Para 055" w:type="paragraph">
    <w:name w:val="Para 055"/>
    <w:qFormat/>
    <w:basedOn w:val="Normal"/>
    <w:pPr>
      <w:spacing w:beforeLines="30" w:afterLines="120"/>
      <w:jc w:val="center"/>
    </w:pPr>
    <w:rPr>
      <w:rFonts w:ascii="Cambria" w:cs="Cambria" w:eastAsia="Cambria" w:hAnsi="Cambria"/>
    </w:rPr>
  </w:style>
  <w:style w:styleId="Para 056" w:type="paragraph">
    <w:name w:val="Para 056"/>
    <w:qFormat/>
    <w:basedOn w:val="Normal"/>
    <w:pPr>
      <w:spacing w:line="431" w:lineRule="atLeast"/>
      <w:pBdr>
        <w:left w:val="none" w:sz="0" w:color="auto"/>
        <w:top w:val="none" w:sz="0" w:color="auto"/>
        <w:right w:val="none" w:sz="0" w:color="auto"/>
        <w:bottom w:val="none" w:sz="0" w:color="auto"/>
      </w:pBdr>
    </w:pPr>
    <w:rPr>
      <w:rFonts w:ascii="National-Med" w:cs="National-Med" w:eastAsia="National-Med" w:hAnsi="National-Med"/>
      <w:sz w:val="36"/>
      <w:szCs w:val="36"/>
      <w:b w:val="on"/>
      <w:bCs w:val="on"/>
    </w:rPr>
  </w:style>
  <w:style w:styleId="Para 057" w:type="paragraph">
    <w:name w:val="Para 057"/>
    <w:qFormat/>
    <w:basedOn w:val="Normal"/>
    <w:pPr>
      <w:spacing w:afterLines="30" w:line="527" w:lineRule="atLeast"/>
    </w:pPr>
    <w:rPr>
      <w:rFonts w:ascii="National-Book" w:cs="National-Book" w:eastAsia="National-Book" w:hAnsi="National-Book"/>
      <w:sz w:val="43"/>
      <w:szCs w:val="43"/>
      <w:b w:val="on"/>
      <w:bCs w:val="on"/>
    </w:rPr>
  </w:style>
  <w:style w:styleId="Para 058" w:type="paragraph">
    <w:name w:val="Para 058"/>
    <w:qFormat/>
    <w:basedOn w:val="Normal"/>
    <w:pPr>
      <w:spacing w:afterLines="30" w:line="431" w:lineRule="atLeast"/>
    </w:pPr>
    <w:rPr>
      <w:rFonts w:ascii="National-Book" w:cs="National-Book" w:eastAsia="National-Book" w:hAnsi="National-Book"/>
      <w:sz w:val="36"/>
      <w:szCs w:val="36"/>
      <w:i w:val="on"/>
      <w:iCs w:val="on"/>
    </w:rPr>
  </w:style>
  <w:style w:styleId="Para 059" w:type="paragraph">
    <w:name w:val="Para 059"/>
    <w:qFormat/>
    <w:basedOn w:val="Normal"/>
    <w:pPr>
      <w:spacing w:beforeLines="20"/>
      <w:ind w:leftChars="200"/>
      <w:pBdr>
        <w:left w:space="20"/>
      </w:pBdr>
    </w:pPr>
    <w:rPr>
      <w:i w:val="on"/>
      <w:iCs w:val="on"/>
    </w:rPr>
  </w:style>
  <w:style w:styleId="Para 060" w:type="paragraph">
    <w:name w:val="Para 060"/>
    <w:qFormat/>
    <w:basedOn w:val="Normal"/>
    <w:pPr>
      <w:spacing w:afterLines="200"/>
    </w:pPr>
    <w:rPr>
      <w:rFonts w:ascii="Guardian_Reg" w:cs="Guardian_Reg" w:eastAsia="Guardian_Reg" w:hAnsi="Guardian_Reg"/>
      <w:sz w:val="32"/>
      <w:szCs w:val="32"/>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061" w:type="paragraph">
    <w:name w:val="Para 061"/>
    <w:qFormat/>
    <w:basedOn w:val="Normal"/>
    <w:pPr>
      <w:spacing w:beforeLines="50" w:afterLines="50" w:line="431" w:lineRule="atLeast"/>
      <w:shd w:val="clear" w:color="auto" w:fill="E3E3E3"/>
      <w:jc w:val="center"/>
    </w:pPr>
    <w:rPr>
      <w:rFonts w:ascii="National-Book" w:cs="National-Book" w:eastAsia="National-Book" w:hAnsi="National-Book"/>
      <w:sz w:val="36"/>
      <w:szCs w:val="36"/>
    </w:rPr>
  </w:style>
  <w:style w:styleId="Para 062" w:type="paragraph">
    <w:name w:val="Para 062"/>
    <w:qFormat/>
    <w:basedOn w:val="Normal"/>
    <w:pPr>
      <w:spacing w:beforeLines="80" w:line="431" w:lineRule="atLeast"/>
      <w:ind w:left="400" w:leftChars="0" w:right="400" w:rightChars="0"/>
      <w:shd w:val="clear" w:color="auto" w:fill="E3E3E3"/>
    </w:pPr>
    <w:rPr>
      <w:rFonts w:ascii="National-Med" w:cs="National-Med" w:eastAsia="National-Med" w:hAnsi="National-Med"/>
      <w:sz w:val="36"/>
      <w:szCs w:val="36"/>
      <w:b w:val="on"/>
      <w:bCs w:val="on"/>
    </w:rPr>
  </w:style>
  <w:style w:styleId="Para 063" w:type="paragraph">
    <w:name w:val="Para 063"/>
    <w:qFormat/>
    <w:basedOn w:val="Normal"/>
    <w:pPr>
      <w:spacing w:beforeLines="150" w:afterLines="30" w:line="431" w:lineRule="atLeast"/>
    </w:pPr>
    <w:rPr>
      <w:rFonts w:ascii="National-Med" w:cs="National-Med" w:eastAsia="National-Med" w:hAnsi="National-Med"/>
      <w:sz w:val="36"/>
      <w:szCs w:val="36"/>
      <w:b w:val="on"/>
      <w:bCs w:val="on"/>
    </w:rPr>
  </w:style>
  <w:style w:styleId="Para 064" w:type="paragraph">
    <w:name w:val="Para 064"/>
    <w:qFormat/>
    <w:basedOn w:val="Normal"/>
    <w:pPr>
      <w:ind w:left="400" w:leftChars="0" w:right="400" w:rightChars="0"/>
    </w:pPr>
    <w:rPr>
      <w:rFonts w:ascii="National-Book" w:cs="National-Book" w:eastAsia="National-Book" w:hAnsi="National-Book"/>
    </w:rPr>
  </w:style>
  <w:style w:styleId="Para 065" w:type="paragraph">
    <w:name w:val="Para 065"/>
    <w:qFormat/>
    <w:basedOn w:val="Normal"/>
    <w:pPr>
      <w:spacing w:beforeLines="80"/>
      <w:ind w:left="400" w:leftChars="0" w:right="400" w:rightChars="0"/>
    </w:pPr>
    <w:rPr>
      <w:rFonts w:ascii="National-Book" w:cs="National-Book" w:eastAsia="National-Book" w:hAnsi="National-Book"/>
      <w:i w:val="on"/>
      <w:iCs w:val="on"/>
    </w:rPr>
  </w:style>
  <w:style w:styleId="Para 066" w:type="paragraph">
    <w:name w:val="Para 066"/>
    <w:qFormat/>
    <w:basedOn w:val="Normal"/>
    <w:pPr>
      <w:ind w:leftChars="200"/>
      <w:pBdr>
        <w:left w:space="20"/>
      </w:pBdr>
    </w:pPr>
    <w:rPr>
      <w:rFonts w:ascii="National-Book" w:cs="National-Book" w:eastAsia="National-Book" w:hAnsi="National-Book"/>
      <w:i w:val="on"/>
      <w:iCs w:val="on"/>
    </w:rPr>
  </w:style>
  <w:style w:styleId="Para 067" w:type="paragraph">
    <w:name w:val="Para 067"/>
    <w:qFormat/>
    <w:basedOn w:val="Normal"/>
    <w:pPr>
      <w:spacing w:beforeLines="100" w:afterLines="100" w:line="431" w:lineRule="atLeast"/>
      <w:ind w:leftChars="100"/>
    </w:pPr>
    <w:rPr>
      <w:sz w:val="36"/>
      <w:szCs w:val="36"/>
      <w:i w:val="on"/>
      <w:iCs w:val="on"/>
    </w:rPr>
  </w:style>
  <w:style w:styleId="Para 068" w:type="paragraph">
    <w:name w:val="Para 068"/>
    <w:qFormat/>
    <w:basedOn w:val="Normal"/>
    <w:pPr>
      <w:spacing w:line="431" w:lineRule="atLeast"/>
      <w:ind w:leftChars="100"/>
    </w:pPr>
    <w:rPr>
      <w:sz w:val="36"/>
      <w:szCs w:val="36"/>
    </w:rPr>
  </w:style>
  <w:style w:styleId="Para 069" w:type="paragraph">
    <w:name w:val="Para 069"/>
    <w:qFormat/>
    <w:basedOn w:val="Normal"/>
    <w:pPr>
      <w:spacing w:beforeLines="80" w:line="431" w:lineRule="atLeast"/>
      <w:ind w:left="400" w:leftChars="0" w:right="400" w:rightChars="0"/>
    </w:pPr>
    <w:rPr>
      <w:rFonts w:ascii="National-Med" w:cs="National-Med" w:eastAsia="National-Med" w:hAnsi="National-Med"/>
      <w:sz w:val="36"/>
      <w:szCs w:val="36"/>
      <w:b w:val="on"/>
      <w:bCs w:val="on"/>
      <w:i w:val="on"/>
      <w:iCs w:val="on"/>
    </w:rPr>
  </w:style>
  <w:style w:styleId="Para 070" w:type="paragraph">
    <w:name w:val="Para 070"/>
    <w:qFormat/>
    <w:basedOn w:val="Normal"/>
    <w:pPr>
      <w:spacing w:line="431" w:lineRule="atLeast"/>
    </w:pPr>
    <w:rPr>
      <w:sz w:val="36"/>
      <w:szCs w:val="36"/>
      <w:i w:val="on"/>
      <w:iCs w:val="on"/>
    </w:rPr>
  </w:style>
  <w:style w:styleId="Para 071" w:type="paragraph">
    <w:name w:val="Para 071"/>
    <w:qFormat/>
    <w:basedOn w:val="Normal"/>
    <w:pPr>
      <w:spacing w:beforeLines="100" w:afterLines="100"/>
      <w:ind w:leftChars="100"/>
    </w:pPr>
    <w:rPr>
      <w:rFonts w:ascii="Guardian_Reg" w:cs="Guardian_Reg" w:eastAsia="Guardian_Reg" w:hAnsi="Guardian_Reg"/>
      <w:sz w:val="32"/>
      <w:szCs w:val="32"/>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072" w:type="paragraph">
    <w:name w:val="Para 072"/>
    <w:qFormat/>
    <w:basedOn w:val="Normal"/>
    <w:pPr>
      <w:spacing w:beforeLines="200" w:afterLines="100" w:line="431" w:lineRule="atLeast"/>
      <w:jc w:val="center"/>
    </w:pPr>
    <w:rPr>
      <w:sz w:val="36"/>
      <w:szCs w:val="36"/>
    </w:rPr>
  </w:style>
  <w:style w:styleId="Para 073" w:type="paragraph">
    <w:name w:val="Para 073"/>
    <w:qFormat/>
    <w:basedOn w:val="Normal"/>
    <w:pPr>
      <w:spacing w:beforeLines="80" w:line="431" w:lineRule="atLeast"/>
      <w:ind w:left="400" w:leftChars="0" w:right="400" w:rightChars="0"/>
    </w:pPr>
    <w:rPr>
      <w:rFonts w:ascii="National-Book" w:cs="National-Book" w:eastAsia="National-Book" w:hAnsi="National-Book"/>
      <w:sz w:val="36"/>
      <w:szCs w:val="36"/>
      <w:b w:val="on"/>
      <w:bCs w:val="on"/>
      <w:i w:val="on"/>
      <w:iCs w:val="on"/>
    </w:rPr>
  </w:style>
  <w:style w:styleId="Para 074" w:type="paragraph">
    <w:name w:val="Para 074"/>
    <w:qFormat/>
    <w:basedOn w:val="Normal"/>
    <w:pPr>
      <w:spacing w:line="431" w:lineRule="atLeast"/>
      <w:jc w:val="center"/>
    </w:pPr>
    <w:rPr>
      <w:rFonts w:ascii="Cambria" w:cs="Cambria" w:eastAsia="Cambria" w:hAnsi="Cambria"/>
      <w:sz w:val="36"/>
      <w:szCs w:val="36"/>
    </w:rPr>
  </w:style>
  <w:style w:styleId="Para 075" w:type="paragraph">
    <w:name w:val="Para 075"/>
    <w:qFormat/>
    <w:basedOn w:val="Normal"/>
    <w:pPr>
      <w:spacing w:before="24" w:line="431" w:lineRule="atLeast"/>
      <w:jc w:val="center"/>
    </w:pPr>
    <w:rPr>
      <w:rFonts w:ascii="Cambria" w:cs="Cambria" w:eastAsia="Cambria" w:hAnsi="Cambria"/>
      <w:sz w:val="36"/>
      <w:szCs w:val="36"/>
      <w:i w:val="on"/>
      <w:iCs w:val="on"/>
      <w:color w:val="0000FF"/>
      <w:u w:val="solid"/>
    </w:rPr>
  </w:style>
  <w:style w:styleId="Para 076" w:type="paragraph">
    <w:name w:val="Para 076"/>
    <w:qFormat/>
    <w:basedOn w:val="Normal"/>
    <w:pPr>
      <w:spacing w:line="431" w:lineRule="atLeast"/>
    </w:pPr>
    <w:rPr>
      <w:rFonts w:ascii="Cambria" w:cs="Cambria" w:eastAsia="Cambria" w:hAnsi="Cambria"/>
      <w:sz w:val="36"/>
      <w:szCs w:val="36"/>
    </w:rPr>
  </w:style>
  <w:style w:styleId="Para 077" w:type="paragraph">
    <w:name w:val="Para 077"/>
    <w:qFormat/>
    <w:basedOn w:val="Normal"/>
    <w:pPr>
      <w:spacing w:beforeLines="50" w:afterLines="100"/>
      <w:ind w:leftChars="100"/>
    </w:pPr>
    <w:rPr>
      <w:rFonts w:ascii="Guardian_Reg" w:cs="Guardian_Reg" w:eastAsia="Guardian_Reg" w:hAnsi="Guardian_Reg"/>
      <w:sz w:val="32"/>
      <w:szCs w:val="32"/>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078" w:type="paragraph">
    <w:name w:val="Para 078"/>
    <w:qFormat/>
    <w:basedOn w:val="Normal"/>
    <w:pPr>
      <w:spacing w:beforeLines="20" w:line="288" w:lineRule="atLeast"/>
    </w:pPr>
    <w:rPr>
      <w:sz w:val="24"/>
      <w:szCs w:val="24"/>
    </w:rPr>
  </w:style>
  <w:style w:styleId="Para 079" w:type="paragraph">
    <w:name w:val="Para 079"/>
    <w:qFormat/>
    <w:basedOn w:val="Normal"/>
    <w:pPr>
      <w:spacing w:afterLines="100"/>
      <w:ind w:leftChars="200"/>
      <w:pBdr>
        <w:left w:space="20"/>
      </w:pBdr>
    </w:pPr>
    <w:rPr>
      <w:rFonts w:ascii="National-Book" w:cs="National-Book" w:eastAsia="National-Book" w:hAnsi="National-Book"/>
      <w:color w:val="0000FF"/>
      <w:u w:val="solid"/>
    </w:rPr>
  </w:style>
  <w:style w:styleId="Para 080" w:type="paragraph">
    <w:name w:val="Para 080"/>
    <w:qFormat/>
    <w:basedOn w:val="Normal"/>
    <w:pPr>
      <w:spacing w:beforeLines="100" w:afterLines="50" w:line="431" w:lineRule="atLeast"/>
    </w:pPr>
    <w:rPr>
      <w:sz w:val="36"/>
      <w:szCs w:val="36"/>
    </w:rPr>
  </w:style>
  <w:style w:styleId="Para 081" w:type="paragraph">
    <w:name w:val="Para 081"/>
    <w:qFormat/>
    <w:basedOn w:val="Normal"/>
    <w:pPr>
      <w:spacing w:afterLines="150" w:line="431" w:lineRule="atLeast"/>
    </w:pPr>
    <w:rPr>
      <w:sz w:val="36"/>
      <w:szCs w:val="36"/>
    </w:rPr>
  </w:style>
  <w:style w:styleId="Para 082" w:type="paragraph">
    <w:name w:val="Para 082"/>
    <w:qFormat/>
    <w:basedOn w:val="Normal"/>
    <w:pPr>
      <w:spacing w:afterLines="200" w:line="431" w:lineRule="atLeast"/>
    </w:pPr>
    <w:rPr>
      <w:sz w:val="36"/>
      <w:szCs w:val="36"/>
    </w:rPr>
  </w:style>
  <w:style w:styleId="Para 083" w:type="paragraph">
    <w:name w:val="Para 083"/>
    <w:qFormat/>
    <w:basedOn w:val="Normal"/>
    <w:pPr>
      <w:spacing w:beforeLines="100" w:line="479" w:lineRule="atLeast"/>
      <w:ind w:left="400" w:leftChars="0"/>
    </w:pPr>
    <w:rPr>
      <w:sz w:val="39"/>
      <w:szCs w:val="39"/>
      <w:i w:val="on"/>
      <w:iCs w:val="on"/>
      <w:color w:val="0000FF"/>
      <w:u w:val="solid"/>
    </w:rPr>
  </w:style>
  <w:style w:styleId="Para 084" w:type="paragraph">
    <w:name w:val="Para 084"/>
    <w:qFormat/>
    <w:basedOn w:val="Normal"/>
    <w:pPr>
      <w:spacing w:beforeLines="100" w:line="431" w:lineRule="atLeast"/>
      <w:jc w:val="right"/>
    </w:pPr>
    <w:rPr>
      <w:rFonts w:ascii="National-Med" w:cs="National-Med" w:eastAsia="National-Med" w:hAnsi="National-Med"/>
      <w:sz w:val="36"/>
      <w:szCs w:val="36"/>
      <w:b w:val="on"/>
      <w:bCs w:val="on"/>
    </w:rPr>
  </w:style>
  <w:style w:styleId="Para 085" w:type="paragraph">
    <w:name w:val="Para 085"/>
    <w:qFormat/>
    <w:basedOn w:val="Normal"/>
    <w:pPr>
      <w:spacing w:beforeLines="200" w:line="431" w:lineRule="atLeast"/>
      <w:jc w:val="center"/>
    </w:pPr>
    <w:rPr>
      <w:sz w:val="36"/>
      <w:szCs w:val="36"/>
    </w:rPr>
  </w:style>
  <w:style w:styleId="Para 086" w:type="paragraph">
    <w:name w:val="Para 086"/>
    <w:qFormat/>
    <w:basedOn w:val="Normal"/>
    <w:pPr>
      <w:spacing w:line="431" w:lineRule="atLeast"/>
      <w:pBdr>
        <w:left w:val="none" w:sz="0" w:color="auto"/>
        <w:top w:val="none" w:sz="0" w:color="auto"/>
        <w:right w:val="none" w:sz="0" w:color="auto"/>
        <w:bottom w:val="none" w:sz="0" w:color="auto"/>
      </w:pBdr>
    </w:pPr>
    <w:rPr>
      <w:rFonts w:ascii="National-Med" w:cs="National-Med" w:eastAsia="National-Med" w:hAnsi="National-Med"/>
      <w:sz w:val="36"/>
      <w:szCs w:val="36"/>
      <w:b w:val="on"/>
      <w:bCs w:val="on"/>
    </w:rPr>
  </w:style>
  <w:style w:styleId="Para 087" w:type="paragraph">
    <w:name w:val="Para 087"/>
    <w:qFormat/>
    <w:basedOn w:val="Normal"/>
    <w:pPr>
      <w:spacing w:line="431" w:lineRule="atLeast"/>
    </w:pPr>
    <w:rPr>
      <w:rFonts w:ascii="National-Book" w:cs="National-Book" w:eastAsia="National-Book" w:hAnsi="National-Book"/>
      <w:sz w:val="36"/>
      <w:szCs w:val="36"/>
      <w:i w:val="on"/>
      <w:iCs w:val="on"/>
    </w:rPr>
  </w:style>
  <w:style w:styleId="Para 088" w:type="paragraph">
    <w:name w:val="Para 088"/>
    <w:qFormat/>
    <w:basedOn w:val="Normal"/>
    <w:pPr>
      <w:spacing w:beforeLines="200" w:afterLines="100" w:line="431" w:lineRule="atLeast"/>
    </w:pPr>
    <w:rPr>
      <w:rFonts w:ascii="Cambria" w:cs="Cambria" w:eastAsia="Cambria" w:hAnsi="Cambria"/>
      <w:sz w:val="36"/>
      <w:szCs w:val="36"/>
    </w:rPr>
  </w:style>
  <w:style w:styleId="Para 089" w:type="paragraph">
    <w:name w:val="Para 089"/>
    <w:qFormat/>
    <w:basedOn w:val="Normal"/>
    <w:pPr>
      <w:spacing w:beforeLines="150" w:line="575" w:lineRule="atLeast"/>
    </w:pPr>
    <w:rPr>
      <w:rFonts w:ascii="Prensa-Reg" w:cs="Prensa-Reg" w:eastAsia="Prensa-Reg" w:hAnsi="Prensa-Reg"/>
      <w:sz w:val="47"/>
      <w:szCs w:val="47"/>
    </w:rPr>
  </w:style>
  <w:style w:styleId="Para 090" w:type="paragraph">
    <w:name w:val="Para 090"/>
    <w:qFormat/>
    <w:basedOn w:val="Normal"/>
    <w:pPr>
      <w:spacing w:beforeLines="50" w:afterLines="150" w:line="527" w:lineRule="atLeast"/>
    </w:pPr>
    <w:rPr>
      <w:rFonts w:ascii="National-Reg" w:cs="National-Reg" w:eastAsia="National-Reg" w:hAnsi="National-Reg"/>
      <w:sz w:val="43"/>
      <w:szCs w:val="43"/>
      <w:i w:val="on"/>
      <w:iCs w:val="on"/>
    </w:rPr>
  </w:style>
  <w:style w:styleId="Para 091" w:type="paragraph">
    <w:name w:val="Para 091"/>
    <w:qFormat/>
    <w:basedOn w:val="Normal"/>
    <w:pPr>
      <w:spacing w:before="24" w:line="431" w:lineRule="atLeast"/>
      <w:jc w:val="center"/>
    </w:pPr>
    <w:rPr>
      <w:rFonts w:ascii="Cambria" w:cs="Cambria" w:eastAsia="Cambria" w:hAnsi="Cambria"/>
      <w:sz w:val="36"/>
      <w:szCs w:val="36"/>
    </w:rPr>
  </w:style>
  <w:style w:styleId="Para 092" w:type="paragraph">
    <w:name w:val="Para 092"/>
    <w:qFormat/>
    <w:basedOn w:val="Normal"/>
    <w:pPr>
      <w:spacing w:before="24" w:line="431" w:lineRule="atLeast"/>
      <w:jc w:val="center"/>
    </w:pPr>
    <w:rPr>
      <w:rFonts w:ascii="Cambria" w:cs="Cambria" w:eastAsia="Cambria" w:hAnsi="Cambria"/>
      <w:sz w:val="36"/>
      <w:szCs w:val="36"/>
      <w:b w:val="on"/>
      <w:bCs w:val="on"/>
      <w:i w:val="on"/>
      <w:iCs w:val="on"/>
    </w:rPr>
  </w:style>
  <w:style w:styleId="Para 093" w:type="paragraph">
    <w:name w:val="Para 093"/>
    <w:qFormat/>
    <w:basedOn w:val="Normal"/>
    <w:pPr>
      <w:spacing w:before="192" w:after="81" w:line="431" w:lineRule="atLeast"/>
      <w:jc w:val="center"/>
    </w:pPr>
    <w:rPr>
      <w:rFonts w:ascii="Cambria" w:cs="Cambria" w:eastAsia="Cambria" w:hAnsi="Cambria"/>
      <w:sz w:val="36"/>
      <w:szCs w:val="36"/>
      <w:b w:val="on"/>
      <w:bCs w:val="on"/>
    </w:rPr>
  </w:style>
  <w:style w:styleId="Para 094" w:type="paragraph">
    <w:name w:val="Para 094"/>
    <w:qFormat/>
    <w:basedOn w:val="Normal"/>
    <w:pPr>
      <w:spacing w:beforeLines="100" w:afterLines="100" w:line="431" w:lineRule="atLeast"/>
    </w:pPr>
    <w:rPr>
      <w:rFonts w:ascii="Cambria" w:cs="Cambria" w:eastAsia="Cambria" w:hAnsi="Cambria"/>
      <w:sz w:val="36"/>
      <w:szCs w:val="36"/>
    </w:rPr>
  </w:style>
  <w:style w:styleId="Para 095" w:type="paragraph">
    <w:name w:val="Para 095"/>
    <w:qFormat/>
    <w:basedOn w:val="Normal"/>
    <w:pPr>
      <w:spacing w:beforeLines="100" w:afterLines="300" w:line="575" w:lineRule="atLeast"/>
    </w:pPr>
    <w:rPr>
      <w:rFonts w:ascii="Farnham" w:cs="Farnham" w:eastAsia="Farnham" w:hAnsi="Farnham"/>
      <w:sz w:val="47"/>
      <w:szCs w:val="47"/>
      <w:b w:val="on"/>
      <w:bCs w:val="on"/>
    </w:rPr>
  </w:style>
  <w:style w:styleId="Para 096" w:type="paragraph">
    <w:name w:val="Para 096"/>
    <w:qFormat/>
    <w:basedOn w:val="Normal"/>
    <w:pPr>
      <w:spacing w:beforeLines="700" w:afterLines="50" w:line="431" w:lineRule="atLeast"/>
    </w:pPr>
    <w:rPr>
      <w:rFonts w:ascii="National-Med" w:cs="National-Med" w:eastAsia="National-Med" w:hAnsi="National-Med"/>
      <w:sz w:val="36"/>
      <w:szCs w:val="36"/>
    </w:rPr>
  </w:style>
  <w:style w:styleId="Para 097" w:type="paragraph">
    <w:name w:val="Para 097"/>
    <w:qFormat/>
    <w:basedOn w:val="Normal"/>
    <w:pPr>
      <w:spacing w:line="384" w:lineRule="atLeast"/>
      <w:jc w:val="left"/>
    </w:pPr>
    <w:rPr>
      <w:rFonts w:ascii="National-Med" w:cs="National-Med" w:eastAsia="National-Med" w:hAnsi="National-Med"/>
    </w:rPr>
  </w:style>
  <w:style w:styleId="Para 098" w:type="paragraph">
    <w:name w:val="Para 098"/>
    <w:qFormat/>
    <w:basedOn w:val="Normal"/>
    <w:pPr>
      <w:spacing w:beforeLines="100" w:afterLines="200"/>
    </w:pPr>
    <w:rPr>
      <w:rFonts w:ascii="Guardian_Reg" w:cs="Guardian_Reg" w:eastAsia="Guardian_Reg" w:hAnsi="Guardian_Reg"/>
      <w:sz w:val="32"/>
      <w:szCs w:val="32"/>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099" w:type="paragraph">
    <w:name w:val="Para 099"/>
    <w:qFormat/>
    <w:basedOn w:val="Normal"/>
    <w:pPr>
      <w:spacing w:line="431" w:lineRule="atLeast"/>
      <w:ind w:left="400" w:leftChars="0"/>
    </w:pPr>
    <w:rPr>
      <w:sz w:val="36"/>
      <w:szCs w:val="36"/>
      <w:color w:val="0000FF"/>
      <w:u w:val="solid"/>
    </w:rPr>
  </w:style>
  <w:style w:styleId="Para 100" w:type="paragraph">
    <w:name w:val="Para 100"/>
    <w:qFormat/>
    <w:basedOn w:val="Normal"/>
    <w:pPr>
      <w:spacing w:beforeLines="100" w:line="431" w:lineRule="atLeast"/>
      <w:ind w:left="400" w:leftChars="0"/>
    </w:pPr>
    <w:rPr>
      <w:sz w:val="36"/>
      <w:szCs w:val="36"/>
      <w:i w:val="on"/>
      <w:iCs w:val="on"/>
      <w:color w:val="0000FF"/>
      <w:u w:val="solid"/>
    </w:rPr>
  </w:style>
  <w:style w:styleId="Para 101" w:type="paragraph">
    <w:name w:val="Para 101"/>
    <w:qFormat/>
    <w:basedOn w:val="Normal"/>
    <w:pPr>
      <w:spacing w:beforeLines="20" w:line="431" w:lineRule="atLeast"/>
      <w:ind w:left="400" w:leftChars="0"/>
    </w:pPr>
    <w:rPr>
      <w:sz w:val="36"/>
      <w:szCs w:val="36"/>
      <w:i w:val="on"/>
      <w:iCs w:val="on"/>
      <w:color w:val="0000FF"/>
      <w:u w:val="solid"/>
    </w:rPr>
  </w:style>
  <w:style w:styleId="Para 102" w:type="paragraph">
    <w:name w:val="Para 102"/>
    <w:qFormat/>
    <w:basedOn w:val="Normal"/>
    <w:pPr>
      <w:spacing w:beforeLines="100" w:afterLines="0"/>
      <w:jc w:val="right"/>
    </w:pPr>
    <w:rPr>
      <w:rFonts w:ascii="National-Semibold" w:cs="National-Semibold" w:eastAsia="National-Semibold" w:hAnsi="National-Semibold"/>
      <w:b w:val="on"/>
      <w:bCs w:val="on"/>
    </w:rPr>
  </w:style>
  <w:style w:styleId="Para 103" w:type="paragraph">
    <w:name w:val="Para 103"/>
    <w:qFormat/>
    <w:basedOn w:val="Normal"/>
    <w:pPr>
      <w:spacing w:beforeLines="30" w:afterLines="100"/>
      <w:ind w:left="400" w:leftChars="0"/>
    </w:pPr>
    <w:rPr>
      <w:rFonts w:ascii="National-Semibold" w:cs="National-Semibold" w:eastAsia="National-Semibold" w:hAnsi="National-Semibold"/>
      <w:i w:val="on"/>
      <w:iCs w:val="on"/>
    </w:rPr>
  </w:style>
  <w:style w:styleId="Para 104" w:type="paragraph">
    <w:name w:val="Para 104"/>
    <w:qFormat/>
    <w:basedOn w:val="Normal"/>
    <w:pPr>
      <w:spacing w:beforeLines="80" w:line="431" w:lineRule="atLeast"/>
      <w:ind w:left="400" w:leftChars="0" w:right="400" w:rightChars="0"/>
    </w:pPr>
    <w:rPr>
      <w:rFonts w:ascii="National-Book" w:cs="National-Book" w:eastAsia="National-Book" w:hAnsi="National-Book"/>
      <w:sz w:val="24"/>
      <w:szCs w:val="24"/>
    </w:rPr>
  </w:style>
  <w:style w:styleId="Para 105" w:type="paragraph">
    <w:name w:val="Para 105"/>
    <w:qFormat/>
    <w:basedOn w:val="Normal"/>
    <w:pPr>
      <w:spacing w:beforeLines="80" w:afterLines="80"/>
      <w:ind w:leftChars="180"/>
    </w:pPr>
    <w:rPr>
      <w:rFonts w:ascii="National-Book" w:cs="National-Book" w:eastAsia="National-Book" w:hAnsi="National-Book"/>
      <w:i w:val="on"/>
      <w:iCs w:val="on"/>
    </w:rPr>
  </w:style>
  <w:style w:styleId="Para 106" w:type="paragraph">
    <w:name w:val="Para 106"/>
    <w:qFormat/>
    <w:basedOn w:val="Normal"/>
    <w:pPr>
      <w:spacing w:beforeLines="50" w:afterLines="300" w:line="479" w:lineRule="atLeast"/>
    </w:pPr>
    <w:rPr>
      <w:rFonts w:ascii="National-Semibold" w:cs="National-Semibold" w:eastAsia="National-Semibold" w:hAnsi="National-Semibold"/>
      <w:sz w:val="39"/>
      <w:szCs w:val="39"/>
      <w:color w:val="A9A9A9"/>
    </w:rPr>
  </w:style>
  <w:style w:styleId="Para 107" w:type="paragraph">
    <w:name w:val="Para 107"/>
    <w:qFormat/>
    <w:basedOn w:val="Normal"/>
    <w:pPr>
      <w:spacing w:beforeLines="80" w:afterLines="80"/>
      <w:ind w:left="500" w:leftChars="0" w:right="400" w:rightChars="0"/>
      <w:shd w:val="clear" w:color="auto" w:fill="E3E3E3"/>
    </w:pPr>
    <w:rPr>
      <w:rFonts w:ascii="National-Book" w:cs="National-Book" w:eastAsia="National-Book" w:hAnsi="National-Book"/>
      <w:b w:val="on"/>
      <w:bCs w:val="on"/>
    </w:rPr>
  </w:style>
  <w:style w:styleId="Para 108" w:type="paragraph">
    <w:name w:val="Para 108"/>
    <w:qFormat/>
    <w:basedOn w:val="Normal"/>
    <w:pPr>
      <w:spacing w:line="384" w:lineRule="atLeast"/>
      <w:jc w:val="left"/>
    </w:pPr>
    <w:rPr>
      <w:i w:val="on"/>
      <w:iCs w:val="on"/>
    </w:rPr>
  </w:style>
  <w:style w:styleId="Para 109" w:type="paragraph">
    <w:name w:val="Para 109"/>
    <w:qFormat/>
    <w:basedOn w:val="Normal"/>
    <w:pPr>
      <w:spacing w:beforeLines="100" w:afterLines="100"/>
      <w:ind w:left="400" w:leftChars="0"/>
    </w:pPr>
    <w:rPr>
      <w:rFonts w:ascii="Guardian_Reg" w:cs="Guardian_Reg" w:eastAsia="Guardian_Reg" w:hAnsi="Guardian_Reg"/>
      <w:sz w:val="32"/>
      <w:szCs w:val="32"/>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110" w:type="paragraph">
    <w:name w:val="Para 110"/>
    <w:qFormat/>
    <w:basedOn w:val="Normal"/>
    <w:pPr>
      <w:spacing w:beforeLines="100"/>
      <w:ind w:leftChars="200"/>
      <w:pBdr>
        <w:left w:space="20"/>
      </w:pBdr>
    </w:pPr>
    <w:rPr>
      <w:rFonts w:ascii="National-Book" w:cs="National-Book" w:eastAsia="National-Book" w:hAnsi="National-Book"/>
    </w:rPr>
  </w:style>
  <w:style w:styleId="Para 111" w:type="paragraph">
    <w:name w:val="Para 111"/>
    <w:qFormat/>
    <w:basedOn w:val="Normal"/>
    <w:pPr>
      <w:spacing w:beforeLines="80" w:line="725" w:lineRule="atLeast"/>
      <w:jc w:val="both"/>
    </w:pPr>
    <w:rPr>
      <w:rFonts w:ascii="National-Med" w:cs="National-Med" w:eastAsia="National-Med" w:hAnsi="National-Med"/>
      <w:sz w:val="43"/>
      <w:szCs w:val="43"/>
      <w:b w:val="on"/>
      <w:bCs w:val="on"/>
    </w:rPr>
  </w:style>
  <w:style w:styleId="Para 112" w:type="paragraph">
    <w:name w:val="Para 112"/>
    <w:qFormat/>
    <w:basedOn w:val="Normal"/>
    <w:pPr>
      <w:spacing w:line="431" w:lineRule="atLeast"/>
    </w:pPr>
    <w:rPr>
      <w:rFonts w:ascii="Cambria" w:cs="Cambria" w:eastAsia="Cambria" w:hAnsi="Cambria"/>
      <w:sz w:val="36"/>
      <w:szCs w:val="36"/>
    </w:rPr>
  </w:style>
  <w:style w:styleId="Para 113" w:type="paragraph">
    <w:name w:val="Para 113"/>
    <w:qFormat/>
    <w:basedOn w:val="Normal"/>
    <w:pPr>
      <w:spacing w:beforeLines="100" w:line="575" w:lineRule="atLeast"/>
    </w:pPr>
    <w:rPr>
      <w:rFonts w:ascii="Farnham" w:cs="Farnham" w:eastAsia="Farnham" w:hAnsi="Farnham"/>
      <w:sz w:val="47"/>
      <w:szCs w:val="47"/>
      <w:b w:val="on"/>
      <w:bCs w:val="on"/>
    </w:rPr>
  </w:style>
  <w:style w:styleId="Para 114" w:type="paragraph">
    <w:name w:val="Para 114"/>
    <w:qFormat/>
    <w:basedOn w:val="Normal"/>
    <w:pPr>
      <w:spacing w:beforeLines="500" w:afterLines="50" w:line="479" w:lineRule="atLeast"/>
    </w:pPr>
    <w:rPr>
      <w:rFonts w:ascii="National-Med" w:cs="National-Med" w:eastAsia="National-Med" w:hAnsi="National-Med"/>
      <w:sz w:val="39"/>
      <w:szCs w:val="39"/>
      <w:b w:val="on"/>
      <w:bCs w:val="on"/>
    </w:rPr>
  </w:style>
  <w:style w:styleId="Para 115" w:type="paragraph">
    <w:name w:val="Para 115"/>
    <w:qFormat/>
    <w:basedOn w:val="Normal"/>
    <w:pPr>
      <w:spacing w:line="431" w:lineRule="atLeast"/>
    </w:pPr>
    <w:rPr>
      <w:rFonts w:ascii="National-Med" w:cs="National-Med" w:eastAsia="National-Med" w:hAnsi="National-Med"/>
      <w:sz w:val="36"/>
      <w:szCs w:val="36"/>
    </w:rPr>
  </w:style>
  <w:style w:styleId="Para 116" w:type="paragraph">
    <w:name w:val="Para 116"/>
    <w:qFormat/>
    <w:basedOn w:val="Normal"/>
    <w:pPr>
      <w:spacing w:line="431" w:lineRule="atLeast"/>
      <w:ind w:leftChars="100"/>
      <w:jc w:val="center"/>
    </w:pPr>
    <w:rPr>
      <w:rFonts w:ascii="National-HBR-Bold" w:cs="National-HBR-Bold" w:eastAsia="National-HBR-Bold" w:hAnsi="National-HBR-Bold"/>
      <w:sz w:val="36"/>
      <w:szCs w:val="36"/>
    </w:rPr>
  </w:style>
  <w:style w:styleId="Para 117" w:type="paragraph">
    <w:name w:val="Para 117"/>
    <w:qFormat/>
    <w:basedOn w:val="Normal"/>
    <w:pPr>
      <w:spacing w:beforeLines="100" w:afterLines="100" w:line="431" w:lineRule="atLeast"/>
    </w:pPr>
    <w:rPr>
      <w:sz w:val="36"/>
      <w:szCs w:val="36"/>
    </w:rPr>
  </w:style>
  <w:style w:styleId="Para 118" w:type="paragraph">
    <w:name w:val="Para 118"/>
    <w:qFormat/>
    <w:basedOn w:val="Normal"/>
    <w:pPr>
      <w:spacing w:afterLines="100" w:line="431" w:lineRule="atLeast"/>
      <w:jc w:val="center"/>
    </w:pPr>
    <w:rPr>
      <w:sz w:val="36"/>
      <w:szCs w:val="36"/>
    </w:rPr>
  </w:style>
  <w:style w:styleId="Para 119" w:type="paragraph">
    <w:name w:val="Para 119"/>
    <w:qFormat/>
    <w:basedOn w:val="Normal"/>
    <w:pPr>
      <w:spacing w:beforeLines="80" w:line="479" w:lineRule="atLeast"/>
      <w:ind w:left="400" w:leftChars="0"/>
    </w:pPr>
    <w:rPr>
      <w:sz w:val="39"/>
      <w:szCs w:val="39"/>
      <w:i w:val="on"/>
      <w:iCs w:val="on"/>
      <w:color w:val="0000FF"/>
      <w:u w:val="solid"/>
    </w:rPr>
  </w:style>
  <w:style w:styleId="Para 120" w:type="paragraph">
    <w:name w:val="Para 120"/>
    <w:qFormat/>
    <w:basedOn w:val="Normal"/>
    <w:pPr>
      <w:spacing w:beforeLines="150" w:line="479" w:lineRule="atLeast"/>
      <w:ind w:left="400" w:leftChars="0"/>
    </w:pPr>
    <w:rPr>
      <w:sz w:val="39"/>
      <w:szCs w:val="39"/>
      <w:i w:val="on"/>
      <w:iCs w:val="on"/>
      <w:color w:val="0000FF"/>
      <w:u w:val="solid"/>
    </w:rPr>
  </w:style>
  <w:style w:styleId="Para 121" w:type="paragraph">
    <w:name w:val="Para 121"/>
    <w:qFormat/>
    <w:basedOn w:val="Normal"/>
    <w:pPr>
      <w:spacing w:beforeLines="50" w:line="479" w:lineRule="atLeast"/>
      <w:ind w:left="400" w:leftChars="0"/>
    </w:pPr>
    <w:rPr>
      <w:sz w:val="39"/>
      <w:szCs w:val="39"/>
      <w:i w:val="on"/>
      <w:iCs w:val="on"/>
      <w:color w:val="0000FF"/>
      <w:u w:val="solid"/>
    </w:rPr>
  </w:style>
  <w:style w:styleId="Para 122" w:type="paragraph">
    <w:name w:val="Para 122"/>
    <w:qFormat/>
    <w:basedOn w:val="Normal"/>
    <w:pPr>
      <w:spacing w:line="431" w:lineRule="atLeast"/>
      <w:pBdr>
        <w:left w:val="none" w:sz="0" w:color="auto"/>
        <w:top w:val="none" w:sz="0" w:color="000000"/>
        <w:right w:val="none" w:sz="0" w:color="auto"/>
        <w:bottom w:val="none" w:sz="0" w:color="auto"/>
      </w:pBdr>
    </w:pPr>
    <w:rPr>
      <w:rFonts w:ascii="National-Med" w:cs="National-Med" w:eastAsia="National-Med" w:hAnsi="National-Med"/>
      <w:sz w:val="36"/>
      <w:szCs w:val="36"/>
      <w:b w:val="on"/>
      <w:bCs w:val="on"/>
    </w:rPr>
  </w:style>
  <w:style w:styleId="Para 123" w:type="paragraph">
    <w:name w:val="Para 123"/>
    <w:qFormat/>
    <w:basedOn w:val="Normal"/>
    <w:pPr>
      <w:spacing w:beforeLines="100" w:afterLines="50" w:line="575" w:lineRule="atLeast"/>
      <w:shd w:val="clear" w:color="auto" w:fill="EBEBEB"/>
      <w:pBdr>
        <w:left w:space="23"/>
        <w:top w:val="single" w:sz="5" w:color="000000"/>
      </w:pBdr>
    </w:pPr>
    <w:rPr>
      <w:rFonts w:ascii="National-Med" w:cs="National-Med" w:eastAsia="National-Med" w:hAnsi="National-Med"/>
      <w:sz w:val="47"/>
      <w:szCs w:val="47"/>
      <w:color w:val="6D6E70"/>
      <w:spacing w:val="-1"/>
    </w:rPr>
  </w:style>
  <w:style w:styleId="Para 124" w:type="paragraph">
    <w:name w:val="Para 124"/>
    <w:qFormat/>
    <w:basedOn w:val="Normal"/>
    <w:pPr>
      <w:spacing w:beforeLines="50" w:line="431" w:lineRule="atLeast"/>
      <w:ind w:left="400" w:leftChars="0" w:right="400" w:rightChars="0"/>
    </w:pPr>
    <w:rPr>
      <w:rFonts w:ascii="National-Med" w:cs="National-Med" w:eastAsia="National-Med" w:hAnsi="National-Med"/>
      <w:sz w:val="36"/>
      <w:szCs w:val="36"/>
      <w:b w:val="on"/>
      <w:bCs w:val="on"/>
    </w:rPr>
  </w:style>
  <w:style w:styleId="Para 125" w:type="paragraph">
    <w:name w:val="Para 125"/>
    <w:qFormat/>
    <w:basedOn w:val="Normal"/>
    <w:pPr>
      <w:spacing w:beforeLines="100" w:line="431" w:lineRule="atLeast"/>
      <w:jc w:val="right"/>
    </w:pPr>
    <w:rPr>
      <w:rFonts w:ascii="National-Semibold" w:cs="National-Semibold" w:eastAsia="National-Semibold" w:hAnsi="National-Semibold"/>
      <w:sz w:val="36"/>
      <w:szCs w:val="36"/>
      <w:b w:val="on"/>
      <w:bCs w:val="on"/>
    </w:rPr>
  </w:style>
  <w:style w:styleId="Para 126" w:type="paragraph">
    <w:name w:val="Para 126"/>
    <w:qFormat/>
    <w:basedOn w:val="Normal"/>
    <w:pPr>
      <w:spacing w:beforeLines="200" w:line="431" w:lineRule="atLeast"/>
      <w:jc w:val="center"/>
    </w:pPr>
    <w:rPr>
      <w:rFonts w:ascii="Cambria" w:cs="Cambria" w:eastAsia="Cambria" w:hAnsi="Cambria"/>
      <w:sz w:val="36"/>
      <w:szCs w:val="36"/>
    </w:rPr>
  </w:style>
  <w:style w:styleId="Para 127" w:type="paragraph">
    <w:name w:val="Para 127"/>
    <w:qFormat/>
    <w:basedOn w:val="Normal"/>
    <w:pPr>
      <w:spacing w:beforeLines="100" w:afterLines="100" w:line="431" w:lineRule="atLeast"/>
    </w:pPr>
    <w:rPr>
      <w:rFonts w:ascii="National-Book" w:cs="National-Book" w:eastAsia="National-Book" w:hAnsi="National-Book"/>
      <w:sz w:val="36"/>
      <w:szCs w:val="36"/>
    </w:rPr>
  </w:style>
  <w:style w:styleId="Para 128" w:type="paragraph">
    <w:name w:val="Para 128"/>
    <w:qFormat/>
    <w:basedOn w:val="Normal"/>
    <w:pPr>
      <w:spacing w:beforeLines="80" w:line="431" w:lineRule="atLeast"/>
      <w:ind w:left="400" w:leftChars="0" w:right="400" w:rightChars="0"/>
      <w:pBdr>
        <w:bottom w:space="9" w:val="single" w:sz="2" w:color="000000"/>
      </w:pBdr>
    </w:pPr>
    <w:rPr>
      <w:rFonts w:ascii="National-Book" w:cs="National-Book" w:eastAsia="National-Book" w:hAnsi="National-Book"/>
      <w:sz w:val="36"/>
      <w:szCs w:val="36"/>
    </w:rPr>
  </w:style>
  <w:style w:styleId="Para 129" w:type="paragraph">
    <w:name w:val="Para 129"/>
    <w:qFormat/>
    <w:basedOn w:val="Normal"/>
    <w:pPr>
      <w:spacing w:beforeLines="100" w:afterLines="100" w:line="431" w:lineRule="atLeast"/>
      <w:jc w:val="center"/>
    </w:pPr>
    <w:rPr>
      <w:sz w:val="36"/>
      <w:szCs w:val="36"/>
    </w:rPr>
  </w:style>
  <w:style w:styleId="Para 130" w:type="paragraph">
    <w:name w:val="Para 130"/>
    <w:qFormat/>
    <w:basedOn w:val="Normal"/>
    <w:pPr>
      <w:spacing w:beforeLines="67" w:afterLines="67" w:line="575" w:lineRule="atLeast"/>
    </w:pPr>
    <w:rPr>
      <w:rFonts w:ascii="Cambria" w:cs="Cambria" w:eastAsia="Cambria" w:hAnsi="Cambria"/>
      <w:sz w:val="47"/>
      <w:szCs w:val="47"/>
      <w:b w:val="on"/>
      <w:bCs w:val="on"/>
    </w:rPr>
  </w:style>
  <w:style w:styleId="Para 131" w:type="paragraph">
    <w:name w:val="Para 131"/>
    <w:qFormat/>
    <w:basedOn w:val="Normal"/>
    <w:pPr>
      <w:spacing w:beforeLines="83" w:afterLines="83" w:line="527" w:lineRule="atLeast"/>
    </w:pPr>
    <w:rPr>
      <w:rFonts w:ascii="Cambria" w:cs="Cambria" w:eastAsia="Cambria" w:hAnsi="Cambria"/>
      <w:sz w:val="43"/>
      <w:szCs w:val="43"/>
      <w:b w:val="on"/>
      <w:bCs w:val="on"/>
    </w:rPr>
  </w:style>
  <w:style w:styleId="Text0" w:type="character">
    <w:name w:val="00 Text"/>
    <w:rPr>
      <w:i w:val="on"/>
      <w:iCs w:val="on"/>
    </w:rPr>
  </w:style>
  <w:style w:styleId="Text1" w:type="character">
    <w:name w:val="01 Text"/>
    <w:rPr>
      <w:color w:val="0000FF"/>
      <w:u w:color="auto" w:val="solid"/>
    </w:rPr>
  </w:style>
  <w:style w:styleId="Text2" w:type="character">
    <w:name w:val="02 Text"/>
    <w:rPr>
      <w:b w:val="on"/>
      <w:bCs w:val="on"/>
    </w:rPr>
  </w:style>
  <w:style w:styleId="Text3" w:type="character">
    <w:name w:val="03 Text"/>
    <w:rPr>
      <w:rFonts w:ascii="National-Med" w:cs="National-Med" w:eastAsia="National-Med" w:hAnsi="National-Med"/>
      <w:b w:val="on"/>
      <w:bCs w:val="on"/>
    </w:rPr>
  </w:style>
  <w:style w:styleId="Text4" w:type="character">
    <w:name w:val="04 Text"/>
    <w:rPr>
      <w:rFonts w:ascii="National-Med" w:cs="National-Med" w:eastAsia="National-Med" w:hAnsi="National-Med"/>
    </w:rPr>
  </w:style>
  <w:style w:styleId="Text5" w:type="character">
    <w:name w:val="05 Text"/>
    <w:rPr>
      <w:rFonts w:cs="National-Semibold" w:eastAsia="National-Semibold" w:hAnsi="National-Semibold" w:ascii="National-Semibold"/>
      <w:b w:val="on"/>
      <w:bCs w:val="on"/>
      <w:spacing w:val="2"/>
    </w:rPr>
  </w:style>
  <w:style w:styleId="Text6" w:type="character">
    <w:name w:val="06 Text"/>
    <w:rPr>
      <w:color w:val="000000"/>
      <w:u w:val="none"/>
    </w:rPr>
  </w:style>
  <w:style w:styleId="Text7" w:type="character">
    <w:name w:val="07 Text"/>
    <w:rPr>
      <w:rFonts w:ascii="Guardian_Text_Egyp_HBR-Bold" w:cs="Guardian_Text_Egyp_HBR-Bold" w:eastAsia="Guardian_Text_Egyp_HBR-Bold" w:hAnsi="Guardian_Text_Egyp_HBR-Bold"/>
    </w:rPr>
  </w:style>
  <w:style w:styleId="Text8" w:type="character">
    <w:name w:val="08 Text"/>
    <w:rPr>
      <w:b w:val="on"/>
      <w:bCs w:val="on"/>
      <w:i w:val="on"/>
      <w:iCs w:val="on"/>
    </w:rPr>
  </w:style>
  <w:style w:styleId="Text9" w:type="character">
    <w:name w:val="09 Text"/>
    <w:rPr>
      <w:rFonts w:ascii="National-Book" w:cs="National-Book" w:eastAsia="National-Book" w:hAnsi="National-Book"/>
      <w:b w:val="on"/>
      <w:bCs w:val="on"/>
    </w:rPr>
  </w:style>
  <w:style w:styleId="Text10" w:type="character">
    <w:name w:val="10 Text"/>
    <w:rPr>
      <w:rFonts w:ascii="National-Book" w:cs="National-Book" w:eastAsia="National-Book" w:hAnsi="National-Book"/>
    </w:rPr>
  </w:style>
  <w:style w:styleId="Text11" w:type="character">
    <w:name w:val="11 Text"/>
    <w:rPr>
      <w:rFonts w:cs="National-Semibold" w:eastAsia="National-Semibold" w:hAnsi="National-Semibold" w:ascii="National-Semibold"/>
      <w:i w:val="on"/>
      <w:iCs w:val="on"/>
      <w:color w:val="A9A9A9"/>
    </w:rPr>
  </w:style>
  <w:style w:styleId="Text12" w:type="character">
    <w:name w:val="12 Text"/>
    <w:rPr>
      <w:i w:val="on"/>
      <w:iCs w:val="on"/>
      <w:color w:val="0000FF"/>
      <w:u w:color="auto" w:val="solid"/>
    </w:rPr>
  </w:style>
  <w:style w:styleId="Text13" w:type="character">
    <w:name w:val="13 Text"/>
    <w:rPr>
      <w:rFonts w:hAnsi="National-Reg" w:ascii="National-Reg" w:cs="National-Reg" w:eastAsia="National-Reg"/>
      <w:i w:val="on"/>
      <w:iCs w:val="on"/>
      <w:color w:val="000000"/>
    </w:rPr>
  </w:style>
  <w:style w:styleId="Text14" w:type="character">
    <w:name w:val="14 Text"/>
    <w:rPr>
      <w:color w:val="0000FF"/>
      <w:u w:color="auto" w:val="solid"/>
      <w:vertAlign w:val="superscript"/>
    </w:rPr>
  </w:style>
  <w:style w:styleId="Text15" w:type="character">
    <w:name w:val="15 Text"/>
    <w:rPr>
      <w:rFonts w:cs="National-Semibold" w:eastAsia="National-Semibold" w:hAnsi="National-Semibold" w:ascii="National-Semibold"/>
      <w:b w:val="on"/>
      <w:bCs w:val="on"/>
    </w:rPr>
  </w:style>
  <w:style w:styleId="0 Block" w:type="paragraph">
    <w:name w:val="0 Block"/>
    <w:pPr>
      <w:spacing w:line="431" w:lineRule="atLeast"/>
      <w:jc w:val="left"/>
    </w:pPr>
  </w:style>
</w:styles>
</file>

<file path=word/webSettings.xml><?xml version="1.0" encoding="utf-8"?>
<w:webSettings xmlns:w="http://schemas.openxmlformats.org/wordprocessingml/2006/main">
  <w:optimizeForBrowser/>
  <w:allowPNG/>
  <w:doNotSaveAsSingleFile/>
</w:webSetting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image" Target="media/cover.jpeg"/><Relationship Id="rId6" Type="http://schemas.openxmlformats.org/officeDocument/2006/relationships/image" Target="media/title.png"/><Relationship Id="rId7" Type="http://schemas.openxmlformats.org/officeDocument/2006/relationships/image" Target="media/74_1.png"/><Relationship Id="rId8" Type="http://schemas.openxmlformats.org/officeDocument/2006/relationships/image" Target="media/109_1.png"/><Relationship Id="rId9" Type="http://schemas.openxmlformats.org/officeDocument/2006/relationships/image" Target="media/118_1.png"/><Relationship Id="rId10" Type="http://schemas.openxmlformats.org/officeDocument/2006/relationships/image" Target="media/119_1.png"/><Relationship Id="rId11" Type="http://schemas.openxmlformats.org/officeDocument/2006/relationships/image" Target="media/138_1.png"/><Relationship Id="rId12" Type="http://schemas.openxmlformats.org/officeDocument/2006/relationships/image" Target="media/139_1.png"/><Relationship Id="rId13" Type="http://schemas.openxmlformats.org/officeDocument/2006/relationships/image" Target="media/140_1.png"/><Relationship Id="rId14" Type="http://schemas.openxmlformats.org/officeDocument/2006/relationships/image" Target="media/142_1.png"/><Relationship Id="rId15" Type="http://schemas.openxmlformats.org/officeDocument/2006/relationships/image" Target="media/144_1.png"/><Relationship Id="rId16" Type="http://schemas.openxmlformats.org/officeDocument/2006/relationships/image" Target="media/145_1.png"/><Relationship Id="rId17" Type="http://schemas.openxmlformats.org/officeDocument/2006/relationships/image" Target="media/158_1.png"/><Relationship Id="rId18" Type="http://schemas.openxmlformats.org/officeDocument/2006/relationships/image" Target="media/159_1.png"/><Relationship Id="rId19" Type="http://schemas.openxmlformats.org/officeDocument/2006/relationships/image" Target="media/MR_ad.png"/><Relationship Id="rId20" Type="http://schemas.openxmlformats.org/officeDocument/2006/relationships/image" Target="media/line.png"/><Relationship Id="rId21" Type="http://schemas.openxmlformats.org/officeDocument/2006/relationships/image" Target="media/pg41.jpeg"/><Relationship Id="rId22" Type="http://schemas.openxmlformats.org/officeDocument/2006/relationships/image" Target="media/pg44.png"/><Relationship Id="rId23" Type="http://schemas.openxmlformats.org/officeDocument/2006/relationships/image" Target="media/pg52.png"/><Relationship Id="rId24" Type="http://schemas.openxmlformats.org/officeDocument/2006/relationships/image" Target="media/pg52a.png"/><Relationship Id="rId25" Type="http://schemas.openxmlformats.org/officeDocument/2006/relationships/image" Target="media/pg53.png"/><Relationship Id="rId26" Type="http://schemas.openxmlformats.org/officeDocument/2006/relationships/image" Target="media/pg55.png"/><Relationship Id="rId27" Type="http://schemas.openxmlformats.org/officeDocument/2006/relationships/image" Target="media/pg75.png"/><Relationship Id="rId28" Type="http://schemas.openxmlformats.org/officeDocument/2006/relationships/image" Target="media/ad1.png"/><Relationship Id="rId29" Type="http://schemas.openxmlformats.org/officeDocument/2006/relationships/image" Target="media/ad2.png"/><Relationship Id="rId30" Type="http://schemas.openxmlformats.org/officeDocument/2006/relationships/image" Target="media/ad3.png"/><Relationship Id="rId31" Type="http://schemas.openxmlformats.org/officeDocument/2006/relationships/image" Target="media/cover1.jpeg"/><Relationship Id="rId32" Type="http://schemas.openxmlformats.org/officeDocument/2006/relationships/hyperlink" Target="http://www.hbr.org" TargetMode="External"/><Relationship Id="rId33" Type="http://schemas.openxmlformats.org/officeDocument/2006/relationships/hyperlink" Target="http://www.eiconsortium.org" TargetMode="External"/><Relationship Id="rId34" Type="http://schemas.openxmlformats.org/officeDocument/2006/relationships/hyperlink" Target="https://store.hbr.org/product/hbr-s-10-must-reads-2015-the-definitive-management-ideas-of-the-year-from-harvard-business-review-with-bonus-article-the-focused-leader-the-mckinsey-award-winner-by-daniel-goleman/15037" TargetMode="External"/><Relationship Id="rId35" Type="http://schemas.openxmlformats.org/officeDocument/2006/relationships/hyperlink" Target="https://store.hbr.org/product/hbr-s-10-must-reads-2016-the-definitive-management-ideas-of-the-year-from-harvard-business-review-with-bonus-mckinsey-award-winning-article-profits-without-prosperity/15025" TargetMode="External"/><Relationship Id="rId36" Type="http://schemas.openxmlformats.org/officeDocument/2006/relationships/hyperlink" Target="https://store.hbr.org/product/hbr-s-10-must-reads-2017-the-definitive-management-ideas-of-the-year-from-harvard-business-review-with-bonus-article-what-is-disruptive-innovation/10064" TargetMode="External"/><Relationship Id="rId37" Type="http://schemas.openxmlformats.org/officeDocument/2006/relationships/hyperlink" Target="https://store.hbr.org/product/hbr-s-10-must-reads-2018-the-definitive-management-ideas-of-the-year-from-harvard-business-review-with-bonus-article-customer-loyalty-is-overrated-by-a-g-lafley-and-roger-l-martin/10137" TargetMode="External"/><Relationship Id="rId38" Type="http://schemas.openxmlformats.org/officeDocument/2006/relationships/hyperlink" Target="https://store.hbr.org/product/hbr-s-10-must-reads-2019-the-definitive-management-ideas-of-the-year-from-harvard-business-review-with-bonus-article-now-what-by-joan-c-williams-and-suzanne-lebsock-hbr-s-10-must-reads/10217" TargetMode="External"/><Relationship Id="rId39" Type="http://schemas.openxmlformats.org/officeDocument/2006/relationships/hyperlink" Target="https://store.hbr.org/product/hbr-s-10-must-reads-2020-the-definitive-management-ideas-of-the-year-from-harvard-business-review-with-bonus-article-how-ceos-manage-time-by-michael-e-porter-and-nitin-nohria/10296" TargetMode="External"/><Relationship Id="rId40" Type="http://schemas.openxmlformats.org/officeDocument/2006/relationships/hyperlink" Target="https://store.hbr.org/product/hbr-s-10-must-reads-2021-the-definitive-management-ideas-of-the-year-from-harvard-business-review-with-bonus-article-the-feedback-fallacy-by-marcus-buckingham-and-ashley-goodall/10408" TargetMode="External"/><Relationship Id="rId41" Type="http://schemas.openxmlformats.org/officeDocument/2006/relationships/hyperlink" Target="https://store.hbr.org/product/hbr-s-10-must-reads-for-ceos-with-bonus-article-your-strategy-needs-a-strategy-by-martin-reeves-claire-love-and-philipp-tillmanns/10250" TargetMode="External"/><Relationship Id="rId42" Type="http://schemas.openxmlformats.org/officeDocument/2006/relationships/hyperlink" Target="https://store.hbr.org/product/hbr-s-10-must-reads-for-new-managers-with-bonus-article-how-managers-become-leaders-by-michael-d-watkins/10134" TargetMode="External"/><Relationship Id="rId43" Type="http://schemas.openxmlformats.org/officeDocument/2006/relationships/hyperlink" Target="https://store.hbr.org/product/hbr-s-10-must-reads-on-ai-analytics-and-the-new-machine-age-with-bonus-article-why-every-company-needs-an-augmented-reality-strategy-by-michael-e-porter-and-james-e-heppelmann/10234" TargetMode="External"/><Relationship Id="rId44" Type="http://schemas.openxmlformats.org/officeDocument/2006/relationships/hyperlink" Target="https://store.hbr.org/product/hbr-s-10-must-reads-on-boards-with-bonus-article-what-makes-great-boards-great-by-jeffrey-a-sonnenfeld/10354" TargetMode="External"/><Relationship Id="rId45" Type="http://schemas.openxmlformats.org/officeDocument/2006/relationships/hyperlink" Target="https://store.hbr.org/product/hbr-s-10-must-reads-on-building-a-great-culture-with-bonus-article-how-to-build-a-culture-of-originality-by-adam-grant/10293" TargetMode="External"/><Relationship Id="rId46" Type="http://schemas.openxmlformats.org/officeDocument/2006/relationships/hyperlink" Target="https://store.hbr.org/product/hbr-s-10-must-reads-on-business-model-innovation-with-featured-article-reinventing-your-business-model-by-mark-w-johnson-clayton-m-christensen-and-henning-kagermann/10235" TargetMode="External"/><Relationship Id="rId47" Type="http://schemas.openxmlformats.org/officeDocument/2006/relationships/hyperlink" Target="https://store.hbr.org/product/hbr-s-10-must-reads-on-change-management-including-featured-article-leading-change-by-john-p-kotter/12599" TargetMode="External"/><Relationship Id="rId48" Type="http://schemas.openxmlformats.org/officeDocument/2006/relationships/hyperlink" Target="https://store.hbr.org/product/hbr-s-10-must-reads-on-collaboration-with-featured-article-social-intelligence-and-the-biology-of-leadership-by-daniel-goleman-and-richard-boyatzis/11378" TargetMode="External"/><Relationship Id="rId49" Type="http://schemas.openxmlformats.org/officeDocument/2006/relationships/hyperlink" Target="https://store.hbr.org/product/hbr-s-10-must-reads-on-communication-with-featured-article-the-necessary-art-of-persuasion-by-jay-a-conger/11364" TargetMode="External"/><Relationship Id="rId50" Type="http://schemas.openxmlformats.org/officeDocument/2006/relationships/hyperlink" Target="https://store.hbr.org/product/hbr-s-10-must-reads-on-creativity-with-bonus-article-how-pixar-fosters-collective-creativity-by-ed-catmull/10405" TargetMode="External"/><Relationship Id="rId51" Type="http://schemas.openxmlformats.org/officeDocument/2006/relationships/hyperlink" Target="https://store.hbr.org/product/hbr-s-10-must-reads-on-design-thinking-with-featured-article-design-thinking-by-tim-brown/10349?sku=10349E-KND-ENG" TargetMode="External"/><Relationship Id="rId52" Type="http://schemas.openxmlformats.org/officeDocument/2006/relationships/hyperlink" Target="https://store.hbr.org/product/hbr-s-10-must-reads-on-diversity-with-bonus-article-making-differences-matter-a-new-paradigm-for-managing-diversity-by-david-a-thomas-and-robin-j-ely/10275" TargetMode="External"/><Relationship Id="rId53" Type="http://schemas.openxmlformats.org/officeDocument/2006/relationships/hyperlink" Target="https://store.hbr.org/product/hbr-s-10-must-reads-on-emotional-intelligence-with-featured-article-what-makes-a-leader-by-daniel-goleman/15036" TargetMode="External"/><Relationship Id="rId54" Type="http://schemas.openxmlformats.org/officeDocument/2006/relationships/hyperlink" Target="https://store.hbr.org/product/hbr-s-10-must-reads-on-entrepreneurship-and-startups-featuring-bonus-article-why-the-lean-startup-changes-everything-by-steve-blank/10190" TargetMode="External"/><Relationship Id="rId55" Type="http://schemas.openxmlformats.org/officeDocument/2006/relationships/hyperlink" Target="https://store.hbr.org/product/hbr-s-10-must-reads-on-innovation-with-featured-article-the-discipline-of-innovation-by-peter-f-drucker/11363" TargetMode="External"/><Relationship Id="rId56" Type="http://schemas.openxmlformats.org/officeDocument/2006/relationships/hyperlink" Target="https://store.hbr.org/product/hbr-s-10-must-reads-on-leadership-with-featured-article-what-makes-an-effective-executive-by-peter-f-drucker/12546" TargetMode="External"/><Relationship Id="rId57" Type="http://schemas.openxmlformats.org/officeDocument/2006/relationships/hyperlink" Target="https://store.hbr.org/product/hbr-s-10-must-reads-on-leadership-vol-2-with-bonus-article-the-focused-leader-by-daniel-goleman/10362?sku=10362E-KND-ENG" TargetMode="External"/><Relationship Id="rId58" Type="http://schemas.openxmlformats.org/officeDocument/2006/relationships/hyperlink" Target="https://store.hbr.org/product/hbr-s-10-must-reads-on-leadership-for-healthcare-with-bonus-article-engaging-doctors-in-the-healthcare-revolution-by-thomas-h-lee-md-and-toby-cosgrove-md/10187" TargetMode="External"/><Relationship Id="rId59" Type="http://schemas.openxmlformats.org/officeDocument/2006/relationships/hyperlink" Target="https://store.hbr.org/product/hbr-s-10-must-reads-on-leadership-lessons-from-sports-featuring-interviews-with-sir-alex-ferguson-kareem-abdul-jabbar-andre-agassi/10188" TargetMode="External"/><Relationship Id="rId60" Type="http://schemas.openxmlformats.org/officeDocument/2006/relationships/hyperlink" Target="https://store.hbr.org/product/hbr-s-10-must-reads-on-making-smart-decisions-with-featured-article-before-you-make-that-big-decision-by-daniel-kahneman-dan-lovallo-and-olivier-sibony/11367" TargetMode="External"/><Relationship Id="rId61" Type="http://schemas.openxmlformats.org/officeDocument/2006/relationships/hyperlink" Target="https://store.hbr.org/product/hbr-s-10-must-reads-on-managing-across-cultures-with-featured-article-cultural-intelligence-by-p-christopher-earley-and-elaine-mosakowski/10016" TargetMode="External"/><Relationship Id="rId62" Type="http://schemas.openxmlformats.org/officeDocument/2006/relationships/hyperlink" Target="https://store.hbr.org/product/hbr-s-10-must-reads-on-managing-in-a-downturn-expanded-edition-with-bonus-article-preparing-your-business-for-a-post-pandemic-world-by-carsten-lund-pedersen-and-thomas-ritter/10461" TargetMode="External"/><Relationship Id="rId63" Type="http://schemas.openxmlformats.org/officeDocument/2006/relationships/hyperlink" Target="https://store.hbr.org/product/hbr-s-10-must-reads-on-managing-people-with-featured-article-leadership-that-gets-results-by-daniel-goleman/12575" TargetMode="External"/><Relationship Id="rId64" Type="http://schemas.openxmlformats.org/officeDocument/2006/relationships/hyperlink" Target="https://store.hbr.org/product/hbr-s-10-must-reads-on-managing-people-vol-2-with-bonus-article-the-feedback-fallacy-by-marcus-buckingham-and-ashley-goodall/10363?sku=10363E-KND-ENG" TargetMode="External"/><Relationship Id="rId65" Type="http://schemas.openxmlformats.org/officeDocument/2006/relationships/hyperlink" Target="https://store.hbr.org/product/hbr-s-10-must-reads-on-managing-risk-with-bonus-article-managing-21st-century-political-risk-by-condoleezza-rice-and-amy-zegart/10351" TargetMode="External"/><Relationship Id="rId66" Type="http://schemas.openxmlformats.org/officeDocument/2006/relationships/hyperlink" Target="https://store.hbr.org/product/hbr-s-10-must-reads-on-managing-yourself-with-bonus-article-how-will-you-measure-your-life-by-clayton-m-christensen/12572" TargetMode="External"/><Relationship Id="rId67" Type="http://schemas.openxmlformats.org/officeDocument/2006/relationships/hyperlink" Target="https://store.hbr.org/product/hbr-s-10-must-reads-on-mental-toughness-with-bonus-interview-post-traumatic-growth-and-building-resilience-with-martin-seligman/10189" TargetMode="External"/><Relationship Id="rId68" Type="http://schemas.openxmlformats.org/officeDocument/2006/relationships/hyperlink" Target="https://store.hbr.org/product/hbr-s-10-must-reads-on-negotiation-with-bonus-article-15-rules-for-negotiating-a-job-offer-by-deepak-malhotra/10276" TargetMode="External"/><Relationship Id="rId69" Type="http://schemas.openxmlformats.org/officeDocument/2006/relationships/hyperlink" Target="https://store.hbr.org/product/hbr-s-10-must-reads-on-nonprofits-and-the-social-sectors-featuring-what-business-can-learn-from-nonprofits-by-peter-f-drucker/10236" TargetMode="External"/><Relationship Id="rId70" Type="http://schemas.openxmlformats.org/officeDocument/2006/relationships/hyperlink" Target="https://store.hbr.org/product/hbr-s-10-must-reads-on-organizational-resilience-with-bonus-article-organizational-grit-by-thomas-h-lee-and-angela-l-duckworth/10462" TargetMode="External"/><Relationship Id="rId71" Type="http://schemas.openxmlformats.org/officeDocument/2006/relationships/hyperlink" Target="https://store.hbr.org/product/hbr-s-10-must-reads-on-platforms-and-ecosystems-with-bonus-article-by-why-some-platforms-thrive-and-others-don-t-by-feng-zhu-and-marco-iansiti/10403" TargetMode="External"/><Relationship Id="rId72" Type="http://schemas.openxmlformats.org/officeDocument/2006/relationships/hyperlink" Target="https://store.hbr.org/product/hbr-s-10-must-reads-on-public-speaking-and-presenting-with-featured-article-how-to-give-a-killer-presentation-by-chris-anderson/10350?sku=10350E-KND-ENG" TargetMode="External"/><Relationship Id="rId73" Type="http://schemas.openxmlformats.org/officeDocument/2006/relationships/hyperlink" Target="https://store.hbr.org/product/hbr-s-10-must-reads-on-reinventing-hr-with-bonus-article-people-before-strategy-by-ram-charan-dominic-barton-and-dennis-carey/10279" TargetMode="External"/><Relationship Id="rId74" Type="http://schemas.openxmlformats.org/officeDocument/2006/relationships/hyperlink" Target="https://store.hbr.org/product/hbr-s-10-must-reads-on-sales-with-bonus-interview-of-andris-zoltners/10147" TargetMode="External"/><Relationship Id="rId75" Type="http://schemas.openxmlformats.org/officeDocument/2006/relationships/hyperlink" Target="https://store.hbr.org/product/hbr-s-10-must-reads-on-strategic-marketing-with-featured-article-marketing-myopia-by-theodore-levitt/11366" TargetMode="External"/><Relationship Id="rId76" Type="http://schemas.openxmlformats.org/officeDocument/2006/relationships/hyperlink" Target="https://store.hbr.org/product/hbr-s-10-must-reads-on-strategy-including-featured-article-what-is-strategy-by-michael-e-porter/12601?sku=12601E-KND-ENG" TargetMode="External"/><Relationship Id="rId77" Type="http://schemas.openxmlformats.org/officeDocument/2006/relationships/hyperlink" Target="https://store.hbr.org/product/hbr-s-10-must-reads-on-strategy-vol-2-with-bonus-article-creating-shared-value-by-michael-e-porter-and-mark-r-kramer/10364?sku=10364E-KND-ENG" TargetMode="External"/><Relationship Id="rId78" Type="http://schemas.openxmlformats.org/officeDocument/2006/relationships/hyperlink" Target="https://store.hbr.org/product/hbr-s-10-must-reads-on-strategy-for-healthcare-featuring-the-strategy-that-will-fix-healthcare-by-michael-e-porter-and-thomas-h-lee-md/10186" TargetMode="External"/><Relationship Id="rId79" Type="http://schemas.openxmlformats.org/officeDocument/2006/relationships/hyperlink" Target="https://store.hbr.org/product/hbr-s-10-must-reads-on-teams-with-featured-article-the-discipline-of-teams-by-jon-r-katzenbach-and-douglas-k-smith/11365" TargetMode="External"/><Relationship Id="rId80" Type="http://schemas.openxmlformats.org/officeDocument/2006/relationships/hyperlink" Target="https://store.hbr.org/product/hbr-s-10-must-reads-on-women-and-leadership-with-bonus-article-sheryl-sandberg-the-hbr-interview/10231" TargetMode="External"/><Relationship Id="rId81" Type="http://schemas.openxmlformats.org/officeDocument/2006/relationships/hyperlink" Target="http://www.hbr.org/bulksales" TargetMode="External"/><Relationship Id="rId82" Type="http://schemas.openxmlformats.org/officeDocument/2006/relationships/hyperlink" Target="http://hbr.org/web/2013/08/assessment/make-time-for-work-that-matters" TargetMode="External"/><Relationship Id="rId83" Type="http://schemas.openxmlformats.org/officeDocument/2006/relationships/hyperlink" Target="http://www.workplacecai.com" TargetMode="External"/></Relationships>
</file>

<file path=word/_rels/fontTable.xml.rels><?xml version='1.0' encoding='utf-8'?>
<Relationships xmlns="http://schemas.openxmlformats.org/package/2006/relationships"/>
</file>

<file path=docProps/app.xml><?xml version="1.0" encoding="utf-8"?>
<Properties xmlns="http://schemas.openxmlformats.org/officeDocument/2006/extended-properties">
  <Application>calibre</Application>
  <AppVersion>09.0013</AppVersion>
  <DocSecurity>0</DocSecurity>
  <HyperlinksChanged>false</HyperlinksChanged>
  <LinksUpToDate>true</LinksUpToDate>
  <ScaleCrop>false</ScaleCrop>
  <SharedDoc>false</SharedDoc>
  <Company>Harvard Business Review Press</Company>
</Properties>
</file>

<file path=docProps/core.xml><?xml version="1.0" encoding="utf-8"?>
<cp:coreProperties xmlns:cp="http://schemas.openxmlformats.org/package/2006/metadata/core-properties" xmlns:dc="http://purl.org/dc/elements/1.1/" xmlns:dcterms="http://purl.org/dc/terms/" xmlns:xsi="http://www.w3.org/2001/XMLSchema-instance">
  <cp:revision>1</cp:revision>
  <cp:lastModifiedBy>calibre</cp:lastModifiedBy>
  <dcterms:created xsi:type="dcterms:W3CDTF">2026-08-11T07:33:02Z</dcterms:created>
  <dcterms:modified xsi:type="dcterms:W3CDTF">2026-08-11T07:33:02Z</dcterms:modified>
  <dc:title>HBR's 10 Must Reads on Managing Yourself 2-Volume Collection</dc:title>
  <dc:creator>Harvard Business Review</dc:creator>
  <dc:description>&lt;span&gt;&lt;p&gt;&lt;b&gt;If you read nothing else on managing yourself, read these definitive articles from Harvard Business Review.&lt;/b&gt;&lt;/p&gt;&lt;p&gt;You have the power to position yourself for success, cut your own career path, develop your skills, and shape the life you'll live. &lt;i&gt;HBR's 10 Must Reads on Managing Yourself 2-Volume Collection&lt;/i&gt; provides enduring ideas and practical advice to help you stay engaged, be productive, and continue to grow throughout your working life. Bringing together &lt;i&gt;HBR's 10 Must Reads on Managing Yourself&lt;/i&gt; and &lt;i&gt;HBR's 10 Must Reads on Managing Yourself, Vol. 2&lt;/i&gt;, this collection includes twenty articles selected by HBR's editors and features the indispensable article "How Will You Measure Your Life?" by Clayton M. Christensen.&lt;/p&gt;&lt;p&gt;From timeless classics to the latest game-changing ideas from thought leaders Peter F. Drucker, Daisy Dowling, Daniel Goleman, and Jennifer Petriglieri, and more, &lt;i&gt;HBR's 10 Must Reads on Managing Yourself 2-Volume Collection&lt;/i&gt; will inspire you to:&lt;/p&gt;&lt;ul&gt;&lt;li&gt;Identify areas for personal growth&lt;/li&gt;&lt;li&gt;Consider your strengths, work preferences, values, and contributions&lt;/li&gt;&lt;li&gt;Build your skills and stay relevant&lt;/li&gt;&lt;li&gt;Develop learning agility&lt;/li&gt;&lt;li&gt;Balance work, home, community, and self&lt;/li&gt;&lt;li&gt;Replenish your physical and mental energy&lt;/li&gt;&lt;li&gt;Rebound from tough times&lt;/li&gt;&lt;li&gt;Prepare for your next opportunity&lt;/li&gt;&lt;li&gt;Stay engaged throughout your 50+-year work life&lt;/li&gt;&lt;/ul&gt;&lt;p/&gt;&lt;p&gt;&lt;b&gt;HBR's 10 Must Reads&lt;/b&gt; paperback series is the definitive collection of books for new and experienced leaders alike. Leaders looking for the inspiration that big ideas provide, both to accelerate their own growth and that of their companies, should look no further. HBR's 10 Must Reads series focuses on the core topics that every ambitious manager needs to know: leadership, strategy, change, managing people, and managing yourself. &lt;i&gt;Harvard Business Review&lt;/i&gt; has sorted through hundreds of articles and selected only the most essential reading on each topic. Each title includes timeless advice that will be relevant regardless of an ever‐changing business environment.&lt;/p&gt;&lt;/span&gt;</dc:description>
  <dc:language>en</dc:language>
</cp:coreProperties>
</file>