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i/>
        </w:rPr>
        <w:t>HBR Future of Business Boxed Set (8 Books)</w:t>
      </w:r>
    </w:p>
    <w:p>
      <w:r>
        <w:rPr>
          <w:b/>
          <w:i w:val="0"/>
        </w:rPr>
        <w:t>Contents</w:t>
      </w:r>
    </w:p>
    <w:p>
      <w:r>
        <w:rPr>
          <w:b w:val="0"/>
          <w:i w:val="0"/>
        </w:rPr>
        <w:t>Strategic Analytics</w:t>
      </w:r>
    </w:p>
    <w:p>
      <w:r>
        <w:rPr>
          <w:b w:val="0"/>
          <w:i w:val="0"/>
        </w:rPr>
        <w:t>Artificial Intelligence</w:t>
      </w:r>
    </w:p>
    <w:p>
      <w:r>
        <w:rPr>
          <w:b w:val="0"/>
          <w:i w:val="0"/>
        </w:rPr>
        <w:t>Cybersecurity</w:t>
      </w:r>
    </w:p>
    <w:p>
      <w:r>
        <w:rPr>
          <w:b w:val="0"/>
          <w:i w:val="0"/>
        </w:rPr>
        <w:t>Monopolies &amp; Tech Giants</w:t>
      </w:r>
    </w:p>
    <w:p>
      <w:r>
        <w:rPr>
          <w:b w:val="0"/>
          <w:i w:val="0"/>
        </w:rPr>
        <w:t>Blockchain</w:t>
      </w:r>
    </w:p>
    <w:p>
      <w:r>
        <w:rPr>
          <w:b w:val="0"/>
          <w:i w:val="0"/>
        </w:rPr>
        <w:t>Agile</w:t>
      </w:r>
    </w:p>
    <w:p>
      <w:r>
        <w:rPr>
          <w:b w:val="0"/>
          <w:i w:val="0"/>
        </w:rPr>
        <w:t>Climate Change</w:t>
      </w:r>
    </w:p>
    <w:p>
      <w:r>
        <w:rPr>
          <w:b w:val="0"/>
          <w:i w:val="0"/>
        </w:rPr>
        <w:t>Customer Data &amp; Privacy</w:t>
      </w:r>
    </w:p>
    <w:p>
      <w:r>
        <w:rPr>
          <w:b w:val="0"/>
          <w:i w:val="0"/>
        </w:rPr>
        <w:t>Harvard Business Review PressBoston, Massachusetts</w:t>
      </w:r>
    </w:p>
    <w:p>
      <w:r>
        <w:rPr>
          <w:b w:val="0"/>
          <w:i w:val="0"/>
        </w:rPr>
        <w:t>eISBN: 978-1-64782-025-1</w:t>
      </w:r>
    </w:p>
    <w:p>
      <w:pPr>
        <w:jc w:val="center"/>
      </w:pPr>
      <w:r>
        <w:drawing>
          <wp:inline xmlns:a="http://schemas.openxmlformats.org/drawingml/2006/main" xmlns:pic="http://schemas.openxmlformats.org/drawingml/2006/picture">
            <wp:extent cx="5930900" cy="8890000"/>
            <wp:docPr id="1" name="Picture 1"/>
            <wp:cNvGraphicFramePr>
              <a:graphicFrameLocks noChangeAspect="1"/>
            </wp:cNvGraphicFramePr>
            <a:graphic>
              <a:graphicData uri="http://schemas.openxmlformats.org/drawingml/2006/picture">
                <pic:pic>
                  <pic:nvPicPr>
                    <pic:cNvPr id="0" name="epub_img_9094029401794865547.jpg"/>
                    <pic:cNvPicPr/>
                  </pic:nvPicPr>
                  <pic:blipFill>
                    <a:blip r:embed="rId9"/>
                    <a:stretch>
                      <a:fillRect/>
                    </a:stretch>
                  </pic:blipFill>
                  <pic:spPr>
                    <a:xfrm>
                      <a:off x="0" y="0"/>
                      <a:ext cx="5930900" cy="8890000"/>
                    </a:xfrm>
                    <a:prstGeom prst="rect"/>
                  </pic:spPr>
                </pic:pic>
              </a:graphicData>
            </a:graphic>
          </wp:inline>
        </w:drawing>
      </w:r>
    </w:p>
    <w:p>
      <w:r>
        <w:rPr>
          <w:b w:val="0"/>
          <w:i w:val="0"/>
        </w:rPr>
        <w:t>Insights You Need from Harvard Business Review</w:t>
      </w:r>
    </w:p>
    <w:p>
      <w:r>
        <w:rPr>
          <w:b w:val="0"/>
          <w:i w:val="0"/>
        </w:rPr>
        <w:t>Business is changing. Will you adapt or be left behind?</w:t>
      </w:r>
    </w:p>
    <w:p>
      <w:r>
        <w:rPr>
          <w:b w:val="0"/>
          <w:i w:val="0"/>
        </w:rPr>
        <w:t>Get up to speed and deepen your understanding of the topics that are shaping your company’s future with the Insights You Need from Harvard Business Review series. Featuring HBR’s smartest thinking on fast-moving issues—blockchain, cybersecurity, AI, and more—each book provides the foundational introduction and practical case studies your organization needs to compete today and collects the best research, interviews, and analysis to get it ready for tomorrow.</w:t>
      </w:r>
    </w:p>
    <w:p>
      <w:r>
        <w:rPr>
          <w:b w:val="0"/>
          <w:i w:val="0"/>
        </w:rPr>
        <w:t>You can’t afford to ignore how these issues will transform the landscape of business and society. The Insights You Need series will help you grasp these critical ideas—and prepare you and your company for the future.</w:t>
      </w:r>
    </w:p>
    <w:p>
      <w:r>
        <w:rPr>
          <w:b w:val="0"/>
          <w:i w:val="0"/>
        </w:rPr>
        <w:t>Books in the series include:</w:t>
      </w:r>
    </w:p>
    <w:p>
      <w:r>
        <w:rPr>
          <w:b w:val="0"/>
          <w:i/>
        </w:rPr>
        <w:t>Agile</w:t>
      </w:r>
    </w:p>
    <w:p>
      <w:r>
        <w:rPr>
          <w:b w:val="0"/>
          <w:i/>
        </w:rPr>
        <w:t>Artificial Intelligence</w:t>
      </w:r>
    </w:p>
    <w:p>
      <w:r>
        <w:rPr>
          <w:b w:val="0"/>
          <w:i/>
        </w:rPr>
        <w:t>Blockchain</w:t>
      </w:r>
    </w:p>
    <w:p>
      <w:r>
        <w:rPr>
          <w:b w:val="0"/>
          <w:i/>
        </w:rPr>
        <w:t>Climate Change</w:t>
      </w:r>
    </w:p>
    <w:p>
      <w:r>
        <w:rPr>
          <w:b w:val="0"/>
          <w:i/>
        </w:rPr>
        <w:t>Customer Data and Privacy</w:t>
      </w:r>
    </w:p>
    <w:p>
      <w:r>
        <w:rPr>
          <w:b w:val="0"/>
          <w:i/>
        </w:rPr>
        <w:t>Cybersecurity</w:t>
      </w:r>
    </w:p>
    <w:p>
      <w:r>
        <w:rPr>
          <w:b w:val="0"/>
          <w:i/>
        </w:rPr>
        <w:t>Monopolies and Tech Giants</w:t>
      </w:r>
    </w:p>
    <w:p>
      <w:r>
        <w:rPr>
          <w:b w:val="0"/>
          <w:i/>
        </w:rPr>
        <w:t>Strategic Analytics</w:t>
      </w:r>
    </w:p>
    <w:p>
      <w:r>
        <w:rPr>
          <w:b w:val="0"/>
          <w:i/>
        </w:rPr>
        <w:t>The Year in Tech, 2021</w:t>
      </w:r>
    </w:p>
    <w:p>
      <w:pPr>
        <w:jc w:val="center"/>
      </w:pPr>
      <w:r>
        <w:drawing>
          <wp:inline xmlns:a="http://schemas.openxmlformats.org/drawingml/2006/main" xmlns:pic="http://schemas.openxmlformats.org/drawingml/2006/picture">
            <wp:extent cx="6680200" cy="6680200"/>
            <wp:docPr id="2" name="Picture 2"/>
            <wp:cNvGraphicFramePr>
              <a:graphicFrameLocks noChangeAspect="1"/>
            </wp:cNvGraphicFramePr>
            <a:graphic>
              <a:graphicData uri="http://schemas.openxmlformats.org/drawingml/2006/picture">
                <pic:pic>
                  <pic:nvPicPr>
                    <pic:cNvPr id="0" name="epub_img_8874397201209072484.jpg"/>
                    <pic:cNvPicPr/>
                  </pic:nvPicPr>
                  <pic:blipFill>
                    <a:blip r:embed="rId10"/>
                    <a:stretch>
                      <a:fillRect/>
                    </a:stretch>
                  </pic:blipFill>
                  <pic:spPr>
                    <a:xfrm>
                      <a:off x="0" y="0"/>
                      <a:ext cx="6680200" cy="6680200"/>
                    </a:xfrm>
                    <a:prstGeom prst="rect"/>
                  </pic:spPr>
                </pic:pic>
              </a:graphicData>
            </a:graphic>
          </wp:inline>
        </w:drawing>
      </w:r>
    </w:p>
    <w:p>
      <w:r>
        <w:rPr>
          <w:b w:val="0"/>
          <w:i w:val="0"/>
        </w:rPr>
        <w:t>STRATEGIC ANALYTICS</w:t>
      </w:r>
    </w:p>
    <w:p>
      <w:r>
        <w:rPr>
          <w:b w:val="0"/>
          <w:i w:val="0"/>
        </w:rPr>
        <w:t>Harvard Business Review Press</w:t>
      </w:r>
    </w:p>
    <w:p>
      <w:r>
        <w:rPr>
          <w:b w:val="0"/>
          <w:i w:val="0"/>
        </w:rPr>
        <w:t>Boston, Massachusetts</w:t>
      </w:r>
    </w:p>
    <w:p>
      <w:r>
        <w:rPr>
          <w:b/>
          <w:i w:val="0"/>
        </w:rPr>
        <w:t>HBR Press Quantity Sales Discounts</w:t>
      </w:r>
    </w:p>
    <w:p>
      <w:r>
        <w:rPr>
          <w:b w:val="0"/>
          <w:i w:val="0"/>
        </w:rPr>
        <w:t>Harvard Business Review Press titles are available at significant quantity discounts when purchased in bulk for client gifts, sales promotions, and premiums. Special editions, including books with corporate logos, customized covers, and letters from the company or CEO printed in the front matter, as well as excerpts of existing books, can also be created in large quantities for special needs.</w:t>
      </w:r>
    </w:p>
    <w:p>
      <w:r>
        <w:rPr>
          <w:b w:val="0"/>
          <w:i w:val="0"/>
        </w:rPr>
        <w:t>For details and discount information for both print and ebook formats, contact booksales@harvardbusiness.org, tel. 800-988-0886, or www.hbr.org/bulksales.</w:t>
      </w:r>
    </w:p>
    <w:p>
      <w:r>
        <w:rPr>
          <w:b w:val="0"/>
          <w:i w:val="0"/>
        </w:rPr>
        <w:t>Copyright 2020 Harvard Business School Publishing Corporation</w:t>
      </w:r>
    </w:p>
    <w:p>
      <w:r>
        <w:rPr>
          <w:b w:val="0"/>
          <w:i w:val="0"/>
        </w:rPr>
        <w:t>All rights reserved</w:t>
      </w:r>
    </w:p>
    <w:p>
      <w:r>
        <w:rPr>
          <w:b w:val="0"/>
          <w:i w:val="0"/>
        </w:rPr>
        <w:t>No part of this publication may be reproduced, stored in or introduced into a retrieval system, or transmitted, in any form, or by any means (electronic, mechanical, photocopying, recording, or otherwise), without the prior permission of the publisher. Requests for permission should be directed to permissions@harvardbusiness.org, or mailed to Permissions, Harvard Business School Publishing, 60 Harvard Way, Boston, Massachusetts 02163.</w:t>
      </w:r>
    </w:p>
    <w:p>
      <w:r>
        <w:rPr>
          <w:b w:val="0"/>
          <w:i w:val="0"/>
        </w:rPr>
        <w:t>The web addresses referenced in this book were live and correct at the time of the book’s publication but may be subject to change.</w:t>
      </w:r>
    </w:p>
    <w:p>
      <w:r>
        <w:rPr>
          <w:b w:val="0"/>
          <w:i w:val="0"/>
        </w:rPr>
        <w:t>Library of Congress Cataloging-in-Publication Data</w:t>
      </w:r>
    </w:p>
    <w:p>
      <w:r>
        <w:rPr>
          <w:b w:val="0"/>
          <w:i w:val="0"/>
        </w:rPr>
        <w:t>Title: Strategic analytics.</w:t>
      </w:r>
    </w:p>
    <w:p>
      <w:r>
        <w:rPr>
          <w:b w:val="0"/>
          <w:i w:val="0"/>
        </w:rPr>
        <w:t>Other titles: Insights you need from Harvard Business Review.</w:t>
      </w:r>
    </w:p>
    <w:p>
      <w:r>
        <w:rPr>
          <w:b w:val="0"/>
          <w:i w:val="0"/>
        </w:rPr>
        <w:t>Description: Boston, Massachusetts : Harvard Business Review Press, [2020] | Series: Insights you need from Harvard Business Review | Includes index.</w:t>
      </w:r>
    </w:p>
    <w:p>
      <w:r>
        <w:rPr>
          <w:b w:val="0"/>
          <w:i w:val="0"/>
        </w:rPr>
        <w:t>Identifiers: LCCN 2019046714 (print) | LCCN 2019046715 (ebook) | ISBN 9781633698987 (paperback) | ISBN 9781633698994 (ebook)</w:t>
      </w:r>
    </w:p>
    <w:p>
      <w:r>
        <w:rPr>
          <w:b w:val="0"/>
          <w:i w:val="0"/>
        </w:rPr>
        <w:t>Subjects: LCSH: Business planning. | Quantitative research. | Strategic planning—Computer programs. | Management—Statistical methods. | Management—Data processing.</w:t>
      </w:r>
    </w:p>
    <w:p>
      <w:r>
        <w:rPr>
          <w:b w:val="0"/>
          <w:i w:val="0"/>
        </w:rPr>
        <w:t>Classification: LCC HD30.28 .S72916 2020 (print) | LCC HD30.28 (ebook) | DDC 658.4/012—dc23</w:t>
      </w:r>
    </w:p>
    <w:p>
      <w:r>
        <w:rPr>
          <w:b w:val="0"/>
          <w:i w:val="0"/>
        </w:rPr>
        <w:t>LC record available at https://lccn.loc.gov/2019046714</w:t>
      </w:r>
    </w:p>
    <w:p>
      <w:r>
        <w:rPr>
          <w:b w:val="0"/>
          <w:i w:val="0"/>
        </w:rPr>
        <w:t>LC ebook record available at https://lccn.loc.gov/2019046715</w:t>
      </w:r>
    </w:p>
    <w:p>
      <w:r>
        <w:rPr>
          <w:b w:val="0"/>
          <w:i w:val="0"/>
        </w:rPr>
        <w:t>ISBN: 978-1-63369-898-7</w:t>
      </w:r>
    </w:p>
    <w:p>
      <w:r>
        <w:rPr>
          <w:b w:val="0"/>
          <w:i w:val="0"/>
        </w:rPr>
        <w:t>eISBN: 978-1-63369-899-4</w:t>
      </w:r>
    </w:p>
    <w:p>
      <w:pPr>
        <w:pStyle w:val="Heading1"/>
      </w:pPr>
      <w:r>
        <w:rPr>
          <w:b w:val="0"/>
          <w:i w:val="0"/>
        </w:rPr>
        <w:t>Contents</w:t>
      </w:r>
    </w:p>
    <w:p>
      <w:pPr>
        <w:pStyle w:val="ListNumber"/>
      </w:pPr>
      <w:r>
        <w:rPr>
          <w:b w:val="0"/>
          <w:i w:val="0"/>
        </w:rPr>
        <w:t>Introduction</w:t>
      </w:r>
    </w:p>
    <w:p>
      <w:pPr>
        <w:pStyle w:val="ListNumber"/>
      </w:pPr>
      <w:r>
        <w:rPr>
          <w:b w:val="0"/>
          <w:i w:val="0"/>
        </w:rPr>
        <w:t>What Makes Analytics Strategic</w:t>
      </w:r>
    </w:p>
    <w:p>
      <w:pPr>
        <w:pStyle w:val="ListNumber"/>
      </w:pPr>
      <w:r>
        <w:rPr>
          <w:b w:val="0"/>
          <w:i/>
        </w:rPr>
        <w:t>They make your strategy or business model possible.</w:t>
      </w:r>
    </w:p>
    <w:p>
      <w:pPr>
        <w:pStyle w:val="ListNumber"/>
      </w:pPr>
      <w:r>
        <w:rPr>
          <w:b w:val="0"/>
          <w:i w:val="0"/>
        </w:rPr>
        <w:t>by Thomas H. Davenport</w:t>
      </w:r>
    </w:p>
    <w:p>
      <w:pPr>
        <w:pStyle w:val="ListNumber"/>
      </w:pPr>
      <w:r>
        <w:rPr>
          <w:b w:val="0"/>
          <w:i w:val="0"/>
        </w:rPr>
        <w:t>Section 1</w:t>
      </w:r>
    </w:p>
    <w:p>
      <w:pPr>
        <w:pStyle w:val="ListNumber"/>
      </w:pPr>
      <w:r>
        <w:rPr>
          <w:b w:val="0"/>
          <w:i w:val="0"/>
        </w:rPr>
        <w:t>Understanding Analytics Basics</w:t>
      </w:r>
    </w:p>
    <w:p>
      <w:pPr>
        <w:pStyle w:val="ListNumber"/>
      </w:pPr>
      <w:r>
        <w:rPr>
          <w:b w:val="0"/>
          <w:i w:val="0"/>
        </w:rPr>
        <w:t xml:space="preserve">  1.  The Five Essential Elements for Succeeding with Data</w:t>
      </w:r>
    </w:p>
    <w:p>
      <w:pPr>
        <w:pStyle w:val="ListNumber"/>
      </w:pPr>
      <w:r>
        <w:rPr>
          <w:b w:val="0"/>
          <w:i/>
        </w:rPr>
        <w:t>And the costs of missing any.</w:t>
      </w:r>
    </w:p>
    <w:p>
      <w:pPr>
        <w:pStyle w:val="ListNumber"/>
      </w:pPr>
      <w:r>
        <w:rPr>
          <w:b w:val="0"/>
          <w:i w:val="0"/>
        </w:rPr>
        <w:t>by Thomas C. Redman</w:t>
      </w:r>
    </w:p>
    <w:p>
      <w:pPr>
        <w:pStyle w:val="ListNumber"/>
      </w:pPr>
      <w:r>
        <w:rPr>
          <w:b w:val="0"/>
          <w:i w:val="0"/>
        </w:rPr>
        <w:t xml:space="preserve">  2.  Understanding the Types of Data and How They’re Captured</w:t>
      </w:r>
    </w:p>
    <w:p>
      <w:pPr>
        <w:pStyle w:val="ListNumber"/>
      </w:pPr>
      <w:r>
        <w:rPr>
          <w:b w:val="0"/>
          <w:i/>
        </w:rPr>
        <w:t>Increase your data literacy.</w:t>
      </w:r>
    </w:p>
    <w:p>
      <w:pPr>
        <w:pStyle w:val="ListNumber"/>
      </w:pPr>
      <w:r>
        <w:rPr>
          <w:b w:val="0"/>
          <w:i w:val="0"/>
        </w:rPr>
        <w:t>by Hugo Bowne-Anderson</w:t>
      </w:r>
    </w:p>
    <w:p>
      <w:pPr>
        <w:pStyle w:val="ListNumber"/>
      </w:pPr>
      <w:r>
        <w:rPr>
          <w:b w:val="0"/>
          <w:i w:val="0"/>
        </w:rPr>
        <w:t xml:space="preserve">  3.  The Right Way to Deploy Predictive Analytics</w:t>
      </w:r>
    </w:p>
    <w:p>
      <w:pPr>
        <w:pStyle w:val="ListNumber"/>
      </w:pPr>
      <w:r>
        <w:rPr>
          <w:b w:val="0"/>
          <w:i/>
        </w:rPr>
        <w:t>Focus first on your team, then on technology.</w:t>
      </w:r>
    </w:p>
    <w:p>
      <w:pPr>
        <w:pStyle w:val="ListNumber"/>
      </w:pPr>
      <w:r>
        <w:rPr>
          <w:b w:val="0"/>
          <w:i w:val="0"/>
        </w:rPr>
        <w:t>by Eric Siegel</w:t>
      </w:r>
    </w:p>
    <w:p>
      <w:pPr>
        <w:pStyle w:val="ListNumber"/>
      </w:pPr>
      <w:r>
        <w:rPr>
          <w:b w:val="0"/>
          <w:i w:val="0"/>
        </w:rPr>
        <w:t xml:space="preserve">  4.  What Great Data Analysts Do</w:t>
      </w:r>
    </w:p>
    <w:p>
      <w:pPr>
        <w:pStyle w:val="ListNumber"/>
      </w:pPr>
      <w:r>
        <w:rPr>
          <w:b w:val="0"/>
          <w:i/>
        </w:rPr>
        <w:t>And why every organization needs them.</w:t>
      </w:r>
    </w:p>
    <w:p>
      <w:pPr>
        <w:pStyle w:val="ListNumber"/>
      </w:pPr>
      <w:r>
        <w:rPr>
          <w:b w:val="0"/>
          <w:i w:val="0"/>
        </w:rPr>
        <w:t>by Cassie Kozyrkov</w:t>
      </w:r>
    </w:p>
    <w:p>
      <w:pPr>
        <w:pStyle w:val="ListNumber"/>
      </w:pPr>
      <w:r>
        <w:rPr>
          <w:b w:val="0"/>
          <w:i w:val="0"/>
        </w:rPr>
        <w:t xml:space="preserve">  5.  What Data Is and Isn’t Good For</w:t>
      </w:r>
    </w:p>
    <w:p>
      <w:pPr>
        <w:pStyle w:val="ListNumber"/>
      </w:pPr>
      <w:r>
        <w:rPr>
          <w:b w:val="0"/>
          <w:i/>
        </w:rPr>
        <w:t>Numbers rarely reveal the “why.”</w:t>
      </w:r>
    </w:p>
    <w:p>
      <w:pPr>
        <w:pStyle w:val="ListNumber"/>
      </w:pPr>
      <w:r>
        <w:rPr>
          <w:b w:val="0"/>
          <w:i w:val="0"/>
        </w:rPr>
        <w:t>by Joel Shapiro</w:t>
      </w:r>
    </w:p>
    <w:p>
      <w:pPr>
        <w:pStyle w:val="ListNumber"/>
      </w:pPr>
      <w:r>
        <w:rPr>
          <w:b w:val="0"/>
          <w:i w:val="0"/>
        </w:rPr>
        <w:t>Section 2</w:t>
      </w:r>
    </w:p>
    <w:p>
      <w:pPr>
        <w:pStyle w:val="ListNumber"/>
      </w:pPr>
      <w:r>
        <w:rPr>
          <w:b w:val="0"/>
          <w:i w:val="0"/>
        </w:rPr>
        <w:t>Becoming an Analytics-Driven Organization</w:t>
      </w:r>
    </w:p>
    <w:p>
      <w:pPr>
        <w:pStyle w:val="ListNumber"/>
      </w:pPr>
      <w:r>
        <w:rPr>
          <w:b w:val="0"/>
          <w:i w:val="0"/>
        </w:rPr>
        <w:t xml:space="preserve">  6.  Prioritize Which Data Skills Your Company Needs</w:t>
      </w:r>
    </w:p>
    <w:p>
      <w:pPr>
        <w:pStyle w:val="ListNumber"/>
      </w:pPr>
      <w:r>
        <w:rPr>
          <w:b w:val="0"/>
          <w:i/>
        </w:rPr>
        <w:t>Consider time versus utility.</w:t>
      </w:r>
    </w:p>
    <w:p>
      <w:pPr>
        <w:pStyle w:val="ListNumber"/>
      </w:pPr>
      <w:r>
        <w:rPr>
          <w:b w:val="0"/>
          <w:i w:val="0"/>
        </w:rPr>
        <w:t>by Chris Littlewood</w:t>
      </w:r>
    </w:p>
    <w:p>
      <w:pPr>
        <w:pStyle w:val="ListNumber"/>
      </w:pPr>
      <w:r>
        <w:rPr>
          <w:b w:val="0"/>
          <w:i w:val="0"/>
        </w:rPr>
        <w:t xml:space="preserve">  7.  How a German Manufacturing Company Set Up Its Analytics Lab</w:t>
      </w:r>
    </w:p>
    <w:p>
      <w:pPr>
        <w:pStyle w:val="ListNumber"/>
      </w:pPr>
      <w:r>
        <w:rPr>
          <w:b w:val="0"/>
          <w:i/>
        </w:rPr>
        <w:t>Best practices any company can follow.</w:t>
      </w:r>
    </w:p>
    <w:p>
      <w:pPr>
        <w:pStyle w:val="ListNumber"/>
      </w:pPr>
      <w:r>
        <w:rPr>
          <w:b w:val="0"/>
          <w:i w:val="0"/>
        </w:rPr>
        <w:t>by Niklas Goby, Tobias Brandt, and Dirk Neumann</w:t>
      </w:r>
    </w:p>
    <w:p>
      <w:pPr>
        <w:pStyle w:val="ListNumber"/>
      </w:pPr>
      <w:r>
        <w:rPr>
          <w:b w:val="0"/>
          <w:i w:val="0"/>
        </w:rPr>
        <w:t xml:space="preserve">  8.  Cloud Computing Is Helping Smaller, Newer Firms Compete</w:t>
      </w:r>
    </w:p>
    <w:p>
      <w:pPr>
        <w:pStyle w:val="ListNumber"/>
      </w:pPr>
      <w:r>
        <w:rPr>
          <w:b w:val="0"/>
          <w:i/>
        </w:rPr>
        <w:t>Renting computing power may level the playing field.</w:t>
      </w:r>
    </w:p>
    <w:p>
      <w:pPr>
        <w:pStyle w:val="ListNumber"/>
      </w:pPr>
      <w:r>
        <w:rPr>
          <w:b w:val="0"/>
          <w:i w:val="0"/>
        </w:rPr>
        <w:t>by Nicholas Bloom and Nicola Pierri</w:t>
      </w:r>
    </w:p>
    <w:p>
      <w:pPr>
        <w:pStyle w:val="ListNumber"/>
      </w:pPr>
      <w:r>
        <w:rPr>
          <w:b w:val="0"/>
          <w:i w:val="0"/>
        </w:rPr>
        <w:t xml:space="preserve">  9.  Data Science and the Art of Persuasion</w:t>
      </w:r>
    </w:p>
    <w:p>
      <w:pPr>
        <w:pStyle w:val="ListNumber"/>
      </w:pPr>
      <w:r>
        <w:rPr>
          <w:b w:val="0"/>
          <w:i/>
        </w:rPr>
        <w:t>Solving data’s last-mile problem.</w:t>
      </w:r>
    </w:p>
    <w:p>
      <w:pPr>
        <w:pStyle w:val="ListNumber"/>
      </w:pPr>
      <w:r>
        <w:rPr>
          <w:b w:val="0"/>
          <w:i w:val="0"/>
        </w:rPr>
        <w:t>by Scott Berinato</w:t>
      </w:r>
    </w:p>
    <w:p>
      <w:pPr>
        <w:pStyle w:val="ListNumber"/>
      </w:pPr>
      <w:r>
        <w:rPr>
          <w:b w:val="0"/>
          <w:i w:val="0"/>
        </w:rPr>
        <w:t>Section 3</w:t>
      </w:r>
    </w:p>
    <w:p>
      <w:pPr>
        <w:pStyle w:val="ListNumber"/>
      </w:pPr>
      <w:r>
        <w:rPr>
          <w:b w:val="0"/>
          <w:i w:val="0"/>
        </w:rPr>
        <w:t>Applying Data Analytics</w:t>
      </w:r>
    </w:p>
    <w:p>
      <w:pPr>
        <w:pStyle w:val="ListNumber"/>
      </w:pPr>
      <w:r>
        <w:rPr>
          <w:b w:val="0"/>
          <w:i w:val="0"/>
        </w:rPr>
        <w:t>10.  How Vineyard Vines Uses Analytics to Win Over Customers</w:t>
      </w:r>
    </w:p>
    <w:p>
      <w:pPr>
        <w:pStyle w:val="ListNumber"/>
      </w:pPr>
      <w:r>
        <w:rPr>
          <w:b w:val="0"/>
          <w:i/>
        </w:rPr>
        <w:t>By integrating behavioral data and predictive algorithms.</w:t>
      </w:r>
    </w:p>
    <w:p>
      <w:pPr>
        <w:pStyle w:val="ListNumber"/>
      </w:pPr>
      <w:r>
        <w:rPr>
          <w:b w:val="0"/>
          <w:i w:val="0"/>
        </w:rPr>
        <w:t>by Dave Sutton</w:t>
      </w:r>
    </w:p>
    <w:p>
      <w:pPr>
        <w:pStyle w:val="ListNumber"/>
      </w:pPr>
      <w:r>
        <w:rPr>
          <w:b w:val="0"/>
          <w:i w:val="0"/>
        </w:rPr>
        <w:t>11.  How to Use Employee Data Responsibly</w:t>
      </w:r>
    </w:p>
    <w:p>
      <w:pPr>
        <w:pStyle w:val="ListNumber"/>
      </w:pPr>
      <w:r>
        <w:rPr>
          <w:b w:val="0"/>
          <w:i/>
        </w:rPr>
        <w:t>Three ways to maintain trust when using people analytics.</w:t>
      </w:r>
    </w:p>
    <w:p>
      <w:pPr>
        <w:pStyle w:val="ListNumber"/>
      </w:pPr>
      <w:r>
        <w:rPr>
          <w:b w:val="0"/>
          <w:i w:val="0"/>
        </w:rPr>
        <w:t>by Ellyn Shook, Eva Sage-Gavin, and Susan Cantrell</w:t>
      </w:r>
    </w:p>
    <w:p>
      <w:pPr>
        <w:pStyle w:val="ListNumber"/>
      </w:pPr>
      <w:r>
        <w:rPr>
          <w:b w:val="0"/>
          <w:i w:val="0"/>
        </w:rPr>
        <w:t>12.  What AI-Driven Decision Making Looks Like</w:t>
      </w:r>
    </w:p>
    <w:p>
      <w:pPr>
        <w:pStyle w:val="ListNumber"/>
      </w:pPr>
      <w:r>
        <w:rPr>
          <w:b w:val="0"/>
          <w:i/>
        </w:rPr>
        <w:t>Sometimes, humans need to get out of the way.</w:t>
      </w:r>
    </w:p>
    <w:p>
      <w:pPr>
        <w:pStyle w:val="ListNumber"/>
      </w:pPr>
      <w:r>
        <w:rPr>
          <w:b w:val="0"/>
          <w:i w:val="0"/>
        </w:rPr>
        <w:t>by Eric Colson</w:t>
      </w:r>
    </w:p>
    <w:p>
      <w:pPr>
        <w:pStyle w:val="ListNumber"/>
      </w:pPr>
      <w:r>
        <w:rPr>
          <w:b w:val="0"/>
          <w:i w:val="0"/>
        </w:rPr>
        <w:t>13.  How Companies Can Use the Data They Collect to Further the Public Good</w:t>
      </w:r>
    </w:p>
    <w:p>
      <w:pPr>
        <w:pStyle w:val="ListNumber"/>
      </w:pPr>
      <w:r>
        <w:rPr>
          <w:b w:val="0"/>
          <w:i/>
        </w:rPr>
        <w:t>And why they benefit from doing so.</w:t>
      </w:r>
    </w:p>
    <w:p>
      <w:pPr>
        <w:pStyle w:val="ListNumber"/>
      </w:pPr>
      <w:r>
        <w:rPr>
          <w:b w:val="0"/>
          <w:i w:val="0"/>
        </w:rPr>
        <w:t>by Edward L. Glaeser, Hyunjin Kim, and Michael Luca</w:t>
      </w:r>
    </w:p>
    <w:p>
      <w:pPr>
        <w:pStyle w:val="ListNumber"/>
      </w:pPr>
      <w:r>
        <w:rPr>
          <w:b w:val="0"/>
          <w:i w:val="0"/>
        </w:rPr>
        <w:t>About the Contributors</w:t>
      </w:r>
    </w:p>
    <w:p>
      <w:pPr>
        <w:pStyle w:val="ListNumber"/>
      </w:pPr>
      <w:r>
        <w:rPr>
          <w:b w:val="0"/>
          <w:i w:val="0"/>
        </w:rPr>
        <w:t>Index</w:t>
      </w:r>
    </w:p>
    <w:p>
      <w:pPr>
        <w:pStyle w:val="Heading1"/>
      </w:pPr>
      <w:r>
        <w:rPr>
          <w:b w:val="0"/>
          <w:i w:val="0"/>
        </w:rPr>
        <w:t>Introduction</w:t>
      </w:r>
    </w:p>
    <w:p>
      <w:r>
        <w:rPr>
          <w:b w:val="0"/>
          <w:i w:val="0"/>
        </w:rPr>
        <w:t>WHAT MAKES ANALYTICS STRATEGIC</w:t>
      </w:r>
    </w:p>
    <w:p>
      <w:r>
        <w:rPr>
          <w:b w:val="0"/>
          <w:i w:val="0"/>
        </w:rPr>
        <w:t>by Thomas H. Davenport</w:t>
      </w:r>
    </w:p>
    <w:p>
      <w:r>
        <w:rPr>
          <w:b w:val="0"/>
          <w:i w:val="0"/>
        </w:rPr>
        <w:t>Organizations are eager to reap the rewards of data and analytics—to learn about their customers by gathering vast amounts of data, to use that information to make better products and rise above the competition, and to enlist machine-learning algorithms to create new opportunities and improve performance. Yet, despite their efforts, many companies find that progress toward these goals is painfully slow. The successful use of analytics requires not only high-quality data and powerful hardware and software, but also a culture that encourages data-driven decisions and a set of skills to make them. Relatively few organizations have all those capabilities at scale.</w:t>
      </w:r>
    </w:p>
    <w:p>
      <w:r>
        <w:rPr>
          <w:b w:val="0"/>
          <w:i w:val="0"/>
        </w:rPr>
        <w:t>Throughout most of the 60 or so years of business analytics, analytics have largely been tactical. They have described common and repetitive business transactions, they were largely backward-looking, and they weren’t highly visible to (or desired by) senior executives. Smart managers certainly paid attention to the numbers showing how much money they made on specific products or in particular quarters, but that kind of routine reporting could hardly be described as strategic. Companies spent far more money and effort putting transactional information systems in place than they did on analyzing the data that emerged from them.</w:t>
      </w:r>
    </w:p>
    <w:p>
      <w:r>
        <w:rPr>
          <w:b w:val="0"/>
          <w:i w:val="0"/>
        </w:rPr>
        <w:t>Decades later, we’re using analytics in a much more dedicated manner. Around the turn of the century, companies started pursuing what might be called “strategic analytics”—analytics that were used to predict what customers might buy; to close less profitable stores, branches, and product lines; or even to develop new service offerings.1 With the substantial performance improvements these efforts enabled, senior executives began to pay attention to the potential of analytics. In a few short years, analytics became the basis of their business strategy and their approach to the marketplace.2 Capital One, for example, was spun out of a third-tier bank, but its credit card business was based on “information-based strategy.” It employed data and analytics to make virtually every decision in the company—from what interest rate to charge to which customers to target. In doing so, Capital One returned more value to shareholders during its first 10 years as a public company than any other firm in the United States.</w:t>
      </w:r>
    </w:p>
    <w:p>
      <w:r>
        <w:rPr>
          <w:b w:val="0"/>
          <w:i w:val="0"/>
        </w:rPr>
        <w:t>Analytics are reaching new heights with the addition of new technologies, much more data, machine learning, and artificial intelligence (AI). Companies are using external data to train algorithms to help with decision making. They’re using internal data to improve employee performance. Leaders are hiring new talent—data scientists, statisticians, and analysts—to draw conclusions about their data and use these findings to inform leaders’ strategic choices.</w:t>
      </w:r>
    </w:p>
    <w:p>
      <w:r>
        <w:rPr>
          <w:b w:val="0"/>
          <w:i w:val="0"/>
        </w:rPr>
        <w:t>Strategic analytics are those that make a company’s strategy or business model possible. Consider companies today whose business model would not be able to survive without analytics and AI, like Google—the employer of Cassie Kozyrkov, a contributor to this book—or the e-commerce operations of Vineyard Vines, described in chapter 10. These companies realize that by using analytics more strategically, they’re seeing better results, faster.</w:t>
      </w:r>
    </w:p>
    <w:p>
      <w:r>
        <w:rPr>
          <w:b w:val="0"/>
          <w:i w:val="0"/>
        </w:rPr>
        <w:t xml:space="preserve">Despite this realization, many organizations still struggle to implement analytics effectively. In a survey of nearly 65 </w:t>
      </w:r>
      <w:r>
        <w:rPr>
          <w:b w:val="0"/>
          <w:i/>
        </w:rPr>
        <w:t>Fortune</w:t>
      </w:r>
      <w:r>
        <w:rPr>
          <w:b w:val="0"/>
          <w:i w:val="0"/>
        </w:rPr>
        <w:t xml:space="preserve"> 1000 or industry-leading firms, my colleague Randy Bean and I discovered that 72% of large, sophisticated companies have not achieved data-driven cultures.3 Additionally, among those respondents:</w:t>
      </w:r>
    </w:p>
    <w:p>
      <w:pPr>
        <w:pStyle w:val="ListBullet"/>
      </w:pPr>
      <w:r>
        <w:rPr>
          <w:b w:val="0"/>
          <w:i w:val="0"/>
        </w:rPr>
        <w:t>69% reported that they have not created a data-driven organization</w:t>
      </w:r>
    </w:p>
    <w:p>
      <w:pPr>
        <w:pStyle w:val="ListBullet"/>
      </w:pPr>
      <w:r>
        <w:rPr>
          <w:b w:val="0"/>
          <w:i w:val="0"/>
        </w:rPr>
        <w:t>53% stated that they are not yet treating data as a business asset</w:t>
      </w:r>
    </w:p>
    <w:p>
      <w:pPr>
        <w:pStyle w:val="ListBullet"/>
      </w:pPr>
      <w:r>
        <w:rPr>
          <w:b w:val="0"/>
          <w:i w:val="0"/>
        </w:rPr>
        <w:t>52% admit that they are not competing on data and analytics</w:t>
      </w:r>
    </w:p>
    <w:p>
      <w:r>
        <w:rPr>
          <w:b w:val="0"/>
          <w:i w:val="0"/>
        </w:rPr>
        <w:t>To truly leverage the value of strategic analytics, companies need to have some common elements in place.</w:t>
      </w:r>
    </w:p>
    <w:p>
      <w:r>
        <w:rPr>
          <w:b w:val="0"/>
          <w:i w:val="0"/>
        </w:rPr>
        <w:t>Data and technology. Firms that succeed in strategic analytics either already possess large volumes of high-quality data and the technologies to manage them, or they do what is necessary to acquire them. That may involve sourcing external data, building digital infrastructures themselves, or turning to cloud computing.</w:t>
      </w:r>
    </w:p>
    <w:p>
      <w:r>
        <w:rPr>
          <w:b w:val="0"/>
          <w:i w:val="0"/>
        </w:rPr>
        <w:t>The right talent and skill sets. Data-driven companies hire talented data scientists and quantitative analysts—often in large numbers. They build data teams around key talents and leverage those skills to reach their data goals. And they ensure their people have basic data analysis skills, no matter their role in the organization, so they can understand what data is telling them and make decisions based on it.</w:t>
      </w:r>
    </w:p>
    <w:p>
      <w:r>
        <w:rPr>
          <w:b w:val="0"/>
          <w:i w:val="0"/>
        </w:rPr>
        <w:t>A data-driven culture. Perhaps most importantly, firms that use analytics strategically have cultures that emphasize data- and analytics-driven decisions. This is perhaps the most difficult aspect of strategic analytics to achieve. Such a culture typically requires that senior executives set the tone for their organizations, sponsoring analytical projects and insisting on data-driven decisions when feasible.</w:t>
      </w:r>
    </w:p>
    <w:p>
      <w:r>
        <w:rPr>
          <w:b w:val="0"/>
          <w:i w:val="0"/>
        </w:rPr>
        <w:t>This book aims to help anyone learn the basics of data and analytics, assist their companies in becoming more data-driven, and encourage the application of analytics to strategic issues and problems. It is divided into three parts. Section 1 introduces you to key concepts in the data space and helps you increase your data literacy, so you can be part of the conversation. Section 2 helps you learn how your organization can become data-driven—what needs to be in place and what to think about as you consider applying strategic analytics. Finally, section 3 helps you see the opportunities that data affords and gives you examples of ways to use your analytics for maximum benefit.</w:t>
      </w:r>
    </w:p>
    <w:p>
      <w:r>
        <w:rPr>
          <w:b w:val="0"/>
          <w:i w:val="0"/>
        </w:rPr>
        <w:t>As you make your way through this book, consider whether you and your organization are prepared for strategic analytics by asking these questions:</w:t>
      </w:r>
    </w:p>
    <w:p>
      <w:pPr>
        <w:pStyle w:val="ListBullet"/>
      </w:pPr>
      <w:r>
        <w:rPr>
          <w:b w:val="0"/>
          <w:i w:val="0"/>
        </w:rPr>
        <w:t>Do you personally have the skills you need either to analyze data or to consume it effectively?</w:t>
      </w:r>
    </w:p>
    <w:p>
      <w:pPr>
        <w:pStyle w:val="ListBullet"/>
      </w:pPr>
      <w:r>
        <w:rPr>
          <w:b w:val="0"/>
          <w:i w:val="0"/>
        </w:rPr>
        <w:t>Do your people understand the basics of data and analytics? Do you have the right skills and talent on your team?</w:t>
      </w:r>
    </w:p>
    <w:p>
      <w:pPr>
        <w:pStyle w:val="ListBullet"/>
      </w:pPr>
      <w:r>
        <w:rPr>
          <w:b w:val="0"/>
          <w:i w:val="0"/>
        </w:rPr>
        <w:t>Is your organization putting modern analytical technologies in place?</w:t>
      </w:r>
    </w:p>
    <w:p>
      <w:pPr>
        <w:pStyle w:val="ListBullet"/>
      </w:pPr>
      <w:r>
        <w:rPr>
          <w:b w:val="0"/>
          <w:i w:val="0"/>
        </w:rPr>
        <w:t>Is this analytical horsepower being applied to problems and issues that will make the company more successful?</w:t>
      </w:r>
    </w:p>
    <w:p>
      <w:pPr>
        <w:pStyle w:val="ListBullet"/>
      </w:pPr>
      <w:r>
        <w:rPr>
          <w:b w:val="0"/>
          <w:i w:val="0"/>
        </w:rPr>
        <w:t>Are the decisions your company makes using data to inform them? If not, are there ways to collect more information to make this shift?</w:t>
      </w:r>
    </w:p>
    <w:p>
      <w:pPr>
        <w:pStyle w:val="ListBullet"/>
      </w:pPr>
      <w:r>
        <w:rPr>
          <w:b w:val="0"/>
          <w:i w:val="0"/>
        </w:rPr>
        <w:t>Does your organizational culture encourage analytical thinking from every member of your team?</w:t>
      </w:r>
    </w:p>
    <w:p>
      <w:r>
        <w:rPr>
          <w:b w:val="0"/>
          <w:i w:val="0"/>
        </w:rPr>
        <w:t>If you’re unsure about your answers to these questions—or you realize that your company isn’t doing enough to make the most of its analytical capabilities—it’s time to engage with others in your company to address these issues and get started.</w:t>
      </w:r>
    </w:p>
    <w:p>
      <w:r>
        <w:rPr>
          <w:b w:val="0"/>
          <w:i w:val="0"/>
        </w:rPr>
        <w:t>We may think of analytics as a field involving data and technology, but as many of the chapters in this book suggest, it is primarily about people. Their skills, priorities, and attitudes determine whether decisions and actions are taken on the basis of data and analysis, or intuition and guesswork. If your organization has enough people who care about strategic analytics—including yourself—the rest of the journey is relatively simple.</w:t>
      </w:r>
    </w:p>
    <w:p>
      <w:pPr>
        <w:pStyle w:val="Heading3"/>
      </w:pPr>
      <w:r>
        <w:rPr>
          <w:b w:val="0"/>
          <w:i w:val="0"/>
        </w:rPr>
        <w:t>NOTES</w:t>
      </w:r>
    </w:p>
    <w:p>
      <w:pPr>
        <w:pStyle w:val="ListNumber"/>
      </w:pPr>
      <w:r>
        <w:rPr>
          <w:b w:val="0"/>
          <w:i w:val="0"/>
        </w:rPr>
        <w:t xml:space="preserve">1. Thomas H. Davenport, Jeanne G. Harris, David W. De Long, and Alvin L. Jacobson, “Data to Knowledge to Results: Building an Analytic Capability,” </w:t>
      </w:r>
      <w:r>
        <w:rPr>
          <w:b w:val="0"/>
          <w:i/>
        </w:rPr>
        <w:t>California Management Review</w:t>
      </w:r>
      <w:r>
        <w:rPr>
          <w:b w:val="0"/>
          <w:i w:val="0"/>
        </w:rPr>
        <w:t xml:space="preserve"> 43/2 (Winter 2001): 117–138.</w:t>
      </w:r>
    </w:p>
    <w:p>
      <w:pPr>
        <w:pStyle w:val="ListNumber"/>
      </w:pPr>
      <w:r>
        <w:rPr>
          <w:b w:val="0"/>
          <w:i w:val="0"/>
        </w:rPr>
        <w:t xml:space="preserve">2. Thomas H. Davenport, “Competing on Analytics,” </w:t>
      </w:r>
      <w:r>
        <w:rPr>
          <w:b w:val="0"/>
          <w:i/>
        </w:rPr>
        <w:t>Harvard Business Review</w:t>
      </w:r>
      <w:r>
        <w:rPr>
          <w:b w:val="0"/>
          <w:i w:val="0"/>
        </w:rPr>
        <w:t xml:space="preserve">, January 2006, https://hbr.org/2006/01/competing-on-analytics; Thomas H. Davenport and Jeanne G. Harris, </w:t>
      </w:r>
      <w:r>
        <w:rPr>
          <w:b w:val="0"/>
          <w:i/>
        </w:rPr>
        <w:t>Competing on Analytics: The New Science of Winning</w:t>
      </w:r>
      <w:r>
        <w:rPr>
          <w:b w:val="0"/>
          <w:i w:val="0"/>
        </w:rPr>
        <w:t xml:space="preserve"> (Boston: Harvard Business School Press, 2007).</w:t>
      </w:r>
    </w:p>
    <w:p>
      <w:pPr>
        <w:pStyle w:val="ListNumber"/>
      </w:pPr>
      <w:r>
        <w:rPr>
          <w:b w:val="0"/>
          <w:i w:val="0"/>
        </w:rPr>
        <w:t>3. Randy Bean and Thomas H. Davenport, “Companies are Failing in Their Efforts to Become Data-Driven,” hbr.org, February 5, 2019, https://hbr.org/2019/02/companies-are-failing-in-their-efforts-to-become-data-driven.</w:t>
      </w:r>
    </w:p>
    <w:p>
      <w:pPr>
        <w:pStyle w:val="Heading1"/>
      </w:pPr>
      <w:r>
        <w:rPr>
          <w:b w:val="0"/>
          <w:i w:val="0"/>
        </w:rPr>
        <w:t>Section 1</w:t>
      </w:r>
    </w:p>
    <w:p>
      <w:pPr>
        <w:pStyle w:val="Heading1"/>
      </w:pPr>
      <w:r>
        <w:rPr>
          <w:b w:val="0"/>
          <w:i w:val="0"/>
        </w:rPr>
        <w:t>UNDERSTANDING ANALYTICS BASICS</w:t>
      </w:r>
    </w:p>
    <w:p>
      <w:pPr>
        <w:pStyle w:val="Heading1"/>
      </w:pPr>
      <w:r>
        <w:rPr>
          <w:b w:val="0"/>
          <w:i w:val="0"/>
        </w:rPr>
        <w:t>1</w:t>
      </w:r>
    </w:p>
    <w:p>
      <w:pPr>
        <w:pStyle w:val="Heading1"/>
      </w:pPr>
      <w:r>
        <w:rPr>
          <w:b w:val="0"/>
          <w:i w:val="0"/>
        </w:rPr>
        <w:t>THE FIVE ESSENTIAL ELEMENTS FOR SUCCEEDING WITH DATA</w:t>
      </w:r>
    </w:p>
    <w:p>
      <w:r>
        <w:rPr>
          <w:b w:val="0"/>
          <w:i w:val="0"/>
        </w:rPr>
        <w:t>by Thomas C. Redman</w:t>
      </w:r>
    </w:p>
    <w:p>
      <w:r>
        <w:rPr>
          <w:b w:val="0"/>
          <w:i w:val="0"/>
        </w:rPr>
        <w:t xml:space="preserve">There are plenty of great ideas and techniques in the data space: from analytics to machine learning to data-driven decision making to improving data quality. Some of these ideas have been around for a long time and are fully vetted, proving themselves again and again. Others have enjoyed wide socialization in the business, popular, and technical press. Indeed, the </w:t>
      </w:r>
      <w:r>
        <w:rPr>
          <w:b w:val="0"/>
          <w:i/>
        </w:rPr>
        <w:t>Economist</w:t>
      </w:r>
      <w:r>
        <w:rPr>
          <w:b w:val="0"/>
          <w:i w:val="0"/>
        </w:rPr>
        <w:t xml:space="preserve"> proclaimed that data is now “the world’s most valuable asset.”1</w:t>
      </w:r>
    </w:p>
    <w:p>
      <w:r>
        <w:rPr>
          <w:b w:val="0"/>
          <w:i w:val="0"/>
        </w:rPr>
        <w:t>With all these success stories and such a heady reputation, one might expect to see companies trumpeting sustained revenue growth, permanent reductions in cost structures, dramatic improvements in customer satisfaction, and other benefits. Except for very few, this hasn’t happened. Paradoxically, “data” appears everywhere but on the balance sheet and income statement. Indeed, the cold reality is that for most, progress is agonizingly slow.</w:t>
      </w:r>
    </w:p>
    <w:p>
      <w:r>
        <w:rPr>
          <w:b w:val="0"/>
          <w:i w:val="0"/>
        </w:rPr>
        <w:t>It takes a lot to succeed with data. As figure 1-1 depicts, a company must perform solid work on five components, each reasonably aligned with the other four. Missing any of these elements compromises the total effort.</w:t>
      </w:r>
    </w:p>
    <w:p>
      <w:r>
        <w:rPr>
          <w:b w:val="0"/>
          <w:i w:val="0"/>
        </w:rPr>
        <w:t>Let’s explore each component in turn.</w:t>
      </w:r>
    </w:p>
    <w:p>
      <w:r>
        <w:rPr>
          <w:b w:val="0"/>
          <w:i w:val="0"/>
        </w:rPr>
        <w:t xml:space="preserve">Quite obviously, to succeed in the data space, companies need </w:t>
      </w:r>
      <w:r>
        <w:rPr>
          <w:b w:val="0"/>
          <w:i/>
        </w:rPr>
        <w:t>data</w:t>
      </w:r>
      <w:r>
        <w:rPr>
          <w:b w:val="0"/>
          <w:i w:val="0"/>
        </w:rPr>
        <w:t>, properly defined, relevant to the tasks at hand, structured such that it is easy to find and understand, and of high-enough quality that it can be trusted. It helps if some of the data is proprietary, meaning that you have sole ownership of or access to it.</w:t>
      </w:r>
    </w:p>
    <w:p>
      <w:r>
        <w:rPr>
          <w:b w:val="0"/>
          <w:i w:val="0"/>
        </w:rPr>
        <w:t>For most companies, data is a real problem. The data is scattered in silos—stuck in departmental systems that don’t talk well with one another, the quality is poor, and the associated costs are high. Bad data makes it nearly impossible to become data-driven and adds enormous uncertainty to technological progress, including machine learning and digitization.</w:t>
      </w:r>
    </w:p>
    <w:p>
      <w:r>
        <w:rPr>
          <w:b/>
          <w:i w:val="0"/>
        </w:rPr>
        <w:t>FIGURE 1-1</w:t>
      </w:r>
    </w:p>
    <w:p>
      <w:r>
        <w:rPr>
          <w:b w:val="0"/>
          <w:i w:val="0"/>
        </w:rPr>
        <w:t>Five essential elements for succeeding with data</w:t>
      </w:r>
    </w:p>
    <w:p>
      <w:r>
        <w:rPr>
          <w:b w:val="0"/>
          <w:i/>
        </w:rPr>
        <w:t>And what happens when one element is missing.</w:t>
      </w:r>
    </w:p>
    <w:p>
      <w:pPr>
        <w:jc w:val="center"/>
      </w:pPr>
      <w:r>
        <w:drawing>
          <wp:inline xmlns:a="http://schemas.openxmlformats.org/drawingml/2006/main" xmlns:pic="http://schemas.openxmlformats.org/drawingml/2006/picture">
            <wp:extent cx="6680200" cy="7137400"/>
            <wp:docPr id="3" name="Picture 3"/>
            <wp:cNvGraphicFramePr>
              <a:graphicFrameLocks noChangeAspect="1"/>
            </wp:cNvGraphicFramePr>
            <a:graphic>
              <a:graphicData uri="http://schemas.openxmlformats.org/drawingml/2006/picture">
                <pic:pic>
                  <pic:nvPicPr>
                    <pic:cNvPr id="0" name="epub_img_2176479578642245913.jpg"/>
                    <pic:cNvPicPr/>
                  </pic:nvPicPr>
                  <pic:blipFill>
                    <a:blip r:embed="rId11"/>
                    <a:stretch>
                      <a:fillRect/>
                    </a:stretch>
                  </pic:blipFill>
                  <pic:spPr>
                    <a:xfrm>
                      <a:off x="0" y="0"/>
                      <a:ext cx="6680200" cy="7137400"/>
                    </a:xfrm>
                    <a:prstGeom prst="rect"/>
                  </pic:spPr>
                </pic:pic>
              </a:graphicData>
            </a:graphic>
          </wp:inline>
        </w:drawing>
      </w:r>
    </w:p>
    <w:p>
      <w:r>
        <w:rPr>
          <w:b w:val="0"/>
          <w:i w:val="0"/>
        </w:rPr>
        <w:t xml:space="preserve">Then, companies need a </w:t>
      </w:r>
      <w:r>
        <w:rPr>
          <w:b w:val="0"/>
          <w:i/>
        </w:rPr>
        <w:t>means to monetize that data</w:t>
      </w:r>
      <w:r>
        <w:rPr>
          <w:b w:val="0"/>
          <w:i w:val="0"/>
        </w:rPr>
        <w:t>, essentially a business model for putting the data to work, at profit. This is where selling the data directly, building it into products and services, using it as input for analytics, and making better decisions come to the fore. There are so many ways to put data to work that it is hard to select the best ones. A high-level direction such as “using analytics wherever possible” is not enough. You have to define how you plan to use analytics to create business advantage and then execute. Without a clear, top-down business direction, people, teams, and entire departments go off on their own. There is lots of activity but little sustained benefit.</w:t>
      </w:r>
    </w:p>
    <w:p>
      <w:r>
        <w:rPr>
          <w:b w:val="0"/>
          <w:i/>
        </w:rPr>
        <w:t>Organizational capabilities</w:t>
      </w:r>
      <w:r>
        <w:rPr>
          <w:b w:val="0"/>
          <w:i w:val="0"/>
        </w:rPr>
        <w:t xml:space="preserve"> include talent, structure, and culture. Some years ago, I noted that most organizations were singularly “unfit for data.” They lack the talent they need, they assign the wrong people to deal with quality, their organizational silos make data sharing difficult, and while they may claim that “data is our most important asset,” they don’t treat it that way. If anything, this problem has grown more acute.</w:t>
      </w:r>
    </w:p>
    <w:p>
      <w:r>
        <w:rPr>
          <w:b w:val="0"/>
          <w:i w:val="0"/>
        </w:rPr>
        <w:t>Start with talent. It is obvious enough that if you want to push the frontiers of machine learning, you need a few world-class data scientists. Less obvious is the need for people who can rationalize business processes, build predictive models into them, and integrate the new technologies into the old. More generally, it is easy to bewail the shortage of top-flight technical talent, but just as important are skills up and down the organization chart, the management ability to pull it all together, and the leadership to drive execution at scale. Consider this example: Many companies see enormous potential in data-driven decision making. But to pursue such an objective, you have to teach people how to use data effectively. Leadership must realize that earning even a fraction of the value data offers takes more than simply bolting an AI program into one department or asking IT to digitize operations.</w:t>
      </w:r>
    </w:p>
    <w:p>
      <w:r>
        <w:rPr>
          <w:b w:val="0"/>
          <w:i w:val="0"/>
        </w:rPr>
        <w:t>Structure and culture are also a concern. As noted, organizational silos make it difficult to share data, effectively limiting the scope of the effort. All organizations claim that they value data, but their leaders are hard-pressed to answer basic questions such as, “Which data is most important?” “How do you plan to make money from your data?” or “Do you have anything that is proprietary?” Some even refer to data as “exhaust”—the antithesis of a valued asset! Without an abundance of talent and an organizational structure and culture that value data, it is difficult for companies to grow successful efforts beyond the team and department levels.</w:t>
      </w:r>
    </w:p>
    <w:p>
      <w:r>
        <w:rPr>
          <w:b w:val="0"/>
          <w:i w:val="0"/>
        </w:rPr>
        <w:t xml:space="preserve">Fourth, companies need </w:t>
      </w:r>
      <w:r>
        <w:rPr>
          <w:b w:val="0"/>
          <w:i/>
        </w:rPr>
        <w:t>technologies to deliver at scale and low cost</w:t>
      </w:r>
      <w:r>
        <w:rPr>
          <w:b w:val="0"/>
          <w:i w:val="0"/>
        </w:rPr>
        <w:t>. Here, I include basic storage, processing, and communications technologies, as well as the more sophisticated architectures, analysis tools, and cognitive technologies that are the engines of monetization.</w:t>
      </w:r>
    </w:p>
    <w:p>
      <w:r>
        <w:rPr>
          <w:b w:val="0"/>
          <w:i w:val="0"/>
        </w:rPr>
        <w:t>Quite obviously companies need technology—you simply can’t scale and deliver without it. Facebook, Amazon, Netflix, and Google, who have succeeded with data, have built powerful platforms. Perhaps for these reasons, most companies begin their forays into the data space with technology. But from my vantage point, too many companies expect too much of technology, falling into the trap of viewing it as the primary driver of success. Technology is only one component.</w:t>
      </w:r>
    </w:p>
    <w:p>
      <w:r>
        <w:rPr>
          <w:b w:val="0"/>
          <w:i w:val="0"/>
        </w:rPr>
        <w:t xml:space="preserve">The last element is </w:t>
      </w:r>
      <w:r>
        <w:rPr>
          <w:b w:val="0"/>
          <w:i/>
        </w:rPr>
        <w:t>defense</w:t>
      </w:r>
      <w:r>
        <w:rPr>
          <w:b w:val="0"/>
          <w:i w:val="0"/>
        </w:rPr>
        <w:t>, essentially minimizing risk. Defense includes actions such as following the law and regulations, keeping valued data safe from loss or theft, meeting privacy requirements, maintaining relationships with customers, matching the moves of a nimble competitor, staying in front of a better-funded behemoth, and steering clear of legal and regulatory actions that stem from monopoly power. You’re unlikely to make much money from defense, but poor defense can cost you a lot of time, money, and trouble.</w:t>
      </w:r>
    </w:p>
    <w:p>
      <w:r>
        <w:rPr>
          <w:b w:val="0"/>
          <w:i w:val="0"/>
        </w:rPr>
        <w:t>Thus, data requires a range of concerted effort. At a minimum, HR must find new talent and train everyone in the organization, tech departments must bring in new technologies and integrate them into existing infrastructures, privacy and security professionals must develop new policies and reach deep into the organization to enforce them, line organizations must deal with incredible disruption, everyone must contribute to data quality efforts, and leaders must set off in new, unfamiliar directions. Adding to complications, data, technology, and people are very different sorts of assets, requiring different management styles. It’s a challenging transition. Many companies have tried to resolve their data quality issues with the latest technology as a shortcut (for example, enterprise systems, data warehouses, cloud, blockchain), but these new systems have missed the mark.</w:t>
      </w:r>
    </w:p>
    <w:p>
      <w:r>
        <w:rPr>
          <w:b w:val="0"/>
          <w:i w:val="0"/>
        </w:rPr>
        <w:t>It is important to remember that the goal is not simply to get all you can out of your data. Rather, you want to leverage your data in ways that create new growth, cut waste, increase customer satisfaction, or otherwise improve company performance. And “data” may present your best chance of achieving such goals. Successful data programs require concerted, sustained, properly informed, and coordinated effort.</w:t>
      </w:r>
    </w:p>
    <w:p>
      <w:r>
        <w:rPr>
          <w:b w:val="0"/>
          <w:i w:val="0"/>
        </w:rPr>
        <w:t>TAKEAWAYS</w:t>
      </w:r>
    </w:p>
    <w:p>
      <w:r>
        <w:rPr>
          <w:b w:val="0"/>
          <w:i w:val="0"/>
        </w:rPr>
        <w:t>Companies are investing time, energy, and resources on data strategies, but very few are seeing the sustained benefits of these efforts. To truly succeed, organizations must focus on five specific elements in the data space:</w:t>
      </w:r>
    </w:p>
    <w:p>
      <w:r>
        <w:rPr>
          <w:b w:val="0"/>
          <w:i w:val="0"/>
        </w:rPr>
        <w:t>✓  Quality data. Companies need data that is properly defined, trustworthy, relevant to the tasks at hand, and structured in a way that makes it easy to find and understand.</w:t>
      </w:r>
    </w:p>
    <w:p>
      <w:r>
        <w:rPr>
          <w:b w:val="0"/>
          <w:i w:val="0"/>
        </w:rPr>
        <w:t>✓  Means to monetize that data. Companies need a business model for putting that data to work profitably.</w:t>
      </w:r>
    </w:p>
    <w:p>
      <w:r>
        <w:rPr>
          <w:b w:val="0"/>
          <w:i w:val="0"/>
        </w:rPr>
        <w:t>✓  Organizational capabilities. Companies need the right talent—both technical experts and general data skills up and down the org chart—as well as a structure and culture that allow data to be shared.</w:t>
      </w:r>
    </w:p>
    <w:p>
      <w:r>
        <w:rPr>
          <w:b w:val="0"/>
          <w:i w:val="0"/>
        </w:rPr>
        <w:t>✓  Technologies to deliver at scale and low cost. Companies need basic technologies in place for data storage, processing, and communication, as well as more sophisticated technological tools, to help scale and deliver on their data efforts.</w:t>
      </w:r>
    </w:p>
    <w:p>
      <w:r>
        <w:rPr>
          <w:b w:val="0"/>
          <w:i w:val="0"/>
        </w:rPr>
        <w:t>✓  Defense. Companies must minimize risk by following the law and regulations, focusing on cybersecurity and privacy, maintaining relationships with customers, and keeping an eye on competitors.</w:t>
      </w:r>
    </w:p>
    <w:p>
      <w:pPr>
        <w:pStyle w:val="Heading3"/>
      </w:pPr>
      <w:r>
        <w:rPr>
          <w:b w:val="0"/>
          <w:i w:val="0"/>
        </w:rPr>
        <w:t>NOTE</w:t>
      </w:r>
    </w:p>
    <w:p>
      <w:pPr>
        <w:pStyle w:val="ListNumber"/>
      </w:pPr>
      <w:r>
        <w:rPr>
          <w:b w:val="0"/>
          <w:i w:val="0"/>
        </w:rPr>
        <w:t xml:space="preserve">1. “The World’s Most Valuable Resource Is No Longer Oil, but Data,” </w:t>
      </w:r>
      <w:r>
        <w:rPr>
          <w:b w:val="0"/>
          <w:i/>
        </w:rPr>
        <w:t>Economist</w:t>
      </w:r>
      <w:r>
        <w:rPr>
          <w:b w:val="0"/>
          <w:i w:val="0"/>
        </w:rPr>
        <w:t>, May 6, 2017, https://www.economist.com/leaders/2017/05/06/the-worlds-most-valuable-resource-is-no-longer-oil-but-data.</w:t>
      </w:r>
    </w:p>
    <w:p>
      <w:r>
        <w:rPr>
          <w:b w:val="0"/>
          <w:i/>
        </w:rPr>
        <w:t>Adapted from “5 Ways Your Data Strategy Can Fail” on hbr.org, October 11, 2018 (product #H04KB5).</w:t>
      </w:r>
    </w:p>
    <w:p>
      <w:pPr>
        <w:pStyle w:val="Heading1"/>
      </w:pPr>
      <w:r>
        <w:rPr>
          <w:b w:val="0"/>
          <w:i w:val="0"/>
        </w:rPr>
        <w:t>2</w:t>
      </w:r>
    </w:p>
    <w:p>
      <w:pPr>
        <w:pStyle w:val="Heading1"/>
      </w:pPr>
      <w:r>
        <w:rPr>
          <w:b w:val="0"/>
          <w:i w:val="0"/>
        </w:rPr>
        <w:t>UNDERSTANDING THE TYPES OF DATA AND HOW THEY’RE CAPTURED</w:t>
      </w:r>
    </w:p>
    <w:p>
      <w:r>
        <w:rPr>
          <w:b w:val="0"/>
          <w:i w:val="0"/>
        </w:rPr>
        <w:t>by Hugo Bowne-Anderson</w:t>
      </w:r>
    </w:p>
    <w:p>
      <w:r>
        <w:rPr>
          <w:b w:val="0"/>
          <w:i w:val="0"/>
        </w:rPr>
        <w:t>The ability to understand and communicate about data is an increasingly important skill for the 21st-century citizen, for three reasons. First, data science and AI are affecting many industries globally, from health care and government to agriculture and finance. Second, much of the news is reported through the lenses of data and predictive models. And third, so much of our personal data is being used to define how we interact with the world.</w:t>
      </w:r>
    </w:p>
    <w:p>
      <w:r>
        <w:rPr>
          <w:b w:val="0"/>
          <w:i w:val="0"/>
        </w:rPr>
        <w:t xml:space="preserve">When so much data is informing decisions across so many industries, you need to have a basic understanding of the data ecosystem in order to be part of the discussion. On top of this, the industry that </w:t>
      </w:r>
      <w:r>
        <w:rPr>
          <w:b w:val="0"/>
          <w:i/>
        </w:rPr>
        <w:t>you</w:t>
      </w:r>
      <w:r>
        <w:rPr>
          <w:b w:val="0"/>
          <w:i w:val="0"/>
        </w:rPr>
        <w:t xml:space="preserve"> work in will more likely than not see the impact of data analytics. Even if you yourself don’t work directly with data, having this form of literacy will allow you to ask the right questions and be part of the conversation.</w:t>
      </w:r>
    </w:p>
    <w:p>
      <w:r>
        <w:rPr>
          <w:b w:val="0"/>
          <w:i w:val="0"/>
        </w:rPr>
        <w:t>To take just one striking example, imagine if there had been a discussion around how to interpret probabilistic models in the run-up to the 2016 U.S. presidential election. FiveThirtyEight, the data journalism publication, gave Clinton a 71.4% chance of winning and Trump a 28.6% chance.1 As Allen Downey, Professor of Computer Science at Olin College, points out, fewer people would have been shocked by the result had they been reminded that Trump winning, according to FiveThirtyEight’s model, was a bit more likely than flipping two coins and getting two heads—hardly something that’s impossible to conceive of.2</w:t>
      </w:r>
    </w:p>
    <w:p>
      <w:pPr>
        <w:pStyle w:val="Heading3"/>
      </w:pPr>
      <w:r>
        <w:rPr>
          <w:b w:val="0"/>
          <w:i w:val="0"/>
        </w:rPr>
        <w:t>What We Talk About When We Talk About Data</w:t>
      </w:r>
    </w:p>
    <w:p>
      <w:r>
        <w:rPr>
          <w:b w:val="0"/>
          <w:i w:val="0"/>
        </w:rPr>
        <w:t>The data-related concepts nontechnical people need to understand fall into five buckets: (i) data generation, collection, and storage, (ii) what data looks and feels like to data scientists and analysts, (iii) statistics intuition and common statistical pitfalls, (iv) model building, machine learning, and AI, and (v) the ethics of data, big and small.</w:t>
      </w:r>
    </w:p>
    <w:p>
      <w:r>
        <w:rPr>
          <w:b w:val="0"/>
          <w:i w:val="0"/>
        </w:rPr>
        <w:t>The first four buckets roughly correspond to key steps in the data science hierarchy of needs, as proposed by data scientist and AI adviser Monica Rogati.3 Although it has not yet been formally incorporated into data science workflows, I have added data ethics as the fifth key concept because ethics needs to be part of any conversation about data. So many people’s lives, after all, are increasingly affected by the data they produce and the algorithms that use it. This article will focus on the first two concepts.</w:t>
      </w:r>
    </w:p>
    <w:p>
      <w:pPr>
        <w:pStyle w:val="Heading3"/>
      </w:pPr>
      <w:r>
        <w:rPr>
          <w:b w:val="0"/>
          <w:i w:val="0"/>
        </w:rPr>
        <w:t>How Data Is Generated, Collected, and Stored</w:t>
      </w:r>
    </w:p>
    <w:p>
      <w:r>
        <w:rPr>
          <w:b w:val="0"/>
          <w:i w:val="0"/>
        </w:rPr>
        <w:t>Every time you engage with the internet, whether via web browser or mobile app, your activity is detected and most often stored. To get a feel for some of what your basic web browser can detect, check out Clickclickclick.click, a project that opens a window into the extent of passive data collection online. If you are more adventurous, you can install the browser extension “data selfie,” which “collect[s] the same information you provide to Facebook, while still respecting your privacy.”4</w:t>
      </w:r>
    </w:p>
    <w:p>
      <w:r>
        <w:rPr>
          <w:b w:val="0"/>
          <w:i w:val="0"/>
        </w:rPr>
        <w:t>The collection of data isn’t relegated to merely the world of laptop, smartphone, and tablet interactions but the far wider internet of things, a catchall for traditionally dumb objects, such as radios and lights, that can be smartified by connecting them to the internet, along with any other data-collecting devices, such as fitness trackers, Amazon Echo, and self-driving cars.</w:t>
      </w:r>
    </w:p>
    <w:p>
      <w:r>
        <w:rPr>
          <w:b w:val="0"/>
          <w:i w:val="0"/>
        </w:rPr>
        <w:t>All the collected data is stored in what we colloquially refer to as “the cloud,” and it’s important to clarify what’s meant by this term. Firstly, data in cloud storage exists in physical space, just like on a computer or an external hard drive. The difference for the user is that the space it exists in is elsewhere, generally on server farms and data centers owned and operated by multinationals, and you usually access it over the internet. Cloud storage providers occur in two types, public and private. Public cloud services such as Amazon, Microsoft, and Google are responsible for data management and maintenance, whereas the responsibility for data in private clouds remains that of the company. Facebook, for example, has its own private cloud.</w:t>
      </w:r>
    </w:p>
    <w:p>
      <w:r>
        <w:rPr>
          <w:b w:val="0"/>
          <w:i w:val="0"/>
        </w:rPr>
        <w:t>It is essential to recognize that cloud services store data in physical space, and the data may be subject to the laws of the country where the data is located. The General Data Protection Regulation (GDPR) in the EU impacts user data privacy and consent around personal data. Another pressing question is security, and we need to have a more public and comprehensible conversation around data security in the cloud.</w:t>
      </w:r>
    </w:p>
    <w:p>
      <w:pPr>
        <w:pStyle w:val="Heading3"/>
      </w:pPr>
      <w:r>
        <w:rPr>
          <w:b w:val="0"/>
          <w:i w:val="0"/>
        </w:rPr>
        <w:t>The Feel of Data</w:t>
      </w:r>
    </w:p>
    <w:p>
      <w:r>
        <w:rPr>
          <w:b w:val="0"/>
          <w:i w:val="0"/>
        </w:rPr>
        <w:t>Data scientists mostly encounter data in one of three forms: (i) tabular data (that is, data in a table, like a spreadsheet), (ii) image data, or (iii) unstructured data, such as natural language text or html code, which makes up the majority of the world’s data.</w:t>
      </w:r>
    </w:p>
    <w:p>
      <w:pPr>
        <w:pStyle w:val="Heading3"/>
      </w:pPr>
      <w:r>
        <w:rPr>
          <w:b w:val="0"/>
          <w:i w:val="0"/>
        </w:rPr>
        <w:t>Tabular data</w:t>
      </w:r>
    </w:p>
    <w:p>
      <w:r>
        <w:rPr>
          <w:b w:val="0"/>
          <w:i w:val="0"/>
        </w:rPr>
        <w:t>The most common type for a data scientist to use is tabular data, which is analogous to a spreadsheet. In Robert Chang’s article “Using Machine Learning to Predict Value of Homes on Airbnb,” he shows a sample of the data, which appears in a table in which each row is a particular property and each column a particular feature of properties, such as host city, average nightly price, and one-year revenue. (Note that data is rarely delivered directly from the user to tabular data; data engineering is an essential step to make data ready for such an analysis.)</w:t>
      </w:r>
    </w:p>
    <w:p>
      <w:r>
        <w:rPr>
          <w:b w:val="0"/>
          <w:i w:val="0"/>
        </w:rPr>
        <w:t>Such data is used to train, or teach, machine-learning models to predict Lifetime Values (LTV) of properties, that is, how much revenue they will bring in over the course of the relationship.</w:t>
      </w:r>
    </w:p>
    <w:p>
      <w:pPr>
        <w:pStyle w:val="Heading3"/>
      </w:pPr>
      <w:r>
        <w:rPr>
          <w:b w:val="0"/>
          <w:i w:val="0"/>
        </w:rPr>
        <w:t>Image data</w:t>
      </w:r>
    </w:p>
    <w:p>
      <w:r>
        <w:rPr>
          <w:b w:val="0"/>
          <w:i w:val="0"/>
        </w:rPr>
        <w:t>Image data is data that consists of, well, images. Many of the successes of deep learning have occurred in the realm of image classification. The ability to diagnose disease from imaging data, such as diagnosing cancerous tissue from combined PET and CT scans, and the ability of self-driving cars to detect and classify objects in their field of vision are two of many use cases of image data. To work with image data, a data scientist will convert an image into a grid (or matrix) of red-green-blue pixel values or numbers and use these matrices as inputs to their predictive models.</w:t>
      </w:r>
    </w:p>
    <w:p>
      <w:pPr>
        <w:pStyle w:val="Heading3"/>
      </w:pPr>
      <w:r>
        <w:rPr>
          <w:b w:val="0"/>
          <w:i w:val="0"/>
        </w:rPr>
        <w:t>Unstructured data</w:t>
      </w:r>
    </w:p>
    <w:p>
      <w:r>
        <w:rPr>
          <w:b w:val="0"/>
          <w:i w:val="0"/>
        </w:rPr>
        <w:t>Unstructured data is, as one might guess, data that isn’t organized in either of the previous manners. Part of the data scientist’s job is to structure such data so it may be analyzed. Natural language, or text, provides the clearest example. One common method of turning textual data into structured data is to represent it as word counts, so that “the cat chased the mouse” becomes “(cat,1),(chased,1),(mouse,1),(the,2)”. This is called a bag-of-words model and allows us to compare texts, to compute distances between them, and to combine them into clusters. Bag-of-words performs surprisingly well for many practical applications, especially considering that it doesn’t distinguish “build bridges not walls” from “build walls not bridges.” Part of the game here is to turn textual data into numbers that we can feed into predictive models, and the principle is very similar between bag-of-words and more sophisticated methods. Such methods allow for sentiment analysis (“is a text positive, negative, or neutral?”) and text classification (“is a given article news, entertainment, or sport?”), among many others. For an example of text classification, check out Cloudera Fast Forward Labs’ prototype Newsie.</w:t>
      </w:r>
    </w:p>
    <w:p>
      <w:r>
        <w:rPr>
          <w:b w:val="0"/>
          <w:i w:val="0"/>
        </w:rPr>
        <w:t>These are just two of the five steps to working with data, but they’re essential starting points for data literacy. When you’re dealing with data, think about how the data was collected and what kind of data it is. That will help you understand its meaning, how much to trust it, and how much work needs to be done to convert it into a useful form.</w:t>
      </w:r>
    </w:p>
    <w:p>
      <w:r>
        <w:rPr>
          <w:b w:val="0"/>
          <w:i w:val="0"/>
        </w:rPr>
        <w:t>TAKEAWAYS</w:t>
      </w:r>
    </w:p>
    <w:p>
      <w:r>
        <w:rPr>
          <w:b w:val="0"/>
          <w:i w:val="0"/>
        </w:rPr>
        <w:t>The ability to understand and communicate about data is an increasingly important skill. Even if you don’t work directly with data, data literacy will allow you to ask the right questions and be part of the conversation.</w:t>
      </w:r>
    </w:p>
    <w:p>
      <w:r>
        <w:rPr>
          <w:b w:val="0"/>
          <w:i w:val="0"/>
        </w:rPr>
        <w:t>✓  There are five data-related concepts nontechnical people need to understand:</w:t>
      </w:r>
    </w:p>
    <w:p>
      <w:pPr>
        <w:pStyle w:val="ListNumber"/>
      </w:pPr>
      <w:r>
        <w:rPr>
          <w:b w:val="0"/>
          <w:i w:val="0"/>
        </w:rPr>
        <w:t>data generation, collection, and storage</w:t>
      </w:r>
    </w:p>
    <w:p>
      <w:pPr>
        <w:pStyle w:val="ListNumber"/>
      </w:pPr>
      <w:r>
        <w:rPr>
          <w:b w:val="0"/>
          <w:i w:val="0"/>
        </w:rPr>
        <w:t>what data looks and feels like to data scientists and analysts</w:t>
      </w:r>
    </w:p>
    <w:p>
      <w:pPr>
        <w:pStyle w:val="ListNumber"/>
      </w:pPr>
      <w:r>
        <w:rPr>
          <w:b w:val="0"/>
          <w:i w:val="0"/>
        </w:rPr>
        <w:t>statistics intuition and common statistical pitfalls</w:t>
      </w:r>
    </w:p>
    <w:p>
      <w:pPr>
        <w:pStyle w:val="ListNumber"/>
      </w:pPr>
      <w:r>
        <w:rPr>
          <w:b w:val="0"/>
          <w:i w:val="0"/>
        </w:rPr>
        <w:t>model building, machine learning, and AI</w:t>
      </w:r>
    </w:p>
    <w:p>
      <w:pPr>
        <w:pStyle w:val="ListNumber"/>
      </w:pPr>
      <w:r>
        <w:rPr>
          <w:b w:val="0"/>
          <w:i w:val="0"/>
        </w:rPr>
        <w:t>the ethics of data</w:t>
      </w:r>
    </w:p>
    <w:p>
      <w:r>
        <w:rPr>
          <w:b w:val="0"/>
          <w:i w:val="0"/>
        </w:rPr>
        <w:t>✓  Data is usually in one of three forms: tabular data, image data, or unstructured data. Tabular data appears on tables or spreadsheets. Image data can be converted into values and used as inputs to predictive models. Unstructured data, such as natural language text or html code, isn’t organized and makes up most of the world’s data.</w:t>
      </w:r>
    </w:p>
    <w:p>
      <w:pPr>
        <w:pStyle w:val="Heading3"/>
      </w:pPr>
      <w:r>
        <w:rPr>
          <w:b w:val="0"/>
          <w:i w:val="0"/>
        </w:rPr>
        <w:t>NOTES</w:t>
      </w:r>
    </w:p>
    <w:p>
      <w:pPr>
        <w:pStyle w:val="ListNumber"/>
      </w:pPr>
      <w:r>
        <w:rPr>
          <w:b w:val="0"/>
          <w:i w:val="0"/>
        </w:rPr>
        <w:t>1. Nate Silver, “Final Election Update: There’s a Wide Range of Outcomes, and Most of Them Come Up Clinton,” FiveThirtyEight, November 8, 2016, https://fivethirtyeight.com/features/final-election-update-theres-a-wide-range-of-outcomes-and-most-of-them-come-up-clinton/.</w:t>
      </w:r>
    </w:p>
    <w:p>
      <w:pPr>
        <w:pStyle w:val="ListNumber"/>
      </w:pPr>
      <w:r>
        <w:rPr>
          <w:b w:val="0"/>
          <w:i w:val="0"/>
        </w:rPr>
        <w:t xml:space="preserve">2. Allen Downey, “Why Are We So Surprised?” </w:t>
      </w:r>
      <w:r>
        <w:rPr>
          <w:b w:val="0"/>
          <w:i/>
        </w:rPr>
        <w:t>Probably Overthinking It</w:t>
      </w:r>
      <w:r>
        <w:rPr>
          <w:b w:val="0"/>
          <w:i w:val="0"/>
        </w:rPr>
        <w:t xml:space="preserve"> (blog), November 14, 2016, http://allendowney.blogspot.com/2016/11/why-are-we-so-surprised.html.</w:t>
      </w:r>
    </w:p>
    <w:p>
      <w:pPr>
        <w:pStyle w:val="ListNumber"/>
      </w:pPr>
      <w:r>
        <w:rPr>
          <w:b w:val="0"/>
          <w:i w:val="0"/>
        </w:rPr>
        <w:t>3. Monica Rogati, “The AI Hierarchy of Needs,” Hackernoon, June 12, 2017, https://hackernoon.com/the-ai-hierarchy-of-needs-18f111fcc007.</w:t>
      </w:r>
    </w:p>
    <w:p>
      <w:pPr>
        <w:pStyle w:val="ListNumber"/>
      </w:pPr>
      <w:r>
        <w:rPr>
          <w:b w:val="0"/>
          <w:i w:val="0"/>
        </w:rPr>
        <w:t xml:space="preserve">4. Jen Caltrider, “Prepare to Be Creeped Out,” </w:t>
      </w:r>
      <w:r>
        <w:rPr>
          <w:b w:val="0"/>
          <w:i/>
        </w:rPr>
        <w:t>The Mozilla Blog</w:t>
      </w:r>
      <w:r>
        <w:rPr>
          <w:b w:val="0"/>
          <w:i w:val="0"/>
        </w:rPr>
        <w:t>, March 15, 2018, https://blog.mozilla.org/blog/2018/03/15/prepare-to-be-creeped-out/.</w:t>
      </w:r>
    </w:p>
    <w:p>
      <w:r>
        <w:rPr>
          <w:b w:val="0"/>
          <w:i/>
        </w:rPr>
        <w:t>Adapted from “Your Data Literacy Depends on Understanding the Types of Data and How They’re Captured” on hbr.org, October 23, 2018 (product #H04M6H).</w:t>
      </w:r>
    </w:p>
    <w:p>
      <w:pPr>
        <w:pStyle w:val="Heading1"/>
      </w:pPr>
      <w:r>
        <w:rPr>
          <w:b w:val="0"/>
          <w:i w:val="0"/>
        </w:rPr>
        <w:t>3</w:t>
      </w:r>
    </w:p>
    <w:p>
      <w:pPr>
        <w:pStyle w:val="Heading1"/>
      </w:pPr>
      <w:r>
        <w:rPr>
          <w:b w:val="0"/>
          <w:i w:val="0"/>
        </w:rPr>
        <w:t>THE RIGHT WAY TO DEPLOY PREDICTIVE ANALYTICS</w:t>
      </w:r>
    </w:p>
    <w:p>
      <w:r>
        <w:rPr>
          <w:b w:val="0"/>
          <w:i w:val="0"/>
        </w:rPr>
        <w:t>by Eric Siegel</w:t>
      </w:r>
    </w:p>
    <w:p>
      <w:r>
        <w:rPr>
          <w:b w:val="0"/>
          <w:i w:val="0"/>
        </w:rPr>
        <w:t>With today’s high demand for data scientists and the high salaries that they command, it’s often not practical for companies to keep them on staff. Instead, many organizations work to ramp up their existing staff’s analytics skills, including predictive analytics. But organizations need to proceed with caution. Predictive analytics is especially easy to get wrong. Here are the first three “don’ts” your team needs to learn and their corresponding remedies.</w:t>
      </w:r>
    </w:p>
    <w:p>
      <w:pPr>
        <w:pStyle w:val="Heading3"/>
      </w:pPr>
      <w:r>
        <w:rPr>
          <w:b w:val="0"/>
          <w:i w:val="0"/>
        </w:rPr>
        <w:t>1. Don’t Fall for Buzzwords—Clarify Your Objective</w:t>
      </w:r>
    </w:p>
    <w:p>
      <w:r>
        <w:rPr>
          <w:b w:val="0"/>
          <w:i w:val="0"/>
        </w:rPr>
        <w:t>You know the Joe Jackson song, “You Can’t Get What You Want (Till You Know What You Want)”? Turn it on and let it be your mantra. As fashionable as it is, “data science” is not a business objective or a learning objective in and of itself. This buzzword means nothing more specific than “some clever use of data.” It doesn’t necessarily refer to any particular technology, method, or value proposition. Rather, it alludes to a culture—one of smart people doing creative things to find value in their data. It’s important for everyone to keep this top of mind when learning to work with data.</w:t>
      </w:r>
    </w:p>
    <w:p>
      <w:r>
        <w:rPr>
          <w:b w:val="0"/>
          <w:i w:val="0"/>
        </w:rPr>
        <w:t>Under the wide umbrella of data science sits predictive analytics, which delivers the most actionable win you can get from data. In a nutshell, predictive analytics is technology that learns from experience (data) to predict the future behavior of individuals in order to drive better decisions. Prediction is the Holy Grail for more effectively executing mass-scale operations in marketing, financial risk, fraud detection, and more. Predictive analytics empowers your organization to optimize these functions by flagging who’s most likely to click, buy, lie, die, commit fraud, quit their job, or cancel their subscription—and, beyond predicting people, by also foretelling the most likely outcomes for individual corporate clients and financial instruments. These predictions directly inform the action to take with each individual, for example, by marketing to those most likely to buy and auditing those most likely to commit fraud.</w:t>
      </w:r>
    </w:p>
    <w:p>
      <w:r>
        <w:rPr>
          <w:b w:val="0"/>
          <w:i w:val="0"/>
        </w:rPr>
        <w:t xml:space="preserve">In their application to these business functions, </w:t>
      </w:r>
      <w:r>
        <w:rPr>
          <w:b w:val="0"/>
          <w:i/>
        </w:rPr>
        <w:t>predictive analytics</w:t>
      </w:r>
      <w:r>
        <w:rPr>
          <w:b w:val="0"/>
          <w:i w:val="0"/>
        </w:rPr>
        <w:t xml:space="preserve"> and </w:t>
      </w:r>
      <w:r>
        <w:rPr>
          <w:b w:val="0"/>
          <w:i/>
        </w:rPr>
        <w:t>machine learning (ML)</w:t>
      </w:r>
      <w:r>
        <w:rPr>
          <w:b w:val="0"/>
          <w:i w:val="0"/>
        </w:rPr>
        <w:t xml:space="preserve"> are synonyms (in other arenas, machine learning also extends to tasks such as facial recognition that aren’t usually called predictive analytics). Machine learning is key to prediction. The accumulation of patterns or formulas ML derives (learns) from the data—known as a </w:t>
      </w:r>
      <w:r>
        <w:rPr>
          <w:b w:val="0"/>
          <w:i/>
        </w:rPr>
        <w:t>predictive model</w:t>
      </w:r>
      <w:r>
        <w:rPr>
          <w:b w:val="0"/>
          <w:i w:val="0"/>
        </w:rPr>
        <w:t>—serves to consider a unique situation and put odds on the outcome. For example, the model could take as input everything currently known about an individual customer and produce as output the probability that that individual will cancel their subscription.</w:t>
      </w:r>
    </w:p>
    <w:p>
      <w:r>
        <w:rPr>
          <w:b w:val="0"/>
          <w:i w:val="0"/>
        </w:rPr>
        <w:t>When you begin to deploy predictive analytics with your team, you’re embarking on a new kind of value proposition, so it requires a new kind of leadership process. You’ll need some team members to become “machine-learning leaders” or “predictive-analytics managers,” titles that signify much more specific skill sets than the catchall “data scientist,” which can be vague and overhyped (but do allow them that title if they like, as long as you’re on the same page).</w:t>
      </w:r>
    </w:p>
    <w:p>
      <w:pPr>
        <w:pStyle w:val="Heading3"/>
      </w:pPr>
      <w:r>
        <w:rPr>
          <w:b w:val="0"/>
          <w:i w:val="0"/>
        </w:rPr>
        <w:t>2. Don’t Lead with Software Selection—Team Skills Come First</w:t>
      </w:r>
    </w:p>
    <w:p>
      <w:r>
        <w:rPr>
          <w:b w:val="0"/>
          <w:i w:val="0"/>
        </w:rPr>
        <w:t>In 2011, Thomas Davenport was kind enough to deliver the keynote address at the conference I founded, Predictive Analytics World. “It’s not about the math—it’s about the people!” he absolutely bellowed at our captivated audience, more loudly than I’d ever heard since high school, when teachers had to get control of a classroom of teens.</w:t>
      </w:r>
    </w:p>
    <w:p>
      <w:r>
        <w:rPr>
          <w:b w:val="0"/>
          <w:i w:val="0"/>
        </w:rPr>
        <w:t>Tom’s startling tone struck just the right note (a high D flat, to be exact). Analytics vendors will tell you their software is The Solution. But the solution to what? The problem at hand is to optimize your large-scale operations. And the solution is a new way of business that integrates machine learning. So, a machine-learning tool only serves a small part of what must be a holistic organizational process.</w:t>
      </w:r>
    </w:p>
    <w:p>
      <w:r>
        <w:rPr>
          <w:b w:val="0"/>
          <w:i w:val="0"/>
        </w:rPr>
        <w:t>Rather than following a vendor’s lead, prepare your staff to manage machine-learning integration as an enterprise endeavor, and then allow them to determine a more informed choice of analytics software during a later stage of the project.</w:t>
      </w:r>
    </w:p>
    <w:p>
      <w:pPr>
        <w:pStyle w:val="Heading3"/>
      </w:pPr>
      <w:r>
        <w:rPr>
          <w:b w:val="0"/>
          <w:i w:val="0"/>
        </w:rPr>
        <w:t>3. Don’t Leap to the Number Crunching—Strategically Plan the Deployment</w:t>
      </w:r>
    </w:p>
    <w:p>
      <w:r>
        <w:rPr>
          <w:b w:val="0"/>
          <w:i w:val="0"/>
        </w:rPr>
        <w:t>The most common mistake that derails predictive analytics projects is jumping into machine learning before establishing a path to operational deployment. Predictive analytics isn’t a technology you simply buy and plug in. It’s an organizational paradigm that must bridge the quant/business culture gap by way of a collaborative process guided jointly by strategic, operational, and analytical stakeholders.</w:t>
      </w:r>
    </w:p>
    <w:p>
      <w:r>
        <w:rPr>
          <w:b w:val="0"/>
          <w:i w:val="0"/>
        </w:rPr>
        <w:t>Each predictive analytics project follows a relatively standard, established series of steps that begins with establishing how it will be deployed by your business and then works backward to see what you need to predict and what data you need to predict it, as follows:</w:t>
      </w:r>
    </w:p>
    <w:p>
      <w:pPr>
        <w:pStyle w:val="ListNumber"/>
      </w:pPr>
      <w:r>
        <w:rPr>
          <w:b w:val="0"/>
          <w:i w:val="0"/>
        </w:rPr>
        <w:t>Establish the business objective. Decide how the predictive model will be integrated in order to actively make a positive impact on existing operations, such as by more effectively targeting customer retention marketing campaigns.</w:t>
      </w:r>
    </w:p>
    <w:p>
      <w:pPr>
        <w:pStyle w:val="ListNumber"/>
      </w:pPr>
      <w:r>
        <w:rPr>
          <w:b w:val="0"/>
          <w:i w:val="0"/>
        </w:rPr>
        <w:t xml:space="preserve">Define a specific prediction objective to serve the business objective. For this, you must have buy-in from business stakeholders, such as marketing staff, who are willing to change their targeting accordingly. Here’s an example: </w:t>
      </w:r>
      <w:r>
        <w:rPr>
          <w:b w:val="0"/>
          <w:i/>
        </w:rPr>
        <w:t>“Which current customers with a tenure of at least one year and who have purchased more than $500 to date will cancel within three months and not rejoin for another three months thereafter?”</w:t>
      </w:r>
      <w:r>
        <w:rPr>
          <w:b w:val="0"/>
          <w:i w:val="0"/>
        </w:rPr>
        <w:t xml:space="preserve"> In practice, business tactics and pragmatic constraints will often mean the prediction objective must be even more specifically defined than that.</w:t>
      </w:r>
    </w:p>
    <w:p>
      <w:pPr>
        <w:pStyle w:val="ListNumber"/>
      </w:pPr>
      <w:r>
        <w:rPr>
          <w:b w:val="0"/>
          <w:i w:val="0"/>
        </w:rPr>
        <w:t>Prepare the training data that machine learning will operate on. This can be a significant bottleneck, generally expected to require 80% of the project’s hands-on workload. It’s a database-programming task, by which your existing data in its current form is rejiggered for the needs of machine-learning software.</w:t>
      </w:r>
    </w:p>
    <w:p>
      <w:pPr>
        <w:pStyle w:val="ListNumber"/>
      </w:pPr>
      <w:r>
        <w:rPr>
          <w:b w:val="0"/>
          <w:i w:val="0"/>
        </w:rPr>
        <w:t>Apply machine learning to generate the predictive model. This is the “rocket science” part, but it isn’t the most time intensive. It’s the stage where the choice of analytics tool counts—but, initially, you can try and compare software options with free evaluation licenses before making a decision about which one to buy (or which free open-source tool to use).</w:t>
      </w:r>
    </w:p>
    <w:p>
      <w:pPr>
        <w:pStyle w:val="ListNumber"/>
      </w:pPr>
      <w:r>
        <w:rPr>
          <w:b w:val="0"/>
          <w:i w:val="0"/>
        </w:rPr>
        <w:t>Deploy the model. Integrate its predictions into existing operations. For example, target a retention campaign to the top 5% of customers for whom an affirmative answer to the “will the customer cancel” question defined in step 2 is most probable.</w:t>
      </w:r>
    </w:p>
    <w:p>
      <w:r>
        <w:rPr>
          <w:b w:val="0"/>
          <w:i w:val="0"/>
        </w:rPr>
        <w:t>There are two things you should know about these steps before selecting training options for your predictive analytics leaders. First, these five steps involve extensive backtracking and iteration. For example, only by executing step 3 might it become clear there isn’t sufficient data for the prediction objective established in step 2, in which case the earlier step must be revisited and modified.</w:t>
      </w:r>
    </w:p>
    <w:p>
      <w:r>
        <w:rPr>
          <w:b w:val="0"/>
          <w:i w:val="0"/>
        </w:rPr>
        <w:t>Second, at least for your first pilot projects, you’ll need to bring in an external machine-learning consultant for key parts of the process. Normally, your staff shouldn’t endeavor to immediately become autonomous hands-on practitioners of the core machine learning, that is, step 4. While it’s important for project leaders to learn the fundamental principles behind how the technology works—in order to understand both its data requirements and the meaning of the predictive probabilities it outputs—a quantitative expert with prior predictive analytics projects in his or her portfolio should step in for step 4, and also help guide steps 2 and 3. This can be a relatively light engagement that keeps the overall project cost-effective, since you’ll still internally execute the most time-intensive steps.</w:t>
      </w:r>
    </w:p>
    <w:p>
      <w:r>
        <w:rPr>
          <w:b w:val="0"/>
          <w:i w:val="0"/>
        </w:rPr>
        <w:t>Good luck, and happy predicting.</w:t>
      </w:r>
    </w:p>
    <w:p>
      <w:r>
        <w:rPr>
          <w:b w:val="0"/>
          <w:i w:val="0"/>
        </w:rPr>
        <w:t>TAKEAWAYS</w:t>
      </w:r>
    </w:p>
    <w:p>
      <w:r>
        <w:rPr>
          <w:b w:val="0"/>
          <w:i w:val="0"/>
        </w:rPr>
        <w:t>Many organizations work to ramp up their existing staff’s analytics skills, including in predictive analytics, instead of hiring expensive data science talent. To do so effectively, organizations should:</w:t>
      </w:r>
    </w:p>
    <w:p>
      <w:r>
        <w:rPr>
          <w:b w:val="0"/>
          <w:i w:val="0"/>
        </w:rPr>
        <w:t>✓  Clarify objectives for what the team needs to learn. Focus on a specific skill set or role, such as becoming a “predictive analytics manager,” rather than something like “data scientist,” which can be vague.</w:t>
      </w:r>
    </w:p>
    <w:p>
      <w:r>
        <w:rPr>
          <w:b w:val="0"/>
          <w:i w:val="0"/>
        </w:rPr>
        <w:t>✓  Emphasize skills before looking at software selection. A machine-learning tool only serves a small part of what must be a larger organizational process. Prepare teams to manage machine-learning integration first, and hold off selecting analytics software until later.</w:t>
      </w:r>
    </w:p>
    <w:p>
      <w:r>
        <w:rPr>
          <w:b w:val="0"/>
          <w:i w:val="0"/>
        </w:rPr>
        <w:t>✓  Avoid jumping to number crunching. Each predictive analytics project follows a series of steps that begins first by establishing how it will be deployed and then working backward to see what you need to predict and what data you need to predict it.</w:t>
      </w:r>
    </w:p>
    <w:p>
      <w:r>
        <w:rPr>
          <w:b w:val="0"/>
          <w:i w:val="0"/>
        </w:rPr>
        <w:t>✓  Pilot projects will likely require an external machine-learning consultant for key parts of the process. A quantitative expert should step in to help define the prediction objective, prepare the training data, and apply machine learning to generate the model.</w:t>
      </w:r>
    </w:p>
    <w:p>
      <w:r>
        <w:rPr>
          <w:b w:val="0"/>
          <w:i/>
        </w:rPr>
        <w:t>Adapted from “3 Common Mistakes That Can Derail Your Team’s Predictive Analytics Efforts” on hbr.org, October 5, 2018 (product #H04KHM).</w:t>
      </w:r>
    </w:p>
    <w:p>
      <w:pPr>
        <w:pStyle w:val="Heading1"/>
      </w:pPr>
      <w:r>
        <w:rPr>
          <w:b w:val="0"/>
          <w:i w:val="0"/>
        </w:rPr>
        <w:t>4</w:t>
      </w:r>
    </w:p>
    <w:p>
      <w:pPr>
        <w:pStyle w:val="Heading1"/>
      </w:pPr>
      <w:r>
        <w:rPr>
          <w:b w:val="0"/>
          <w:i w:val="0"/>
        </w:rPr>
        <w:t>WHAT GREAT DATA ANALYSTS DO</w:t>
      </w:r>
    </w:p>
    <w:p>
      <w:r>
        <w:rPr>
          <w:b w:val="0"/>
          <w:i w:val="0"/>
        </w:rPr>
        <w:t>by Cassie Kozyrkov</w:t>
      </w:r>
    </w:p>
    <w:p>
      <w:r>
        <w:rPr>
          <w:b w:val="0"/>
          <w:i w:val="0"/>
        </w:rPr>
        <w:t>The top trophy hire in data science is elusive, and that should be no surprise: A “full-stack” data scientist has mastery of machine learning, statistics, and analytics. When teams can’t get their hands on a three-in-one polymath, they set their sights on luring the most impressive prize among the single-origin specialists. Which of those skills gets the podium?</w:t>
      </w:r>
    </w:p>
    <w:p>
      <w:r>
        <w:rPr>
          <w:b w:val="0"/>
          <w:i w:val="0"/>
        </w:rPr>
        <w:t>Today’s fashion in data science favors flashy sophistication with a dash of sci-fi, making AI and machine learning the darlings of the job market. Alternative challengers for the alpha spot come from statistics, thanks to a century-long reputation for rigor and mathematical superiority. What about analytics?</w:t>
      </w:r>
    </w:p>
    <w:p>
      <w:pPr>
        <w:pStyle w:val="Heading3"/>
      </w:pPr>
      <w:r>
        <w:rPr>
          <w:b w:val="0"/>
          <w:i w:val="0"/>
        </w:rPr>
        <w:t>Analytics as a Second-Class Citizen</w:t>
      </w:r>
    </w:p>
    <w:p>
      <w:r>
        <w:rPr>
          <w:b w:val="0"/>
          <w:i w:val="0"/>
        </w:rPr>
        <w:t>If your primary skill is analytics (or data mining or business intelligence), chances are that your self-confidence has taken a beating as machine learning and statistics have become prized within companies, the job market, and the media.</w:t>
      </w:r>
    </w:p>
    <w:p>
      <w:r>
        <w:rPr>
          <w:b w:val="0"/>
          <w:i w:val="0"/>
        </w:rPr>
        <w:t>But what the uninitiated rarely grasp is that although these three professions may all fall under data science, they are completely different from one another. They may use some of the same methods and equations, but that’s where the similarity ends. Far from being a lesser version of the other data science breeds, good analysts are a prerequisite for effectiveness in your data endeavors. It’s dangerous to have them quit on you, but that’s exactly what they’ll do if you underappreciate them.</w:t>
      </w:r>
    </w:p>
    <w:p>
      <w:r>
        <w:rPr>
          <w:b w:val="0"/>
          <w:i w:val="0"/>
        </w:rPr>
        <w:t>Instead of asking analysts to develop their statistics or machine-learning skills, consider encouraging them to seek the heights of their own discipline first. In data science, excellence in one area beats mediocrity in two. So, let’s examine what it means to be truly excellent in each of the data science disciplines, what value these different experts bring, and which personality traits are required to survive each job. Doing so will help explain why analysts are valuable, and how organizations should use them.</w:t>
      </w:r>
    </w:p>
    <w:p>
      <w:pPr>
        <w:pStyle w:val="Heading3"/>
      </w:pPr>
      <w:r>
        <w:rPr>
          <w:b w:val="0"/>
          <w:i w:val="0"/>
        </w:rPr>
        <w:t>Excellence in Statistics: Rigor</w:t>
      </w:r>
    </w:p>
    <w:p>
      <w:r>
        <w:rPr>
          <w:b w:val="0"/>
          <w:i w:val="0"/>
        </w:rPr>
        <w:t>Statisticians are specialists in coming to conclusions beyond your data safely—they are your best protection against fooling yourself in an uncertain world. To them, inferring something sloppily is a greater sin than leaving your mind a blank slate, so expect a good statistician to put the brakes on your exuberance. They care deeply about whether the methods applied are right for the problem and they agonize over which inferences are valid from the information at hand.</w:t>
      </w:r>
    </w:p>
    <w:p>
      <w:r>
        <w:rPr>
          <w:b w:val="0"/>
          <w:i w:val="0"/>
        </w:rPr>
        <w:t>The result? A perspective that helps leaders make important decisions in a risk-controlled manner. In other words, they use data to minimize the chance that you’ll come to an unwise conclusion.</w:t>
      </w:r>
    </w:p>
    <w:p>
      <w:pPr>
        <w:pStyle w:val="Heading3"/>
      </w:pPr>
      <w:r>
        <w:rPr>
          <w:b w:val="0"/>
          <w:i w:val="0"/>
        </w:rPr>
        <w:t>Excellence in Machine Learning: Performance</w:t>
      </w:r>
    </w:p>
    <w:p>
      <w:r>
        <w:rPr>
          <w:b w:val="0"/>
          <w:i w:val="0"/>
        </w:rPr>
        <w:t>You might be an applied machine-learning/AI engineer if your response to “I bet you couldn’t build a model that passes testing at 99.99999% accuracy” is “Watch me.” With the coding chops to build both prototypes and production systems that work and the stubborn resilience to fail every hour for several years if that’s what it takes, machine-learning specialists know that they won’t find the perfect solution in a textbook. Instead, they’ll be engaged in a marathon of trial and error. Having great intuition for how long it’ll take them to try each new option is a huge plus and is more valuable than an intimate knowledge of how the algorithms work (though it’s nice to have both). Performance means more than clearing a metric—it also means reliable, scalable, and easy-to-maintain models that perform well in production. Engineering excellence is a must.</w:t>
      </w:r>
    </w:p>
    <w:p>
      <w:r>
        <w:rPr>
          <w:b w:val="0"/>
          <w:i w:val="0"/>
        </w:rPr>
        <w:t>The result? A system that automates a tricky task well enough to pass your statistician’s strict testing bar and deliver the audacious performance a business leader demands.</w:t>
      </w:r>
    </w:p>
    <w:p>
      <w:pPr>
        <w:pStyle w:val="Heading3"/>
      </w:pPr>
      <w:r>
        <w:rPr>
          <w:b w:val="0"/>
          <w:i w:val="0"/>
        </w:rPr>
        <w:t>Wide Versus Deep</w:t>
      </w:r>
    </w:p>
    <w:p>
      <w:r>
        <w:rPr>
          <w:b w:val="0"/>
          <w:i w:val="0"/>
        </w:rPr>
        <w:t>What the previous two roles have in common is that they both provide high-effort solutions to specific problems. If the problems they tackle aren’t worth solving, you end up wasting their time and your money. A frequent lament among business leaders is, “Our data science group is useless.” And the problem usually lies in an absence of analytics expertise.</w:t>
      </w:r>
    </w:p>
    <w:p>
      <w:r>
        <w:rPr>
          <w:b w:val="0"/>
          <w:i w:val="0"/>
        </w:rPr>
        <w:t>Statisticians and machine-learning engineers are narrow-and-deep workers—the shape of a rabbit hole, incidentally—so it’s really important to point them at problems that deserve the effort. If your experts are carefully solving the wrong problems, your investment in data science will suffer low returns. To ensure that you can make good use of narrow-and-deep experts, you either need to be sure you already have the right problem or you need a wide-and-shallow approach to finding one.</w:t>
      </w:r>
    </w:p>
    <w:p>
      <w:pPr>
        <w:pStyle w:val="Heading3"/>
      </w:pPr>
      <w:r>
        <w:rPr>
          <w:b w:val="0"/>
          <w:i w:val="0"/>
        </w:rPr>
        <w:t>Excellence in Analytics: Speed</w:t>
      </w:r>
    </w:p>
    <w:p>
      <w:r>
        <w:rPr>
          <w:b w:val="0"/>
          <w:i w:val="0"/>
        </w:rPr>
        <w:t>The best analysts are lightning-fast coders who can surf vast data sets quickly, encountering and surfacing potential insights faster than those other specialists can say “whiteboard.” Their semi-sloppy coding style baffles traditional software engineers—but leaves them in the dust. Speed is their highest virtue, closely followed by the ability to identify potentially useful gems. A mastery of visual presentation of information helps, too: beautiful and effective plots allow the mind to extract information faster, which pays off in time-to-potential-insights.</w:t>
      </w:r>
    </w:p>
    <w:p>
      <w:r>
        <w:rPr>
          <w:b w:val="0"/>
          <w:i w:val="0"/>
        </w:rPr>
        <w:t>The result is that the business gets a finger on its pulse and eyes on previously unknown unknowns. This generates the inspiration that helps decision makers select valuable quests to send statisticians and ML engineers on, saving them from mathematically impressive excavations of useless rabbit holes.</w:t>
      </w:r>
    </w:p>
    <w:p>
      <w:pPr>
        <w:pStyle w:val="Heading3"/>
      </w:pPr>
      <w:r>
        <w:rPr>
          <w:b w:val="0"/>
          <w:i w:val="0"/>
        </w:rPr>
        <w:t>Sloppy Nonsense or Stellar Storytelling?</w:t>
      </w:r>
    </w:p>
    <w:p>
      <w:r>
        <w:rPr>
          <w:b w:val="0"/>
          <w:i w:val="0"/>
        </w:rPr>
        <w:t>“But,” object the statisticians, “most of their so-called insights are nonsense.” By that they mean the results of their exploration may reflect only noise. Perhaps, but there’s more to the story.</w:t>
      </w:r>
    </w:p>
    <w:p>
      <w:r>
        <w:rPr>
          <w:b w:val="0"/>
          <w:i w:val="0"/>
        </w:rPr>
        <w:t>Analysts are data storytellers. Their mandate is to summarize interesting facts and to use data for inspiration. In some organizations those facts and that inspiration become input for human decision makers. But in more sophisticated data operations, data-driven inspiration gets flagged for proper statistical follow-up.</w:t>
      </w:r>
    </w:p>
    <w:p>
      <w:r>
        <w:rPr>
          <w:b w:val="0"/>
          <w:i w:val="0"/>
        </w:rPr>
        <w:t>Good analysts have unwavering respect for the one golden rule of their profession: Do not come to conclusions beyond the data (and prevent your audience from doing it, too). To this end, one way to spot a good analyst is that they use softened, hedging language. For example, not “we conclude” but “we are inspired to wonder.” They also discourage leaders’ overconfidence by emphasizing a multitude of possible interpretations for every insight.</w:t>
      </w:r>
    </w:p>
    <w:p>
      <w:r>
        <w:rPr>
          <w:b w:val="0"/>
          <w:i w:val="0"/>
        </w:rPr>
        <w:t>As long as analysts stick to the facts—saying only “This is what is here”—and don’t take themselves too seriously, the worst crime they could commit is wasting someone’s time when they run their findings by them.</w:t>
      </w:r>
    </w:p>
    <w:p>
      <w:r>
        <w:rPr>
          <w:b w:val="0"/>
          <w:i w:val="0"/>
        </w:rPr>
        <w:t>While statistical skills are required to test hypotheses, analysts are your best bet for coming up with those hypotheses in the first place. For instance, an analyst might say something like “It’s only a correlation, but I suspect it could be driven by …” and then explain why they think that. This takes strong intuition about what might be going on beyond the data and the communication skills to convey the options to the decision maker, who typically calls the shots on which hypotheses (of many) are important enough to warrant a statistician’s effort. As analysts mature, they’ll begin to get the hang of judging what’s important in addition to what’s interesting, allowing decision makers to step away from the middleman role.</w:t>
      </w:r>
    </w:p>
    <w:p>
      <w:r>
        <w:rPr>
          <w:b w:val="0"/>
          <w:i w:val="0"/>
        </w:rPr>
        <w:t>Of the three breeds, analysts are the most likely heirs to the decision throne. Because subject-matter expertise goes a long way toward helping you spot interesting patterns in your data faster, the best analysts are serious about familiarizing themselves with the domain. Failure to do so is a red flag. As their curiosity pushes them to develop a sense for the business, expect their output to shift from a jumble of false alarms to a sensibly curated set of insights that decision makers are more likely to care about.</w:t>
      </w:r>
    </w:p>
    <w:p>
      <w:pPr>
        <w:pStyle w:val="Heading3"/>
      </w:pPr>
      <w:r>
        <w:rPr>
          <w:b w:val="0"/>
          <w:i w:val="0"/>
        </w:rPr>
        <w:t>Analytics for Decision Making</w:t>
      </w:r>
    </w:p>
    <w:p>
      <w:r>
        <w:rPr>
          <w:b w:val="0"/>
          <w:i w:val="0"/>
        </w:rPr>
        <w:t>To avoid wasting time, analysts should lay out the story they’re tempted to tell and poke it from several angles with follow-up investigations to see if it holds water before bringing it to decision makers. The decision maker should then function as a filter between exploratory data analytics and statistical rigor. If someone with decision responsibility finds the analyst’s exploration promising for a decision they have to make, they then can sign off on a statistician spending the time to do a more rigorous analysis. (This process indicates why just telling analysts to get better at statistics misses the point in an important way. Not only are the two activities separate, but another person sits in between them, meaning it’s not necessarily any more efficient for one person to do both things.)</w:t>
      </w:r>
    </w:p>
    <w:p>
      <w:pPr>
        <w:pStyle w:val="Heading3"/>
      </w:pPr>
      <w:r>
        <w:rPr>
          <w:b w:val="0"/>
          <w:i w:val="0"/>
        </w:rPr>
        <w:t>Analytics for Machine Learning and AI</w:t>
      </w:r>
    </w:p>
    <w:p>
      <w:r>
        <w:rPr>
          <w:b w:val="0"/>
          <w:i w:val="0"/>
        </w:rPr>
        <w:t>Machine-learning specialists put a bunch of potential data inputs through algorithms, tweak the settings, and keep iterating until the right outputs are produced. While it may sound like there’s no role for analytics here, in practice a business often has far too many potential ingredients to shove into the blender all at once. One way to filter down to a promising set of inputs to try is domain expertise—ask a human with opinions about how things might work. Another way is through analytics. To use the analogy of cooking, the machine-learning engineer is great at tinkering in the kitchen, but right now they’re standing in front of a huge, dark warehouse full of potential ingredients. They could either start grabbing them haphazardly and dragging them back to their kitchens, or they could send a sprinter armed with a flashlight through the warehouse first. Your analyst is the sprinter; their ability to quickly help you see and summarize what is there is a superpower for your process.</w:t>
      </w:r>
    </w:p>
    <w:p>
      <w:pPr>
        <w:pStyle w:val="Heading3"/>
      </w:pPr>
      <w:r>
        <w:rPr>
          <w:b w:val="0"/>
          <w:i w:val="0"/>
        </w:rPr>
        <w:t>The Dangers of Underappreciating Analysts</w:t>
      </w:r>
    </w:p>
    <w:p>
      <w:r>
        <w:rPr>
          <w:b w:val="0"/>
          <w:i w:val="0"/>
        </w:rPr>
        <w:t>An excellent analyst is not a shoddy version of the machine-learning engineer; their coding style is optimized for speed—on purpose. Nor are they a bad statistician, since they don’t deal at all with uncertainty; they deal with facts. The primary job of the analyst is to say: “Here’s what’s in our data. It’s not my job to talk about what it means, but perhaps it will inspire the decision maker to pursue the question with a statistician.”</w:t>
      </w:r>
    </w:p>
    <w:p>
      <w:r>
        <w:rPr>
          <w:b w:val="0"/>
          <w:i w:val="0"/>
        </w:rPr>
        <w:t>If you overemphasize hiring and rewarding skills in machine learning and statistics, you’ll lose your analysts. Who will help you figure out which problems are worth solving then? You’ll be left with a group of miserable experts who keep being asked to work on useless projects or analytics tasks they didn’t sign up for. Your data will lie around useless.</w:t>
      </w:r>
    </w:p>
    <w:p>
      <w:r>
        <w:rPr>
          <w:b w:val="0"/>
          <w:i w:val="0"/>
        </w:rPr>
        <w:t>When in doubt, hire analysts before other roles. Appreciate them and reward them. Encourage them to grow to the heights of their chosen career (and not someone else’s). Of the cast of characters mentioned in this story, the only ones that every business needs are decision makers and analysts. The others you’ll only be able to use when you know exactly what you need them for. Start with analytics, and be proud of your newfound ability to open your eyes to the rich and beautiful information in front of you. Data-driven inspiration is a powerful thing.</w:t>
      </w:r>
    </w:p>
    <w:p>
      <w:r>
        <w:rPr>
          <w:b w:val="0"/>
          <w:i w:val="0"/>
        </w:rPr>
        <w:t>TAKEAWAYS</w:t>
      </w:r>
    </w:p>
    <w:p>
      <w:r>
        <w:rPr>
          <w:b w:val="0"/>
          <w:i w:val="0"/>
        </w:rPr>
        <w:t>Companies want data scientists who specialize in machine learning, statistics, and analytics. But when this expertise isn’t available, hiring managers should look for analysts. Data analysts provide distinct advantages to organizations.</w:t>
      </w:r>
    </w:p>
    <w:p>
      <w:r>
        <w:rPr>
          <w:b w:val="0"/>
          <w:i w:val="0"/>
        </w:rPr>
        <w:t>✓  Statisticians offer rigor and machine-learning specialists provide performance. But analysts work fast—their coding style is optimized for speed—and are masters of data visualization.</w:t>
      </w:r>
    </w:p>
    <w:p>
      <w:r>
        <w:rPr>
          <w:b w:val="0"/>
          <w:i w:val="0"/>
        </w:rPr>
        <w:t>✓  Analysts are storytellers, summarizing interesting facts and using data as inspiration. They question the data, asking what the information could be indicating, rather than presenting conclusions. They’re the best bet for coming up with problems to solve and hypotheses to test.</w:t>
      </w:r>
    </w:p>
    <w:p>
      <w:r>
        <w:rPr>
          <w:b w:val="0"/>
          <w:i w:val="0"/>
        </w:rPr>
        <w:t>✓  Analysts look at information from several angles and dig into it deeply before bringing it to decision makers. The decision maker then makes the call as to whether more rigorous analysis is necessary, usually by a statistician.</w:t>
      </w:r>
    </w:p>
    <w:p>
      <w:r>
        <w:rPr>
          <w:b w:val="0"/>
          <w:i/>
        </w:rPr>
        <w:t>Adapted from “What Great Data Analysts Do—and Why Every Organization Needs Them” on hbr.org, December 4, 2018 (product #H04OLF).</w:t>
      </w:r>
    </w:p>
    <w:p>
      <w:pPr>
        <w:pStyle w:val="Heading1"/>
      </w:pPr>
      <w:r>
        <w:rPr>
          <w:b w:val="0"/>
          <w:i w:val="0"/>
        </w:rPr>
        <w:t>5</w:t>
      </w:r>
    </w:p>
    <w:p>
      <w:pPr>
        <w:pStyle w:val="Heading1"/>
      </w:pPr>
      <w:r>
        <w:rPr>
          <w:b w:val="0"/>
          <w:i w:val="0"/>
        </w:rPr>
        <w:t>WHAT DATA IS AND ISN’T GOOD FOR</w:t>
      </w:r>
    </w:p>
    <w:p>
      <w:r>
        <w:rPr>
          <w:b w:val="0"/>
          <w:i w:val="0"/>
        </w:rPr>
        <w:t>by Joel Shapiro</w:t>
      </w:r>
    </w:p>
    <w:p>
      <w:r>
        <w:rPr>
          <w:b w:val="0"/>
          <w:i w:val="0"/>
        </w:rPr>
        <w:t>Leaders today increasingly turn to big data and advanced analytics in hopes of solving their most pressing problems, whether it’s a drop-off of repeat customers, a shift in consumption patterns, or an attempt to reach new markets. The prevailing thought is that more data is better, especially given advancements in tools and technologies such as artificial intelligence and predictive analytics.</w:t>
      </w:r>
    </w:p>
    <w:p>
      <w:r>
        <w:rPr>
          <w:b w:val="0"/>
          <w:i w:val="0"/>
        </w:rPr>
        <w:t xml:space="preserve">But when it comes to uncovering the motivations and rationale behind individual behaviors within a social system, data can only do so much. It can guide the discovery of a problem, but it won’t determine the solution. In other words, data analytics can tell you </w:t>
      </w:r>
      <w:r>
        <w:rPr>
          <w:b w:val="0"/>
          <w:i/>
        </w:rPr>
        <w:t>what</w:t>
      </w:r>
      <w:r>
        <w:rPr>
          <w:b w:val="0"/>
          <w:i w:val="0"/>
        </w:rPr>
        <w:t xml:space="preserve"> is happening, but it will rarely tell you </w:t>
      </w:r>
      <w:r>
        <w:rPr>
          <w:b w:val="0"/>
          <w:i/>
        </w:rPr>
        <w:t>why</w:t>
      </w:r>
      <w:r>
        <w:rPr>
          <w:b w:val="0"/>
          <w:i w:val="0"/>
        </w:rPr>
        <w:t>. To effectively bring together the what and the why—a problem and its cause, in order to find a probable solution—leaders need to combine the advanced capabilities of big data and analytics with tried-and-true qualitative approaches such as interviewing groups of individuals, conducting focus groups, and in-depth observation.</w:t>
      </w:r>
    </w:p>
    <w:p>
      <w:r>
        <w:rPr>
          <w:b w:val="0"/>
          <w:i w:val="0"/>
        </w:rPr>
        <w:t>In my conversations with business leaders about how they use data analytics, a primary focus is on technical, large-scale systems. This is where big data and analytics can really shine, in applications such as predictive maintenance. Industrial companies, from railroads to oil fields, use predictive analytics to ensure smooth operations; rather than wait for a mechanical breakdown to occur, predictive maintenance prevents problems and avoids downtime.</w:t>
      </w:r>
    </w:p>
    <w:p>
      <w:r>
        <w:rPr>
          <w:b w:val="0"/>
          <w:i w:val="0"/>
        </w:rPr>
        <w:t>What works with locomotives and oil rigs, however, can be far less effective when it comes to influencing people’s behaviors. With social systems and the behaviors generated by large groups of individuals—who does what and under what conditions—it is far harder to identify solutions to problems. This points to the shortcoming of using data analytics alone for solving problems that arise from individual behavior.</w:t>
      </w:r>
    </w:p>
    <w:p>
      <w:r>
        <w:rPr>
          <w:b w:val="0"/>
          <w:i w:val="0"/>
        </w:rPr>
        <w:t>That’s not to say big data and analytics don’t play an important part. Rather, by understanding the strengths and limitations of using big data in this way, leaders can employ the most effective strategies for identifying the what and why of a problem, and how to solve it—and can help their teams learn to do the same. Here are five important considerations that everyone who works with big data needs to understand:</w:t>
      </w:r>
    </w:p>
    <w:p>
      <w:pPr>
        <w:pStyle w:val="ListNumber"/>
      </w:pPr>
      <w:r>
        <w:rPr>
          <w:b w:val="0"/>
          <w:i w:val="0"/>
        </w:rPr>
        <w:t>Data can determine the “what” of a problem. Data analysis is helpful in determining patterns of behavior, both positive and negative—for example, the success of an organization or enterprise in motivating people to engage in certain activities. Analyses may reveal, for instance, that a certain type of customer is more or less likely to buy a particular product or renew a subscription or membership. Sophisticated data analytics can reveal patterns among large groups and smaller subgroups.</w:t>
      </w:r>
    </w:p>
    <w:p>
      <w:pPr>
        <w:pStyle w:val="ListNumber"/>
      </w:pPr>
      <w:r>
        <w:rPr>
          <w:b w:val="0"/>
          <w:i w:val="0"/>
        </w:rPr>
        <w:t xml:space="preserve">Data rarely reveals the “why.” In the aggregate, individual behaviors show up in the data, revealing patterns among certain demographics and groups. But just because data shows, say, what the typical 33-year-old woman making less than $100,000 a year who has children is likely to do or not do, that won’t reveal the </w:t>
      </w:r>
      <w:r>
        <w:rPr>
          <w:b w:val="0"/>
          <w:i/>
        </w:rPr>
        <w:t>why</w:t>
      </w:r>
      <w:r>
        <w:rPr>
          <w:b w:val="0"/>
          <w:i w:val="0"/>
        </w:rPr>
        <w:t>. Data may prompt people to make assumptions; for instance, that a price point was too high for a particular customer, or that a subscription service related to a leisure activity (for example, a gym membership) no longer appeals to a consumer who has time constraints. Assumptions also can be made about root causes of behaviors, such as why millennials prefer companies that prioritize social impact or why a particular subgroup of employees underperforms. Assumptions, though, are only guesses about the rationale of others’ behaviors, not a reliable basis for determining the best solution to address a problem.</w:t>
      </w:r>
    </w:p>
    <w:p>
      <w:pPr>
        <w:pStyle w:val="ListNumber"/>
      </w:pPr>
      <w:r>
        <w:rPr>
          <w:b w:val="0"/>
          <w:i w:val="0"/>
        </w:rPr>
        <w:t xml:space="preserve">The “why” needs a qualitative approach. Whether the social group involves current customers, potential customers, vendors, or any other population, the only way to discover the “why” is to engage with them in qualitative research such as interviews, focus groups, and observation. The result is an iterative process that starts with the “who” and the “what,” which the data can reveal, and proceeds to the next step of diagnosing the “why,” which the data cannot typically reveal. In the past, companies often hired experts in qualitative research to help determine how and why customers use particular products or gravitated to certain brands. Today, though, many business leaders try to use big data and analytics to automate the entire process. But the shortcomings of using data for diagnostics of social behaviors are quickly revealed. For example, social media analytics can identify influencers for well-defined customer segments. But the real challenge is knowing </w:t>
      </w:r>
      <w:r>
        <w:rPr>
          <w:b w:val="0"/>
          <w:i/>
        </w:rPr>
        <w:t>why</w:t>
      </w:r>
      <w:r>
        <w:rPr>
          <w:b w:val="0"/>
          <w:i w:val="0"/>
        </w:rPr>
        <w:t xml:space="preserve"> customers are drawn to those influencers in order to craft effective strategies to entice customers to buy more or become brand advocates themselves.</w:t>
      </w:r>
    </w:p>
    <w:p>
      <w:pPr>
        <w:pStyle w:val="ListNumber"/>
      </w:pPr>
      <w:r>
        <w:rPr>
          <w:b w:val="0"/>
          <w:i w:val="0"/>
        </w:rPr>
        <w:t>You need to consider temporal and other factors. Other factors also influence behavior, making solutions more difficult to find and less likely to remain effective over time. For example, several years ago, an auto club discovered that motorists who had longer-than-average wait times by the side of the road were less likely to renew their subscriptions. Based on that data, the company emphasized the need to reduce wait times. Since then, the proliferation of smartphones and other devices has given people ways to occupy themselves, altering their perception of how long they’re waiting. As a result, focusing on wait time alone today (as opposed to other factors such as pricing and quality) has proved to be less effective in reducing churn among auto club members.</w:t>
      </w:r>
    </w:p>
    <w:p>
      <w:pPr>
        <w:pStyle w:val="ListNumber"/>
      </w:pPr>
      <w:r>
        <w:rPr>
          <w:b w:val="0"/>
          <w:i w:val="0"/>
        </w:rPr>
        <w:t>You need rigorous testing to find the right solution. With big data analysis and smaller-scale qualitative research combined, organizations can gain deeper insights into both problems and their causes, which can then help inform solutions that are likely to produce a desired result. The best way to know the effectiveness of a solution is to conduct randomized testing using two similar groups: one that is offered the solution and one that is not. Data analysis from this experimentation will reveal whether the solution actually solves the problem. Although randomized experiments can be expensive and complex, the data analysis involved brings the process full circle and often pays for itself in terms of the return on investment.</w:t>
      </w:r>
    </w:p>
    <w:p>
      <w:r>
        <w:rPr>
          <w:b w:val="0"/>
          <w:i w:val="0"/>
        </w:rPr>
        <w:t>Data analytics are most effective as part of an overall process to identify, explore, and test, but they are not the only tool for the task. Solving social behaviors still requires small-scale qualitative exploration to engage people and learn more about what’s truly motivating the behaviors that show up in the data.</w:t>
      </w:r>
    </w:p>
    <w:p>
      <w:r>
        <w:rPr>
          <w:b w:val="0"/>
          <w:i w:val="0"/>
        </w:rPr>
        <w:t>TAKEAWAYS</w:t>
      </w:r>
    </w:p>
    <w:p>
      <w:r>
        <w:rPr>
          <w:b w:val="0"/>
          <w:i w:val="0"/>
        </w:rPr>
        <w:t xml:space="preserve">Data can only do so much. It can tell you </w:t>
      </w:r>
      <w:r>
        <w:rPr>
          <w:b w:val="0"/>
          <w:i/>
        </w:rPr>
        <w:t>what</w:t>
      </w:r>
      <w:r>
        <w:rPr>
          <w:b w:val="0"/>
          <w:i w:val="0"/>
        </w:rPr>
        <w:t xml:space="preserve"> is happening, but it will rarely tell you </w:t>
      </w:r>
      <w:r>
        <w:rPr>
          <w:b w:val="0"/>
          <w:i/>
        </w:rPr>
        <w:t>why</w:t>
      </w:r>
      <w:r>
        <w:rPr>
          <w:b w:val="0"/>
          <w:i w:val="0"/>
        </w:rPr>
        <w:t>. To bring the two together, leaders need to combine the advanced capabilities of big data and analytics with qualitative approaches.</w:t>
      </w:r>
    </w:p>
    <w:p>
      <w:r>
        <w:rPr>
          <w:b w:val="0"/>
          <w:i w:val="0"/>
        </w:rPr>
        <w:t>✓  Individual patterns can show up in data, revealing the “what” of a problem. Upon seeing these patterns, people may make assumptions about the root causes of the behavior. But these assumptions are only guesses and are not reliable for determining a solution.</w:t>
      </w:r>
    </w:p>
    <w:p>
      <w:r>
        <w:rPr>
          <w:b w:val="0"/>
          <w:i w:val="0"/>
        </w:rPr>
        <w:t>✓  To discover the “why,” engage in qualitative research, such as conducting interviews and focus groups and using in-depth observation. Also consider what other factors that can’t be seen in the numbers may be affecting the data.</w:t>
      </w:r>
    </w:p>
    <w:p>
      <w:r>
        <w:rPr>
          <w:b w:val="0"/>
          <w:i w:val="0"/>
        </w:rPr>
        <w:t>✓  Finally, you must perform randomized testing. This experimentation will allow you to see whether your proposed solution might solve the problem.</w:t>
      </w:r>
    </w:p>
    <w:p>
      <w:r>
        <w:rPr>
          <w:b w:val="0"/>
          <w:i/>
        </w:rPr>
        <w:t>Adapted from “Help Your Team Understand What Data Is and Isn’t Good For” on hbr.org, October 12, 2018 (product #H04L9Y).</w:t>
      </w:r>
    </w:p>
    <w:p>
      <w:pPr>
        <w:pStyle w:val="Heading1"/>
      </w:pPr>
      <w:r>
        <w:rPr>
          <w:b w:val="0"/>
          <w:i w:val="0"/>
        </w:rPr>
        <w:t>Section 2</w:t>
      </w:r>
    </w:p>
    <w:p>
      <w:pPr>
        <w:pStyle w:val="Heading1"/>
      </w:pPr>
      <w:r>
        <w:rPr>
          <w:b w:val="0"/>
          <w:i w:val="0"/>
        </w:rPr>
        <w:t>BECOMING AN ANALYTICS-DRIVEN ORGANIZATION</w:t>
      </w:r>
    </w:p>
    <w:p>
      <w:pPr>
        <w:pStyle w:val="Heading1"/>
      </w:pPr>
      <w:r>
        <w:rPr>
          <w:b w:val="0"/>
          <w:i w:val="0"/>
        </w:rPr>
        <w:t>6</w:t>
      </w:r>
    </w:p>
    <w:p>
      <w:pPr>
        <w:pStyle w:val="Heading1"/>
      </w:pPr>
      <w:r>
        <w:rPr>
          <w:b w:val="0"/>
          <w:i w:val="0"/>
        </w:rPr>
        <w:t>PRIORITIZE WHICH DATA SKILLS YOUR COMPANY NEEDS</w:t>
      </w:r>
    </w:p>
    <w:p>
      <w:r>
        <w:rPr>
          <w:b w:val="0"/>
          <w:i w:val="0"/>
        </w:rPr>
        <w:t>by Chris Littlewood</w:t>
      </w:r>
    </w:p>
    <w:p>
      <w:r>
        <w:rPr>
          <w:b w:val="0"/>
          <w:i w:val="0"/>
        </w:rPr>
        <w:t>Data skills—the skills to turn data into insight and action—are the driver of modern economies. According to the World Economic Forum, computing and mathematically focused jobs are showing the strongest growth, at the expense of less quantitative roles (see figure 6-1).1</w:t>
      </w:r>
    </w:p>
    <w:p>
      <w:r>
        <w:rPr>
          <w:b w:val="0"/>
          <w:i w:val="0"/>
        </w:rPr>
        <w:t>So whether it’s to maximize the part we play in data-driven economic growth, or simply to ensure that we and our teams remain relevant and employable, we need to think about transitioning to a more data-skewed skill set. But which skills should we focus on? Can most of us expect to keep pace with this trend ourselves, or would we be better off retreating to shrinking areas of the economy, leaving data skills to the specialists?</w:t>
      </w:r>
    </w:p>
    <w:p>
      <w:r>
        <w:rPr>
          <w:b/>
          <w:i w:val="0"/>
        </w:rPr>
        <w:t>FIGURE 6-1</w:t>
      </w:r>
    </w:p>
    <w:p>
      <w:r>
        <w:rPr>
          <w:b w:val="0"/>
          <w:i w:val="0"/>
        </w:rPr>
        <w:t>Jobs built on data skills are showing the strongest growth</w:t>
      </w:r>
    </w:p>
    <w:p>
      <w:r>
        <w:rPr>
          <w:b w:val="0"/>
          <w:i/>
        </w:rPr>
        <w:t>Average compound employment annual growth rate %, 2015–2020</w:t>
      </w:r>
    </w:p>
    <w:p>
      <w:pPr>
        <w:jc w:val="center"/>
      </w:pPr>
      <w:r>
        <w:drawing>
          <wp:inline xmlns:a="http://schemas.openxmlformats.org/drawingml/2006/main" xmlns:pic="http://schemas.openxmlformats.org/drawingml/2006/picture">
            <wp:extent cx="6680200" cy="7061200"/>
            <wp:docPr id="4" name="Picture 4"/>
            <wp:cNvGraphicFramePr>
              <a:graphicFrameLocks noChangeAspect="1"/>
            </wp:cNvGraphicFramePr>
            <a:graphic>
              <a:graphicData uri="http://schemas.openxmlformats.org/drawingml/2006/picture">
                <pic:pic>
                  <pic:nvPicPr>
                    <pic:cNvPr id="0" name="epub_img_6432457849516366576.jpg"/>
                    <pic:cNvPicPr/>
                  </pic:nvPicPr>
                  <pic:blipFill>
                    <a:blip r:embed="rId12"/>
                    <a:stretch>
                      <a:fillRect/>
                    </a:stretch>
                  </pic:blipFill>
                  <pic:spPr>
                    <a:xfrm>
                      <a:off x="0" y="0"/>
                      <a:ext cx="6680200" cy="7061200"/>
                    </a:xfrm>
                    <a:prstGeom prst="rect"/>
                  </pic:spPr>
                </pic:pic>
              </a:graphicData>
            </a:graphic>
          </wp:inline>
        </w:drawing>
      </w:r>
    </w:p>
    <w:p>
      <w:pPr>
        <w:jc w:val="center"/>
      </w:pPr>
      <w:r>
        <w:drawing>
          <wp:inline xmlns:a="http://schemas.openxmlformats.org/drawingml/2006/main" xmlns:pic="http://schemas.openxmlformats.org/drawingml/2006/picture">
            <wp:extent cx="6680200" cy="7061200"/>
            <wp:docPr id="5" name="Picture 5"/>
            <wp:cNvGraphicFramePr>
              <a:graphicFrameLocks noChangeAspect="1"/>
            </wp:cNvGraphicFramePr>
            <a:graphic>
              <a:graphicData uri="http://schemas.openxmlformats.org/drawingml/2006/picture">
                <pic:pic>
                  <pic:nvPicPr>
                    <pic:cNvPr id="0" name="epub_img_6432457849516366576.jpg"/>
                    <pic:cNvPicPr/>
                  </pic:nvPicPr>
                  <pic:blipFill>
                    <a:blip r:embed="rId12"/>
                    <a:stretch>
                      <a:fillRect/>
                    </a:stretch>
                  </pic:blipFill>
                  <pic:spPr>
                    <a:xfrm>
                      <a:off x="0" y="0"/>
                      <a:ext cx="6680200" cy="7061200"/>
                    </a:xfrm>
                    <a:prstGeom prst="rect"/>
                  </pic:spPr>
                </pic:pic>
              </a:graphicData>
            </a:graphic>
          </wp:inline>
        </w:drawing>
      </w:r>
    </w:p>
    <w:p>
      <w:r>
        <w:rPr>
          <w:b w:val="0"/>
          <w:i/>
        </w:rPr>
        <w:t>Source</w:t>
      </w:r>
      <w:r>
        <w:rPr>
          <w:b w:val="0"/>
          <w:i w:val="0"/>
        </w:rPr>
        <w:t>: World Economic Forum’s “The Future of Jobs” survey, 2016</w:t>
      </w:r>
    </w:p>
    <w:p>
      <w:r>
        <w:rPr>
          <w:b w:val="0"/>
          <w:i w:val="0"/>
        </w:rPr>
        <w:t>To help answer this question, we rebooted and adapted an approach we took to prioritizing Microsoft Excel skills according to the benefits and costs of acquiring them. We applied a time-utility analysis to the field of data skills. “Time” is time to learn—a proxy for the opportunity cost to you or your team of acquiring the skill. “Utility” is how much you’re likely to need the skill, a proxy for the value it adds to the corporation, and your own career prospects.</w:t>
      </w:r>
    </w:p>
    <w:p>
      <w:r>
        <w:rPr>
          <w:b w:val="0"/>
          <w:i w:val="0"/>
        </w:rPr>
        <w:t>Combine time and utility, and you get a simple two-by-two matrix with four quadrants, as depicted in figure 6-2:</w:t>
      </w:r>
    </w:p>
    <w:p>
      <w:pPr>
        <w:pStyle w:val="ListBullet"/>
      </w:pPr>
      <w:r>
        <w:rPr>
          <w:b w:val="0"/>
          <w:i w:val="0"/>
        </w:rPr>
        <w:t>Learn: high utility, low time-to-learn. This is low-hanging fruit that will add value for you and your team quickly.</w:t>
      </w:r>
    </w:p>
    <w:p>
      <w:pPr>
        <w:pStyle w:val="ListBullet"/>
      </w:pPr>
      <w:r>
        <w:rPr>
          <w:b w:val="0"/>
          <w:i w:val="0"/>
        </w:rPr>
        <w:t>Plan: high utility, high time-to-learn. While this is valuable, acquiring this skill will mean prioritizing it ahead of other learning and activities. You need to be sure that it’s worth the investment.</w:t>
      </w:r>
    </w:p>
    <w:p>
      <w:pPr>
        <w:pStyle w:val="ListBullet"/>
      </w:pPr>
      <w:r>
        <w:rPr>
          <w:b w:val="0"/>
          <w:i w:val="0"/>
        </w:rPr>
        <w:t>Browse: low utility, low time-to-learn. You don’t need this now, but it’s easy to acquire so stay aware in case its utility increases.</w:t>
      </w:r>
    </w:p>
    <w:p>
      <w:pPr>
        <w:pStyle w:val="ListBullet"/>
      </w:pPr>
      <w:r>
        <w:rPr>
          <w:b w:val="0"/>
          <w:i w:val="0"/>
        </w:rPr>
        <w:t>Ignore: low utility, high time-to-learn. You don’t have the time for this.</w:t>
      </w:r>
    </w:p>
    <w:p>
      <w:r>
        <w:rPr>
          <w:b/>
          <w:i w:val="0"/>
        </w:rPr>
        <w:t>FIGURE 6-2</w:t>
      </w:r>
    </w:p>
    <w:p>
      <w:r>
        <w:rPr>
          <w:b w:val="0"/>
          <w:i w:val="0"/>
        </w:rPr>
        <w:t>Which data skills should you learn first?</w:t>
      </w:r>
    </w:p>
    <w:p>
      <w:r>
        <w:rPr>
          <w:b w:val="0"/>
          <w:i/>
        </w:rPr>
        <w:t>Make the most of your limited learning time.</w:t>
      </w:r>
    </w:p>
    <w:p>
      <w:pPr>
        <w:jc w:val="center"/>
      </w:pPr>
      <w:r>
        <w:drawing>
          <wp:inline xmlns:a="http://schemas.openxmlformats.org/drawingml/2006/main" xmlns:pic="http://schemas.openxmlformats.org/drawingml/2006/picture">
            <wp:extent cx="6680200" cy="6400800"/>
            <wp:docPr id="6" name="Picture 6"/>
            <wp:cNvGraphicFramePr>
              <a:graphicFrameLocks noChangeAspect="1"/>
            </wp:cNvGraphicFramePr>
            <a:graphic>
              <a:graphicData uri="http://schemas.openxmlformats.org/drawingml/2006/picture">
                <pic:pic>
                  <pic:nvPicPr>
                    <pic:cNvPr id="0" name="epub_img_8496565516228851352.jpg"/>
                    <pic:cNvPicPr/>
                  </pic:nvPicPr>
                  <pic:blipFill>
                    <a:blip r:embed="rId13"/>
                    <a:stretch>
                      <a:fillRect/>
                    </a:stretch>
                  </pic:blipFill>
                  <pic:spPr>
                    <a:xfrm>
                      <a:off x="0" y="0"/>
                      <a:ext cx="6680200" cy="6400800"/>
                    </a:xfrm>
                    <a:prstGeom prst="rect"/>
                  </pic:spPr>
                </pic:pic>
              </a:graphicData>
            </a:graphic>
          </wp:inline>
        </w:drawing>
      </w:r>
    </w:p>
    <w:p>
      <w:pPr>
        <w:jc w:val="center"/>
      </w:pPr>
      <w:r>
        <w:drawing>
          <wp:inline xmlns:a="http://schemas.openxmlformats.org/drawingml/2006/main" xmlns:pic="http://schemas.openxmlformats.org/drawingml/2006/picture">
            <wp:extent cx="6680200" cy="6400800"/>
            <wp:docPr id="7" name="Picture 7"/>
            <wp:cNvGraphicFramePr>
              <a:graphicFrameLocks noChangeAspect="1"/>
            </wp:cNvGraphicFramePr>
            <a:graphic>
              <a:graphicData uri="http://schemas.openxmlformats.org/drawingml/2006/picture">
                <pic:pic>
                  <pic:nvPicPr>
                    <pic:cNvPr id="0" name="epub_img_8496565516228851352.jpg"/>
                    <pic:cNvPicPr/>
                  </pic:nvPicPr>
                  <pic:blipFill>
                    <a:blip r:embed="rId13"/>
                    <a:stretch>
                      <a:fillRect/>
                    </a:stretch>
                  </pic:blipFill>
                  <pic:spPr>
                    <a:xfrm>
                      <a:off x="0" y="0"/>
                      <a:ext cx="6680200" cy="6400800"/>
                    </a:xfrm>
                    <a:prstGeom prst="rect"/>
                  </pic:spPr>
                </pic:pic>
              </a:graphicData>
            </a:graphic>
          </wp:inline>
        </w:drawing>
      </w:r>
    </w:p>
    <w:p>
      <w:r>
        <w:rPr>
          <w:b w:val="0"/>
          <w:i/>
        </w:rPr>
        <w:t>Source</w:t>
      </w:r>
      <w:r>
        <w:rPr>
          <w:b w:val="0"/>
          <w:i w:val="0"/>
        </w:rPr>
        <w:t>: Filtered</w:t>
      </w:r>
    </w:p>
    <w:p>
      <w:r>
        <w:rPr>
          <w:b w:val="0"/>
          <w:i w:val="0"/>
        </w:rPr>
        <w:t>In order to help you decide where to focus your development effort, we have plotted key data skills against this framework. We long-listed skills associated with roles such as business analyst, data analyst, data scientist, machine-learning engineer, or growth hacker. We then prioritized them for impact based on how frequently they appear in job postings, press reports, and our own learner feedback. And finally, we coupled this with information on how difficult the skills are to learn—using time to competence as a metric and assessing the depth and breadth of each skill.</w:t>
      </w:r>
    </w:p>
    <w:p>
      <w:r>
        <w:rPr>
          <w:b w:val="0"/>
          <w:i w:val="0"/>
        </w:rPr>
        <w:t>We did this for techniques, rather than for specific technologies: so, for machine learning rather than TensorFlow, for business intelligence rather than Microsoft Excel, etc. Once you’ve worked out which techniques are priorities in your context, you can then work out which specific software and associated skills best support them.</w:t>
      </w:r>
    </w:p>
    <w:p>
      <w:r>
        <w:rPr>
          <w:b w:val="0"/>
          <w:i w:val="0"/>
        </w:rPr>
        <w:t>You can also apply this framework to your own context, where the impact of data skills might be different. Figure 6-3 shows our results.</w:t>
      </w:r>
    </w:p>
    <w:p>
      <w:r>
        <w:rPr>
          <w:b w:val="0"/>
          <w:i w:val="0"/>
        </w:rPr>
        <w:t>At Filtered, we found that constructing this matrix helped us to make hard decisions about where to focus: At first sight, all the skills in our long list seemed valuable. But realistically, we can only hope to move the needle on a few, at least in the short term. We concluded that the best return on investment in skills for our company was in data visualization, based on its high utility and low time to learn. We’ve already acted on our analysis and have just started to use Tableau to improve the way we present usage analysis to clients.</w:t>
      </w:r>
    </w:p>
    <w:p>
      <w:r>
        <w:rPr>
          <w:b w:val="0"/>
          <w:i w:val="0"/>
        </w:rPr>
        <w:t>Try the matrix in your own company to help your team determine which data skills are most important for them to start learning now.</w:t>
      </w:r>
    </w:p>
    <w:p>
      <w:r>
        <w:rPr>
          <w:b/>
          <w:i w:val="0"/>
        </w:rPr>
        <w:t>FIGURE 6-3</w:t>
      </w:r>
    </w:p>
    <w:p>
      <w:r>
        <w:rPr>
          <w:b w:val="0"/>
          <w:i w:val="0"/>
        </w:rPr>
        <w:t>An example of how to plot data skills on a 2×2 learning matrix</w:t>
      </w:r>
    </w:p>
    <w:p>
      <w:r>
        <w:rPr>
          <w:b w:val="0"/>
          <w:i/>
        </w:rPr>
        <w:t>How one company plotted its own internal learning needs.</w:t>
      </w:r>
    </w:p>
    <w:p>
      <w:pPr>
        <w:jc w:val="center"/>
      </w:pPr>
      <w:r>
        <w:drawing>
          <wp:inline xmlns:a="http://schemas.openxmlformats.org/drawingml/2006/main" xmlns:pic="http://schemas.openxmlformats.org/drawingml/2006/picture">
            <wp:extent cx="6680200" cy="6819900"/>
            <wp:docPr id="8" name="Picture 8"/>
            <wp:cNvGraphicFramePr>
              <a:graphicFrameLocks noChangeAspect="1"/>
            </wp:cNvGraphicFramePr>
            <a:graphic>
              <a:graphicData uri="http://schemas.openxmlformats.org/drawingml/2006/picture">
                <pic:pic>
                  <pic:nvPicPr>
                    <pic:cNvPr id="0" name="epub_img_7999850790471313432.jpg"/>
                    <pic:cNvPicPr/>
                  </pic:nvPicPr>
                  <pic:blipFill>
                    <a:blip r:embed="rId14"/>
                    <a:stretch>
                      <a:fillRect/>
                    </a:stretch>
                  </pic:blipFill>
                  <pic:spPr>
                    <a:xfrm>
                      <a:off x="0" y="0"/>
                      <a:ext cx="6680200" cy="6819900"/>
                    </a:xfrm>
                    <a:prstGeom prst="rect"/>
                  </pic:spPr>
                </pic:pic>
              </a:graphicData>
            </a:graphic>
          </wp:inline>
        </w:drawing>
      </w:r>
    </w:p>
    <w:p>
      <w:pPr>
        <w:jc w:val="center"/>
      </w:pPr>
      <w:r>
        <w:drawing>
          <wp:inline xmlns:a="http://schemas.openxmlformats.org/drawingml/2006/main" xmlns:pic="http://schemas.openxmlformats.org/drawingml/2006/picture">
            <wp:extent cx="6680200" cy="6819900"/>
            <wp:docPr id="9" name="Picture 9"/>
            <wp:cNvGraphicFramePr>
              <a:graphicFrameLocks noChangeAspect="1"/>
            </wp:cNvGraphicFramePr>
            <a:graphic>
              <a:graphicData uri="http://schemas.openxmlformats.org/drawingml/2006/picture">
                <pic:pic>
                  <pic:nvPicPr>
                    <pic:cNvPr id="0" name="epub_img_7999850790471313432.jpg"/>
                    <pic:cNvPicPr/>
                  </pic:nvPicPr>
                  <pic:blipFill>
                    <a:blip r:embed="rId14"/>
                    <a:stretch>
                      <a:fillRect/>
                    </a:stretch>
                  </pic:blipFill>
                  <pic:spPr>
                    <a:xfrm>
                      <a:off x="0" y="0"/>
                      <a:ext cx="6680200" cy="6819900"/>
                    </a:xfrm>
                    <a:prstGeom prst="rect"/>
                  </pic:spPr>
                </pic:pic>
              </a:graphicData>
            </a:graphic>
          </wp:inline>
        </w:drawing>
      </w:r>
    </w:p>
    <w:p>
      <w:r>
        <w:rPr>
          <w:b w:val="0"/>
          <w:i/>
        </w:rPr>
        <w:t>Source</w:t>
      </w:r>
      <w:r>
        <w:rPr>
          <w:b w:val="0"/>
          <w:i w:val="0"/>
        </w:rPr>
        <w:t>: Analysis of internal data learning needs by Filtered</w:t>
      </w:r>
    </w:p>
    <w:p>
      <w:r>
        <w:rPr>
          <w:b w:val="0"/>
          <w:i w:val="0"/>
        </w:rPr>
        <w:t>TAKEAWAYS</w:t>
      </w:r>
    </w:p>
    <w:p>
      <w:r>
        <w:rPr>
          <w:b w:val="0"/>
          <w:i w:val="0"/>
        </w:rPr>
        <w:t>When it comes to growing data capabilities within your company, you can’t learn everything at once. Every organization has unique needs, and thinking about the time each skill takes to learn and its usefulness will help you decide which areas to focus on first. You can plot these on a two-by-two matrix and sort them into four groups:</w:t>
      </w:r>
    </w:p>
    <w:p>
      <w:r>
        <w:rPr>
          <w:b w:val="0"/>
          <w:i w:val="0"/>
        </w:rPr>
        <w:t>✓  Learn: These skills have high utility and low time-to-learn. Skills in this quadrant will add value for you and your team quickly.</w:t>
      </w:r>
    </w:p>
    <w:p>
      <w:r>
        <w:rPr>
          <w:b w:val="0"/>
          <w:i w:val="0"/>
        </w:rPr>
        <w:t>✓  Plan: These skills also have high utility but require time to learn. Acquiring these skills will mean prioritizing them over others, so you need to make sure they’re worth the investment.</w:t>
      </w:r>
    </w:p>
    <w:p>
      <w:r>
        <w:rPr>
          <w:b w:val="0"/>
          <w:i w:val="0"/>
        </w:rPr>
        <w:t>✓  Browse: Skills in this quadrant have low utility and low time-to-learn. You likely don’t need these immediately, but they’re easy to acquire later, if necessary.</w:t>
      </w:r>
    </w:p>
    <w:p>
      <w:r>
        <w:rPr>
          <w:b w:val="0"/>
          <w:i w:val="0"/>
        </w:rPr>
        <w:t>✓  Ignore: These skills have low utility and take time to learn. You don’t have time for these and can skip them.</w:t>
      </w:r>
    </w:p>
    <w:p>
      <w:pPr>
        <w:pStyle w:val="Heading3"/>
      </w:pPr>
      <w:r>
        <w:rPr>
          <w:b w:val="0"/>
          <w:i w:val="0"/>
        </w:rPr>
        <w:t>NOTE</w:t>
      </w:r>
    </w:p>
    <w:p>
      <w:pPr>
        <w:pStyle w:val="ListNumber"/>
      </w:pPr>
      <w:r>
        <w:rPr>
          <w:b w:val="0"/>
          <w:i w:val="0"/>
        </w:rPr>
        <w:t xml:space="preserve">1. World Economic Forum, “Employment Trends” in </w:t>
      </w:r>
      <w:r>
        <w:rPr>
          <w:b w:val="0"/>
          <w:i/>
        </w:rPr>
        <w:t>The Future of Jobs Report</w:t>
      </w:r>
      <w:r>
        <w:rPr>
          <w:b w:val="0"/>
          <w:i w:val="0"/>
        </w:rPr>
        <w:t>, http://reports.weforum.org/future-of-jobs-2016/employment-trends/.</w:t>
      </w:r>
    </w:p>
    <w:p>
      <w:r>
        <w:rPr>
          <w:b w:val="0"/>
          <w:i/>
        </w:rPr>
        <w:t>Adapted from “Prioritize Which Data Skills Your Company Needs with This 2</w:t>
      </w:r>
      <w:r>
        <w:rPr>
          <w:b w:val="0"/>
          <w:i w:val="0"/>
        </w:rPr>
        <w:t>×</w:t>
      </w:r>
      <w:r>
        <w:rPr>
          <w:b w:val="0"/>
          <w:i/>
        </w:rPr>
        <w:t>2 Matrix” on hbr.org, October 18, 2018 (product #H04KOL).</w:t>
      </w:r>
    </w:p>
    <w:p>
      <w:pPr>
        <w:pStyle w:val="Heading1"/>
      </w:pPr>
      <w:r>
        <w:rPr>
          <w:b w:val="0"/>
          <w:i w:val="0"/>
        </w:rPr>
        <w:t>7</w:t>
      </w:r>
    </w:p>
    <w:p>
      <w:pPr>
        <w:pStyle w:val="Heading1"/>
      </w:pPr>
      <w:r>
        <w:rPr>
          <w:b w:val="0"/>
          <w:i w:val="0"/>
        </w:rPr>
        <w:t>HOW A GERMAN MANUFACTURING COMPANY SET UP ITS ANALYTICS LAB</w:t>
      </w:r>
    </w:p>
    <w:p>
      <w:r>
        <w:rPr>
          <w:b w:val="0"/>
          <w:i w:val="0"/>
        </w:rPr>
        <w:t>by Niklas Goby, Tobias Brandt, and Dirk Neumann</w:t>
      </w:r>
    </w:p>
    <w:p>
      <w:r>
        <w:rPr>
          <w:b w:val="0"/>
          <w:i w:val="0"/>
        </w:rPr>
        <w:t>Over the past few years, most businesses have come to recognize that the ability to collect and analyze the data they generate has become a key source of competitive advantage.</w:t>
      </w:r>
    </w:p>
    <w:p>
      <w:r>
        <w:rPr>
          <w:b w:val="0"/>
          <w:i w:val="0"/>
        </w:rPr>
        <w:t>ZF, a global automotive supplier based in Germany, was no exception. Digital startups had begun producing virtual products that ZF did not know how to compete against, and engineers in logistics, operations, and other functions were finding that their traditional approaches couldn’t handle the complex issues they faced. Some company executives had begun to fear they were in for their own “Kodak moment”—a fatal disruption that could redefine their business and eliminate overnight advantages accumulated over decades. With automotive analysts forecasting major changes in mobility, they began to think that the firm needed a dedicated lab that focused entirely on data challenges.</w:t>
      </w:r>
    </w:p>
    <w:p>
      <w:r>
        <w:rPr>
          <w:b w:val="0"/>
          <w:i w:val="0"/>
        </w:rPr>
        <w:t>But how?</w:t>
      </w:r>
    </w:p>
    <w:p>
      <w:r>
        <w:rPr>
          <w:b w:val="0"/>
          <w:i w:val="0"/>
        </w:rPr>
        <w:t>At the time one of us, Niklas, a data scientist for ZF, was pursuing a PhD part-time at the University of Freiburg. Niklas took the first step and recruited his advisers at the university, Dirk Neumann and Tobias Brandt, to help him set up a lab for the company. This gave ZF access to top-notch expertise in data analytics and the management of information systems.</w:t>
      </w:r>
    </w:p>
    <w:p>
      <w:r>
        <w:rPr>
          <w:b w:val="0"/>
          <w:i w:val="0"/>
        </w:rPr>
        <w:t>The hardest part was figuring out how the lab would work. After all, industrial data laboratories are a fairly new phenomenon—we couldn’t just download a blueprint. However, after a number of stumbles, we succeeded in winning acceptance for the lab and figured out a number of best practices that we think are broadly applicable to almost any data lab.</w:t>
      </w:r>
    </w:p>
    <w:p>
      <w:pPr>
        <w:pStyle w:val="Heading3"/>
      </w:pPr>
      <w:r>
        <w:rPr>
          <w:b w:val="0"/>
          <w:i w:val="0"/>
        </w:rPr>
        <w:t>1. Focus on the Right Internal Customers</w:t>
      </w:r>
    </w:p>
    <w:p>
      <w:r>
        <w:rPr>
          <w:b w:val="0"/>
          <w:i w:val="0"/>
        </w:rPr>
        <w:t>ZF had dozens of departments filled with potentially high-impact data-related projects. Although we were tempted to tackle many projects across the entire company, we realized that to create visibility within a 146,000-employee firm, we had to focus on the most promising departments and projects first.</w:t>
      </w:r>
    </w:p>
    <w:p>
      <w:r>
        <w:rPr>
          <w:b w:val="0"/>
          <w:i w:val="0"/>
        </w:rPr>
        <w:t>But how would we define “most promising”? As the goal of the data lab is to create value by analyzing data, we initially focused on the departments that generate the most data. Unfortunately, this didn’t narrow it down a whole lot. The finance, logistics, marketing, and sales departments—as well as production and quality—all produced large amounts of data that could be interesting for data-science pilot projects.</w:t>
      </w:r>
    </w:p>
    <w:p>
      <w:r>
        <w:rPr>
          <w:b w:val="0"/>
          <w:i w:val="0"/>
        </w:rPr>
        <w:t>However, we knew from experience that the lowest-hanging fruits for high-impact projects in a manufacturing company like ZF would be in production and quality. For years, ZF’s production lines had been connected and controlled by MES and ERP systems, but the data they generated had yet to be deeply tapped. We decided, therefore, to begin by concentrating on production issues, such as interruptions, rework rates, and throughput speed, where we could have an immediate impact.</w:t>
      </w:r>
    </w:p>
    <w:p>
      <w:pPr>
        <w:pStyle w:val="Heading3"/>
      </w:pPr>
      <w:r>
        <w:rPr>
          <w:b w:val="0"/>
          <w:i w:val="0"/>
        </w:rPr>
        <w:t>2. Identifying High-Impact Problems</w:t>
      </w:r>
    </w:p>
    <w:p>
      <w:r>
        <w:rPr>
          <w:b w:val="0"/>
          <w:i w:val="0"/>
        </w:rPr>
        <w:t>Next, we selected those projects within production and quality that promised the highest-value outcomes. Our experience with the first few projects provided the basis for a project evaluation model, which we have continued to refine. The model contained a set of criteria along three dimensions that helped us to rank projects.</w:t>
      </w:r>
    </w:p>
    <w:p>
      <w:pPr>
        <w:pStyle w:val="ListBullet"/>
      </w:pPr>
      <w:r>
        <w:rPr>
          <w:b w:val="0"/>
          <w:i w:val="0"/>
        </w:rPr>
        <w:t>The problem to be solved had to be clearly defined. We could not adopt an abstract aim such as “improve production.” We needed a clear idea of how the analysis would create business value.</w:t>
      </w:r>
    </w:p>
    <w:p>
      <w:pPr>
        <w:pStyle w:val="ListBullet"/>
      </w:pPr>
      <w:r>
        <w:rPr>
          <w:b w:val="0"/>
          <w:i w:val="0"/>
        </w:rPr>
        <w:t>Hard data had to play a major role in the solution. And the data had to be available, accessible, and of good quality. We needed to shield the team from being flooded by business intelligence reporting projects.</w:t>
      </w:r>
    </w:p>
    <w:p>
      <w:pPr>
        <w:pStyle w:val="ListBullet"/>
      </w:pPr>
      <w:r>
        <w:rPr>
          <w:b w:val="0"/>
          <w:i w:val="0"/>
        </w:rPr>
        <w:t>The team had to be motivated. We gave project teams independence in choosing how they solved the problems they took on. And while we made the budget tight enough to enforce focus, we made sure that it was not so tight that the team couldn’t make basic allocation decisions on its own. To sustain motivation and enthusiasm, we prioritized projects that could be subdivided into smaller but more easily achieved goals.</w:t>
      </w:r>
    </w:p>
    <w:p>
      <w:r>
        <w:rPr>
          <w:b w:val="0"/>
          <w:i w:val="0"/>
        </w:rPr>
        <w:t>While we eventually found it useful to assign a specific individual to manage relations with the rest of the company, we kept the whole lab involved in project selection as the number of people working in the lab grew. This kept everyone informed, gave them a greater sense of personal responsibility, and implicitly expressed management’s appreciation for their professional judgment.</w:t>
      </w:r>
    </w:p>
    <w:p>
      <w:pPr>
        <w:pStyle w:val="Heading3"/>
      </w:pPr>
      <w:r>
        <w:rPr>
          <w:b w:val="0"/>
          <w:i w:val="0"/>
        </w:rPr>
        <w:t>3. Execution</w:t>
      </w:r>
    </w:p>
    <w:p>
      <w:r>
        <w:rPr>
          <w:b w:val="0"/>
          <w:i w:val="0"/>
        </w:rPr>
        <w:t>The key risk was that the team would get lost in optimizing minor nuances of models and methods instead of solving the major problem. To avoid this, we usually limited the execution phase to three months, and gave the team the right to cancel its engagement.</w:t>
      </w:r>
    </w:p>
    <w:p>
      <w:r>
        <w:rPr>
          <w:b w:val="0"/>
          <w:i w:val="0"/>
        </w:rPr>
        <w:t>This power turned out to be a game changer. Giving the team (including the domain expert) a “nuclear option” made them much more focused and goal-oriented. Once we put this rule in place, the number of change requests from the internal client dropped, and the information initially provided tended to be more accurate and complete than before.</w:t>
      </w:r>
    </w:p>
    <w:p>
      <w:r>
        <w:rPr>
          <w:b w:val="0"/>
          <w:i w:val="0"/>
        </w:rPr>
        <w:t>Of course, a team couldn’t cancel a project for arbitrary reasons. It needed to justify its decision, specifying conditions under which the project could be reopened. And while cancellations are contentious, they are sometimes necessary to free resources and to enforce progress toward a meaningful goal. In fact, introducing the ability to cancel projects actually increased the number of successfully completed projects.</w:t>
      </w:r>
    </w:p>
    <w:p>
      <w:r>
        <w:rPr>
          <w:b w:val="0"/>
          <w:i w:val="0"/>
        </w:rPr>
        <w:t>Although a single team can work on multiple projects concurrently, particularly as waiting for responses from the client department can lead to delays, we generally found it best for the team to work on a single project at a time. We found that downtimes were better used by team members to learn new analytics methods and techniques, which continued to advance at a rapid pace.</w:t>
      </w:r>
    </w:p>
    <w:p>
      <w:r>
        <w:rPr>
          <w:b w:val="0"/>
          <w:i w:val="0"/>
        </w:rPr>
        <w:t>We kept our internal customer up to date on our progress through regular reports and when possible by including its domain expert in the project team. If we could not do so, we looked for an arrangement—such as a weekly meeting—that allowed us to contact the domain expert directly without having to pass through gatekeepers.</w:t>
      </w:r>
    </w:p>
    <w:p>
      <w:pPr>
        <w:pStyle w:val="Heading3"/>
      </w:pPr>
      <w:r>
        <w:rPr>
          <w:b w:val="0"/>
          <w:i w:val="0"/>
        </w:rPr>
        <w:t>Key Success Factors</w:t>
      </w:r>
    </w:p>
    <w:p>
      <w:r>
        <w:rPr>
          <w:b w:val="0"/>
          <w:i w:val="0"/>
        </w:rPr>
        <w:t>Beyond gaining a general understanding of the data lab’s work as a three-stage process, we learned other lessons too. Specifically, we found three more ingredients to be crucial to the data lab’s success:</w:t>
      </w:r>
    </w:p>
    <w:p>
      <w:pPr>
        <w:pStyle w:val="ListBullet"/>
      </w:pPr>
      <w:r>
        <w:rPr>
          <w:b w:val="0"/>
          <w:i w:val="0"/>
        </w:rPr>
        <w:t>Executive support. The confidence that the technology executive team placed in us was crucial to our success. Fortunately, the team didn’t seem to regret it: “Giving the data lab great freedom to act independently, to try ideas, and also to accept failures as part of a learning process, required trust. But the momentum it created is something we do not want to miss,” said Dr. Jürgen Sturm, Chief Information Officer.</w:t>
      </w:r>
    </w:p>
    <w:p>
      <w:pPr>
        <w:pStyle w:val="ListBullet"/>
      </w:pPr>
      <w:r>
        <w:rPr>
          <w:b w:val="0"/>
          <w:i w:val="0"/>
        </w:rPr>
        <w:t>The perspective of an outside authority. In this case, data scientists from the University of Freiburg, made a huge difference to the lab’s success. As Andreas Romer, ZF’s Vice President for IT Innovation, put it, “We no longer consider innovation to be an internal process at ZF. To safeguard our future success, we must look beyond the confines of our company, build up partnerships to learn and also to share knowledge and experiences.”</w:t>
      </w:r>
    </w:p>
    <w:p>
      <w:pPr>
        <w:pStyle w:val="ListBullet"/>
      </w:pPr>
      <w:r>
        <w:rPr>
          <w:b w:val="0"/>
          <w:i w:val="0"/>
        </w:rPr>
        <w:t>Domain experts. While data scientists brought knowledge of analytic methods and approaches to the project, their access to domain experts was essential. Such experts need to be closely involved in answering domain-related questions that come up once the team is deeply engaged with the problem. In our experience, the capacity and availability of domain experts is the most common bottleneck blocking a data analytics project’s progress.</w:t>
      </w:r>
    </w:p>
    <w:p>
      <w:pPr>
        <w:pStyle w:val="Heading3"/>
      </w:pPr>
      <w:r>
        <w:rPr>
          <w:b w:val="0"/>
          <w:i w:val="0"/>
        </w:rPr>
        <w:t>Problems Solved</w:t>
      </w:r>
    </w:p>
    <w:p>
      <w:r>
        <w:rPr>
          <w:b w:val="0"/>
          <w:i w:val="0"/>
        </w:rPr>
        <w:t>Three years on, we can say with confidence that the ZF Data Lab is a valuable addition to the company. With this dedicated resource, ZF has been able to solve problems that had stumped the company’s engineers for years. Here are two examples:</w:t>
      </w:r>
    </w:p>
    <w:p>
      <w:pPr>
        <w:pStyle w:val="ListBullet"/>
      </w:pPr>
      <w:r>
        <w:rPr>
          <w:b w:val="0"/>
          <w:i w:val="0"/>
        </w:rPr>
        <w:t>Broken grinding rings. A key source of stoppages in production line machinery, a breakdown can create a mess that may take hours to clean up. An internal client wanted to develop an early warning system that could indicate the probability of a future ring breakdown, but it had messy data, a weak signal (unclear data), and a highly unbalanced ground truth (because breakdowns happen only occasionally). Despite those limitations, we were able to create an algorithm that could detect imminent breaks 72% of the time—a far cry from five-decimal perfection but still enough to save the company thousands.</w:t>
      </w:r>
    </w:p>
    <w:p>
      <w:pPr>
        <w:pStyle w:val="ListBullet"/>
      </w:pPr>
      <w:r>
        <w:rPr>
          <w:b w:val="0"/>
          <w:i w:val="0"/>
        </w:rPr>
        <w:t>High-power demand charges. Managing energy units to regulate energy demand at times of peak use is an effective way to reduce costs. Our goal was to develop an automated data-driven decision-making agent that provides action recommendations with the objective to lower load peaks. Working closely with the energy department, we were able to develop a working prediction model to avoid those high-demand surcharges. Following the model’s recommendations should reduce the peak load by one to two megawatts, worth roughly $100,000–$200,000 per year.</w:t>
      </w:r>
    </w:p>
    <w:p>
      <w:r>
        <w:rPr>
          <w:b w:val="0"/>
          <w:i w:val="0"/>
        </w:rPr>
        <w:t>After growing for three years, the ZF Data Lab has become a kind of specialized R&amp;D function within the company. It is a melting pot of ideas and technologies, producing and evaluating proofs of concept, and discarding approaches that don’t quite work. In the last analysis, the data lab is not only there to solve problems, but to help answer the biggest big data question of all: How will our company compete in this increasingly digital world?</w:t>
      </w:r>
    </w:p>
    <w:p>
      <w:r>
        <w:rPr>
          <w:b w:val="0"/>
          <w:i w:val="0"/>
        </w:rPr>
        <w:t>TAKEAWAYS</w:t>
      </w:r>
    </w:p>
    <w:p>
      <w:r>
        <w:rPr>
          <w:b w:val="0"/>
          <w:i w:val="0"/>
        </w:rPr>
        <w:t>ZF, a global automotive supplier based in Germany, feared a “Kodak moment,” a fatal disruption that could redefine its business. So it set out to launch a dedicated lab that focused entirely on data challenges. Understanding how ZF set up and ran its analytics lab can help your organization to do the same.</w:t>
      </w:r>
    </w:p>
    <w:p>
      <w:r>
        <w:rPr>
          <w:b w:val="0"/>
          <w:i w:val="0"/>
        </w:rPr>
        <w:t>✓  Focus on the right internal customers. Narrow your efforts to the departments in which data projects will have the most impact.</w:t>
      </w:r>
    </w:p>
    <w:p>
      <w:r>
        <w:rPr>
          <w:b w:val="0"/>
          <w:i w:val="0"/>
        </w:rPr>
        <w:t>✓  Identify high-impact problems. Select the projects within those departments that have the highest-value outcomes. Consider three criteria: a clearly defined problem; data that is available, accessible, and good quality; and a motivated team.</w:t>
      </w:r>
    </w:p>
    <w:p>
      <w:r>
        <w:rPr>
          <w:b w:val="0"/>
          <w:i w:val="0"/>
        </w:rPr>
        <w:t>✓  Place a deadline on execution. Limit the execution phase to three months, and give your team the right to cancel the project if necessary, so they can free up resources to use toward a better goal.</w:t>
      </w:r>
    </w:p>
    <w:p>
      <w:r>
        <w:rPr>
          <w:b w:val="0"/>
          <w:i w:val="0"/>
        </w:rPr>
        <w:t>✓  Consider other success factors. Beyond these steps, ZF noted three additional ingredients in the lab’s success: executive support, the perspective of an outside authority, and experts to answer domain-related questions once the team is engaged with a problem.</w:t>
      </w:r>
    </w:p>
    <w:p>
      <w:r>
        <w:rPr>
          <w:b w:val="0"/>
          <w:i/>
        </w:rPr>
        <w:t>Adapted from content posted on hbr.org, November 2, 2018 (product #H04MRJ).</w:t>
      </w:r>
    </w:p>
    <w:p>
      <w:pPr>
        <w:pStyle w:val="Heading1"/>
      </w:pPr>
      <w:r>
        <w:rPr>
          <w:b w:val="0"/>
          <w:i w:val="0"/>
        </w:rPr>
        <w:t>8</w:t>
      </w:r>
    </w:p>
    <w:p>
      <w:pPr>
        <w:pStyle w:val="Heading1"/>
      </w:pPr>
      <w:r>
        <w:rPr>
          <w:b w:val="0"/>
          <w:i w:val="0"/>
        </w:rPr>
        <w:t>CLOUD COMPUTING IS HELPING SMALLER, NEWER FIRMS COMPETE</w:t>
      </w:r>
    </w:p>
    <w:p>
      <w:r>
        <w:rPr>
          <w:b w:val="0"/>
          <w:i w:val="0"/>
        </w:rPr>
        <w:t>by Nicholas Bloom and Nicola Pierri</w:t>
      </w:r>
    </w:p>
    <w:p>
      <w:r>
        <w:rPr>
          <w:b w:val="0"/>
          <w:i w:val="0"/>
        </w:rPr>
        <w:t>Is digital technology a democratizing force, allowing smaller, newer companies to compete against giant ones? Or does it provide even greater advantage to incumbents? That question has gotten a lot of attention lately, in response to data showing that the rate of new business creation in the United States has slowed, and that in most industries the biggest firms have higher market share than they did a decade ago.1</w:t>
      </w:r>
    </w:p>
    <w:p>
      <w:r>
        <w:rPr>
          <w:b w:val="0"/>
          <w:i w:val="0"/>
        </w:rPr>
        <w:t>Despite those trends, our research suggests that technology can in fact provide an advantage to small and new firms. In recent research, we studied the adoption of cloud computing across U.S. businesses. Cloud computing is an IT paradigm based on remote access to a shared pool of computing resources. Putting data “in the cloud” essentially means paying someone else to manage it, and then connecting to their servers via the internet to access your data when you need it. It also means you don’t need to analyze this data on your own machines but can “rent” these services on demand. The popularity of cloud computing has exploded during the last half decade. By cutting the fixed costs of computing—avoiding the need to hire IT staff, servers, and hardware—even the smallest firm can satisfy large and unexpected computing needs.</w:t>
      </w:r>
    </w:p>
    <w:p>
      <w:r>
        <w:rPr>
          <w:b w:val="0"/>
          <w:i w:val="0"/>
        </w:rPr>
        <w:t>For example, KenSci is a small Seattle-based health care–analytics company, which uses machine-learning techniques to analyze hundreds of variables about patients’ conditions to provide real-time predictions about mortality, readmissions, and other health-related risks. Relying on the cloud, KenSci has been able to quickly scale up and offer its services worldwide, without building a sizable IT infrastructure beforehand. The computational agility of cloud computing has been playing a role in manufacturing as well, fostering the creation of new “smart’ ” products. Pivothead is a firm with 25 employees producing wearable technologies to help the blind and visually impaired. Information collected by the wearable sensors is sent to the cloud, processed through machine-learning algorithms, and transformed into speech or text, in order to help the client navigate the surrounding environment.</w:t>
      </w:r>
    </w:p>
    <w:p>
      <w:r>
        <w:rPr>
          <w:b w:val="0"/>
          <w:i w:val="0"/>
        </w:rPr>
        <w:t>These anecdotes suggest that cloud computing has “democratized computing” by bringing it to the masses of firms. Our research confirms this intuition using a massive new data set of over one million U.S. firms since the 1980s. Specifically, we found three key results. First, cloud computing has seen massive growth. Less than 0.5% of firms had adopted it in 2010, whereas 7% had by 2016, which is an annualized growth rate of almost 50%. Second, the adoption of cloud computing has occurred across the United States, not just in one region—albeit with heaviest and earliest adoption in urban and educated areas. But third, and most strikingly, cloud computing—unlike other technologies like PCs and e-commerce—has been adopted first by smaller and younger firms.</w:t>
      </w:r>
    </w:p>
    <w:p>
      <w:r>
        <w:rPr>
          <w:b w:val="0"/>
          <w:i w:val="0"/>
        </w:rPr>
        <w:t>The data set for our analysis comes from Aberdeen Information’s call center, which has been making annual phone calls to millions of firms across the United States since the 1980s. It painstakingly records the hardware and software used by millions of firms per year back to 1981. This data set is often used by academic researchers because of its broad coverage and data quality. Surveys aren’t perfect, of course, and one disadvantage of this data is that respondents have discretion over what they consider counts as cloud computing. (Although many internet services these days involve accessing your data from another company over the internet, for the purposes of this survey we expect that firms are responding to a narrower use case: the use of specific enterprise cloud-hosting services such as AWS, Microsoft Azure, Google Cloud Platform, IBM Cloud, Oracle, or Alibaba.) In this chapter we use the records from more than 150,000 U.S. firms with information on their adoption of cloud computing.</w:t>
      </w:r>
    </w:p>
    <w:p>
      <w:pPr>
        <w:pStyle w:val="Heading3"/>
      </w:pPr>
      <w:r>
        <w:rPr>
          <w:b w:val="0"/>
          <w:i w:val="0"/>
        </w:rPr>
        <w:t>The Adoption of Cloud Technology Across Industries in the United States</w:t>
      </w:r>
    </w:p>
    <w:p>
      <w:r>
        <w:rPr>
          <w:b w:val="0"/>
          <w:i w:val="0"/>
        </w:rPr>
        <w:t>Figure 8-1 shows the rise of cloud computing since 2010, the first year the database started recording it. We see cloud adoption rates rising from 0.3% in 2010 to 7% in 2016, which is a more than doubling every other year. Moreover, this rise has occurred in every broad industry group we studied, highlighting how the increase in cloud computing has spanned the U.S. economy.</w:t>
      </w:r>
    </w:p>
    <w:p>
      <w:r>
        <w:rPr>
          <w:b/>
          <w:i w:val="0"/>
        </w:rPr>
        <w:t>FIGURE 8-1</w:t>
      </w:r>
    </w:p>
    <w:p>
      <w:r>
        <w:rPr>
          <w:b w:val="0"/>
          <w:i w:val="0"/>
        </w:rPr>
        <w:t>Cloud computing is becoming more common</w:t>
      </w:r>
    </w:p>
    <w:p>
      <w:pPr>
        <w:jc w:val="center"/>
      </w:pPr>
      <w:r>
        <w:drawing>
          <wp:inline xmlns:a="http://schemas.openxmlformats.org/drawingml/2006/main" xmlns:pic="http://schemas.openxmlformats.org/drawingml/2006/picture">
            <wp:extent cx="6680200" cy="2286000"/>
            <wp:docPr id="10" name="Picture 10"/>
            <wp:cNvGraphicFramePr>
              <a:graphicFrameLocks noChangeAspect="1"/>
            </wp:cNvGraphicFramePr>
            <a:graphic>
              <a:graphicData uri="http://schemas.openxmlformats.org/drawingml/2006/picture">
                <pic:pic>
                  <pic:nvPicPr>
                    <pic:cNvPr id="0" name="epub_img_7408408469211914175.jpg"/>
                    <pic:cNvPicPr/>
                  </pic:nvPicPr>
                  <pic:blipFill>
                    <a:blip r:embed="rId15"/>
                    <a:stretch>
                      <a:fillRect/>
                    </a:stretch>
                  </pic:blipFill>
                  <pic:spPr>
                    <a:xfrm>
                      <a:off x="0" y="0"/>
                      <a:ext cx="6680200" cy="2286000"/>
                    </a:xfrm>
                    <a:prstGeom prst="rect"/>
                  </pic:spPr>
                </pic:pic>
              </a:graphicData>
            </a:graphic>
          </wp:inline>
        </w:drawing>
      </w:r>
    </w:p>
    <w:p>
      <w:pPr>
        <w:jc w:val="center"/>
      </w:pPr>
      <w:r>
        <w:drawing>
          <wp:inline xmlns:a="http://schemas.openxmlformats.org/drawingml/2006/main" xmlns:pic="http://schemas.openxmlformats.org/drawingml/2006/picture">
            <wp:extent cx="6680200" cy="2286000"/>
            <wp:docPr id="11" name="Picture 11"/>
            <wp:cNvGraphicFramePr>
              <a:graphicFrameLocks noChangeAspect="1"/>
            </wp:cNvGraphicFramePr>
            <a:graphic>
              <a:graphicData uri="http://schemas.openxmlformats.org/drawingml/2006/picture">
                <pic:pic>
                  <pic:nvPicPr>
                    <pic:cNvPr id="0" name="epub_img_7408408469211914175.jpg"/>
                    <pic:cNvPicPr/>
                  </pic:nvPicPr>
                  <pic:blipFill>
                    <a:blip r:embed="rId15"/>
                    <a:stretch>
                      <a:fillRect/>
                    </a:stretch>
                  </pic:blipFill>
                  <pic:spPr>
                    <a:xfrm>
                      <a:off x="0" y="0"/>
                      <a:ext cx="6680200" cy="2286000"/>
                    </a:xfrm>
                    <a:prstGeom prst="rect"/>
                  </pic:spPr>
                </pic:pic>
              </a:graphicData>
            </a:graphic>
          </wp:inline>
        </w:drawing>
      </w:r>
    </w:p>
    <w:p>
      <w:r>
        <w:rPr>
          <w:b w:val="0"/>
          <w:i/>
        </w:rPr>
        <w:t>Note</w:t>
      </w:r>
      <w:r>
        <w:rPr>
          <w:b w:val="0"/>
          <w:i w:val="0"/>
        </w:rPr>
        <w:t>: 2011 data was not available.</w:t>
      </w:r>
    </w:p>
    <w:p>
      <w:r>
        <w:rPr>
          <w:b w:val="0"/>
          <w:i/>
        </w:rPr>
        <w:t>Source</w:t>
      </w:r>
      <w:r>
        <w:rPr>
          <w:b w:val="0"/>
          <w:i w:val="0"/>
        </w:rPr>
        <w:t>: Aberdeen U.S. computing population files from 2010 to 2016</w:t>
      </w:r>
    </w:p>
    <w:p>
      <w:r>
        <w:rPr>
          <w:b w:val="0"/>
          <w:i w:val="0"/>
        </w:rPr>
        <w:t>Our research also shows the geographic spread of cloud computing, showing a broad adoption across U.S. counties. This is not just a technology used by hipster startups in New York and San Francisco—it’s being adopted all across the country. Every U.S. county we have data on has seen an increase in cloud computing since 2010.</w:t>
      </w:r>
    </w:p>
    <w:p>
      <w:pPr>
        <w:pStyle w:val="Heading3"/>
      </w:pPr>
      <w:r>
        <w:rPr>
          <w:b w:val="0"/>
          <w:i w:val="0"/>
        </w:rPr>
        <w:t>Small, Young, and Cloudy</w:t>
      </w:r>
    </w:p>
    <w:p>
      <w:r>
        <w:rPr>
          <w:b w:val="0"/>
          <w:i w:val="0"/>
        </w:rPr>
        <w:t>Our next chart is the most important. Figure 8-2 shows that the very smallest firms have the highest adoption rates. Firms with fewer than 25 employees have adoption rates of 10% to 15% on average, while medium-sized firms have lower adoption rates. Indeed, adoption rates are lowest in firms with about 100 employees, perhaps because they have enough scale to adopt in-house computing systems but not enough scale to be able to afford both those in-house systems and cloud services. The largest firms—those with 500 employees or more—again see rising adoption rates, typically with 5% to 10% of firms adopting cloud computing.</w:t>
      </w:r>
    </w:p>
    <w:p>
      <w:r>
        <w:rPr>
          <w:b/>
          <w:i w:val="0"/>
        </w:rPr>
        <w:t>FIGURE 8-2</w:t>
      </w:r>
    </w:p>
    <w:p>
      <w:r>
        <w:rPr>
          <w:b w:val="0"/>
          <w:i w:val="0"/>
        </w:rPr>
        <w:t>The smallest and largest companies are the heaviest adopters of cloud computing</w:t>
      </w:r>
    </w:p>
    <w:p>
      <w:pPr>
        <w:jc w:val="center"/>
      </w:pPr>
      <w:r>
        <w:drawing>
          <wp:inline xmlns:a="http://schemas.openxmlformats.org/drawingml/2006/main" xmlns:pic="http://schemas.openxmlformats.org/drawingml/2006/picture">
            <wp:extent cx="6680200" cy="5143500"/>
            <wp:docPr id="12" name="Picture 12"/>
            <wp:cNvGraphicFramePr>
              <a:graphicFrameLocks noChangeAspect="1"/>
            </wp:cNvGraphicFramePr>
            <a:graphic>
              <a:graphicData uri="http://schemas.openxmlformats.org/drawingml/2006/picture">
                <pic:pic>
                  <pic:nvPicPr>
                    <pic:cNvPr id="0" name="epub_img_1438472274644142240.jpg"/>
                    <pic:cNvPicPr/>
                  </pic:nvPicPr>
                  <pic:blipFill>
                    <a:blip r:embed="rId16"/>
                    <a:stretch>
                      <a:fillRect/>
                    </a:stretch>
                  </pic:blipFill>
                  <pic:spPr>
                    <a:xfrm>
                      <a:off x="0" y="0"/>
                      <a:ext cx="6680200" cy="5143500"/>
                    </a:xfrm>
                    <a:prstGeom prst="rect"/>
                  </pic:spPr>
                </pic:pic>
              </a:graphicData>
            </a:graphic>
          </wp:inline>
        </w:drawing>
      </w:r>
    </w:p>
    <w:p>
      <w:pPr>
        <w:jc w:val="center"/>
      </w:pPr>
      <w:r>
        <w:drawing>
          <wp:inline xmlns:a="http://schemas.openxmlformats.org/drawingml/2006/main" xmlns:pic="http://schemas.openxmlformats.org/drawingml/2006/picture">
            <wp:extent cx="6680200" cy="5143500"/>
            <wp:docPr id="13" name="Picture 13"/>
            <wp:cNvGraphicFramePr>
              <a:graphicFrameLocks noChangeAspect="1"/>
            </wp:cNvGraphicFramePr>
            <a:graphic>
              <a:graphicData uri="http://schemas.openxmlformats.org/drawingml/2006/picture">
                <pic:pic>
                  <pic:nvPicPr>
                    <pic:cNvPr id="0" name="epub_img_1438472274644142240.jpg"/>
                    <pic:cNvPicPr/>
                  </pic:nvPicPr>
                  <pic:blipFill>
                    <a:blip r:embed="rId16"/>
                    <a:stretch>
                      <a:fillRect/>
                    </a:stretch>
                  </pic:blipFill>
                  <pic:spPr>
                    <a:xfrm>
                      <a:off x="0" y="0"/>
                      <a:ext cx="6680200" cy="5143500"/>
                    </a:xfrm>
                    <a:prstGeom prst="rect"/>
                  </pic:spPr>
                </pic:pic>
              </a:graphicData>
            </a:graphic>
          </wp:inline>
        </w:drawing>
      </w:r>
    </w:p>
    <w:p>
      <w:r>
        <w:rPr>
          <w:b w:val="0"/>
          <w:i/>
        </w:rPr>
        <w:t>Source</w:t>
      </w:r>
      <w:r>
        <w:rPr>
          <w:b w:val="0"/>
          <w:i w:val="0"/>
        </w:rPr>
        <w:t>: Aberdeen U.S. computing population files, 2016</w:t>
      </w:r>
    </w:p>
    <w:p>
      <w:r>
        <w:rPr>
          <w:b w:val="0"/>
          <w:i w:val="0"/>
        </w:rPr>
        <w:t>This cloud “tick” also turns out to be surprisingly robust. We see this across industries, firm types, and years in our data. Small firms really do seem to be the pioneers of cloud-computing adoption.</w:t>
      </w:r>
    </w:p>
    <w:p>
      <w:r>
        <w:rPr>
          <w:b w:val="0"/>
          <w:i w:val="0"/>
        </w:rPr>
        <w:t>For contrast, we compared the adoption of cloud computing to adoption rates for two other technologies: personal computers (PCs) and e-commerce. These show the more classic pattern of greater adoption by large firms. Cloud really does stand out as being particularly attractive to the very smallest firms.</w:t>
      </w:r>
    </w:p>
    <w:p>
      <w:r>
        <w:rPr>
          <w:b w:val="0"/>
          <w:i w:val="0"/>
        </w:rPr>
        <w:t>But it’s not just small firms driving the adoption of cloud computing. Young firms are adopting cloud computing faster than older ones (see figure 8-3). So, the most nimble, youthful, and entrepreneurial companies are the pioneers of adoption. Again, we did not see that with other technologies—older firms tended to be the first adopters of PCs and e-commerce.</w:t>
      </w:r>
    </w:p>
    <w:p>
      <w:r>
        <w:rPr>
          <w:b w:val="0"/>
          <w:i w:val="0"/>
        </w:rPr>
        <w:t>All of this suggests that cloud computing is an unusual technology that appeals to smaller, younger firms. We believe its ability to provide high-powered computing without the overhead costs associated with in-house software and hardware provision has driven this. In this sense cloud computing has spread computing out to the masses, democratizing computing.</w:t>
      </w:r>
    </w:p>
    <w:p>
      <w:r>
        <w:rPr>
          <w:b w:val="0"/>
          <w:i w:val="0"/>
        </w:rPr>
        <w:t>Flexible access to computing resources allows small firms to scale up (or down) rapidly and to experiment with new products and features. This operational agility can be particularly valuable when facing uncertain demand or a fast-evolving competitive environment. Recent evidence from the University of Toronto’s Kristina McElheran and MIT’s Wang Jin shows that the ability of “renting” IT resources has also aided young firms to survive and increase productivity.2</w:t>
      </w:r>
    </w:p>
    <w:p>
      <w:r>
        <w:rPr>
          <w:b/>
          <w:i w:val="0"/>
        </w:rPr>
        <w:t>FIGURE 8-3</w:t>
      </w:r>
    </w:p>
    <w:p>
      <w:r>
        <w:rPr>
          <w:b w:val="0"/>
          <w:i w:val="0"/>
        </w:rPr>
        <w:t>Younger companies are more likely to have adopted cloud computing</w:t>
      </w:r>
    </w:p>
    <w:p>
      <w:pPr>
        <w:jc w:val="center"/>
      </w:pPr>
      <w:r>
        <w:drawing>
          <wp:inline xmlns:a="http://schemas.openxmlformats.org/drawingml/2006/main" xmlns:pic="http://schemas.openxmlformats.org/drawingml/2006/picture">
            <wp:extent cx="6680200" cy="5168900"/>
            <wp:docPr id="14" name="Picture 14"/>
            <wp:cNvGraphicFramePr>
              <a:graphicFrameLocks noChangeAspect="1"/>
            </wp:cNvGraphicFramePr>
            <a:graphic>
              <a:graphicData uri="http://schemas.openxmlformats.org/drawingml/2006/picture">
                <pic:pic>
                  <pic:nvPicPr>
                    <pic:cNvPr id="0" name="epub_img_507768655939278950.jpg"/>
                    <pic:cNvPicPr/>
                  </pic:nvPicPr>
                  <pic:blipFill>
                    <a:blip r:embed="rId17"/>
                    <a:stretch>
                      <a:fillRect/>
                    </a:stretch>
                  </pic:blipFill>
                  <pic:spPr>
                    <a:xfrm>
                      <a:off x="0" y="0"/>
                      <a:ext cx="6680200" cy="5168900"/>
                    </a:xfrm>
                    <a:prstGeom prst="rect"/>
                  </pic:spPr>
                </pic:pic>
              </a:graphicData>
            </a:graphic>
          </wp:inline>
        </w:drawing>
      </w:r>
    </w:p>
    <w:p>
      <w:pPr>
        <w:jc w:val="center"/>
      </w:pPr>
      <w:r>
        <w:drawing>
          <wp:inline xmlns:a="http://schemas.openxmlformats.org/drawingml/2006/main" xmlns:pic="http://schemas.openxmlformats.org/drawingml/2006/picture">
            <wp:extent cx="6680200" cy="5168900"/>
            <wp:docPr id="15" name="Picture 15"/>
            <wp:cNvGraphicFramePr>
              <a:graphicFrameLocks noChangeAspect="1"/>
            </wp:cNvGraphicFramePr>
            <a:graphic>
              <a:graphicData uri="http://schemas.openxmlformats.org/drawingml/2006/picture">
                <pic:pic>
                  <pic:nvPicPr>
                    <pic:cNvPr id="0" name="epub_img_507768655939278950.jpg"/>
                    <pic:cNvPicPr/>
                  </pic:nvPicPr>
                  <pic:blipFill>
                    <a:blip r:embed="rId17"/>
                    <a:stretch>
                      <a:fillRect/>
                    </a:stretch>
                  </pic:blipFill>
                  <pic:spPr>
                    <a:xfrm>
                      <a:off x="0" y="0"/>
                      <a:ext cx="6680200" cy="5168900"/>
                    </a:xfrm>
                    <a:prstGeom prst="rect"/>
                  </pic:spPr>
                </pic:pic>
              </a:graphicData>
            </a:graphic>
          </wp:inline>
        </w:drawing>
      </w:r>
    </w:p>
    <w:p>
      <w:r>
        <w:rPr>
          <w:b w:val="0"/>
          <w:i/>
        </w:rPr>
        <w:t>Source</w:t>
      </w:r>
      <w:r>
        <w:rPr>
          <w:b w:val="0"/>
          <w:i w:val="0"/>
        </w:rPr>
        <w:t>: Aberdeen U.S. computing population files, 2016</w:t>
      </w:r>
    </w:p>
    <w:p>
      <w:r>
        <w:rPr>
          <w:b w:val="0"/>
          <w:i w:val="0"/>
        </w:rPr>
        <w:t>These are encouraging findings, especially in light of the decline in business dynamism and the rate of new startup creation documented by economics professor John Haltiwanger and his colleagues.3 Although we don’t have data on how cloud computing affects firm performance, it’s not hard to imagine that lowering computing costs would substantially improve younger and smaller companies’ chances. Despite statistics suggesting a decline in U.S. dynamism, technology has been known to disrupt incumbents when they least expect it. Cloud computing may ultimately prove to be one of those disruptive forces.</w:t>
      </w:r>
    </w:p>
    <w:p>
      <w:r>
        <w:rPr>
          <w:b w:val="0"/>
          <w:i w:val="0"/>
        </w:rPr>
        <w:t>TAKEAWAYS</w:t>
      </w:r>
    </w:p>
    <w:p>
      <w:r>
        <w:rPr>
          <w:b w:val="0"/>
          <w:i w:val="0"/>
        </w:rPr>
        <w:t>The computational capacity to analyze big data sets comes with a price tag—one that smaller, newer companies may not be able to afford. They can compete by placing their computing efforts in the cloud.</w:t>
      </w:r>
    </w:p>
    <w:p>
      <w:r>
        <w:rPr>
          <w:b w:val="0"/>
          <w:i w:val="0"/>
        </w:rPr>
        <w:t>✓  Putting data “in the cloud” means you’re paying someone else to manage it, and you connect to their servers via the internet to access your data when you need it. Doing so means you don’t need to analyze the data on your own machines but “rent” these services on demand, saving you the overhead costs of hiring IT staff or purchasing servers and hardware.</w:t>
      </w:r>
    </w:p>
    <w:p>
      <w:r>
        <w:rPr>
          <w:b w:val="0"/>
          <w:i w:val="0"/>
        </w:rPr>
        <w:t>✓  Cloud computing has seen massive growth in recent years. Research indicates cloud adoption rates have increased drastically over the past decade across the United States.</w:t>
      </w:r>
    </w:p>
    <w:p>
      <w:r>
        <w:rPr>
          <w:b w:val="0"/>
          <w:i w:val="0"/>
        </w:rPr>
        <w:t>✓  The smallest firms have the highest adoption rates. Younger firms, too, are adopting cloud computing faster than older ones.</w:t>
      </w:r>
    </w:p>
    <w:p>
      <w:r>
        <w:rPr>
          <w:b w:val="0"/>
          <w:i w:val="0"/>
        </w:rPr>
        <w:t>✓  Flexible access to computing resources allows smaller firms to scale up or down quickly and experiment with new products and features. This agility is especially valuable when facing uncertain demand or a fast-evolving competitive environment.</w:t>
      </w:r>
    </w:p>
    <w:p>
      <w:pPr>
        <w:pStyle w:val="Heading3"/>
      </w:pPr>
      <w:r>
        <w:rPr>
          <w:b w:val="0"/>
          <w:i w:val="0"/>
        </w:rPr>
        <w:t>NOTES</w:t>
      </w:r>
    </w:p>
    <w:p>
      <w:pPr>
        <w:pStyle w:val="ListNumber"/>
      </w:pPr>
      <w:r>
        <w:rPr>
          <w:b w:val="0"/>
          <w:i w:val="0"/>
        </w:rPr>
        <w:t xml:space="preserve">1. Ian Hathaway and Robert E. Litan, “Declining Business Dynamism in the United States: A Look at States and Metros,” Brookings, May 5, 2014, https://www.brookings.edu/research/declining-business-dynamism-in-the-united-states-a-look-at-states-and-metros/; David Wessel, “Is Lack of Competition Strangling the U.S. Economy?” </w:t>
      </w:r>
      <w:r>
        <w:rPr>
          <w:b w:val="0"/>
          <w:i/>
        </w:rPr>
        <w:t>Harvard Business Review</w:t>
      </w:r>
      <w:r>
        <w:rPr>
          <w:b w:val="0"/>
          <w:i w:val="0"/>
        </w:rPr>
        <w:t>, March–April 2018, https://hbr.org/2018/03/is-lack-of-competition-strangling-the-u-s-economy.</w:t>
      </w:r>
    </w:p>
    <w:p>
      <w:pPr>
        <w:pStyle w:val="ListNumber"/>
      </w:pPr>
      <w:r>
        <w:rPr>
          <w:b w:val="0"/>
          <w:i w:val="0"/>
        </w:rPr>
        <w:t>2. Wang Jin and Kristina McElheran, “Economies Before Scale: Survival and Performance of Young Plants in the Age of Cloud Computing,” Rotman School of Management Working Paper no. 3112901, December 2017.</w:t>
      </w:r>
    </w:p>
    <w:p>
      <w:pPr>
        <w:pStyle w:val="ListNumber"/>
      </w:pPr>
      <w:r>
        <w:rPr>
          <w:b w:val="0"/>
          <w:i w:val="0"/>
        </w:rPr>
        <w:t xml:space="preserve">3. Ryan A. Decker, John Haltiwanger, Ron S. Jarmin, and Javier Miranda, “Declining Business Dynamism: What We Know and the Way Forward,” </w:t>
      </w:r>
      <w:r>
        <w:rPr>
          <w:b w:val="0"/>
          <w:i/>
        </w:rPr>
        <w:t>American Economic Review</w:t>
      </w:r>
      <w:r>
        <w:rPr>
          <w:b w:val="0"/>
          <w:i w:val="0"/>
        </w:rPr>
        <w:t xml:space="preserve"> 106, no. 5 (May 2016).</w:t>
      </w:r>
    </w:p>
    <w:p>
      <w:r>
        <w:rPr>
          <w:b w:val="0"/>
          <w:i/>
        </w:rPr>
        <w:t>Adapted from “Research: Cloud Computing Is Helping Smaller, Newer Firms Compete” on hbr.org, August 31, 2018 (product #H04ISD).</w:t>
      </w:r>
    </w:p>
    <w:p>
      <w:r>
        <w:rPr>
          <w:b w:val="0"/>
          <w:i w:val="0"/>
        </w:rPr>
        <w:t>___________</w:t>
      </w:r>
    </w:p>
    <w:p>
      <w:r>
        <w:rPr>
          <w:b w:val="0"/>
          <w:i/>
        </w:rPr>
        <w:t>We thank Toulouse Network for Information Technology for funding for the data.</w:t>
      </w:r>
    </w:p>
    <w:p>
      <w:pPr>
        <w:pStyle w:val="Heading1"/>
      </w:pPr>
      <w:r>
        <w:rPr>
          <w:b w:val="0"/>
          <w:i w:val="0"/>
        </w:rPr>
        <w:t>9</w:t>
      </w:r>
    </w:p>
    <w:p>
      <w:pPr>
        <w:pStyle w:val="Heading1"/>
      </w:pPr>
      <w:r>
        <w:rPr>
          <w:b w:val="0"/>
          <w:i w:val="0"/>
        </w:rPr>
        <w:t>DATA SCIENCE AND THE ART OF PERSUASION</w:t>
      </w:r>
    </w:p>
    <w:p>
      <w:r>
        <w:rPr>
          <w:b w:val="0"/>
          <w:i w:val="0"/>
        </w:rPr>
        <w:t>by Scott Berinato</w:t>
      </w:r>
    </w:p>
    <w:p>
      <w:r>
        <w:rPr>
          <w:b w:val="0"/>
          <w:i w:val="0"/>
        </w:rPr>
        <w:t>Data science is growing up fast. Over the past five years companies have invested billions to get the most-talented data scientists to set up shop, amass zettabytes of material, and run it through their deduction machines to find signals in the unfathomable volume of noise. It’s working—to a point. Data has begun to change our relationship to fields as varied as language translation, retail, health care, and basketball.</w:t>
      </w:r>
    </w:p>
    <w:p>
      <w:r>
        <w:rPr>
          <w:b w:val="0"/>
          <w:i w:val="0"/>
        </w:rPr>
        <w:t>But despite the success stories, many companies aren’t getting the value they could from data science. Even well-run operations that generate strong analysis fail to capitalize on their insights. Efforts fall short in the last mile, when it comes time to explain the stuff to decision makers.</w:t>
      </w:r>
    </w:p>
    <w:p>
      <w:r>
        <w:rPr>
          <w:b w:val="0"/>
          <w:i w:val="0"/>
        </w:rPr>
        <w:t>In a question on Kaggle’s 2017 survey of data scientists, to which more than 7,000 people responded, four of the top seven “barriers faced at work” were related to last-mile issues, not technical ones: “lack of management/financial support,” “lack of clear questions to answer,” “results not used by decision makers,” and “explaining data science to others.” Those results are consistent with what the data scientist Hugo Bowne-Anderson found interviewing 35 data scientists for his podcast; as he wrote in a 2018 HBR.org article, “The vast majority of my guests tell [me] that the key skills for data scientists are … the abilities to learn on the fly and to communicate well in order to answer business questions, explaining complex results to nontechnical stakeholders.”</w:t>
      </w:r>
    </w:p>
    <w:p>
      <w:r>
        <w:rPr>
          <w:b w:val="0"/>
          <w:i w:val="0"/>
        </w:rPr>
        <w:t>In my work lecturing and consulting with large organizations on data visualization (dataviz) and persuasive presentations, I hear both data scientists and executives vent their frustration. Data teams know they’re sitting on valuable insights but can’t sell them. They say decision makers misunderstand or oversimplify their analysis and expect them to do magic, to provide the right answers to all their questions. Executives, meanwhile, complain about how much money they invest in data science operations that don’t provide the guidance they hoped for. They don’t see tangible results because the results aren’t communicated in their language.</w:t>
      </w:r>
    </w:p>
    <w:p>
      <w:r>
        <w:rPr>
          <w:b w:val="0"/>
          <w:i w:val="0"/>
        </w:rPr>
        <w:t xml:space="preserve">Gaps between business and technology types aren’t new, but this divide runs deeper. Consider that 105 years ago, before coding and computers, Willard Brinton began his landmark book </w:t>
      </w:r>
      <w:r>
        <w:rPr>
          <w:b w:val="0"/>
          <w:i/>
        </w:rPr>
        <w:t>Graphic Methods for Presenting Facts</w:t>
      </w:r>
      <w:r>
        <w:rPr>
          <w:b w:val="0"/>
          <w:i w:val="0"/>
        </w:rPr>
        <w:t xml:space="preserve"> by describing the last-mile problem: “Time after time it happens that some ignorant or presumptuous member of a committee or a board of directors will upset the carefully thought-out plan of a man who knows the facts, simply because the man with the facts cannot present his facts readily enough to overcome the opposition … As the cathedral is to its foundation so is an effective presentation of facts to the data.”</w:t>
      </w:r>
    </w:p>
    <w:p>
      <w:r>
        <w:rPr>
          <w:b w:val="0"/>
          <w:i w:val="0"/>
        </w:rPr>
        <w:t>How could this song remain the same for more than a century? Like anything else this deeply rooted, the last-mile problem’s origins are multiple. For one, the tools used to do the science include visualization functionality. This encourages the notion that it’s the responsibility of the data person to be the communicator. The default output of these tools can’t match well-conceived, fully designed dataviz; their visualization often isn’t as well developed as their data manipulation, and the people using the tools often don’t want to do the communicating. Many data scientists have told me they’re wary of visualization because it can dumb down their work and spur executives to draw conclusions that belie the nuance and uncertainty inherent in any scientific analysis. But in the rush to grab in-demand data scientists, organizations have been hiring the most technically oriented people they can find, ignoring their ability or desire (or lack thereof) to communicate with a lay audience.</w:t>
      </w:r>
    </w:p>
    <w:p>
      <w:r>
        <w:rPr>
          <w:b w:val="0"/>
          <w:i w:val="0"/>
        </w:rPr>
        <w:t>That would be fine if those organizations also hired other people to close the gap—but they don’t. They still expect data scientists to wrangle data, analyze it in the context of knowing the business and its strategy, make charts, and present them to a lay audience. That’s unreasonable. That’s unicorn stuff.</w:t>
      </w:r>
    </w:p>
    <w:p>
      <w:r>
        <w:rPr>
          <w:b w:val="0"/>
          <w:i w:val="0"/>
        </w:rPr>
        <w:t>To begin solving the last-mile problem, companies must stop looking for unicorns and rethink what kind of talent makes up a data science operation. This chapter proposes a way for those who aren’t getting the most out of their operations to free data scientists from unreasonable expectations and introduce new types of workers to the mix. It relies on cross-disciplinary teams composed of members with varying talents who work in close proximity. Empathy, developed through exposure to others’ work, facilitates collaboration among the types of talent. Work is no longer passed between groups; it’s shared among them.</w:t>
      </w:r>
    </w:p>
    <w:p>
      <w:r>
        <w:rPr>
          <w:b w:val="0"/>
          <w:i w:val="0"/>
        </w:rPr>
        <w:t>A team approach—hardly new, but newly applied—can get data science operations over the last mile, delivering the value they’ve created for the organization.</w:t>
      </w:r>
    </w:p>
    <w:p>
      <w:pPr>
        <w:pStyle w:val="Heading3"/>
      </w:pPr>
      <w:r>
        <w:rPr>
          <w:b w:val="0"/>
          <w:i w:val="0"/>
        </w:rPr>
        <w:t>Why Are Things Like This?</w:t>
      </w:r>
    </w:p>
    <w:p>
      <w:r>
        <w:rPr>
          <w:b w:val="0"/>
          <w:i w:val="0"/>
        </w:rPr>
        <w:t>In the early 20th century, pioneers of modern management ran sophisticated operations for turning data into decisions through visual communication, and they did it with teams. It was a cross-disciplinary effort that included gang punch operators, card sorters, managers, and draftsmen (they were nearly always men). Examples of the results of this collaboration are legion in Brinton’s book. Railroad companies and large manufacturers were especially adept, learning the most efficient routes to send materials through factories, achieving targets for regional sales performances, and even optimizing vacation schedules.</w:t>
      </w:r>
    </w:p>
    <w:p>
      <w:r>
        <w:rPr>
          <w:b w:val="0"/>
          <w:i w:val="0"/>
        </w:rPr>
        <w:t xml:space="preserve">The team approach persisted through most of the century. In her 1969 book </w:t>
      </w:r>
      <w:r>
        <w:rPr>
          <w:b w:val="0"/>
          <w:i/>
        </w:rPr>
        <w:t>Practical Charting Techniques,</w:t>
      </w:r>
      <w:r>
        <w:rPr>
          <w:b w:val="0"/>
          <w:i w:val="0"/>
        </w:rPr>
        <w:t xml:space="preserve"> Mary Eleanor Spear details the ideal team—a communicator, a graphic analyst, and a draftsman (still mostly men)—and its responsibilities. “It is advisable,” Spear writes, “that [all three] collaborate.”</w:t>
      </w:r>
    </w:p>
    <w:p>
      <w:r>
        <w:rPr>
          <w:b w:val="0"/>
          <w:i w:val="0"/>
        </w:rPr>
        <w:t>In the 1970s things started to split. Scientists flocked to new technology that allowed them to visualize data in the same space (a computer program) where they manipulated it. Visuals were crude but available fast and required no help from anyone else. A crack opened in the dataviz world between computer-driven visualization and the more classic design-driven visualization produced by draftspeople (finally).</w:t>
      </w:r>
    </w:p>
    <w:p>
      <w:r>
        <w:rPr>
          <w:b w:val="0"/>
          <w:i w:val="0"/>
        </w:rPr>
        <w:t>Chart Wizard, Microsoft’s innovation in Excel, introduced “click and viz” for the rest of us, fully cleaving the two worlds. Suddenly anyone could instantly create a chart along with overwrought variations on it that made bars three-dimensional or turned a pie into a doughnut. The profoundness of this shift can’t be overstated. It helped make charts a lingua franca for business. It fueled the use of data in operations and eventually allowed data science to exist, because it overcame the low limit on how much data human designers can process into visual communication. Most crucially, it changed the structure of work. Designers—draftspeople—were devalued and eventually fell out of data analysis. Visualization became the job of those who managed data, most of whom were neither trained to visualize nor inclined to learn. The speed and convenience of pasting a Chart Wizard graphic into a presentation prevailed over slower, more resource-intensive, design-driven visuals, even if the latter were demonstrably more effective.</w:t>
      </w:r>
    </w:p>
    <w:p>
      <w:r>
        <w:rPr>
          <w:b w:val="0"/>
          <w:i w:val="0"/>
        </w:rPr>
        <w:t>With the advent of data science, the expectations put on data scientists have remained the same—do the work and communicate it—even as the requisite skills have broadened to include coding, statistics, and algorithmic modeling. Indeed, in HBR’s landmark 2012 article on data scientist as the sexiest job of the 21st century, the role is described in explicitly unicornish terms: “What abilities make a data scientist successful? Think of him or her as a hybrid of data hacker, analyst, communicator, and trusted adviser. The combination is extremely powerful—and rare.”</w:t>
      </w:r>
    </w:p>
    <w:p>
      <w:r>
        <w:rPr>
          <w:b w:val="0"/>
          <w:i w:val="0"/>
        </w:rPr>
        <w:t>A rare combination of skills for the most sought-after jobs means that many organizations will be unable to recruit the talent they need. They will have to look for another way to succeed. The best way is to change the skill set they expect data scientists to have and rebuild teams with a combination of talents.</w:t>
      </w:r>
    </w:p>
    <w:p>
      <w:pPr>
        <w:pStyle w:val="Heading3"/>
      </w:pPr>
      <w:r>
        <w:rPr>
          <w:b w:val="0"/>
          <w:i w:val="0"/>
        </w:rPr>
        <w:t>Building a Better Data Science Operation</w:t>
      </w:r>
    </w:p>
    <w:p>
      <w:r>
        <w:rPr>
          <w:b w:val="0"/>
          <w:i w:val="0"/>
        </w:rPr>
        <w:t>An effective data operation based on teamwork can borrow from Brinton and Spear but will account for the modern context, including the volume of data being processed, the automation of systems, and advances in visualization techniques. It will also account for a wide range of project types, from the reasonably simple reporting of standard analytics data (say, financial results) to the most sophisticated big data efforts that use cutting-edge machine-learning algorithms.</w:t>
      </w:r>
    </w:p>
    <w:p>
      <w:r>
        <w:rPr>
          <w:b w:val="0"/>
          <w:i w:val="0"/>
        </w:rPr>
        <w:t>How Communication Fails</w:t>
      </w:r>
    </w:p>
    <w:p>
      <w:r>
        <w:rPr>
          <w:b w:val="0"/>
          <w:i w:val="0"/>
        </w:rPr>
        <w:t>I’ve learned in my work that most leaders recognize the value data science can deliver, and few are satisfied with how it’s being delivered. Some data scientists complain that bosses don’t understand what they do and underutilize them. Some managers complain that the scientists can’t make their work intelligible to a lay audience.</w:t>
      </w:r>
    </w:p>
    <w:p>
      <w:r>
        <w:rPr>
          <w:b w:val="0"/>
          <w:i w:val="0"/>
        </w:rPr>
        <w:t>In general, the stories I hear follow one of these scenarios. See if you recognize any of them.</w:t>
      </w:r>
    </w:p>
    <w:p>
      <w:r>
        <w:rPr>
          <w:b w:val="0"/>
          <w:i w:val="0"/>
        </w:rPr>
        <w:t>The Statistician’s Curse</w:t>
      </w:r>
    </w:p>
    <w:p>
      <w:r>
        <w:rPr>
          <w:b w:val="0"/>
          <w:i w:val="0"/>
        </w:rPr>
        <w:t>A data scientist with vanguard algorithms and great data develops a suite of insights and presents them to decision makers in great detail. She believes that her analysis is objective and unassailable. Her charts are “click and viz” with some text added to the slides—in her view, design isn’t something that serious statisticians spend time on. The language she uses in her presentation is unfamiliar to her listeners, who become confused and frustrated. Her analysis is dead-on, but her recommendation is not adopted.</w:t>
      </w:r>
    </w:p>
    <w:p>
      <w:r>
        <w:rPr>
          <w:b w:val="0"/>
          <w:i w:val="0"/>
        </w:rPr>
        <w:t>The Factory and the Foreman</w:t>
      </w:r>
    </w:p>
    <w:p>
      <w:r>
        <w:rPr>
          <w:b w:val="0"/>
          <w:i w:val="0"/>
        </w:rPr>
        <w:t>A business stakeholder wants to push through a pet project but has no data to back up his hypothesis. He asks the data science team to produce the analysis and charts for his presentation. The team knows that his hypothesis is ill formed, and it offers helpful ideas about a better way to approach the analysis, but he wants only charts and speaking notes. One of two things will happen: His meeting will be upended when someone asks about the data analysis and he can’t provide answers, or his project will go through and then fail because the analysis was unsound.</w:t>
      </w:r>
    </w:p>
    <w:p>
      <w:r>
        <w:rPr>
          <w:b w:val="0"/>
          <w:i w:val="0"/>
        </w:rPr>
        <w:t>The Convenient Truth</w:t>
      </w:r>
    </w:p>
    <w:p>
      <w:r>
        <w:rPr>
          <w:b w:val="0"/>
          <w:i w:val="0"/>
        </w:rPr>
        <w:t>A top-notch information designer is inspired by some analysis from company data scientists and offers to help them create a beautiful presentation for the board, with on-brand colors and typography and engaging, easily accessible stories. But the scientists get nervous when the executives start to extract wrong ideas from the analysis. The clear, simple charts make certain relationships look like direct cause and effect when they’re not, and they remove any uncertainty that’s inherent in the analysis. The scientists are in a quandary: Finally, top decision makers are excited about their work, but what they’re excited about isn’t a good representation of it.</w:t>
      </w:r>
    </w:p>
    <w:p>
      <w:r>
        <w:rPr>
          <w:b w:val="0"/>
          <w:i w:val="0"/>
        </w:rPr>
        <w:t>Here are four steps to creating one:</w:t>
      </w:r>
    </w:p>
    <w:p>
      <w:pPr>
        <w:pStyle w:val="Heading3"/>
      </w:pPr>
      <w:r>
        <w:rPr>
          <w:b w:val="0"/>
          <w:i w:val="0"/>
        </w:rPr>
        <w:t>1. Define talents, not team members</w:t>
      </w:r>
    </w:p>
    <w:p>
      <w:r>
        <w:rPr>
          <w:b w:val="0"/>
          <w:i w:val="0"/>
        </w:rPr>
        <w:t>It might seem natural that the first step toward dismantling unicorn thinking is to assign various people to the roles the “perfect” data scientist now fills: data manipulator, data analyst, designer, and communicator.</w:t>
      </w:r>
    </w:p>
    <w:p>
      <w:r>
        <w:rPr>
          <w:b w:val="0"/>
          <w:i w:val="0"/>
        </w:rPr>
        <w:t>Not quite. Rather than assign people to roles, define the talents you need to be successful. A talent is not a person; it’s a skill that one or more people possess. One person may have several talents; three people may be able to handle five talents. It’s a subtle distinction but an important one for keeping teams nimble enough to configure and reconfigure during various stages of a project. (We’ll come back to this.)</w:t>
      </w:r>
    </w:p>
    <w:p>
      <w:r>
        <w:rPr>
          <w:b w:val="0"/>
          <w:i w:val="0"/>
        </w:rPr>
        <w:t>Any company’s list of talents will vary, but a good core set includes these six:</w:t>
      </w:r>
    </w:p>
    <w:p>
      <w:pPr>
        <w:pStyle w:val="Heading3"/>
      </w:pPr>
      <w:r>
        <w:rPr>
          <w:b w:val="0"/>
          <w:i w:val="0"/>
        </w:rPr>
        <w:t>Project management. Because your team is going to be agile and will shift according to the type of project and how far along it is, strong PM employing some scrumlike methodology will run under every facet of the operation. A good project manager will have great organizational abilities and strong diplomacy skills, helping to bridge cultural gaps by bringing disparate talents together at meetings and getting all team members to speak the same language.</w:t>
      </w:r>
    </w:p>
    <w:p>
      <w:pPr>
        <w:pStyle w:val="Heading3"/>
      </w:pPr>
      <w:r>
        <w:rPr>
          <w:b w:val="0"/>
          <w:i w:val="0"/>
        </w:rPr>
        <w:t>Data wrangling. Skills that compose this talent include building systems; finding, cleaning, and structuring data; and creating and maintaining algorithms and other statistical engines. People with wrangling talent will look for opportunities to streamline operations—for example, by building repeatable processes for multiple projects and templates for solid, predictable visual output that will jump-start the information-design process.</w:t>
      </w:r>
    </w:p>
    <w:p>
      <w:pPr>
        <w:pStyle w:val="Heading3"/>
      </w:pPr>
      <w:r>
        <w:rPr>
          <w:b w:val="0"/>
          <w:i w:val="0"/>
        </w:rPr>
        <w:t>Data analysis. The ability to set hypotheses and test them, find meaning in data, and apply that to a specific business context is crucial—and, surprisingly, not as well represented in many data science operations as one might think. Some organizations are heavy on wranglers and rely on them to do the analysis as well. But good data analysis is separate from coding and math. Often this talent emerges not from computer science but from the liberal arts. The software company Tableau ranked the infusion of liberal arts into data analysis as one of the biggest trends in analytics in 2018. Critical thinking, context setting, and other aspects of learning in the humanities also happen to be core skills for analysis, data or otherwise. In an online lecture about the topic, the Tableau research scientist Michael Correll explained why he thinks infusing data science with liberal arts is crucial. “It’s impossible to consider data divorced from people,” he says. “Liberal arts is good at helping us step in and see context. It makes people visible in a way they maybe aren’t in the technology.”</w:t>
      </w:r>
    </w:p>
    <w:p>
      <w:pPr>
        <w:pStyle w:val="Heading3"/>
      </w:pPr>
      <w:r>
        <w:rPr>
          <w:b w:val="0"/>
          <w:i w:val="0"/>
        </w:rPr>
        <w:t>Subject expertise. It’s time to retire the trope that data science teams are stuck in the basement to do their arcane work and surface only when the business needs something from them. Data science shouldn’t be thought of as a service unit; it should have management talent on the team. People with knowledge of the business and the strategy will inform project design and data analysis and keep the team focused on business outcomes, not just on building the best statistical models. Joaquin Candela, who runs applied machine learning at Facebook, has worked hard to focus his team on business outcomes and to reward decisions that favor those outcomes over improving data science.</w:t>
      </w:r>
    </w:p>
    <w:p>
      <w:pPr>
        <w:pStyle w:val="Heading3"/>
      </w:pPr>
      <w:r>
        <w:rPr>
          <w:b w:val="0"/>
          <w:i w:val="0"/>
        </w:rPr>
        <w:t>Design. This talent is widely misunderstood. Good design isn’t just choosing colors and fonts or coming up with an aesthetic for charts. That’s styling—part of design, but by no means the most important part. Rather, people with design talent develop and execute systems for effective visual communication. In our context, they understand how to create and edit visuals to focus an audience and distill ideas. Information-design talent—which emphasizes understanding and manipulating data visualization—is ideal for a data science team.</w:t>
      </w:r>
    </w:p>
    <w:p>
      <w:pPr>
        <w:pStyle w:val="Heading3"/>
      </w:pPr>
      <w:r>
        <w:rPr>
          <w:b w:val="0"/>
          <w:i w:val="0"/>
        </w:rPr>
        <w:t>Storytelling. Narrative is an extremely powerful human contrivance and one of the most underutilized in data science. The ability to present data insights as a story will, more than anything else, help close the communication gap between algorithms and executives. “Storytelling with data,” a tired buzz phrase, is widely misunderstood, though. It is decidedly not about turning presenters into Stephen Kings or Tom Clancys. Rather, it’s about understanding the structure and mechanics of narrative and applying them to dataviz and presentations.</w:t>
      </w:r>
    </w:p>
    <w:p>
      <w:pPr>
        <w:jc w:val="center"/>
      </w:pPr>
      <w:r>
        <w:drawing>
          <wp:inline xmlns:a="http://schemas.openxmlformats.org/drawingml/2006/main" xmlns:pic="http://schemas.openxmlformats.org/drawingml/2006/picture">
            <wp:extent cx="6680200" cy="7670800"/>
            <wp:docPr id="16" name="Picture 16"/>
            <wp:cNvGraphicFramePr>
              <a:graphicFrameLocks noChangeAspect="1"/>
            </wp:cNvGraphicFramePr>
            <a:graphic>
              <a:graphicData uri="http://schemas.openxmlformats.org/drawingml/2006/picture">
                <pic:pic>
                  <pic:nvPicPr>
                    <pic:cNvPr id="0" name="epub_img_6257227806849215191.jpg"/>
                    <pic:cNvPicPr/>
                  </pic:nvPicPr>
                  <pic:blipFill>
                    <a:blip r:embed="rId18"/>
                    <a:stretch>
                      <a:fillRect/>
                    </a:stretch>
                  </pic:blipFill>
                  <pic:spPr>
                    <a:xfrm>
                      <a:off x="0" y="0"/>
                      <a:ext cx="6680200" cy="7670800"/>
                    </a:xfrm>
                    <a:prstGeom prst="rect"/>
                  </pic:spPr>
                </pic:pic>
              </a:graphicData>
            </a:graphic>
          </wp:inline>
        </w:drawing>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TABLE 9-1</w:t>
              <w:br/>
              <w:t>Core talents for communicating data</w:t>
              <w:br/>
              <w:t>Here are the ways that various talents are involved as a data science project proceeds from gathering data to developing insight to presenting to stakeholders.</w:t>
            </w:r>
          </w:p>
        </w:tc>
        <w:tc>
          <w:tcPr>
            <w:tcW w:type="dxa" w:w="1728"/>
          </w:tcPr>
          <w:p>
            <w:r/>
          </w:p>
        </w:tc>
        <w:tc>
          <w:tcPr>
            <w:tcW w:type="dxa" w:w="1728"/>
          </w:tcPr>
          <w:p>
            <w:r/>
          </w:p>
        </w:tc>
        <w:tc>
          <w:tcPr>
            <w:tcW w:type="dxa" w:w="1728"/>
          </w:tcPr>
          <w:p>
            <w:r/>
          </w:p>
        </w:tc>
        <w:tc>
          <w:tcPr>
            <w:tcW w:type="dxa" w:w="1728"/>
          </w:tcPr>
          <w:p>
            <w:r/>
          </w:p>
        </w:tc>
      </w:tr>
      <w:tr>
        <w:tc>
          <w:tcPr>
            <w:tcW w:type="dxa" w:w="1728"/>
          </w:tcPr>
          <w:p>
            <w:r>
              <w:t>Talent</w:t>
            </w:r>
          </w:p>
        </w:tc>
        <w:tc>
          <w:tcPr>
            <w:tcW w:type="dxa" w:w="1728"/>
          </w:tcPr>
          <w:p>
            <w:r>
              <w:t>Tasks</w:t>
            </w:r>
          </w:p>
        </w:tc>
        <w:tc>
          <w:tcPr>
            <w:tcW w:type="dxa" w:w="1728"/>
          </w:tcPr>
          <w:p>
            <w:r>
              <w:t>Skills</w:t>
            </w:r>
          </w:p>
        </w:tc>
        <w:tc>
          <w:tcPr>
            <w:tcW w:type="dxa" w:w="1728"/>
          </w:tcPr>
          <w:p>
            <w:r>
              <w:t>Leads</w:t>
            </w:r>
          </w:p>
        </w:tc>
        <w:tc>
          <w:tcPr>
            <w:tcW w:type="dxa" w:w="1728"/>
          </w:tcPr>
          <w:p>
            <w:r>
              <w:t>Supports</w:t>
            </w:r>
          </w:p>
        </w:tc>
      </w:tr>
      <w:tr>
        <w:tc>
          <w:tcPr>
            <w:tcW w:type="dxa" w:w="1728"/>
          </w:tcPr>
          <w:p>
            <w:r>
              <w:t>Project management</w:t>
            </w:r>
          </w:p>
        </w:tc>
        <w:tc>
          <w:tcPr>
            <w:tcW w:type="dxa" w:w="1728"/>
          </w:tcPr>
          <w:p>
            <w:r>
              <w:t>Manage creation of team, timeline, and schedules</w:t>
              <w:br/>
              <w:t>Marshal resources</w:t>
              <w:br/>
              <w:t>Troubleshoot</w:t>
            </w:r>
          </w:p>
        </w:tc>
        <w:tc>
          <w:tcPr>
            <w:tcW w:type="dxa" w:w="1728"/>
          </w:tcPr>
          <w:p>
            <w:r>
              <w:t>Organization</w:t>
              <w:br/>
              <w:t>Methodology (such as scrum)</w:t>
              <w:br/>
              <w:t>People management</w:t>
            </w:r>
          </w:p>
        </w:tc>
        <w:tc>
          <w:tcPr>
            <w:tcW w:type="dxa" w:w="1728"/>
          </w:tcPr>
          <w:p>
            <w:r>
              <w:t>During creation of a data science operation</w:t>
              <w:br/>
              <w:t>During creation and execution of a project</w:t>
            </w:r>
          </w:p>
        </w:tc>
        <w:tc>
          <w:tcPr>
            <w:tcW w:type="dxa" w:w="1728"/>
          </w:tcPr>
          <w:p>
            <w:r>
              <w:t>Ongoing data science operations</w:t>
            </w:r>
          </w:p>
        </w:tc>
      </w:tr>
      <w:tr>
        <w:tc>
          <w:tcPr>
            <w:tcW w:type="dxa" w:w="1728"/>
          </w:tcPr>
          <w:p>
            <w:r>
              <w:t>Data wrangling</w:t>
            </w:r>
          </w:p>
        </w:tc>
        <w:tc>
          <w:tcPr>
            <w:tcW w:type="dxa" w:w="1728"/>
          </w:tcPr>
          <w:p>
            <w:r>
              <w:t>Find, clean, and structure data</w:t>
              <w:br/>
              <w:t>Develop and implement data and visualization systems, algorithms, and models</w:t>
              <w:br/>
              <w:t>Develop templates and systems for repeatable processes</w:t>
            </w:r>
          </w:p>
        </w:tc>
        <w:tc>
          <w:tcPr>
            <w:tcW w:type="dxa" w:w="1728"/>
          </w:tcPr>
          <w:p>
            <w:r>
              <w:t>Coding</w:t>
              <w:br/>
              <w:t>Statistics</w:t>
              <w:br/>
              <w:t>Systems architecture</w:t>
            </w:r>
          </w:p>
        </w:tc>
        <w:tc>
          <w:tcPr>
            <w:tcW w:type="dxa" w:w="1728"/>
          </w:tcPr>
          <w:p>
            <w:r>
              <w:t>Early in a data team’s existence</w:t>
              <w:br/>
              <w:t>Early in a project’s development</w:t>
            </w:r>
          </w:p>
        </w:tc>
        <w:tc>
          <w:tcPr>
            <w:tcW w:type="dxa" w:w="1728"/>
          </w:tcPr>
          <w:p>
            <w:r>
              <w:t>During routine data analysis, hypothesis testing, and visual exploration of data</w:t>
            </w:r>
          </w:p>
        </w:tc>
      </w:tr>
      <w:tr>
        <w:tc>
          <w:tcPr>
            <w:tcW w:type="dxa" w:w="1728"/>
          </w:tcPr>
          <w:p>
            <w:r>
              <w:t>Data analysis</w:t>
            </w:r>
          </w:p>
        </w:tc>
        <w:tc>
          <w:tcPr>
            <w:tcW w:type="dxa" w:w="1728"/>
          </w:tcPr>
          <w:p>
            <w:r>
              <w:t>Develop and test hypotheses on data and data models</w:t>
              <w:br/>
              <w:t>Find patterns and useful trends to inform business decisions</w:t>
            </w:r>
          </w:p>
        </w:tc>
        <w:tc>
          <w:tcPr>
            <w:tcW w:type="dxa" w:w="1728"/>
          </w:tcPr>
          <w:p>
            <w:r>
              <w:t>Statistics</w:t>
              <w:br/>
              <w:t>Scientific method</w:t>
              <w:br/>
              <w:t>Critical thinking</w:t>
              <w:br/>
              <w:t>Technical and nontechnical communication</w:t>
            </w:r>
          </w:p>
        </w:tc>
        <w:tc>
          <w:tcPr>
            <w:tcW w:type="dxa" w:w="1728"/>
          </w:tcPr>
          <w:p>
            <w:r>
              <w:t>During routine data analysis, project design, hypothesis testing, and visual exploration of data</w:t>
            </w:r>
          </w:p>
        </w:tc>
        <w:tc>
          <w:tcPr>
            <w:tcW w:type="dxa" w:w="1728"/>
          </w:tcPr>
          <w:p>
            <w:r>
              <w:t>Early in a data team’s existence</w:t>
              <w:br/>
              <w:t>Early in project development</w:t>
              <w:br/>
              <w:t>During visual communication development and presentations to lay audiences</w:t>
            </w:r>
          </w:p>
        </w:tc>
      </w:tr>
      <w:tr>
        <w:tc>
          <w:tcPr>
            <w:tcW w:type="dxa" w:w="1728"/>
          </w:tcPr>
          <w:p>
            <w:r>
              <w:t>Subject expertise</w:t>
            </w:r>
          </w:p>
        </w:tc>
        <w:tc>
          <w:tcPr>
            <w:tcW w:type="dxa" w:w="1728"/>
          </w:tcPr>
          <w:p>
            <w:r>
              <w:t>Define business goals</w:t>
              <w:br/>
              <w:t>Develop and test hypotheses</w:t>
              <w:br/>
              <w:t>Develop nontechnical communication</w:t>
            </w:r>
          </w:p>
        </w:tc>
        <w:tc>
          <w:tcPr>
            <w:tcW w:type="dxa" w:w="1728"/>
          </w:tcPr>
          <w:p>
            <w:r>
              <w:t>Functional knowledge</w:t>
              <w:br/>
              <w:t>Critical thinking</w:t>
              <w:br/>
              <w:t>Strategy development</w:t>
              <w:br/>
              <w:t>Nontechnical communication</w:t>
            </w:r>
          </w:p>
        </w:tc>
        <w:tc>
          <w:tcPr>
            <w:tcW w:type="dxa" w:w="1728"/>
          </w:tcPr>
          <w:p>
            <w:r>
              <w:t>During project design, hypothesis testing, and visual exploration of data</w:t>
              <w:br/>
              <w:t>During communication to nontechnical audiences</w:t>
            </w:r>
          </w:p>
        </w:tc>
        <w:tc>
          <w:tcPr>
            <w:tcW w:type="dxa" w:w="1728"/>
          </w:tcPr>
          <w:p>
            <w:r>
              <w:t>Early in a data team’s existence</w:t>
              <w:br/>
              <w:t>During visualization and design process</w:t>
            </w:r>
          </w:p>
        </w:tc>
      </w:tr>
      <w:tr>
        <w:tc>
          <w:tcPr>
            <w:tcW w:type="dxa" w:w="1728"/>
          </w:tcPr>
          <w:p>
            <w:r>
              <w:t>Design</w:t>
            </w:r>
          </w:p>
        </w:tc>
        <w:tc>
          <w:tcPr>
            <w:tcW w:type="dxa" w:w="1728"/>
          </w:tcPr>
          <w:p>
            <w:r>
              <w:t>Develop visual communication and presentations</w:t>
              <w:br/>
              <w:t>Create templates and styles for repeatable visualization</w:t>
            </w:r>
          </w:p>
        </w:tc>
        <w:tc>
          <w:tcPr>
            <w:tcW w:type="dxa" w:w="1728"/>
          </w:tcPr>
          <w:p>
            <w:r>
              <w:t>Information design</w:t>
              <w:br/>
              <w:t>Presentation design</w:t>
              <w:br/>
              <w:t>Design thinking</w:t>
              <w:br/>
              <w:t>Persuasive communication</w:t>
            </w:r>
          </w:p>
        </w:tc>
        <w:tc>
          <w:tcPr>
            <w:tcW w:type="dxa" w:w="1728"/>
          </w:tcPr>
          <w:p>
            <w:r>
              <w:t>During data visualization and the creation of presentations and visual systems (templating)</w:t>
            </w:r>
          </w:p>
        </w:tc>
        <w:tc>
          <w:tcPr>
            <w:tcW w:type="dxa" w:w="1728"/>
          </w:tcPr>
          <w:p>
            <w:r>
              <w:t>During visual iteration and prototyping</w:t>
            </w:r>
          </w:p>
        </w:tc>
      </w:tr>
      <w:tr>
        <w:tc>
          <w:tcPr>
            <w:tcW w:type="dxa" w:w="1728"/>
          </w:tcPr>
          <w:p>
            <w:r>
              <w:t>Storytelling</w:t>
            </w:r>
          </w:p>
        </w:tc>
        <w:tc>
          <w:tcPr>
            <w:tcW w:type="dxa" w:w="1728"/>
          </w:tcPr>
          <w:p>
            <w:r>
              <w:t>Develop stories from data and visuals</w:t>
              <w:br/>
              <w:t>Help construct presentations in story format</w:t>
              <w:br/>
              <w:t>Present to nontechnical audiences</w:t>
            </w:r>
          </w:p>
        </w:tc>
        <w:tc>
          <w:tcPr>
            <w:tcW w:type="dxa" w:w="1728"/>
          </w:tcPr>
          <w:p>
            <w:r>
              <w:t>Information design</w:t>
              <w:br/>
              <w:t>Writing and editing</w:t>
              <w:br/>
              <w:t>Presenting</w:t>
              <w:br/>
              <w:t>Persuasive communication</w:t>
            </w:r>
          </w:p>
        </w:tc>
        <w:tc>
          <w:tcPr>
            <w:tcW w:type="dxa" w:w="1728"/>
          </w:tcPr>
          <w:p>
            <w:r>
              <w:t>During creation of data visualization and presentations</w:t>
              <w:br/>
              <w:t>During presentation to nontechnical audiences</w:t>
            </w:r>
          </w:p>
        </w:tc>
        <w:tc>
          <w:tcPr>
            <w:tcW w:type="dxa" w:w="1728"/>
          </w:tcPr>
          <w:p>
            <w:r>
              <w:t>During visual iteration and prototyping</w:t>
            </w:r>
          </w:p>
        </w:tc>
      </w:tr>
    </w:tbl>
    <w:p>
      <w:pPr>
        <w:pStyle w:val="Heading3"/>
      </w:pPr>
      <w:r>
        <w:rPr>
          <w:b w:val="0"/>
          <w:i w:val="0"/>
        </w:rPr>
        <w:t>2. Hire to create a portfolio of necessary talents</w:t>
      </w:r>
    </w:p>
    <w:p>
      <w:r>
        <w:rPr>
          <w:b w:val="0"/>
          <w:i w:val="0"/>
        </w:rPr>
        <w:t>Once you’ve identified the talents you need, free your recruiting from the idea that these are roles you should hire people to fill. Instead focus on making sure these talents are available on the team. Some of them naturally tend to go together: Design and storytelling, for example, or data wrangling and data analysis, may exist in one person.</w:t>
      </w:r>
    </w:p>
    <w:p>
      <w:r>
        <w:rPr>
          <w:b w:val="0"/>
          <w:i w:val="0"/>
        </w:rPr>
        <w:t>Sometimes the talent will be found not in employees but in contractors. For my work, I keep a kitchen cabinet of people who have talents in areas where I’m weak. You may want to engage an information-design firm, or contract with some data wranglers to clean and structure new data streams.</w:t>
      </w:r>
    </w:p>
    <w:p>
      <w:r>
        <w:rPr>
          <w:b w:val="0"/>
          <w:i w:val="0"/>
        </w:rPr>
        <w:t>Thinking of talents as separate from people will help companies address the last-mile problem, because it will free them from trying to find the person who can both do data science and communicate it. Nabbing some people who have superior design skills will free data scientists to focus on their strengths. It will also open the door to people who might previously have been ignored. An average coder who also has good design skills, for example, might be very useful.</w:t>
      </w:r>
    </w:p>
    <w:p>
      <w:r>
        <w:rPr>
          <w:b w:val="0"/>
          <w:i w:val="0"/>
        </w:rPr>
        <w:t>Randal Olson, the lead data scientist at Life Epigenetics and curator of the Reddit channel Data Is Beautiful (devoted to sharing and discussing good dataviz), used to focus solely on how well someone did the technical part of data science. “I know, when I started, I had zero appreciation for the communication part of it,” he says. “I think that’s common.” Now, in some cases, he has changed the hiring process. “You know, they come in and we immediately start white-boarding models and math,” he says. “It’s data scientists talking to data scientists. Now I will sometimes bring in a nontechnical person and say to the candidate, ‘Explain this model to this person.’ ”</w:t>
      </w:r>
    </w:p>
    <w:p>
      <w:pPr>
        <w:pStyle w:val="Heading3"/>
      </w:pPr>
      <w:r>
        <w:rPr>
          <w:b w:val="0"/>
          <w:i w:val="0"/>
        </w:rPr>
        <w:t>3. Expose team members to talents they don’t have</w:t>
      </w:r>
    </w:p>
    <w:p>
      <w:r>
        <w:rPr>
          <w:b w:val="0"/>
          <w:i w:val="0"/>
        </w:rPr>
        <w:t>Overcoming culture clashes begins with understanding others’ experiences. Design talent often has no exposure to statistics or algorithms. Its focus is on aesthetic refinement, simplicity, clarity, and narrative. The depth and complexity of data work is hard for designers to reconcile. Hard-core data scientists, in contrast, value objectivity, statistical rigor, and comprehensiveness; the communication part is not only foreign to them but distracting. “It goes against their ethos,” says one manager of a data science operation at a large tech company. “I was the same way, working in data science for 10 years, but it was eye-opening for me when I had to build a team. I saw that if we just learned a little more about the communication part of it, we could champion so much more for the business.”</w:t>
      </w:r>
    </w:p>
    <w:p>
      <w:r>
        <w:rPr>
          <w:b/>
          <w:i w:val="0"/>
        </w:rPr>
        <w:t>FIGURE 9-1</w:t>
      </w:r>
    </w:p>
    <w:p>
      <w:r>
        <w:rPr>
          <w:b w:val="0"/>
          <w:i w:val="0"/>
        </w:rPr>
        <w:t>Build a talent dashboard</w:t>
      </w:r>
    </w:p>
    <w:p>
      <w:r>
        <w:rPr>
          <w:b w:val="0"/>
          <w:i/>
        </w:rPr>
        <w:t>Performing a talent audit helps managers do a better job of planning for projects and configuring teams.</w:t>
      </w:r>
      <w:r>
        <w:rPr>
          <w:b w:val="0"/>
          <w:i w:val="0"/>
        </w:rPr>
        <w:t xml:space="preserve">     </w:t>
      </w:r>
      <w:r>
        <w:rPr>
          <w:b w:val="0"/>
          <w:i/>
        </w:rPr>
        <w:t>First, identify the talents you need to have access to:</w:t>
      </w:r>
    </w:p>
    <w:p>
      <w:pPr>
        <w:jc w:val="center"/>
      </w:pPr>
      <w:r>
        <w:drawing>
          <wp:inline xmlns:a="http://schemas.openxmlformats.org/drawingml/2006/main" xmlns:pic="http://schemas.openxmlformats.org/drawingml/2006/picture">
            <wp:extent cx="6680200" cy="5715000"/>
            <wp:docPr id="17" name="Picture 17"/>
            <wp:cNvGraphicFramePr>
              <a:graphicFrameLocks noChangeAspect="1"/>
            </wp:cNvGraphicFramePr>
            <a:graphic>
              <a:graphicData uri="http://schemas.openxmlformats.org/drawingml/2006/picture">
                <pic:pic>
                  <pic:nvPicPr>
                    <pic:cNvPr id="0" name="epub_img_4682482552141873277.jpg"/>
                    <pic:cNvPicPr/>
                  </pic:nvPicPr>
                  <pic:blipFill>
                    <a:blip r:embed="rId19"/>
                    <a:stretch>
                      <a:fillRect/>
                    </a:stretch>
                  </pic:blipFill>
                  <pic:spPr>
                    <a:xfrm>
                      <a:off x="0" y="0"/>
                      <a:ext cx="6680200" cy="5715000"/>
                    </a:xfrm>
                    <a:prstGeom prst="rect"/>
                  </pic:spPr>
                </pic:pic>
              </a:graphicData>
            </a:graphic>
          </wp:inline>
        </w:drawing>
      </w:r>
    </w:p>
    <w:p>
      <w:pPr>
        <w:jc w:val="center"/>
      </w:pPr>
      <w:r>
        <w:drawing>
          <wp:inline xmlns:a="http://schemas.openxmlformats.org/drawingml/2006/main" xmlns:pic="http://schemas.openxmlformats.org/drawingml/2006/picture">
            <wp:extent cx="6680200" cy="5715000"/>
            <wp:docPr id="18" name="Picture 18"/>
            <wp:cNvGraphicFramePr>
              <a:graphicFrameLocks noChangeAspect="1"/>
            </wp:cNvGraphicFramePr>
            <a:graphic>
              <a:graphicData uri="http://schemas.openxmlformats.org/drawingml/2006/picture">
                <pic:pic>
                  <pic:nvPicPr>
                    <pic:cNvPr id="0" name="epub_img_4682482552141873277.jpg"/>
                    <pic:cNvPicPr/>
                  </pic:nvPicPr>
                  <pic:blipFill>
                    <a:blip r:embed="rId19"/>
                    <a:stretch>
                      <a:fillRect/>
                    </a:stretch>
                  </pic:blipFill>
                  <pic:spPr>
                    <a:xfrm>
                      <a:off x="0" y="0"/>
                      <a:ext cx="6680200" cy="5715000"/>
                    </a:xfrm>
                    <a:prstGeom prst="rect"/>
                  </pic:spPr>
                </pic:pic>
              </a:graphicData>
            </a:graphic>
          </wp:inline>
        </w:drawing>
      </w:r>
    </w:p>
    <w:p>
      <w:r>
        <w:rPr>
          <w:b w:val="0"/>
          <w:i w:val="0"/>
        </w:rPr>
        <w:t>There are many ways to expose team members to the value of others’ talents. Designers should learn some basic statistics—take an introductory course, for example—while data scientists learn basic design principles. Neither must become experts in their counterparts’ field—they just need to learn enough to appreciate each other.</w:t>
      </w:r>
    </w:p>
    <w:p>
      <w:r>
        <w:rPr>
          <w:b/>
          <w:i w:val="0"/>
        </w:rPr>
        <w:t>FIGURE 9-2</w:t>
      </w:r>
    </w:p>
    <w:p>
      <w:r>
        <w:rPr>
          <w:b w:val="0"/>
          <w:i w:val="0"/>
        </w:rPr>
        <w:t>Put it to use</w:t>
      </w:r>
    </w:p>
    <w:p>
      <w:r>
        <w:rPr>
          <w:b w:val="0"/>
          <w:i/>
        </w:rPr>
        <w:t>Knowing what talents are available, managers can now assign units of talent to a project according to when it’s needed. Typically, one cluster of talents will take the lead early in a project, and different clusters will do so in the later stages. Project management usually plays a big role throughout.</w:t>
      </w:r>
    </w:p>
    <w:p>
      <w:pPr>
        <w:jc w:val="center"/>
      </w:pPr>
      <w:r>
        <w:drawing>
          <wp:inline xmlns:a="http://schemas.openxmlformats.org/drawingml/2006/main" xmlns:pic="http://schemas.openxmlformats.org/drawingml/2006/picture">
            <wp:extent cx="6680200" cy="2755900"/>
            <wp:docPr id="19" name="Picture 19"/>
            <wp:cNvGraphicFramePr>
              <a:graphicFrameLocks noChangeAspect="1"/>
            </wp:cNvGraphicFramePr>
            <a:graphic>
              <a:graphicData uri="http://schemas.openxmlformats.org/drawingml/2006/picture">
                <pic:pic>
                  <pic:nvPicPr>
                    <pic:cNvPr id="0" name="epub_img_1195005141564881562.jpg"/>
                    <pic:cNvPicPr/>
                  </pic:nvPicPr>
                  <pic:blipFill>
                    <a:blip r:embed="rId20"/>
                    <a:stretch>
                      <a:fillRect/>
                    </a:stretch>
                  </pic:blipFill>
                  <pic:spPr>
                    <a:xfrm>
                      <a:off x="0" y="0"/>
                      <a:ext cx="6680200" cy="2755900"/>
                    </a:xfrm>
                    <a:prstGeom prst="rect"/>
                  </pic:spPr>
                </pic:pic>
              </a:graphicData>
            </a:graphic>
          </wp:inline>
        </w:drawing>
      </w:r>
    </w:p>
    <w:p>
      <w:pPr>
        <w:jc w:val="center"/>
      </w:pPr>
      <w:r>
        <w:drawing>
          <wp:inline xmlns:a="http://schemas.openxmlformats.org/drawingml/2006/main" xmlns:pic="http://schemas.openxmlformats.org/drawingml/2006/picture">
            <wp:extent cx="6680200" cy="2755900"/>
            <wp:docPr id="20" name="Picture 20"/>
            <wp:cNvGraphicFramePr>
              <a:graphicFrameLocks noChangeAspect="1"/>
            </wp:cNvGraphicFramePr>
            <a:graphic>
              <a:graphicData uri="http://schemas.openxmlformats.org/drawingml/2006/picture">
                <pic:pic>
                  <pic:nvPicPr>
                    <pic:cNvPr id="0" name="epub_img_1195005141564881562.jpg"/>
                    <pic:cNvPicPr/>
                  </pic:nvPicPr>
                  <pic:blipFill>
                    <a:blip r:embed="rId20"/>
                    <a:stretch>
                      <a:fillRect/>
                    </a:stretch>
                  </pic:blipFill>
                  <pic:spPr>
                    <a:xfrm>
                      <a:off x="0" y="0"/>
                      <a:ext cx="6680200" cy="2755900"/>
                    </a:xfrm>
                    <a:prstGeom prst="rect"/>
                  </pic:spPr>
                </pic:pic>
              </a:graphicData>
            </a:graphic>
          </wp:inline>
        </w:drawing>
      </w:r>
    </w:p>
    <w:p>
      <w:r>
        <w:rPr>
          <w:b w:val="0"/>
          <w:i w:val="0"/>
        </w:rPr>
        <w:t>Stand-ups and other meetings should always include a mix of talents. A scrum stand-up geared mostly to updating on tech progress can still include a marketer who makes presentations, as happens at Olson’s company. Subject-matter experts should bring data-wrangling and analysis talent to strategy meetings. Special sessions at which stakeholders answer questions from the data team and vice versa also help to bridge the gap. The chief algorithms officer at Stitch Fix, Eric Colson (who is something close to a unicorn, having both statistical and communication talents at a company where data science is intrinsic), asks his team members to make one-minute presentations to nontechnical audiences, forcing them to frame problems in smart ways that everyone can understand. “To this day,” Colson says, “if you say ‘coconuts’ here, people will know that was part of a metaphor one person used to describe a particular statistical problem he was tackling. We focus on framing it in ways everyone understands because the business won’t do what it doesn’t understand.” Another manager of a data science team created a glossary of terms used by technical talent and design talent to help employees become familiar with one another’s language.</w:t>
      </w:r>
    </w:p>
    <w:p>
      <w:r>
        <w:rPr>
          <w:b w:val="0"/>
          <w:i w:val="0"/>
        </w:rPr>
        <w:t>If your organization contains some of those rare people who, like Colson, have both data talents and communication and design talents, it helps to have them mentor one another. People who express interest in developing talents that they don’t have but that you need should be encouraged, even if those strengths (design skills, say) are far afield from the ones they already have (data wrangling). Indeed, in my workshops I hear from data scientists who would love to develop their design or storytelling talent but don’t have time to commit to it. Others would love to see that talent added to their teams, but their project management focuses primarily on technical outcomes, not business ones.</w:t>
      </w:r>
    </w:p>
    <w:p>
      <w:r>
        <w:rPr>
          <w:b w:val="0"/>
          <w:i w:val="0"/>
        </w:rPr>
        <w:t>All this exposure is meant to create empathy among team members with differing talents. Empathy in turn creates trust, a necessary basis for effective teamwork. Colson recalls a time he used storytelling talent to help explain something coming out of data analysis: “I remember doing a presentation on a merchandising problem, where I thought we were approaching it the wrong way. I had to get merchandising to buy in.” Instead of explaining beta-binomial distribution and other statistical concepts to bolster his point of view, he told a story about someone pulling balls from an urn and what happened over time to the number and type of balls in the urn. “People loved it,” he says. “You watched the room and how it clicked with them and gave them confidence so that at that point the math behind it wasn’t even necessary to explain. They trusted us.”</w:t>
      </w:r>
    </w:p>
    <w:p>
      <w:pPr>
        <w:pStyle w:val="Heading3"/>
      </w:pPr>
      <w:r>
        <w:rPr>
          <w:b w:val="0"/>
          <w:i w:val="0"/>
        </w:rPr>
        <w:t>4. Structure projects around talents</w:t>
      </w:r>
    </w:p>
    <w:p>
      <w:r>
        <w:rPr>
          <w:b w:val="0"/>
          <w:i w:val="0"/>
        </w:rPr>
        <w:t>With a portfolio of talents in place, it’s time to use it to accomplish your goals. The shifting nature of what talents are needed and when can make projects unwieldy. Strong project management skills and experience in agile methodologies will help in planning the configuration and reconfiguration of talents, marshaling resources as needed, and keeping schedules from overwhelming any part of the process.</w:t>
      </w:r>
    </w:p>
    <w:p>
      <w:pPr>
        <w:pStyle w:val="Heading3"/>
      </w:pPr>
      <w:r>
        <w:rPr>
          <w:b w:val="0"/>
          <w:i w:val="0"/>
        </w:rPr>
        <w:t>Putting It All Together</w:t>
      </w:r>
    </w:p>
    <w:p>
      <w:r>
        <w:rPr>
          <w:b w:val="0"/>
          <w:i w:val="0"/>
        </w:rPr>
        <w:t>You’ll want to take other steps to make your projects successful:</w:t>
      </w:r>
    </w:p>
    <w:p>
      <w:pPr>
        <w:pStyle w:val="Heading3"/>
      </w:pPr>
      <w:r>
        <w:rPr>
          <w:b w:val="0"/>
          <w:i w:val="0"/>
        </w:rPr>
        <w:t>Assign a single, empowered stakeholder</w:t>
      </w:r>
    </w:p>
    <w:p>
      <w:r>
        <w:rPr>
          <w:b w:val="0"/>
          <w:i w:val="0"/>
        </w:rPr>
        <w:t>It’s possible, or even likely, that not all the people whose talents you need will report to the data science team manager. Design talent may report to marketing; subject-matter experts may be executives reporting to the CEO. Nevertheless, it’s important to give the team as much decision-making power as possible. Stakeholders will most often be people with business expertise who are closely connected to or responsible for business goals; the aim of the work, after all, is better business outcomes. Those people can create shared goals and incentives for the team. Ideally you can avoid the responsibility-without-authority trap, in which the team is dealing with several stakeholders who may not all be aligned.</w:t>
      </w:r>
    </w:p>
    <w:p>
      <w:pPr>
        <w:pStyle w:val="Heading3"/>
      </w:pPr>
      <w:r>
        <w:rPr>
          <w:b w:val="0"/>
          <w:i w:val="0"/>
        </w:rPr>
        <w:t>Assign leading talent and support talent</w:t>
      </w:r>
    </w:p>
    <w:p>
      <w:r>
        <w:rPr>
          <w:b w:val="0"/>
          <w:i w:val="0"/>
        </w:rPr>
        <w:t>Who leads and who supports will depend on what kind of project it is and what phase it’s in. For example, in a deeply exploratory project, in which large volumes of data are being processed and visualized just to find patterns, data wrangling and analysis take the lead, with support from subject expertise; design talent may not participate at all, since no external communication is required. Conversely, to prepare a report for the board on evidence for a recommended strategy adjustment, storytelling and design lead with support from data talent.</w:t>
      </w:r>
    </w:p>
    <w:p>
      <w:pPr>
        <w:pStyle w:val="Heading3"/>
      </w:pPr>
      <w:r>
        <w:rPr>
          <w:b w:val="0"/>
          <w:i w:val="0"/>
        </w:rPr>
        <w:t>Colocate</w:t>
      </w:r>
    </w:p>
    <w:p>
      <w:r>
        <w:rPr>
          <w:b w:val="0"/>
          <w:i w:val="0"/>
        </w:rPr>
        <w:t>Have all team members work in the same physical space during a project. Also set up a shared virtual space for communication and collaboration. It would be undesirable to have those with design and storytelling talent using a Slack channel while the tech team is using GitHub and the business experts are collaborating over email. Use “paired analysis” techniques, whereby team members literally sit next to each other and work on one screen in a scrumlike iterative process. They may be people with data-wrangling and analysis talent refining data models and testing hypotheses, or a pair with both subject expertise and storytelling ability who are working together to polish a presentation, calling in design when they have to adapt a chart.</w:t>
      </w:r>
    </w:p>
    <w:p>
      <w:pPr>
        <w:pStyle w:val="Heading3"/>
      </w:pPr>
      <w:r>
        <w:rPr>
          <w:b w:val="0"/>
          <w:i w:val="0"/>
        </w:rPr>
        <w:t>Make it a real team</w:t>
      </w:r>
    </w:p>
    <w:p>
      <w:r>
        <w:rPr>
          <w:b w:val="0"/>
          <w:i w:val="0"/>
        </w:rPr>
        <w:t>The crucial conceit in colocation is that it’s one empowered team. At Stitch Fix “our rule is no handoffs,” Colson says. “We don’t want to have to coordinate three people across departments.” To this end he has made it a priority to ensure that his teams have all the skills they need to accomplish their goals with limited external support. He also tries to hire people many would consider generalists who cross the tech-communication gap. He augments this model with regular feedback for, say, a data person who needs help with storytelling, or a subject expert who needs to understand some statistical principle.</w:t>
      </w:r>
    </w:p>
    <w:p>
      <w:pPr>
        <w:pStyle w:val="Heading3"/>
      </w:pPr>
      <w:r>
        <w:rPr>
          <w:b w:val="0"/>
          <w:i w:val="0"/>
        </w:rPr>
        <w:t>Reuse and template</w:t>
      </w:r>
    </w:p>
    <w:p>
      <w:r>
        <w:rPr>
          <w:b w:val="0"/>
          <w:i w:val="0"/>
        </w:rPr>
        <w:t>Colson also created an “algo UI team.” Think of this as a group of people who combine their design talents and data-wrangling talents to create reusable code sets for producing good dataviz for the project teams. Such templates are invaluable for getting a team operating efficiently. Conversations that an information designer, say, would have with a data analyst about best practices in visualization become hard-coded in the tools. Graham MacDonald, the chief data scientist at the Urban Institute, has successfully fostered this kind of cooperation on templating. His group produces data by county for many U.S. counties. By getting data wrangling and subject expertise together to understand the communication needs, the group built a reusable template that could customize the output for any particular county. Such an outcome would have been difficult without the integration of those talents on the team.</w:t>
      </w:r>
    </w:p>
    <w:p>
      <w:pPr>
        <w:pStyle w:val="Heading3"/>
      </w:pPr>
      <w:r>
        <w:rPr>
          <w:b w:val="0"/>
          <w:i w:val="0"/>
        </w:rPr>
        <w:t>Conclusion</w:t>
      </w:r>
    </w:p>
    <w:p>
      <w:r>
        <w:rPr>
          <w:b w:val="0"/>
          <w:i w:val="0"/>
        </w:rPr>
        <w:t>The presentation of data science to lay audiences—the last mile—hasn’t evolved as rapidly or as fully as the science’s technical part. It must catch up, and that means rethinking how data science teams are put together, how they’re managed, and who’s involved at every point in the process, from the first data stream to the final chart shown to the board. Until companies can successfully traverse that last mile, data science teams will underdeliver. They will provide, in Willard Brinton’s words, foundations without cathedrals.</w:t>
      </w:r>
    </w:p>
    <w:p>
      <w:r>
        <w:rPr>
          <w:b w:val="0"/>
          <w:i w:val="0"/>
        </w:rPr>
        <w:t>TAKEAWAYS</w:t>
      </w:r>
    </w:p>
    <w:p>
      <w:r>
        <w:rPr>
          <w:b w:val="0"/>
          <w:i w:val="0"/>
        </w:rPr>
        <w:t>Companies responded to the analytics boom by hiring the best data scientists, but many of them haven’t gotten the value they expected from their data science initiatives. Their efforts fall short when it comes to communicating their findings to decision makers—otherwise known as the last-mile problem.</w:t>
      </w:r>
    </w:p>
    <w:p>
      <w:r>
        <w:rPr>
          <w:b w:val="0"/>
          <w:i w:val="0"/>
        </w:rPr>
        <w:t>✓  Companies must rethink how they build their data science teams by focusing on six talents: project management, data wrangling, data analysis, subject expertise, design, and storytelling.</w:t>
      </w:r>
    </w:p>
    <w:p>
      <w:r>
        <w:rPr>
          <w:b w:val="0"/>
          <w:i w:val="0"/>
        </w:rPr>
        <w:t>✓  Identify which of these talents are missing on your team. Find a variety of people who have these skills to fill these gaps, remembering that some may excel in more than one.</w:t>
      </w:r>
    </w:p>
    <w:p>
      <w:r>
        <w:rPr>
          <w:b w:val="0"/>
          <w:i w:val="0"/>
        </w:rPr>
        <w:t>✓  Expose team members to the value of others’ talents to prevent culture clashes. If one individual excels in design and another in analysis, encourage them to learn each other’s skills, so they can appreciate what other team members bring to the table.</w:t>
      </w:r>
    </w:p>
    <w:p>
      <w:r>
        <w:rPr>
          <w:b w:val="0"/>
          <w:i w:val="0"/>
        </w:rPr>
        <w:t>✓  Use these talents to accomplish your goals by structuring your projects around these skills.</w:t>
      </w:r>
    </w:p>
    <w:p>
      <w:r>
        <w:rPr>
          <w:b w:val="0"/>
          <w:i/>
        </w:rPr>
        <w:t>Reprinted from</w:t>
      </w:r>
      <w:r>
        <w:rPr>
          <w:b w:val="0"/>
          <w:i w:val="0"/>
        </w:rPr>
        <w:t xml:space="preserve"> Harvard Business Review</w:t>
      </w:r>
      <w:r>
        <w:rPr>
          <w:b w:val="0"/>
          <w:i/>
        </w:rPr>
        <w:t>, January–February 2019 (product #R1901K).</w:t>
      </w:r>
    </w:p>
    <w:p>
      <w:pPr>
        <w:pStyle w:val="Heading1"/>
      </w:pPr>
      <w:r>
        <w:rPr>
          <w:b w:val="0"/>
          <w:i w:val="0"/>
        </w:rPr>
        <w:t>Section 3</w:t>
      </w:r>
    </w:p>
    <w:p>
      <w:pPr>
        <w:pStyle w:val="Heading1"/>
      </w:pPr>
      <w:r>
        <w:rPr>
          <w:b w:val="0"/>
          <w:i w:val="0"/>
        </w:rPr>
        <w:t>APPLYING DATA ANALYTICS</w:t>
      </w:r>
    </w:p>
    <w:p>
      <w:pPr>
        <w:pStyle w:val="Heading1"/>
      </w:pPr>
      <w:r>
        <w:rPr>
          <w:b w:val="0"/>
          <w:i w:val="0"/>
        </w:rPr>
        <w:t>10</w:t>
      </w:r>
    </w:p>
    <w:p>
      <w:pPr>
        <w:pStyle w:val="Heading1"/>
      </w:pPr>
      <w:r>
        <w:rPr>
          <w:b w:val="0"/>
          <w:i w:val="0"/>
        </w:rPr>
        <w:t>HOW VINEYARD VINES USES ANALYTICS TO WIN OVER CUSTOMERS</w:t>
      </w:r>
    </w:p>
    <w:p>
      <w:r>
        <w:rPr>
          <w:b w:val="0"/>
          <w:i w:val="0"/>
        </w:rPr>
        <w:t>by Dave Sutton</w:t>
      </w:r>
    </w:p>
    <w:p>
      <w:r>
        <w:rPr>
          <w:b w:val="0"/>
          <w:i w:val="0"/>
        </w:rPr>
        <w:t>When brothers Shep and Ian Murray cut their ties with corporate America to start a little company on Martha’s Vineyard in 1998, their motivation was clear: “We’re making neckties so we don’t have to wear them.”1</w:t>
      </w:r>
    </w:p>
    <w:p>
      <w:r>
        <w:rPr>
          <w:b w:val="0"/>
          <w:i w:val="0"/>
        </w:rPr>
        <w:t>Little did they know that the business they founded, Vineyard Vines, would become a darling of the fashion industry and a household brand name around the country.</w:t>
      </w:r>
    </w:p>
    <w:p>
      <w:r>
        <w:rPr>
          <w:b w:val="0"/>
          <w:i w:val="0"/>
        </w:rPr>
        <w:t>Today, the company best known for its smiling pink whale logo offers much more than its signature neckwear. It manufactures a full line of “exclusive, yet attainable” clothing and accessories for men, women, and children. That “little” privately held business has grown tremendously since its launch and currently has more than 90 physical retail locations and a highly successful e-commerce business.</w:t>
      </w:r>
    </w:p>
    <w:p>
      <w:r>
        <w:rPr>
          <w:b w:val="0"/>
          <w:i w:val="0"/>
        </w:rPr>
        <w:t xml:space="preserve">I met the team at Vineyard Vines while doing research about data-driven marketing technologies for my book, </w:t>
      </w:r>
      <w:r>
        <w:rPr>
          <w:b w:val="0"/>
          <w:i/>
        </w:rPr>
        <w:t>Marketing, Interrupted</w:t>
      </w:r>
      <w:r>
        <w:rPr>
          <w:b w:val="0"/>
          <w:i w:val="0"/>
        </w:rPr>
        <w:t>, and learned firsthand about the company’s beginnings and what has made it so successful today. From the very beginning, the Murray brothers adopted a guiding principle to authentically connect with and deeply understand the unique needs of their customers. This principle has always been a priority for the leadership team at Vineyard Vines and it is still top of mind today. It is clear that the current VP of Marketing, Lindsey Worster, is committed to this principle, as she told me: “We are all about getting the right message, about the right product, at the right time to our customer—targeted, relevant, and authentic communication is our primary goal.”</w:t>
      </w:r>
    </w:p>
    <w:p>
      <w:r>
        <w:rPr>
          <w:b w:val="0"/>
          <w:i w:val="0"/>
        </w:rPr>
        <w:t>Of course, this type of real-time, one-to-one marketing is easier said than done.</w:t>
      </w:r>
    </w:p>
    <w:p>
      <w:r>
        <w:rPr>
          <w:b w:val="0"/>
          <w:i w:val="0"/>
        </w:rPr>
        <w:t>As Vineyard Vines has rapidly grown its customer base, the size of its customer database has expanded, too. Terabytes of data have been captured. Hundreds of attributes, encompassing customer profiles, preferences, and buying behaviors, must be parsed into actionable insights in order to deliver a highly personalized experience. Like many competitors in the apparel industry, Vineyard Vines has kept its operations lean in order to preserve operating margins. This means that it simply does not have the human resources to perform the onerous data analysis and behavioral segmentation needed to inform true one-to-one marketing. So, over the years, the retailer fell into the trap of relying on traditional “batch-and-blast” types of communications to reach its customers, promote products, and make offers. Of course, that trade-off was inconsistent with the guiding principles of the founders, but it was perceived to be the only way to keep the cash register ringing. But, Worster acknowledged, “With the batch-and-blast campaigns, we were sending the exact same message and static images to millions of people, and that just isn’t the best way to communicate with customers.”</w:t>
      </w:r>
    </w:p>
    <w:p>
      <w:r>
        <w:rPr>
          <w:b w:val="0"/>
          <w:i w:val="0"/>
        </w:rPr>
        <w:t>In July 2016, the e-commerce team at Vineyard Vines set out to find a solution to help it keep pace with its dynamic customer base and stay true to its principles of authentic, relevant, and personalized communications. What team members were looking for was a retailer-agnostic platform that would integrate their online customer and products data to enable true one-to-one, personalized messaging. As we all know, Amazon has the technology to do this, but it’s proprietary and not available to retailers.</w:t>
      </w:r>
    </w:p>
    <w:p>
      <w:r>
        <w:rPr>
          <w:b w:val="0"/>
          <w:i w:val="0"/>
        </w:rPr>
        <w:t>Enter Fayez Mohamood and his team at Bluecore, a retail marketing automation platform. The solution that Fayez and his team have developed correlates customer behaviors and their interactions with the retailer’s online product catalog. From these analytics, Bluecore dynamically builds intelligent, triggered campaigns that can be run across email and social media channels or be used to optimize search-engine marketing. At the heart of the solution sits an AI-driven decisioning engine that determines the timing and content of the next best campaign to send to individual shoppers. The decisioning engine takes the data about the customers’ interactions with specific products and decides what products to target next for each customer, based on its understanding of the individual and the collective wisdom of all customers. It understands which customers have price sensitivities (and therefore are motivated by discounts), what items an individual customer has viewed, what those items have in common with other items the customer engaged with, which products are replenishable items and at what cadence a specific customer replenishes them, which activities predict an upcoming purchase, the right time to contact a specific customer, a customers’ lifetime value and activity, and so on.</w:t>
      </w:r>
    </w:p>
    <w:p>
      <w:r>
        <w:rPr>
          <w:b w:val="0"/>
          <w:i w:val="0"/>
        </w:rPr>
        <w:t>Initially, Vineyard Vines deployed the technology to tackle obvious challenges like triggering emails for abandoned shopping carts, abandoned searches, and abandoned browses. After seeing increases in revenue per email (RPE) on those initial customer messaging efforts, the marketing team decided to expand its use of the dynamic decisioning capabilities of the platform—what Bluecore refers to as “predictive audiences.” This part of the platform enables Vineyard Vines to send dynamic, personalized messaging based on a customer’s online behaviors, purchase transactions, and their relative level of personal engagement with the brand.</w:t>
      </w:r>
    </w:p>
    <w:p>
      <w:r>
        <w:rPr>
          <w:b w:val="0"/>
          <w:i w:val="0"/>
        </w:rPr>
        <w:t>Next, the marketing team quickly set about using the platform to automate campaigns for specific use cases where personalization and relevancy had always been a challenge, including:</w:t>
      </w:r>
    </w:p>
    <w:p>
      <w:pPr>
        <w:pStyle w:val="ListBullet"/>
      </w:pPr>
      <w:r>
        <w:rPr>
          <w:b w:val="0"/>
          <w:i w:val="0"/>
        </w:rPr>
        <w:t>notifying customers when high-demand products were back in stock</w:t>
      </w:r>
    </w:p>
    <w:p>
      <w:pPr>
        <w:pStyle w:val="ListBullet"/>
      </w:pPr>
      <w:r>
        <w:rPr>
          <w:b w:val="0"/>
          <w:i w:val="0"/>
        </w:rPr>
        <w:t>communicating last-chance offers on stock-out items</w:t>
      </w:r>
    </w:p>
    <w:p>
      <w:pPr>
        <w:pStyle w:val="ListBullet"/>
      </w:pPr>
      <w:r>
        <w:rPr>
          <w:b w:val="0"/>
          <w:i w:val="0"/>
        </w:rPr>
        <w:t>running holiday-specific and special event campaigns</w:t>
      </w:r>
    </w:p>
    <w:p>
      <w:pPr>
        <w:pStyle w:val="ListBullet"/>
      </w:pPr>
      <w:r>
        <w:rPr>
          <w:b w:val="0"/>
          <w:i w:val="0"/>
        </w:rPr>
        <w:t>predicting when a customer may be at risk of unsubscribing</w:t>
      </w:r>
    </w:p>
    <w:p>
      <w:r>
        <w:rPr>
          <w:b w:val="0"/>
          <w:i w:val="0"/>
        </w:rPr>
        <w:t>The days of batch-and-blast campaigns for Vineyards Vines may soon be over, as to date the campaign results with the new decisioning engine have been exceeding expectations. Consider the following campaign examples:</w:t>
      </w:r>
    </w:p>
    <w:p>
      <w:pPr>
        <w:pStyle w:val="Heading3"/>
      </w:pPr>
      <w:r>
        <w:rPr>
          <w:b w:val="0"/>
          <w:i w:val="0"/>
        </w:rPr>
        <w:t>Holiday campaigns expand reach without sacrificing relevance</w:t>
      </w:r>
    </w:p>
    <w:p>
      <w:r>
        <w:rPr>
          <w:b w:val="0"/>
          <w:i w:val="0"/>
        </w:rPr>
        <w:t>The Vineyard Vines team increased the reach for its annual St. Patrick’s Day email campaign from 3,000 recipients in 2017 to more than 239,000 in 2018, while maintaining a highly personalized approach. This holiday-themed product campaign targeted two specific audiences: customers who had previously viewed the holiday-themed apparel and customers with a high affinity toward the product. The open rate for emails generated from the new platform was up 68% and the RPE increased by 572% over the prior year, when a batch-and-blast approach had been used. For the annual Easter campaign, the marketing team used the platform to target not only customers who had browsed Easter-related products previously but also expanded the list of recipients to include customers who had a high affinity toward the products. In this case, the number of recipients jumped from 5,000 to 150,000, open rates were up 77%, and RPE was up 759% over the prior year’s results.</w:t>
      </w:r>
    </w:p>
    <w:p>
      <w:pPr>
        <w:pStyle w:val="Heading3"/>
      </w:pPr>
      <w:r>
        <w:rPr>
          <w:b w:val="0"/>
          <w:i w:val="0"/>
        </w:rPr>
        <w:t>A seasonal campaign generates outsized ROI through enhanced cross-channel marketing</w:t>
      </w:r>
    </w:p>
    <w:p>
      <w:r>
        <w:rPr>
          <w:b w:val="0"/>
          <w:i w:val="0"/>
        </w:rPr>
        <w:t>The social media team at Vineyard Vines used the decisioning engine to determine which customers are unlikely to open or click emails and then targeted those customers on Facebook instead. This cross-channel move resulted in a 182% ROI. Based on its initial success, the team plans to extend this approach to even more channels. First up is an anti-churn campaign that targets at-risk customers through direct mail. The team believes this campaign will offer a powerful opportunity to reengage with these customers in a new way.</w:t>
      </w:r>
    </w:p>
    <w:p>
      <w:pPr>
        <w:pStyle w:val="Heading3"/>
      </w:pPr>
      <w:r>
        <w:rPr>
          <w:b w:val="0"/>
          <w:i w:val="0"/>
        </w:rPr>
        <w:t>A women’s performance campaign far outperforms expectations</w:t>
      </w:r>
    </w:p>
    <w:p>
      <w:r>
        <w:rPr>
          <w:b w:val="0"/>
          <w:i w:val="0"/>
        </w:rPr>
        <w:t>The goal of this campaign was to introduce a new women’s performance collection to customers who would have a high affinity for the product line based on predictive models. Since this was a brand-new product launch, the team didn’t have any historical purchase behavior to use as a guide for segmentation, so Bluecore was used to close that gap. The target audience was customers who had a high or very high product affinity for Vineyard Vines’s brand-new women’s performance leggings. Using the new decisioning engine, the campaign generated 124% higher RPE than the average Vineyard Vines women’s campaign.</w:t>
      </w:r>
    </w:p>
    <w:p>
      <w:pPr>
        <w:pStyle w:val="Heading3"/>
      </w:pPr>
      <w:r>
        <w:rPr>
          <w:b w:val="0"/>
          <w:i w:val="0"/>
        </w:rPr>
        <w:t>The decisioning engine helps find new customer segments</w:t>
      </w:r>
    </w:p>
    <w:p>
      <w:r>
        <w:rPr>
          <w:b w:val="0"/>
          <w:i w:val="0"/>
        </w:rPr>
        <w:t>The Vineyard Vines team is using the “audience insights” module of Bluecore to reveal retail-focused insights for specific groups of customers. In terms of customer needs, the ability to map customers to different life cycle stages helped the Vineyard Vines team home in on which priority customers to target, such as those who are at risk of opting out of direct marketing communications and losing touch with the brand. Looking at engagement with products, the team found “hidden gems,” or products with low traffic but high conversion rates. This insight clued the team in on the products to which they should drive more traffic through targeted campaigns. When the marketing team combined the intelligence from audience insights with predictive decisioning, the results were impressive. For example, after finding that several kids’ products landed in the “hidden gems” category, the team decided to create a “Kids’ Weekly Best Sellers” campaign to drive more traffic to those products. It targeted customers who had previously browsed kids’ products, had a high-to-medium likelihood of opening emails, and were unlikely to unsubscribe. Within the first 24 hours, the campaign brought in an 81% higher revenue per email than the traditional batch-and-blast kids’ email campaigns.</w:t>
      </w:r>
    </w:p>
    <w:p>
      <w:r>
        <w:rPr>
          <w:b w:val="0"/>
          <w:i w:val="0"/>
        </w:rPr>
        <w:t>What can other companies learn from Vineyard Vines’s success? A few best practices stand out:</w:t>
      </w:r>
    </w:p>
    <w:p>
      <w:pPr>
        <w:pStyle w:val="ListBullet"/>
      </w:pPr>
      <w:r>
        <w:rPr>
          <w:b w:val="0"/>
          <w:i w:val="0"/>
        </w:rPr>
        <w:t>Engage with customers on a one-to-one level. It’s no longer a “nice-to-have”—customers expect it.</w:t>
      </w:r>
    </w:p>
    <w:p>
      <w:pPr>
        <w:pStyle w:val="ListBullet"/>
      </w:pPr>
      <w:r>
        <w:rPr>
          <w:b w:val="0"/>
          <w:i w:val="0"/>
        </w:rPr>
        <w:t>Overhaul your batch-and-blast approach to email marketing by integrating behavioral data and predictive algorithms to make high-volume campaign sends that are unique to each recipient.</w:t>
      </w:r>
    </w:p>
    <w:p>
      <w:pPr>
        <w:pStyle w:val="ListBullet"/>
      </w:pPr>
      <w:r>
        <w:rPr>
          <w:b w:val="0"/>
          <w:i w:val="0"/>
        </w:rPr>
        <w:t>Provide your loyal customers with the best experience at every touchpoint.</w:t>
      </w:r>
    </w:p>
    <w:p>
      <w:pPr>
        <w:pStyle w:val="ListBullet"/>
      </w:pPr>
      <w:r>
        <w:rPr>
          <w:b w:val="0"/>
          <w:i w:val="0"/>
        </w:rPr>
        <w:t>Target customers in a personalized manner across more than just email, and determine the best channel mix for each customer.</w:t>
      </w:r>
    </w:p>
    <w:p>
      <w:pPr>
        <w:pStyle w:val="ListBullet"/>
      </w:pPr>
      <w:r>
        <w:rPr>
          <w:b w:val="0"/>
          <w:i w:val="0"/>
        </w:rPr>
        <w:t>Gain a deeper understanding of customers and products. View detailed audience insights to better understand customer health and engagement with products.</w:t>
      </w:r>
    </w:p>
    <w:p>
      <w:r>
        <w:rPr>
          <w:b w:val="0"/>
          <w:i w:val="0"/>
        </w:rPr>
        <w:t>Without tools like Bluecore, retailers don’t have a clear or accessible understanding of what products customers are interacting with or the commonalities across products that a single customer has engaged with. They also don’t know the minute that a product’s status changes. Consider the occasions when a product decreases in value, goes out of stock, or is back in stock again—all of these events should trigger action by the retailer. Most retailers struggle to understand how and why a customer engages with a product unless the customer buys it or abandons the cart. Today, there’s so much more that can be done to better serve customers and to ultimately make your company more successful.</w:t>
      </w:r>
    </w:p>
    <w:p>
      <w:r>
        <w:rPr>
          <w:b w:val="0"/>
          <w:i w:val="0"/>
        </w:rPr>
        <w:t>TAKEAWAYS</w:t>
      </w:r>
    </w:p>
    <w:p>
      <w:r>
        <w:rPr>
          <w:b w:val="0"/>
          <w:i w:val="0"/>
        </w:rPr>
        <w:t>Vineyard Vines uses its customers’ data to connect with them authentically using real-time, one-to-one marketing. Understanding what this company has learned through its analytics and AI efforts can help you improve your marketing campaigns to reengage customers and increase revenue.</w:t>
      </w:r>
    </w:p>
    <w:p>
      <w:r>
        <w:rPr>
          <w:b w:val="0"/>
          <w:i w:val="0"/>
        </w:rPr>
        <w:t>✓  Moving past batch-and-blast messages that sent the same text and images to millions, Vineyard Vines looked to authentic, relevant, and personalized communications through a retail marketing automation platform. This platform created triggered campaigns based on an AI-driven decisioning engine that determined the timing and content delivered for each shopper.</w:t>
      </w:r>
    </w:p>
    <w:p>
      <w:r>
        <w:rPr>
          <w:b w:val="0"/>
          <w:i w:val="0"/>
        </w:rPr>
        <w:t>✓  The company also expanded into “predictive audiences,” which enabled the company to send personalized messages based on the customers’ online behaviors, purchase transactions, and level of personal engagement with the brand.</w:t>
      </w:r>
    </w:p>
    <w:p>
      <w:r>
        <w:rPr>
          <w:b w:val="0"/>
          <w:i w:val="0"/>
        </w:rPr>
        <w:t>✓  The Vineyard Vines example illuminates a few additional best practices: Provide your customers with the best experiences at every touchpoint; determine the best channel mix for each customer; and view detailed audience insights to understand customer health and engagement with products.</w:t>
      </w:r>
    </w:p>
    <w:p>
      <w:pPr>
        <w:pStyle w:val="Heading3"/>
      </w:pPr>
      <w:r>
        <w:rPr>
          <w:b w:val="0"/>
          <w:i w:val="0"/>
        </w:rPr>
        <w:t>NOTE</w:t>
      </w:r>
    </w:p>
    <w:p>
      <w:pPr>
        <w:pStyle w:val="ListNumber"/>
      </w:pPr>
      <w:r>
        <w:rPr>
          <w:b w:val="0"/>
          <w:i w:val="0"/>
        </w:rPr>
        <w:t xml:space="preserve">1. Ray A. Smith, “Tie Association, a Fashion Victim, Calls It Quits as Trends Change,” </w:t>
      </w:r>
      <w:r>
        <w:rPr>
          <w:b w:val="0"/>
          <w:i/>
        </w:rPr>
        <w:t>Wall Street Journal</w:t>
      </w:r>
      <w:r>
        <w:rPr>
          <w:b w:val="0"/>
          <w:i w:val="0"/>
        </w:rPr>
        <w:t>, June 4, 2008, https://www.wsj.com/articles/SB121253690573743197.</w:t>
      </w:r>
    </w:p>
    <w:p>
      <w:r>
        <w:rPr>
          <w:b w:val="0"/>
          <w:i/>
        </w:rPr>
        <w:t>Adapted from content posted on hbr.org, June 8, 2018 (product #H04DRC).</w:t>
      </w:r>
    </w:p>
    <w:p>
      <w:pPr>
        <w:pStyle w:val="Heading1"/>
      </w:pPr>
      <w:r>
        <w:rPr>
          <w:b w:val="0"/>
          <w:i w:val="0"/>
        </w:rPr>
        <w:t>11</w:t>
      </w:r>
    </w:p>
    <w:p>
      <w:pPr>
        <w:pStyle w:val="Heading1"/>
      </w:pPr>
      <w:r>
        <w:rPr>
          <w:b w:val="0"/>
          <w:i w:val="0"/>
        </w:rPr>
        <w:t>HOW TO USE EMPLOYEE DATA RESPONSIBLY</w:t>
      </w:r>
    </w:p>
    <w:p>
      <w:r>
        <w:rPr>
          <w:b w:val="0"/>
          <w:i w:val="0"/>
        </w:rPr>
        <w:t>by Ellyn Shook, Eva Sage-Gavin, and Susan Cantrell</w:t>
      </w:r>
    </w:p>
    <w:p>
      <w:r>
        <w:rPr>
          <w:b w:val="0"/>
          <w:i w:val="0"/>
        </w:rPr>
        <w:t xml:space="preserve">In the wake of recent customer data breaches, companies are recognizing the need for more protections and transparency around the collection and use of customer data. But few have paid equal attention to the issues arising from the collection and mining of </w:t>
      </w:r>
      <w:r>
        <w:rPr>
          <w:b w:val="0"/>
          <w:i/>
        </w:rPr>
        <w:t>workplace</w:t>
      </w:r>
      <w:r>
        <w:rPr>
          <w:b w:val="0"/>
          <w:i w:val="0"/>
        </w:rPr>
        <w:t xml:space="preserve"> data.</w:t>
      </w:r>
    </w:p>
    <w:p>
      <w:r>
        <w:rPr>
          <w:b w:val="0"/>
          <w:i w:val="0"/>
        </w:rPr>
        <w:t>Companies have vast amounts of valuable data on work and their workforce, and executives recognize the opportunity to use this data to improve productivity and to motivate and engage people. But employees are skeptical.</w:t>
      </w:r>
    </w:p>
    <w:p>
      <w:r>
        <w:rPr>
          <w:b w:val="0"/>
          <w:i w:val="0"/>
        </w:rPr>
        <w:t xml:space="preserve">We surveyed more than 10,000 workers, across all skill levels and generations, and 1,400 C-level executives, in 13 countries and 13 industries. We found that more than 90% of the employees are willing to let their employers collect and use data on them and their work, but </w:t>
      </w:r>
      <w:r>
        <w:rPr>
          <w:b w:val="0"/>
          <w:i/>
        </w:rPr>
        <w:t>only if</w:t>
      </w:r>
      <w:r>
        <w:rPr>
          <w:b w:val="0"/>
          <w:i w:val="0"/>
        </w:rPr>
        <w:t xml:space="preserve"> they benefit in some way.1 And they harbor serious concerns about how companies might use the data. Perhaps for good reason: Only 30% of the executives whose companies use workforce data reported being highly confident they are using the data responsibly.</w:t>
      </w:r>
    </w:p>
    <w:p>
      <w:r>
        <w:rPr>
          <w:b w:val="0"/>
          <w:i w:val="0"/>
        </w:rPr>
        <w:t>There’s a great deal at stake in misusing employees’ data. Our survey measured how employee trust increases or decreases in relation to 31 workforce data practices, and then we created an economic model to determine the effect of trust levels on revenue. We found that businesses risk losing 6% of current revenue growth if they lose the trust of their people. On the other side, higher trust, or a “trust dividend,” would be worth more than a 6% increase in revenue growth.</w:t>
      </w:r>
    </w:p>
    <w:p>
      <w:r>
        <w:rPr>
          <w:b w:val="0"/>
          <w:i w:val="0"/>
        </w:rPr>
        <w:t>How can companies use workplace data in an effective, responsible, and ethical way? Our research suggests a framework of three key actions responsible leaders can take.</w:t>
      </w:r>
    </w:p>
    <w:p>
      <w:pPr>
        <w:pStyle w:val="Heading3"/>
      </w:pPr>
      <w:r>
        <w:rPr>
          <w:b w:val="0"/>
          <w:i w:val="0"/>
        </w:rPr>
        <w:t>Give Employees More Control</w:t>
      </w:r>
    </w:p>
    <w:p>
      <w:r>
        <w:rPr>
          <w:b w:val="0"/>
          <w:i w:val="0"/>
        </w:rPr>
        <w:t>Consumers have become highly conscious of how their personal data is used and misused. And they have been supported by new laws and regulations that give them more control over their data. But this isn’t the case in the workplace.</w:t>
      </w:r>
    </w:p>
    <w:p>
      <w:r>
        <w:rPr>
          <w:b w:val="0"/>
          <w:i w:val="0"/>
        </w:rPr>
        <w:t>Protections of people’s work-related data are still years behind that of consumer-related data, and the governance of workforce data skews heavily toward the corporation. If leaders want access to valuable data, they will need to forge a new “give and get” relationship with employees and share more control with them over their own data.</w:t>
      </w:r>
    </w:p>
    <w:p>
      <w:r>
        <w:rPr>
          <w:b w:val="0"/>
          <w:i w:val="0"/>
        </w:rPr>
        <w:t>For example, wall-mounted cameras track every person and asset at our client Schlumberger’s Center for Reliability &amp; Efficiency in Denton, Texas, a facility that carries out maintenance and manufacturing of oil field equipment. The video data is aggregated and anonymized, and AI analyzes patterns to improve productivity. The data is never used to monitor how individuals work, but anyone can opt in privately to see their own performance data. This has its benefits: For example, the company drew on the data to grant workers more frequent but shorter breaks to combat productivity-sapping fatigue.</w:t>
      </w:r>
    </w:p>
    <w:p>
      <w:r>
        <w:rPr>
          <w:b w:val="0"/>
          <w:i w:val="0"/>
        </w:rPr>
        <w:t>One step toward giving employees more control would be to create a single place where they can see, manage, and even delete the data their employer has collected about them. For instance, our client Telstra, Australia’s largest telecommunications company, maintains an internal site called MyCareer that allows workers to keep and update their own career data and even challenge any incorrect or incomplete inputs.</w:t>
      </w:r>
    </w:p>
    <w:p>
      <w:pPr>
        <w:pStyle w:val="Heading3"/>
      </w:pPr>
      <w:r>
        <w:rPr>
          <w:b w:val="0"/>
          <w:i w:val="0"/>
        </w:rPr>
        <w:t>Create a System of Checks and Balances</w:t>
      </w:r>
    </w:p>
    <w:p>
      <w:r>
        <w:rPr>
          <w:b w:val="0"/>
          <w:i w:val="0"/>
        </w:rPr>
        <w:t>Governing the collection and use of massive quantities of sensitive data is fraught with risk. Companies need a system that builds in the right checks and balances.</w:t>
      </w:r>
    </w:p>
    <w:p>
      <w:r>
        <w:rPr>
          <w:b w:val="0"/>
          <w:i w:val="0"/>
        </w:rPr>
        <w:t>Ideally, a C-level executive would be accountable for ensuring that workplace data and technologies are used in a responsible and ethical way. But less than 20% of the companies captured in our survey have a C-level executive in charge of this today, although another 48% reported having plans to change that soon. Some companies are even creating new roles, such as the chief ethics officer or chief data officer, to assume this responsibility.</w:t>
      </w:r>
    </w:p>
    <w:p>
      <w:r>
        <w:rPr>
          <w:b w:val="0"/>
          <w:i w:val="0"/>
        </w:rPr>
        <w:t>But because the issues are so complex, the appointed leader must be supported by an executive-level coalition. That’s why JPMorgan Chase brings together three members of the C-suite—human resources, risk, and legal. As Chief Human Resources Officer Robin Leopold told us, these leaders “come together to thoughtfully consider how we balance data insights for business benefit and respect for individuals’ privacy—looking through the lens of strategic business resiliency, risk, and the ability to elevate our people.”</w:t>
      </w:r>
    </w:p>
    <w:p>
      <w:r>
        <w:rPr>
          <w:b w:val="0"/>
          <w:i w:val="0"/>
        </w:rPr>
        <w:t>Getting employees involved in these efforts to better monitor workplace data and technology is also important. When employees are asked for their input into how systems are designed and used, companies can avoid doing unintended harm.</w:t>
      </w:r>
    </w:p>
    <w:p>
      <w:pPr>
        <w:pStyle w:val="Heading3"/>
      </w:pPr>
      <w:r>
        <w:rPr>
          <w:b w:val="0"/>
          <w:i w:val="0"/>
        </w:rPr>
        <w:t>Use Data to Elevate People, Not Penalize Them</w:t>
      </w:r>
    </w:p>
    <w:p>
      <w:r>
        <w:rPr>
          <w:b w:val="0"/>
          <w:i w:val="0"/>
        </w:rPr>
        <w:t>By using new technologies and the resulting data responsibly, companies can unlock the potential of their people and preempt fears of “digital determinism”—the idea that tech will determine social structures, cultural values, and one’s own experiences.</w:t>
      </w:r>
    </w:p>
    <w:p>
      <w:r>
        <w:rPr>
          <w:b w:val="0"/>
          <w:i w:val="0"/>
        </w:rPr>
        <w:t>To uphold this responsibility, companies need to get creative. For example, AXA, a French multinational insurance firm we work with, has recently developed a virtual career assistant that uses AI algorithms to track the skills and interests of employees. It answers questions employees have about their careers, such as: Will a robot do my job? What other job options are there for me? What’s the best training for me? AXA is now working on an extension that will match a person’s values and traits with corporate culture to ensure employees are in the right work environment.</w:t>
      </w:r>
    </w:p>
    <w:p>
      <w:r>
        <w:rPr>
          <w:b w:val="0"/>
          <w:i w:val="0"/>
        </w:rPr>
        <w:t>Companies can also use technology to track employee performance, both for good (to raise performance) or for ill (to penalize people). Many companies now track people—to see, for example, how fast they are working—and share real-time results on scorecards or in a live gaming format. But this can lead employees to feel that their every move is being watched. This real-time monitoring can raise worker stress, lower job satisfaction, and increase turnover.</w:t>
      </w:r>
    </w:p>
    <w:p>
      <w:r>
        <w:rPr>
          <w:b w:val="0"/>
          <w:i w:val="0"/>
        </w:rPr>
        <w:t>But when the motivation is to help people get better at what they do, tracking employees can be beneficial. At AdventHealth Celebration (formerly Florida Hospital Celebration Health), nurses and patient-care technicians wear badges embedded with sensors, which track where they go during their shift, showing how often they visit patients’ rooms or the nurses’ station. According to the organization, they haven’t used this data for punitive reasons, and the smart sensors have helped improve supply- stocking procedures and made nurses’ shifts more efficient and their jobs easier.</w:t>
      </w:r>
    </w:p>
    <w:p>
      <w:r>
        <w:rPr>
          <w:b w:val="0"/>
          <w:i w:val="0"/>
        </w:rPr>
        <w:t>Companies must also use technology creatively to reduce bias in hiring and promotion. While algorithms can be biased too, smart machines can reduce subjectivity and help managers make fairer decisions. In speaking with industry experts, we learned about one multinational financial services company that used an AI-powered recruiting tool to increase female applicants for financial roles by 150% and female applicants for all positions by 39%. Candidates’ cognitive and social traits are measured as they play neuroscience-based games—providing leaders with the science-backed data predictive of performance to make better and less-biased hiring decisions.</w:t>
      </w:r>
    </w:p>
    <w:p>
      <w:pPr>
        <w:pStyle w:val="Heading3"/>
      </w:pPr>
      <w:r>
        <w:rPr>
          <w:b w:val="0"/>
          <w:i w:val="0"/>
        </w:rPr>
        <w:t>Managing the Privacy-Performance Trade-Off</w:t>
      </w:r>
    </w:p>
    <w:p>
      <w:r>
        <w:rPr>
          <w:b w:val="0"/>
          <w:i w:val="0"/>
        </w:rPr>
        <w:t>The emergence of AI and other smart technologies in the workplace calls for trade-offs between privacy and performance. Data can unlock people’s potential and boost business performance, but these aren’t prizes worth having if they diminish fairness and trust. Leaders must ask themselves: Just because we can, does it always mean we should?</w:t>
      </w:r>
    </w:p>
    <w:p>
      <w:r>
        <w:rPr>
          <w:b w:val="0"/>
          <w:i w:val="0"/>
        </w:rPr>
        <w:t>C-suite leaders have to put trust at the heart of business strategy, on equal footing with growth and profitability, as trust is the ultimate currency of the digital age.</w:t>
      </w:r>
    </w:p>
    <w:p>
      <w:r>
        <w:rPr>
          <w:b w:val="0"/>
          <w:i w:val="0"/>
        </w:rPr>
        <w:t>TAKEAWAYS</w:t>
      </w:r>
    </w:p>
    <w:p>
      <w:r>
        <w:rPr>
          <w:b w:val="0"/>
          <w:i w:val="0"/>
        </w:rPr>
        <w:t>More and more, companies are gathering and analyzing data about how their employees work to improve productivity and motivate their people. But employees harbor serious concerns about how this data will be used. Companies must use this information responsibly and ethically to maintain employee trust.</w:t>
      </w:r>
    </w:p>
    <w:p>
      <w:r>
        <w:rPr>
          <w:b w:val="0"/>
          <w:i w:val="0"/>
        </w:rPr>
        <w:t>✓  Give your people more control by allowing them to opt in to having their data collected, and provide a place where they can see, manage, and even delete their data.</w:t>
      </w:r>
    </w:p>
    <w:p>
      <w:r>
        <w:rPr>
          <w:b w:val="0"/>
          <w:i w:val="0"/>
        </w:rPr>
        <w:t>✓  Establish a system of checks and balances by appointing a leader to monitor the use of workplace data. Keep employees involved in these efforts.</w:t>
      </w:r>
    </w:p>
    <w:p>
      <w:r>
        <w:rPr>
          <w:b w:val="0"/>
          <w:i w:val="0"/>
        </w:rPr>
        <w:t>✓  Use the data as motivation or for recognition, rather than as evidence for punishment. This will help avoid the feeling that employees are being watched to see when they’ll make mistakes. Use this data, too, to help sidestep human bias when it comes to hiring and promotion.</w:t>
      </w:r>
    </w:p>
    <w:p>
      <w:r>
        <w:rPr>
          <w:b w:val="0"/>
          <w:i w:val="0"/>
        </w:rPr>
        <w:t>✓  People’s work-related data is not yet regulated or protected—it is up to companies to ensure that they are using it safely and ethically. Ask yourself, “Just because we can collect this data, does it always mean we should?”</w:t>
      </w:r>
    </w:p>
    <w:p>
      <w:pPr>
        <w:pStyle w:val="Heading3"/>
      </w:pPr>
      <w:r>
        <w:rPr>
          <w:b w:val="0"/>
          <w:i w:val="0"/>
        </w:rPr>
        <w:t>NOTE</w:t>
      </w:r>
    </w:p>
    <w:p>
      <w:pPr>
        <w:pStyle w:val="ListNumber"/>
      </w:pPr>
      <w:r>
        <w:rPr>
          <w:b w:val="0"/>
          <w:i w:val="0"/>
        </w:rPr>
        <w:t>1. Ellyn Shook, Mark Knickrehm, and Eva Sage-Gavin, “Decoding Organizational DNA,” Accenture, https://www.accenture.com/us-en/insights/future-workforce/workforce-data-organizational-dna.</w:t>
      </w:r>
    </w:p>
    <w:p>
      <w:r>
        <w:rPr>
          <w:b w:val="0"/>
          <w:i/>
        </w:rPr>
        <w:t>Adapted from “How Companies Can Use Employee Data Responsibly” on hbr.org, February 15, 2019 (product #H04T19).</w:t>
      </w:r>
    </w:p>
    <w:p>
      <w:pPr>
        <w:pStyle w:val="Heading1"/>
      </w:pPr>
      <w:r>
        <w:rPr>
          <w:b w:val="0"/>
          <w:i w:val="0"/>
        </w:rPr>
        <w:t>12</w:t>
      </w:r>
    </w:p>
    <w:p>
      <w:pPr>
        <w:pStyle w:val="Heading1"/>
      </w:pPr>
      <w:r>
        <w:rPr>
          <w:b w:val="0"/>
          <w:i w:val="0"/>
        </w:rPr>
        <w:t>WHAT AI-DRIVEN DECISION MAKING LOOKS LIKE</w:t>
      </w:r>
    </w:p>
    <w:p>
      <w:r>
        <w:rPr>
          <w:b w:val="0"/>
          <w:i w:val="0"/>
        </w:rPr>
        <w:t>by Eric Colson</w:t>
      </w:r>
    </w:p>
    <w:p>
      <w:r>
        <w:rPr>
          <w:b w:val="0"/>
          <w:i w:val="0"/>
        </w:rPr>
        <w:t>Many companies have adapted to a “data-driven” approach for operational decision making. Data can improve decisions, but it requires the right processor to get the most from it. Many people assume that processor is human. The term “data-driven” even implies that data is curated by—and summarized for—people to process.</w:t>
      </w:r>
    </w:p>
    <w:p>
      <w:r>
        <w:rPr>
          <w:b w:val="0"/>
          <w:i w:val="0"/>
        </w:rPr>
        <w:t>But to fully leverage the value contained in data, companies need to bring artificial intelligence into their workflows and, sometimes, get us humans out of the way. We need to evolve from data-driven to AI-driven workflows.</w:t>
      </w:r>
    </w:p>
    <w:p>
      <w:r>
        <w:rPr>
          <w:b w:val="0"/>
          <w:i w:val="0"/>
        </w:rPr>
        <w:t>Distinguishing between “data-driven” and “AI-driven” isn’t just semantics. Each term reflects different assets, the former focusing on data and the latter processing ability. Data holds the insights that can enable better decisions; processing is the way to extract those insights and take actions. Humans and AI are both processors, with very different abilities. To understand how best to leverage each it’s helpful to review our own biological evolution and how decision making has evolved in industry.</w:t>
      </w:r>
    </w:p>
    <w:p>
      <w:r>
        <w:rPr>
          <w:b w:val="0"/>
          <w:i w:val="0"/>
        </w:rPr>
        <w:t>Just 50 to 75 years ago human judgment was the central processor of business decision making (see figure 12-1). Professionals relied on their highly tuned intuitions, developed from years of experience (and a relatively tiny bit of data) in their domain, to, say, pick the right creative for an ad campaign, determine the right inventory levels to stock, or approve the right financial investments. Experience and gut instinct were most of what was available to discern good from bad, high from low, and risky from safe.</w:t>
      </w:r>
    </w:p>
    <w:p>
      <w:r>
        <w:rPr>
          <w:b w:val="0"/>
          <w:i w:val="0"/>
        </w:rPr>
        <w:t>It was, perhaps, all too human. Our intuitions are far from ideal decision-making instruments. Our brains are inflicted with many cognitive biases that impair our judgment in predictable ways. This is the result of hundreds of thousands of years of evolution where, as early hunter-gatherers, we developed a system of reasoning that relies on simple heuristics—shortcuts or rules of thumb that circumvent the high cost of processing a lot of information. This enabled quick, almost unconscious decisions to get us out of potentially perilous situations. However, “quick and almost unconscious” didn’t always mean optimal or even accurate.</w:t>
      </w:r>
    </w:p>
    <w:p>
      <w:r>
        <w:rPr>
          <w:b/>
          <w:i w:val="0"/>
        </w:rPr>
        <w:t>FIGURE 12-1</w:t>
      </w:r>
    </w:p>
    <w:p>
      <w:r>
        <w:rPr>
          <w:b w:val="0"/>
          <w:i w:val="0"/>
        </w:rPr>
        <w:t>A decision-making model based on human judgment</w:t>
      </w:r>
    </w:p>
    <w:p>
      <w:pPr>
        <w:jc w:val="center"/>
      </w:pPr>
      <w:r>
        <w:drawing>
          <wp:inline xmlns:a="http://schemas.openxmlformats.org/drawingml/2006/main" xmlns:pic="http://schemas.openxmlformats.org/drawingml/2006/picture">
            <wp:extent cx="6680200" cy="698500"/>
            <wp:docPr id="21" name="Picture 21"/>
            <wp:cNvGraphicFramePr>
              <a:graphicFrameLocks noChangeAspect="1"/>
            </wp:cNvGraphicFramePr>
            <a:graphic>
              <a:graphicData uri="http://schemas.openxmlformats.org/drawingml/2006/picture">
                <pic:pic>
                  <pic:nvPicPr>
                    <pic:cNvPr id="0" name="epub_img_8831788715640642945.jpg"/>
                    <pic:cNvPicPr/>
                  </pic:nvPicPr>
                  <pic:blipFill>
                    <a:blip r:embed="rId21"/>
                    <a:stretch>
                      <a:fillRect/>
                    </a:stretch>
                  </pic:blipFill>
                  <pic:spPr>
                    <a:xfrm>
                      <a:off x="0" y="0"/>
                      <a:ext cx="6680200" cy="698500"/>
                    </a:xfrm>
                    <a:prstGeom prst="rect"/>
                  </pic:spPr>
                </pic:pic>
              </a:graphicData>
            </a:graphic>
          </wp:inline>
        </w:drawing>
      </w:r>
    </w:p>
    <w:p>
      <w:pPr>
        <w:jc w:val="center"/>
      </w:pPr>
      <w:r>
        <w:drawing>
          <wp:inline xmlns:a="http://schemas.openxmlformats.org/drawingml/2006/main" xmlns:pic="http://schemas.openxmlformats.org/drawingml/2006/picture">
            <wp:extent cx="6680200" cy="698500"/>
            <wp:docPr id="22" name="Picture 22"/>
            <wp:cNvGraphicFramePr>
              <a:graphicFrameLocks noChangeAspect="1"/>
            </wp:cNvGraphicFramePr>
            <a:graphic>
              <a:graphicData uri="http://schemas.openxmlformats.org/drawingml/2006/picture">
                <pic:pic>
                  <pic:nvPicPr>
                    <pic:cNvPr id="0" name="epub_img_8831788715640642945.jpg"/>
                    <pic:cNvPicPr/>
                  </pic:nvPicPr>
                  <pic:blipFill>
                    <a:blip r:embed="rId21"/>
                    <a:stretch>
                      <a:fillRect/>
                    </a:stretch>
                  </pic:blipFill>
                  <pic:spPr>
                    <a:xfrm>
                      <a:off x="0" y="0"/>
                      <a:ext cx="6680200" cy="698500"/>
                    </a:xfrm>
                    <a:prstGeom prst="rect"/>
                  </pic:spPr>
                </pic:pic>
              </a:graphicData>
            </a:graphic>
          </wp:inline>
        </w:drawing>
      </w:r>
    </w:p>
    <w:p>
      <w:r>
        <w:rPr>
          <w:b w:val="0"/>
          <w:i w:val="0"/>
        </w:rPr>
        <w:t>Imagine a group of our hunter-gatherer ancestors huddled around a campfire when a nearby bush suddenly rustles. A decision of the “quick and almost unconscious” type needs to be made: Conclude that the rustling is a dangerous predator and flee, or gather more information to see if it is potential prey—say, a rabbit, which could provide rich nutrients. Our more impulsive ancestors—those who decided to flee—survived at a higher rate than their more inquisitive peers. The cost of flight and losing out on a rabbit was far lower than the cost of sticking around and risking loss of one’s own life to a predator. With such asymmetry in outcomes, evolution favors the trait that leads to less costly consequences, even at the sacrifice of accuracy. Therefore, the trait for more impulsive decision making and less information processing becomes prevalent in the descendant population.</w:t>
      </w:r>
    </w:p>
    <w:p>
      <w:r>
        <w:rPr>
          <w:b w:val="0"/>
          <w:i w:val="0"/>
        </w:rPr>
        <w:t>In modern context, survival heuristics become myriad cognitive biases preloaded in our inherited brains. These biases influence our judgment and decision making in ways that depart from rational objectivity. We give more weight than we should to vivid or recent events. We coarsely classify subjects into broad stereotypes that don’t sufficiently explain their differences. We anchor on prior experience even when it is completely irrelevant. We tend to conjure up specious explanations for events that are really just random noise. These are just a few of the dozens of ways cognitive bias plagues human judgment, a bias that for many decades was the central processor of business decision making. We know now that human intuition is inefficient, capricious, and fallible, and relying solely on it limits the ability of the organization.</w:t>
      </w:r>
    </w:p>
    <w:p>
      <w:pPr>
        <w:pStyle w:val="Heading3"/>
      </w:pPr>
      <w:r>
        <w:rPr>
          <w:b w:val="0"/>
          <w:i w:val="0"/>
        </w:rPr>
        <w:t>Data-Supported Decision Making</w:t>
      </w:r>
    </w:p>
    <w:p>
      <w:r>
        <w:rPr>
          <w:b w:val="0"/>
          <w:i w:val="0"/>
        </w:rPr>
        <w:t>Thank goodness, then, for data. Connected devices now capture unthinkable volumes of data: every transaction, every customer gesture, every micro- and macroeconomic indicator, all the information that can inform better decisions. In response to this new data-rich environment we’ve adapted our workflows. IT departments support the flow of information using machines (databases, distributed file systems, and the like) to reduce the unmanageable volumes of data down to digestible summaries for human consumption. The summaries are then further processed by humans using tools like spreadsheets, dashboards, and analytics applications. Eventually, the highly processed, and now manageably small, data is presented for decision making. This is the “data-driven” workflow, as shown in figure 12-2. Human judgment is still the central processor, but now it uses summarized data as a new input.</w:t>
      </w:r>
    </w:p>
    <w:p>
      <w:r>
        <w:rPr>
          <w:b/>
          <w:i w:val="0"/>
        </w:rPr>
        <w:t>FIGURE 12-2</w:t>
      </w:r>
    </w:p>
    <w:p>
      <w:r>
        <w:rPr>
          <w:b w:val="0"/>
          <w:i w:val="0"/>
        </w:rPr>
        <w:t>A decision-making model that utilizes summarized data</w:t>
      </w:r>
    </w:p>
    <w:p>
      <w:pPr>
        <w:jc w:val="center"/>
      </w:pPr>
      <w:r>
        <w:drawing>
          <wp:inline xmlns:a="http://schemas.openxmlformats.org/drawingml/2006/main" xmlns:pic="http://schemas.openxmlformats.org/drawingml/2006/picture">
            <wp:extent cx="6680200" cy="1358900"/>
            <wp:docPr id="23" name="Picture 23"/>
            <wp:cNvGraphicFramePr>
              <a:graphicFrameLocks noChangeAspect="1"/>
            </wp:cNvGraphicFramePr>
            <a:graphic>
              <a:graphicData uri="http://schemas.openxmlformats.org/drawingml/2006/picture">
                <pic:pic>
                  <pic:nvPicPr>
                    <pic:cNvPr id="0" name="epub_img_97699315389778218.jpg"/>
                    <pic:cNvPicPr/>
                  </pic:nvPicPr>
                  <pic:blipFill>
                    <a:blip r:embed="rId22"/>
                    <a:stretch>
                      <a:fillRect/>
                    </a:stretch>
                  </pic:blipFill>
                  <pic:spPr>
                    <a:xfrm>
                      <a:off x="0" y="0"/>
                      <a:ext cx="6680200" cy="1358900"/>
                    </a:xfrm>
                    <a:prstGeom prst="rect"/>
                  </pic:spPr>
                </pic:pic>
              </a:graphicData>
            </a:graphic>
          </wp:inline>
        </w:drawing>
      </w:r>
    </w:p>
    <w:p>
      <w:pPr>
        <w:jc w:val="center"/>
      </w:pPr>
      <w:r>
        <w:drawing>
          <wp:inline xmlns:a="http://schemas.openxmlformats.org/drawingml/2006/main" xmlns:pic="http://schemas.openxmlformats.org/drawingml/2006/picture">
            <wp:extent cx="6680200" cy="1358900"/>
            <wp:docPr id="24" name="Picture 24"/>
            <wp:cNvGraphicFramePr>
              <a:graphicFrameLocks noChangeAspect="1"/>
            </wp:cNvGraphicFramePr>
            <a:graphic>
              <a:graphicData uri="http://schemas.openxmlformats.org/drawingml/2006/picture">
                <pic:pic>
                  <pic:nvPicPr>
                    <pic:cNvPr id="0" name="epub_img_97699315389778218.jpg"/>
                    <pic:cNvPicPr/>
                  </pic:nvPicPr>
                  <pic:blipFill>
                    <a:blip r:embed="rId22"/>
                    <a:stretch>
                      <a:fillRect/>
                    </a:stretch>
                  </pic:blipFill>
                  <pic:spPr>
                    <a:xfrm>
                      <a:off x="0" y="0"/>
                      <a:ext cx="6680200" cy="1358900"/>
                    </a:xfrm>
                    <a:prstGeom prst="rect"/>
                  </pic:spPr>
                </pic:pic>
              </a:graphicData>
            </a:graphic>
          </wp:inline>
        </w:drawing>
      </w:r>
    </w:p>
    <w:p>
      <w:r>
        <w:rPr>
          <w:b w:val="0"/>
          <w:i w:val="0"/>
        </w:rPr>
        <w:t>While it’s undoubtedly better than relying solely on intuition, humans playing the role of central processor still suffer from several limitations:</w:t>
      </w:r>
    </w:p>
    <w:p>
      <w:pPr>
        <w:pStyle w:val="ListNumber"/>
      </w:pPr>
      <w:r>
        <w:rPr>
          <w:b w:val="0"/>
          <w:i w:val="0"/>
        </w:rPr>
        <w:t>We don’t leverage all the data. Summarized data can obscure many of the insights, relationships, and patterns contained in the original (big) data set. Data reduction is necessary to accommodate the throughput of human processors. For as much as we are adept at digesting our surroundings, effortlessly processing vast amounts of ambient information, we are remarkably limited when it comes to processing the structured data manifested as millions or billions of records. The mind can handle sales numbers and average selling price rolled up to a regional level. It struggles or shuts down once you start to think about the full distribution of values and, crucially, the relationships between data elements—information lost in aggregate summaries but important to good decision making. (This is not to suggest that data summaries are not useful. To be sure, they are great at providing basic visibility into the business. But they will provide little value for use in decision making. Too much is lost in the preparation for humans.) In other cases, summarized data can be outright misleading. Confounding factors can give the appearance of a positive relationship when it is actually the opposite (see Simpson’s and other paradoxes). And once data is aggregated, it may be impossible to recover contributing factors in order to properly control for them. (The best practice is to use randomized controlled trials, that is, A/B testing. Without this practice, even AI may not be able to properly control for confounding factors.) In short, by using humans as central processors of data, we are still trading off accuracy to circumvent the high cost of human data processing.</w:t>
      </w:r>
    </w:p>
    <w:p>
      <w:pPr>
        <w:pStyle w:val="ListNumber"/>
      </w:pPr>
      <w:r>
        <w:rPr>
          <w:b w:val="0"/>
          <w:i w:val="0"/>
        </w:rPr>
        <w:t>Data is not enough to insulate us from cognitive bias. Data summaries are directed by humans in a way that is prone to all those cognitive biases. We direct the summarization in a manner that is intuitive to us. We ask that the data be aggregated into segments that we feel are representative archetypes. Yet, we have that tendency to coarsely classify subjects into broad stereotypes that don’t sufficiently explain their differences. For example, we may roll up the data to attributes such as geography even when there is no discernible difference in behavior between regions. Summaries also can be thought of as a “coarse grain,” or rougher approximation, of the data. For instance, an attribute like geography needs to be kept at a region level where there are relatively few values (that is, “east” vs. “west”). What matters may be finer than these—city, ZIP code, even street-level data—but these are harder to aggregate and for human brains to process. We also prefer simple relationships between elements, thinking of relationships as linear because this is easier for us to process. The relationship between price and sales, market penetration and conversion rate, credit risk and income—all are assumed to be linear even when the data suggests otherwise. We even like to conjure up elaborate explanations for trends and variation in data when these are more adequately explained by natural or random variation.</w:t>
      </w:r>
    </w:p>
    <w:p>
      <w:r>
        <w:rPr>
          <w:b w:val="0"/>
          <w:i w:val="0"/>
        </w:rPr>
        <w:t>Alas, we are accommodating our biases when we process the data.</w:t>
      </w:r>
    </w:p>
    <w:p>
      <w:pPr>
        <w:pStyle w:val="Heading3"/>
      </w:pPr>
      <w:r>
        <w:rPr>
          <w:b w:val="0"/>
          <w:i w:val="0"/>
        </w:rPr>
        <w:t>Bringing AI into the Workflow</w:t>
      </w:r>
    </w:p>
    <w:p>
      <w:r>
        <w:rPr>
          <w:b w:val="0"/>
          <w:i w:val="0"/>
        </w:rPr>
        <w:t>We need to evolve further and bring AI into the workflow as a primary processor of data. For routine decisions that only rely on structured data, we’re better off delegating decisions to AI. AI is less prone to human’s cognitive bias. (There is a very real risk of using biased data that may cause AI to find specious relationships that are unfair. Be sure to understand how the data is generated in addition to how it is used.) AI can be trained to find segments in the population that best explain variance at fine-grain levels even if they are unintuitive to our human perception. AI has no problem dealing with thousands or even millions of groupings. And AI is more than comfortable working with nonlinear relationships, be they exponential, power laws, geometric series, binomial distributions, or otherwise.</w:t>
      </w:r>
    </w:p>
    <w:p>
      <w:r>
        <w:rPr>
          <w:b w:val="0"/>
          <w:i w:val="0"/>
        </w:rPr>
        <w:t>This workflow, which is depicted in figure 12-3, better leverages the information contained in the data and is more consistent and objective in its decisions. It can better determine which ad creative is most effective, the optimal inventory levels to set, or which financial investments to make.</w:t>
      </w:r>
    </w:p>
    <w:p>
      <w:r>
        <w:rPr>
          <w:b/>
          <w:i w:val="0"/>
        </w:rPr>
        <w:t>FIGURE 12-3</w:t>
      </w:r>
    </w:p>
    <w:p>
      <w:r>
        <w:rPr>
          <w:b w:val="0"/>
          <w:i w:val="0"/>
        </w:rPr>
        <w:t>A decision-making model that utilizes AI</w:t>
      </w:r>
    </w:p>
    <w:p>
      <w:pPr>
        <w:jc w:val="center"/>
      </w:pPr>
      <w:r>
        <w:drawing>
          <wp:inline xmlns:a="http://schemas.openxmlformats.org/drawingml/2006/main" xmlns:pic="http://schemas.openxmlformats.org/drawingml/2006/picture">
            <wp:extent cx="6680200" cy="1358900"/>
            <wp:docPr id="25" name="Picture 25"/>
            <wp:cNvGraphicFramePr>
              <a:graphicFrameLocks noChangeAspect="1"/>
            </wp:cNvGraphicFramePr>
            <a:graphic>
              <a:graphicData uri="http://schemas.openxmlformats.org/drawingml/2006/picture">
                <pic:pic>
                  <pic:nvPicPr>
                    <pic:cNvPr id="0" name="epub_img_4460108596312188863.jpg"/>
                    <pic:cNvPicPr/>
                  </pic:nvPicPr>
                  <pic:blipFill>
                    <a:blip r:embed="rId23"/>
                    <a:stretch>
                      <a:fillRect/>
                    </a:stretch>
                  </pic:blipFill>
                  <pic:spPr>
                    <a:xfrm>
                      <a:off x="0" y="0"/>
                      <a:ext cx="6680200" cy="1358900"/>
                    </a:xfrm>
                    <a:prstGeom prst="rect"/>
                  </pic:spPr>
                </pic:pic>
              </a:graphicData>
            </a:graphic>
          </wp:inline>
        </w:drawing>
      </w:r>
    </w:p>
    <w:p>
      <w:pPr>
        <w:jc w:val="center"/>
      </w:pPr>
      <w:r>
        <w:drawing>
          <wp:inline xmlns:a="http://schemas.openxmlformats.org/drawingml/2006/main" xmlns:pic="http://schemas.openxmlformats.org/drawingml/2006/picture">
            <wp:extent cx="6680200" cy="1358900"/>
            <wp:docPr id="26" name="Picture 26"/>
            <wp:cNvGraphicFramePr>
              <a:graphicFrameLocks noChangeAspect="1"/>
            </wp:cNvGraphicFramePr>
            <a:graphic>
              <a:graphicData uri="http://schemas.openxmlformats.org/drawingml/2006/picture">
                <pic:pic>
                  <pic:nvPicPr>
                    <pic:cNvPr id="0" name="epub_img_4460108596312188863.jpg"/>
                    <pic:cNvPicPr/>
                  </pic:nvPicPr>
                  <pic:blipFill>
                    <a:blip r:embed="rId23"/>
                    <a:stretch>
                      <a:fillRect/>
                    </a:stretch>
                  </pic:blipFill>
                  <pic:spPr>
                    <a:xfrm>
                      <a:off x="0" y="0"/>
                      <a:ext cx="6680200" cy="1358900"/>
                    </a:xfrm>
                    <a:prstGeom prst="rect"/>
                  </pic:spPr>
                </pic:pic>
              </a:graphicData>
            </a:graphic>
          </wp:inline>
        </w:drawing>
      </w:r>
    </w:p>
    <w:p>
      <w:r>
        <w:rPr>
          <w:b w:val="0"/>
          <w:i/>
        </w:rPr>
        <w:t>Source</w:t>
      </w:r>
      <w:r>
        <w:rPr>
          <w:b w:val="0"/>
          <w:i w:val="0"/>
        </w:rPr>
        <w:t>: Eric Colson</w:t>
      </w:r>
    </w:p>
    <w:p>
      <w:r>
        <w:rPr>
          <w:b w:val="0"/>
          <w:i w:val="0"/>
        </w:rPr>
        <w:t>While humans are removed from this workflow, it’s important to note that mere automation is not the goal of an AI-driven workflow. Sure, that may reduce costs, but this is only an incremental benefit. The value of AI lies in making better decisions than what humans alone can do. This creates step-change improvement in efficiency and enables new capabilities.</w:t>
      </w:r>
    </w:p>
    <w:p>
      <w:pPr>
        <w:pStyle w:val="Heading3"/>
      </w:pPr>
      <w:r>
        <w:rPr>
          <w:b w:val="0"/>
          <w:i w:val="0"/>
        </w:rPr>
        <w:t>Leveraging Both AI and Human Processors in the Workflow</w:t>
      </w:r>
    </w:p>
    <w:p>
      <w:r>
        <w:rPr>
          <w:b w:val="0"/>
          <w:i w:val="0"/>
        </w:rPr>
        <w:t>Removing humans from workflows that only involve the processing of structured data does not mean that humans are obsolete. There are many business decisions that depend on more than just structured data. Vision statements, company strategies, corporate values, and market dynamics are all examples of information that is only available in our minds and transmitted through culture and other forms of nondigital communication. This information is inaccessible to AI and extremely relevant to business decisions.</w:t>
      </w:r>
    </w:p>
    <w:p>
      <w:r>
        <w:rPr>
          <w:b w:val="0"/>
          <w:i w:val="0"/>
        </w:rPr>
        <w:t>For example, AI may objectively determine the right inventory levels to maximize profits. However, in a competitive environment a company may opt for higher inventory levels in order to provide a better customer experience, even at the expense of profits. In other cases, AI may determine that investing more dollars in marketing will have the highest ROI among the options available to the company. However, a company may choose to temper growth in order to uphold quality standards. The additional information available to humans in the form of strategy, values, and market conditions can merit a departure from the objective rationality of AI. In such cases, AI can be used to generate possibilities from which humans can pick the best alternative given the additional information they have access to. The order of execution for such workflows is case-specific. Sometimes AI is first to reduce the workload on humans (see figure 12-4). In other cases, human judgment can provide input for AI processing. In other cases still, there may be iteration between AI and human processing.</w:t>
      </w:r>
    </w:p>
    <w:p>
      <w:r>
        <w:rPr>
          <w:b w:val="0"/>
          <w:i w:val="0"/>
        </w:rPr>
        <w:t>The key is that humans are not interfacing directly with data but rather with the possibilities produced by AI’s processing of the data. Values, strategy, and culture allow us to reconcile our decisions with objective rationality. This is best done explicitly and fully informed. By leveraging both AI and humans we can make better decisions than by using either one alone.</w:t>
      </w:r>
    </w:p>
    <w:p>
      <w:r>
        <w:rPr>
          <w:b/>
          <w:i w:val="0"/>
        </w:rPr>
        <w:t>FIGURE 12-4</w:t>
      </w:r>
    </w:p>
    <w:p>
      <w:r>
        <w:rPr>
          <w:b w:val="0"/>
          <w:i w:val="0"/>
        </w:rPr>
        <w:t>A decision-making model that combines the power of Al and human judgment</w:t>
      </w:r>
    </w:p>
    <w:p>
      <w:pPr>
        <w:jc w:val="center"/>
      </w:pPr>
      <w:r>
        <w:drawing>
          <wp:inline xmlns:a="http://schemas.openxmlformats.org/drawingml/2006/main" xmlns:pic="http://schemas.openxmlformats.org/drawingml/2006/picture">
            <wp:extent cx="6680200" cy="1866899"/>
            <wp:docPr id="27" name="Picture 27"/>
            <wp:cNvGraphicFramePr>
              <a:graphicFrameLocks noChangeAspect="1"/>
            </wp:cNvGraphicFramePr>
            <a:graphic>
              <a:graphicData uri="http://schemas.openxmlformats.org/drawingml/2006/picture">
                <pic:pic>
                  <pic:nvPicPr>
                    <pic:cNvPr id="0" name="epub_img_3153745439110362781.jpg"/>
                    <pic:cNvPicPr/>
                  </pic:nvPicPr>
                  <pic:blipFill>
                    <a:blip r:embed="rId24"/>
                    <a:stretch>
                      <a:fillRect/>
                    </a:stretch>
                  </pic:blipFill>
                  <pic:spPr>
                    <a:xfrm>
                      <a:off x="0" y="0"/>
                      <a:ext cx="6680200" cy="1866899"/>
                    </a:xfrm>
                    <a:prstGeom prst="rect"/>
                  </pic:spPr>
                </pic:pic>
              </a:graphicData>
            </a:graphic>
          </wp:inline>
        </w:drawing>
      </w:r>
    </w:p>
    <w:p>
      <w:pPr>
        <w:jc w:val="center"/>
      </w:pPr>
      <w:r>
        <w:drawing>
          <wp:inline xmlns:a="http://schemas.openxmlformats.org/drawingml/2006/main" xmlns:pic="http://schemas.openxmlformats.org/drawingml/2006/picture">
            <wp:extent cx="6680200" cy="1866899"/>
            <wp:docPr id="28" name="Picture 28"/>
            <wp:cNvGraphicFramePr>
              <a:graphicFrameLocks noChangeAspect="1"/>
            </wp:cNvGraphicFramePr>
            <a:graphic>
              <a:graphicData uri="http://schemas.openxmlformats.org/drawingml/2006/picture">
                <pic:pic>
                  <pic:nvPicPr>
                    <pic:cNvPr id="0" name="epub_img_3153745439110362781.jpg"/>
                    <pic:cNvPicPr/>
                  </pic:nvPicPr>
                  <pic:blipFill>
                    <a:blip r:embed="rId24"/>
                    <a:stretch>
                      <a:fillRect/>
                    </a:stretch>
                  </pic:blipFill>
                  <pic:spPr>
                    <a:xfrm>
                      <a:off x="0" y="0"/>
                      <a:ext cx="6680200" cy="1866899"/>
                    </a:xfrm>
                    <a:prstGeom prst="rect"/>
                  </pic:spPr>
                </pic:pic>
              </a:graphicData>
            </a:graphic>
          </wp:inline>
        </w:drawing>
      </w:r>
    </w:p>
    <w:p>
      <w:r>
        <w:rPr>
          <w:b w:val="0"/>
          <w:i/>
        </w:rPr>
        <w:t>Source</w:t>
      </w:r>
      <w:r>
        <w:rPr>
          <w:b w:val="0"/>
          <w:i w:val="0"/>
        </w:rPr>
        <w:t>: Eric Colson</w:t>
      </w:r>
    </w:p>
    <w:p>
      <w:pPr>
        <w:pStyle w:val="Heading3"/>
      </w:pPr>
      <w:r>
        <w:rPr>
          <w:b w:val="0"/>
          <w:i w:val="0"/>
        </w:rPr>
        <w:t>The Next Phase in Our Evolution</w:t>
      </w:r>
    </w:p>
    <w:p>
      <w:r>
        <w:rPr>
          <w:b w:val="0"/>
          <w:i w:val="0"/>
        </w:rPr>
        <w:t>Moving from data-driven to AI-driven is the next phase in our evolution. Embracing AI in our workflows affords better processing of structured data and allows humans to contribute in ways that are complementary.</w:t>
      </w:r>
    </w:p>
    <w:p>
      <w:r>
        <w:rPr>
          <w:b w:val="0"/>
          <w:i w:val="0"/>
        </w:rPr>
        <w:t>This evolution is unlikely to occur within the individual organization, just as evolution by natural selection does not take place within individuals. Rather, it’s a selection process that operates on a population. The more efficient organizations will survive at a higher rate. Since it’s hard for mature companies to adapt to changes in the environment, I suspect we’ll see the emergence of new companies that embrace both AI and human contributions from the beginning and build them natively into their workflows.</w:t>
      </w:r>
    </w:p>
    <w:p>
      <w:r>
        <w:rPr>
          <w:b w:val="0"/>
          <w:i w:val="0"/>
        </w:rPr>
        <w:t>TAKEAWAYS</w:t>
      </w:r>
    </w:p>
    <w:p>
      <w:r>
        <w:rPr>
          <w:b w:val="0"/>
          <w:i w:val="0"/>
        </w:rPr>
        <w:t>Many companies have adopted a “data-driven” approach to operational decision making. But humans have limitations when it comes to sorting information and analyzing data. To fully leverage the value of data, companies need to bring in AI.</w:t>
      </w:r>
    </w:p>
    <w:p>
      <w:r>
        <w:rPr>
          <w:b w:val="0"/>
          <w:i w:val="0"/>
        </w:rPr>
        <w:t>✓  Human decision making is inherently flawed, as we fall victim to heuristics and cognitive biases that affect our judgment.</w:t>
      </w:r>
    </w:p>
    <w:p>
      <w:r>
        <w:rPr>
          <w:b w:val="0"/>
          <w:i w:val="0"/>
        </w:rPr>
        <w:t>✓  AI can provide the opportunity to sort through vast amounts of data and offer more objective decisions. For routine decisions that rely on structured data, we’re better off delegating decisions to AI, as it has no issue sorting through vast amounts of data.</w:t>
      </w:r>
    </w:p>
    <w:p>
      <w:r>
        <w:rPr>
          <w:b w:val="0"/>
          <w:i w:val="0"/>
        </w:rPr>
        <w:t>✓  Many other business decisions—vision statements, company strategies, etc.—require a mix of AI and human judgment. In these instances, AI should be used to generate the possibilities, from which humans can pick the best alternative.</w:t>
      </w:r>
    </w:p>
    <w:p>
      <w:r>
        <w:rPr>
          <w:b w:val="0"/>
          <w:i/>
        </w:rPr>
        <w:t>Adapted from content posted on hbr.org, July 8, 2019 (product #H050C4).</w:t>
      </w:r>
    </w:p>
    <w:p>
      <w:pPr>
        <w:pStyle w:val="Heading1"/>
      </w:pPr>
      <w:r>
        <w:rPr>
          <w:b w:val="0"/>
          <w:i w:val="0"/>
        </w:rPr>
        <w:t>13</w:t>
      </w:r>
    </w:p>
    <w:p>
      <w:pPr>
        <w:pStyle w:val="Heading1"/>
      </w:pPr>
      <w:r>
        <w:rPr>
          <w:b w:val="0"/>
          <w:i w:val="0"/>
        </w:rPr>
        <w:t>HOW COMPANIES CAN USE THE DATA THEY COLLECT TO FURTHER THE PUBLIC GOOD</w:t>
      </w:r>
    </w:p>
    <w:p>
      <w:r>
        <w:rPr>
          <w:b w:val="0"/>
          <w:i w:val="0"/>
        </w:rPr>
        <w:t>by Edward L. Glaeser, Hyunjin Kim, and Michael Luca</w:t>
      </w:r>
    </w:p>
    <w:p>
      <w:r>
        <w:rPr>
          <w:b w:val="0"/>
          <w:i w:val="0"/>
        </w:rPr>
        <w:t>By the end of 2017, Yelp had amassed more than 140 million reviews of local businesses. While the company’s mission focuses on helping people find local businesses more easily, this wealth of data has the potential to serve other purposes. For instance, Yelp data might help restaurants understand which markets they should consider entering or whether to add a bar. It can help real estate investors understand where gentrification might occur. And it might help private equity firms with an interest in coffee decide whether to invest in Philz or Blue Bottle.</w:t>
      </w:r>
    </w:p>
    <w:p>
      <w:r>
        <w:rPr>
          <w:b w:val="0"/>
          <w:i w:val="0"/>
        </w:rPr>
        <w:t>The potential value of the large data sets being amassed by private companies raises new opportunities and challenges for managers making strategic data decisions. While there are plenty of well-publicized examples of data repurposing gone wrong, we think it would be a shame for companies to decide the only option is to hoard their data. Before you decide that your data can’t be put to a new use, consider how it might help augment public data sources.</w:t>
      </w:r>
    </w:p>
    <w:p>
      <w:r>
        <w:rPr>
          <w:b w:val="0"/>
          <w:i w:val="0"/>
        </w:rPr>
        <w:t>For example, in a recent paper, we explored the potential for Yelp data to measure local economic change and augment the official data, often from the U.S. census, which has long been the bread and butter of economic analyses.1 Our motivation was simple: Census data is valuable but can be slow-moving and coarse. Public-facing census data can tell you whether more restaurants are opening in a ZIP code, but only after several years. Yelp data can tell you, almost in real time, not only whether restaurants are opening in a ZIP code but even whether more-affordable restaurants are opening on a specific block. We found that Yelp data can help to meaningfully predict trends in the local economy well before census data becomes available, especially in more urban, more educated, and wealthier parts of the country.</w:t>
      </w:r>
    </w:p>
    <w:p>
      <w:r>
        <w:rPr>
          <w:b w:val="0"/>
          <w:i w:val="0"/>
        </w:rPr>
        <w:t>This speaks to the broader potential for data from online platforms to improve our understanding of all of America. Just as Yelp can shed light on local economic changes, Zillow could inform our understanding of housing markets, LinkedIn could provide insight about labor markets, and Glassdoor could teach us about the quality of employment options in an area. Companies increasingly recognize the possibility of repurposing their data in these ways for the public good. But repurposing data can have benefits for a company far beyond the warm glow of having done some good. As researchers work with the data, new insights about their data and platform design choices may surface. As policy makers rely on the insights from the data, new relationships can form and facilitate valuable collaborations. Public-facing data efforts can also increase awareness of a company’s brand—allowing companies to do well by doing good.</w:t>
      </w:r>
    </w:p>
    <w:p>
      <w:r>
        <w:rPr>
          <w:b w:val="0"/>
          <w:i w:val="0"/>
        </w:rPr>
        <w:t>Of course, there are times when repurposing data is not an option, because the data is either sensitive or not that useful. But we often see examples in which a potentially successful use of a new data source fails to deliver because of poor execution.</w:t>
      </w:r>
    </w:p>
    <w:p>
      <w:r>
        <w:rPr>
          <w:b w:val="0"/>
          <w:i w:val="0"/>
        </w:rPr>
        <w:t>Drawing on our academic research assessing repurposed data sources, as well as our work with organizations, we see that simple guiding principles can help companies understand how to successfully repurpose their data.</w:t>
      </w:r>
    </w:p>
    <w:p>
      <w:pPr>
        <w:pStyle w:val="Heading3"/>
      </w:pPr>
      <w:r>
        <w:rPr>
          <w:b w:val="0"/>
          <w:i w:val="0"/>
        </w:rPr>
        <w:t>Principle 1: Understand your unique perspective</w:t>
      </w:r>
    </w:p>
    <w:p>
      <w:r>
        <w:rPr>
          <w:b w:val="0"/>
          <w:i w:val="0"/>
        </w:rPr>
        <w:t>When deciding whether and how to use your data, it’s crucial to take the time to understand whether this information has real value relative to what people already have access to. Start by looking for the best data available. Choose a broadly accepted benchmark, and set a narrow goal to see whether and where you can meaningfully add value.</w:t>
      </w:r>
    </w:p>
    <w:p>
      <w:r>
        <w:rPr>
          <w:b w:val="0"/>
          <w:i w:val="0"/>
        </w:rPr>
        <w:t>When looking at Yelp data, for example, we considered census data a significant benchmark, since it is something commonly used in research and policy work. And we set the narrow goal of understanding whether Yelp data can augment existing data points with additional variables and provide more up-to-date information (since it’s updated in real time, while the census happens every 10 years). This flavor of incremental improvements can, paradoxically, lead to the largest gains, by making sure that you are going down the right path.</w:t>
      </w:r>
    </w:p>
    <w:p>
      <w:pPr>
        <w:pStyle w:val="Heading3"/>
      </w:pPr>
      <w:r>
        <w:rPr>
          <w:b w:val="0"/>
          <w:i w:val="0"/>
        </w:rPr>
        <w:t>Principle 2: Develop credible analyses</w:t>
      </w:r>
    </w:p>
    <w:p>
      <w:r>
        <w:rPr>
          <w:b w:val="0"/>
          <w:i w:val="0"/>
        </w:rPr>
        <w:t>For every exciting new use of digital data that we’ve come across, we’ve seen countless others fail to deliver. Successfully repurposing data requires taking benchmarks seriously and cross-validating against them. If your data doesn’t match existing benchmarks, then you have to understand why. If the differences are irreconcilable, then you might reconsider the value of your data on that dimension. And if you do go forward with using the data, it’s important to think through the best approach to analysis, taking the mismatch into account.</w:t>
      </w:r>
    </w:p>
    <w:p>
      <w:r>
        <w:rPr>
          <w:b w:val="0"/>
          <w:i w:val="0"/>
        </w:rPr>
        <w:t>Credible analytics also requires understanding—and being transparent about—the strengths and limitations of your data. Returning to the Yelp example, we highlighted the strengths above. One limitation is that Yelp coverage varies over time and across places. Maintaining credibility and making the most of the data requires understanding and factoring this and other limitations into the analysis and conclusions drawn from the data.</w:t>
      </w:r>
    </w:p>
    <w:p>
      <w:pPr>
        <w:pStyle w:val="Heading3"/>
      </w:pPr>
      <w:r>
        <w:rPr>
          <w:b w:val="0"/>
          <w:i w:val="0"/>
        </w:rPr>
        <w:t>Principle 3: Build partnerships</w:t>
      </w:r>
    </w:p>
    <w:p>
      <w:r>
        <w:rPr>
          <w:b w:val="0"/>
          <w:i w:val="0"/>
        </w:rPr>
        <w:t>Even a company that has a great internal data team may not have the right skills to produce public-facing data that will have a real impact. Working with outside researchers and policy makers can help you gauge general interest, build a product that will have credibility, and develop insights that will create value for a broader audience.</w:t>
      </w:r>
    </w:p>
    <w:p>
      <w:r>
        <w:rPr>
          <w:b w:val="0"/>
          <w:i w:val="0"/>
        </w:rPr>
        <w:t>There is no such thing as a perfect data set. This is both why new data sources are valuable and why repurposing data can be hard. Tech companies are now collecting unprecedented amounts of data, and they have the potential to greatly improve our understanding of the economy and policy. Yelp ratings are now being used for a variety of purposes, including predicting which restaurants are most likely to have health code violations, identifying which businesses will be impacted by increases to the minimum wage, and shedding light on how gentrifying neighborhoods are evolving.2 Other platforms have similar potential. And when done carefully and incrementally, each platform adds one piece to the puzzle, leading to a deeper and more nuanced understanding of the economy—all the while harvesting benefits for the company.</w:t>
      </w:r>
    </w:p>
    <w:p>
      <w:r>
        <w:rPr>
          <w:b w:val="0"/>
          <w:i w:val="0"/>
        </w:rPr>
        <w:t>TAKEAWAYS</w:t>
      </w:r>
    </w:p>
    <w:p>
      <w:r>
        <w:rPr>
          <w:b w:val="0"/>
          <w:i w:val="0"/>
        </w:rPr>
        <w:t>Companies are sitting on troves of data that could benefit society. While there are plenty of examples of data repurposing gone wrong, it would be a shame for companies to decide that the only option is to hoard their data. Simple guiding principles can help companies understand how to repurpose their data successfully.</w:t>
      </w:r>
    </w:p>
    <w:p>
      <w:r>
        <w:rPr>
          <w:b w:val="0"/>
          <w:i w:val="0"/>
        </w:rPr>
        <w:t>✓  When deciding whether or how to share data for the public good, consider how it might augment information people already have access to. Look for the best data available. Then, choose a broadly accepted benchmark, and set a narrow goal to see whether and where you can meaningfully add value.</w:t>
      </w:r>
    </w:p>
    <w:p>
      <w:r>
        <w:rPr>
          <w:b w:val="0"/>
          <w:i w:val="0"/>
        </w:rPr>
        <w:t>✓  If your data doesn’t match existing benchmarks, aim to understand why. If the differences are irreconcilable, reconsider the value of your data on that dimension. Understand the strengths and limitations of your data—and be transparent about them.</w:t>
      </w:r>
    </w:p>
    <w:p>
      <w:r>
        <w:rPr>
          <w:b w:val="0"/>
          <w:i w:val="0"/>
        </w:rPr>
        <w:t>✓  Work with outside researchers and policy makers to gauge general interest in your data, build a product that will have credibility, and develop insights that will create value for a broader audience.</w:t>
      </w:r>
    </w:p>
    <w:p>
      <w:pPr>
        <w:pStyle w:val="Heading3"/>
      </w:pPr>
      <w:r>
        <w:rPr>
          <w:b w:val="0"/>
          <w:i w:val="0"/>
        </w:rPr>
        <w:t>NOTES</w:t>
      </w:r>
    </w:p>
    <w:p>
      <w:pPr>
        <w:pStyle w:val="ListNumber"/>
      </w:pPr>
      <w:r>
        <w:rPr>
          <w:b w:val="0"/>
          <w:i w:val="0"/>
        </w:rPr>
        <w:t>1. Edward L. Glaeser, Hyunjin Kim, and Michael Luca, “Nowcasting the Local Economy: Using Yelp Data to Measure Economic Activity,” Harvard Business School NOM Unit Working Paper No. 18-022, September 2017.</w:t>
      </w:r>
    </w:p>
    <w:p>
      <w:pPr>
        <w:pStyle w:val="ListNumber"/>
      </w:pPr>
      <w:r>
        <w:rPr>
          <w:b w:val="0"/>
          <w:i w:val="0"/>
        </w:rPr>
        <w:t xml:space="preserve">2. Edward L. Glaeser, Andrew Hillis, Scott Duke Kominers, and Michael Luca, “Crowdsourcing City Government: Using Tournaments to Improve Inspection Accuracy,” </w:t>
      </w:r>
      <w:r>
        <w:rPr>
          <w:b w:val="0"/>
          <w:i/>
        </w:rPr>
        <w:t>American Economic Review</w:t>
      </w:r>
      <w:r>
        <w:rPr>
          <w:b w:val="0"/>
          <w:i w:val="0"/>
        </w:rPr>
        <w:t xml:space="preserve"> 106, no. 5 (May 2016); Dara Lee Luca and Michael Luca, “Survival of the Fittest: The Impact of the Minimum Wage on Firm Exit,” Harvard Business School NOM Unit Working Paper No. 17-088, April 2017, rev. August 2018; and Glaeser et al., “Nowcasting the Local Economy.”</w:t>
      </w:r>
    </w:p>
    <w:p>
      <w:r>
        <w:rPr>
          <w:b w:val="0"/>
          <w:i/>
        </w:rPr>
        <w:t>Adapted from content posted on hbr.org, May 16, 2018 (product #H04BXA).</w:t>
      </w:r>
    </w:p>
    <w:p>
      <w:pPr>
        <w:pStyle w:val="Heading1"/>
      </w:pPr>
      <w:r>
        <w:rPr>
          <w:b w:val="0"/>
          <w:i w:val="0"/>
        </w:rPr>
        <w:t>About the Contributors</w:t>
      </w:r>
    </w:p>
    <w:p>
      <w:r>
        <w:rPr>
          <w:b w:val="0"/>
          <w:i w:val="0"/>
        </w:rPr>
        <w:t xml:space="preserve">SCOTT BERINATO is a senior editor at </w:t>
      </w:r>
      <w:r>
        <w:rPr>
          <w:b w:val="0"/>
          <w:i/>
        </w:rPr>
        <w:t>Harvard Business Review</w:t>
      </w:r>
      <w:r>
        <w:rPr>
          <w:b w:val="0"/>
          <w:i w:val="0"/>
        </w:rPr>
        <w:t xml:space="preserve"> and the author of </w:t>
      </w:r>
      <w:r>
        <w:rPr>
          <w:b w:val="0"/>
          <w:i/>
        </w:rPr>
        <w:t>Good Charts Workbook: Tips, Tools, and Exercises for Making Better Data Visualizations</w:t>
      </w:r>
      <w:r>
        <w:rPr>
          <w:b w:val="0"/>
          <w:i w:val="0"/>
        </w:rPr>
        <w:t xml:space="preserve"> (Harvard Business Review Press, 2019) and </w:t>
      </w:r>
      <w:r>
        <w:rPr>
          <w:b w:val="0"/>
          <w:i/>
        </w:rPr>
        <w:t>Good Charts: The HBR Guide to Making Smarter, More Persuasive Data Visualizations</w:t>
      </w:r>
      <w:r>
        <w:rPr>
          <w:b w:val="0"/>
          <w:i w:val="0"/>
        </w:rPr>
        <w:t xml:space="preserve"> (Harvard Business Review Press, 2016).</w:t>
      </w:r>
    </w:p>
    <w:p>
      <w:r>
        <w:rPr>
          <w:b w:val="0"/>
          <w:i w:val="0"/>
        </w:rPr>
        <w:t>NICHOLAS BLOOM is the William Eberle Professor of Economics at Stanford University and a codirector of the Productivity, Innovation and Entrepreneurship program at the National Bureau of Economic Research.</w:t>
      </w:r>
    </w:p>
    <w:p>
      <w:r>
        <w:rPr>
          <w:b w:val="0"/>
          <w:i w:val="0"/>
        </w:rPr>
        <w:t xml:space="preserve">HUGO BOWNE-ANDERSON, PHD, is a data scientist and educator at DataCamp, as well as the host of the podcast </w:t>
      </w:r>
      <w:r>
        <w:rPr>
          <w:b w:val="0"/>
          <w:i/>
        </w:rPr>
        <w:t>DataFramed</w:t>
      </w:r>
      <w:r>
        <w:rPr>
          <w:b w:val="0"/>
          <w:i w:val="0"/>
        </w:rPr>
        <w:t>. Follow him on Twitter @hugobowne.</w:t>
      </w:r>
    </w:p>
    <w:p>
      <w:r>
        <w:rPr>
          <w:b w:val="0"/>
          <w:i w:val="0"/>
        </w:rPr>
        <w:t>TOBIAS BRANDT is assistant professor of Business Information Management at Erasmus University’s Rotterdam School of Management in the Netherlands.</w:t>
      </w:r>
    </w:p>
    <w:p>
      <w:r>
        <w:rPr>
          <w:b w:val="0"/>
          <w:i w:val="0"/>
        </w:rPr>
        <w:t>SUSAN CANTRELL is a senior researcher and writer for Accenture.</w:t>
      </w:r>
    </w:p>
    <w:p>
      <w:r>
        <w:rPr>
          <w:b w:val="0"/>
          <w:i w:val="0"/>
        </w:rPr>
        <w:t>ERIC COLSON is chief algorithms officer at Stitch Fix. Prior to that he was vice president of Data Science and Engineering at Netflix. Follow him on Twitter @ericcolson.</w:t>
      </w:r>
    </w:p>
    <w:p>
      <w:r>
        <w:rPr>
          <w:b w:val="0"/>
          <w:i w:val="0"/>
        </w:rPr>
        <w:t xml:space="preserve">THOMAS H. DAVENPORT is the President’s Distinguished Professor in Management and Information Technology at Babson College, a research fellow at the MIT Initiative on the Digital Economy, and a senior adviser at Deloitte Analytics. He is the author of over a dozen management books, most recently </w:t>
      </w:r>
      <w:r>
        <w:rPr>
          <w:b w:val="0"/>
          <w:i/>
        </w:rPr>
        <w:t>Only Humans Need Apply: Winners and Losers in the Age of Smart Machines</w:t>
      </w:r>
      <w:r>
        <w:rPr>
          <w:b w:val="0"/>
          <w:i w:val="0"/>
        </w:rPr>
        <w:t xml:space="preserve"> and </w:t>
      </w:r>
      <w:r>
        <w:rPr>
          <w:b w:val="0"/>
          <w:i/>
        </w:rPr>
        <w:t>The AI Advantage.</w:t>
      </w:r>
    </w:p>
    <w:p>
      <w:r>
        <w:rPr>
          <w:b w:val="0"/>
          <w:i w:val="0"/>
        </w:rPr>
        <w:t>EDWARD L. GLAESER is the Fred and Eleanor Glimp Professor of Economics at Harvard.</w:t>
      </w:r>
    </w:p>
    <w:p>
      <w:r>
        <w:rPr>
          <w:b w:val="0"/>
          <w:i w:val="0"/>
        </w:rPr>
        <w:t>NIKLAS GOBY is a data scientist at ZF, a global automotive supplier based in Friedrichshafen, Germany, and a PhD candidate at the University of Freiburg, also in Germany.</w:t>
      </w:r>
    </w:p>
    <w:p>
      <w:r>
        <w:rPr>
          <w:b w:val="0"/>
          <w:i w:val="0"/>
        </w:rPr>
        <w:t>HYUNJIN KIM is a doctoral candidate in the strategy unit at Harvard Business School. Her research explores how organizations can improve strategic decision making and productivity in the digital economy.</w:t>
      </w:r>
    </w:p>
    <w:p>
      <w:r>
        <w:rPr>
          <w:b w:val="0"/>
          <w:i w:val="0"/>
        </w:rPr>
        <w:t>CASSIE KOZYRKOV is the chief decision scientist at Google.</w:t>
      </w:r>
    </w:p>
    <w:p>
      <w:r>
        <w:rPr>
          <w:b w:val="0"/>
          <w:i w:val="0"/>
        </w:rPr>
        <w:t>CHRIS LITTLEWOOD is the chief innovation and product officer of filtered.com, an edtech company that uses AI to lift productivity by making learning recommendations. Follow him on Twitter @filtered_chris.</w:t>
      </w:r>
    </w:p>
    <w:p>
      <w:r>
        <w:rPr>
          <w:b w:val="0"/>
          <w:i w:val="0"/>
        </w:rPr>
        <w:t xml:space="preserve">MICHAEL LUCA is the Lee J. Styslinger III Associate Professor of Business Administration at Harvard Business School and a coauthor (with Max Bazerman) of </w:t>
      </w:r>
      <w:r>
        <w:rPr>
          <w:b w:val="0"/>
          <w:i/>
        </w:rPr>
        <w:t>The Power of Experiments: Decision Making in a Data-Driven World</w:t>
      </w:r>
      <w:r>
        <w:rPr>
          <w:b w:val="0"/>
          <w:i w:val="0"/>
        </w:rPr>
        <w:t>.</w:t>
      </w:r>
    </w:p>
    <w:p>
      <w:r>
        <w:rPr>
          <w:b w:val="0"/>
          <w:i w:val="0"/>
        </w:rPr>
        <w:t>DIRK NEUMANN is a professor and chair of Information Systems Research at the University of Freiburg, Germany.</w:t>
      </w:r>
    </w:p>
    <w:p>
      <w:r>
        <w:rPr>
          <w:b w:val="0"/>
          <w:i w:val="0"/>
        </w:rPr>
        <w:t>NICOLA PIERRI is a PhD candidate at Stanford University.</w:t>
      </w:r>
    </w:p>
    <w:p>
      <w:r>
        <w:rPr>
          <w:b w:val="0"/>
          <w:i w:val="0"/>
        </w:rPr>
        <w:t>THOMAS C. REDMAN, “the Data Doc,” is president of Data Quality Solutions. He helps companies and people, including startups, multinationals, executives, and leaders at all levels, chart their courses to data-driven futures. He places special emphasis on quality, analytics, and organizational capabilities.</w:t>
      </w:r>
    </w:p>
    <w:p>
      <w:r>
        <w:rPr>
          <w:b w:val="0"/>
          <w:i w:val="0"/>
        </w:rPr>
        <w:t>EVA SAGE-GAVIN leads Accenture’s Talent &amp; Organization practice.</w:t>
      </w:r>
    </w:p>
    <w:p>
      <w:r>
        <w:rPr>
          <w:b w:val="0"/>
          <w:i w:val="0"/>
        </w:rPr>
        <w:t xml:space="preserve">ERIC SIEGEL, PHD, is the founder of the Predictive Analytics World and Deep Learning World conference series and executive editor of </w:t>
      </w:r>
      <w:r>
        <w:rPr>
          <w:b w:val="0"/>
          <w:i/>
        </w:rPr>
        <w:t>The Predictive Analytics Times</w:t>
      </w:r>
      <w:r>
        <w:rPr>
          <w:b w:val="0"/>
          <w:i w:val="0"/>
        </w:rPr>
        <w:t xml:space="preserve">. He is the author of the award-winning book </w:t>
      </w:r>
      <w:r>
        <w:rPr>
          <w:b w:val="0"/>
          <w:i/>
        </w:rPr>
        <w:t>Predictive Analytics: The Power to Predict Who Will Click, Buy, Lie, or Die</w:t>
      </w:r>
      <w:r>
        <w:rPr>
          <w:b w:val="0"/>
          <w:i w:val="0"/>
        </w:rPr>
        <w:t xml:space="preserve">, the host of </w:t>
      </w:r>
      <w:r>
        <w:rPr>
          <w:b w:val="0"/>
          <w:i/>
        </w:rPr>
        <w:t>The Dr. Data Show</w:t>
      </w:r>
      <w:r>
        <w:rPr>
          <w:b w:val="0"/>
          <w:i w:val="0"/>
        </w:rPr>
        <w:t xml:space="preserve"> web series, a former Columbia University professor, and a renowned speaker, educator, and leader in the field. Follow him on Twitter @predictanalytic.</w:t>
      </w:r>
    </w:p>
    <w:p>
      <w:r>
        <w:rPr>
          <w:b w:val="0"/>
          <w:i w:val="0"/>
        </w:rPr>
        <w:t>JOEL SHAPIRO, JD, PHD, is clinical associate professor and executive director of the program on data analytics at Northwestern’s Kellogg School of Management.</w:t>
      </w:r>
    </w:p>
    <w:p>
      <w:r>
        <w:rPr>
          <w:b w:val="0"/>
          <w:i w:val="0"/>
        </w:rPr>
        <w:t>ELLYN SHOOK is chief leadership and human resources officer for Accenture.</w:t>
      </w:r>
    </w:p>
    <w:p>
      <w:r>
        <w:rPr>
          <w:b w:val="0"/>
          <w:i w:val="0"/>
        </w:rPr>
        <w:t xml:space="preserve">DAVE SUTTON is president and CEO at TopRight, an Atlanta-based strategic marketing firm that serves Global 2000 companies. He’s also the author of </w:t>
      </w:r>
      <w:r>
        <w:rPr>
          <w:b w:val="0"/>
          <w:i/>
        </w:rPr>
        <w:t>Marketing, Interrupted</w:t>
      </w:r>
      <w:r>
        <w:rPr>
          <w:b w:val="0"/>
          <w:i w:val="0"/>
        </w:rPr>
        <w:t>.</w:t>
      </w:r>
    </w:p>
    <w:p>
      <w:pPr>
        <w:pStyle w:val="Heading1"/>
      </w:pPr>
      <w:r>
        <w:rPr>
          <w:b w:val="0"/>
          <w:i w:val="0"/>
        </w:rPr>
        <w:t>Index</w:t>
      </w:r>
    </w:p>
    <w:p>
      <w:pPr>
        <w:pStyle w:val="ListBullet"/>
      </w:pPr>
      <w:r>
        <w:rPr>
          <w:b w:val="0"/>
          <w:i w:val="0"/>
        </w:rPr>
        <w:t>Aberdeen Information, 75–76</w:t>
      </w:r>
    </w:p>
    <w:p>
      <w:pPr>
        <w:pStyle w:val="ListBullet"/>
      </w:pPr>
      <w:r>
        <w:rPr>
          <w:b w:val="0"/>
          <w:i w:val="0"/>
        </w:rPr>
        <w:t>AdventHealth Celebration, 132</w:t>
      </w:r>
    </w:p>
    <w:p>
      <w:pPr>
        <w:pStyle w:val="ListBullet"/>
      </w:pPr>
      <w:r>
        <w:rPr>
          <w:b w:val="0"/>
          <w:i w:val="0"/>
        </w:rPr>
        <w:t>agility, 80, 105–106</w:t>
      </w:r>
    </w:p>
    <w:p>
      <w:pPr>
        <w:pStyle w:val="ListBullet"/>
      </w:pPr>
      <w:r>
        <w:rPr>
          <w:b w:val="0"/>
          <w:i w:val="0"/>
        </w:rPr>
        <w:t>Amazon, 7, 118</w:t>
      </w:r>
    </w:p>
    <w:p>
      <w:pPr>
        <w:pStyle w:val="ListBullet"/>
      </w:pPr>
      <w:r>
        <w:rPr>
          <w:b w:val="0"/>
          <w:i w:val="0"/>
        </w:rPr>
        <w:t>analysts, 31–41</w:t>
      </w:r>
    </w:p>
    <w:p>
      <w:pPr>
        <w:pStyle w:val="ListBullet"/>
      </w:pPr>
      <w:r>
        <w:rPr>
          <w:b w:val="0"/>
          <w:i w:val="0"/>
        </w:rPr>
        <w:t>analytics</w:t>
      </w:r>
    </w:p>
    <w:p>
      <w:pPr>
        <w:pStyle w:val="ListBullet"/>
      </w:pPr>
      <w:r>
        <w:rPr>
          <w:b w:val="0"/>
          <w:i w:val="0"/>
        </w:rPr>
        <w:t>for artificial intelligence and machine learning, 38–39</w:t>
      </w:r>
    </w:p>
    <w:p>
      <w:pPr>
        <w:pStyle w:val="ListBullet"/>
      </w:pPr>
      <w:r>
        <w:rPr>
          <w:b w:val="0"/>
          <w:i w:val="0"/>
        </w:rPr>
        <w:t>credible, 154–155</w:t>
      </w:r>
    </w:p>
    <w:p>
      <w:pPr>
        <w:pStyle w:val="ListBullet"/>
      </w:pPr>
      <w:r>
        <w:rPr>
          <w:b w:val="0"/>
          <w:i w:val="0"/>
        </w:rPr>
        <w:t>for decision making, 38</w:t>
      </w:r>
    </w:p>
    <w:p>
      <w:pPr>
        <w:pStyle w:val="ListBullet"/>
      </w:pPr>
      <w:r>
        <w:rPr>
          <w:b w:val="0"/>
          <w:i w:val="0"/>
        </w:rPr>
        <w:t>essential elements for, 3–10</w:t>
      </w:r>
    </w:p>
    <w:p>
      <w:pPr>
        <w:pStyle w:val="ListBullet"/>
      </w:pPr>
      <w:r>
        <w:rPr>
          <w:b w:val="0"/>
          <w:i w:val="0"/>
        </w:rPr>
        <w:t>importance of people in, xvii</w:t>
      </w:r>
    </w:p>
    <w:p>
      <w:pPr>
        <w:pStyle w:val="ListBullet"/>
      </w:pPr>
      <w:r>
        <w:rPr>
          <w:b w:val="0"/>
          <w:i w:val="0"/>
        </w:rPr>
        <w:t>internal customers for, 63</w:t>
      </w:r>
    </w:p>
    <w:p>
      <w:pPr>
        <w:pStyle w:val="ListBullet"/>
      </w:pPr>
      <w:r>
        <w:rPr>
          <w:b w:val="0"/>
          <w:i w:val="0"/>
        </w:rPr>
        <w:t>predictive, 21–29</w:t>
      </w:r>
    </w:p>
    <w:p>
      <w:pPr>
        <w:pStyle w:val="ListBullet"/>
      </w:pPr>
      <w:r>
        <w:rPr>
          <w:b w:val="0"/>
          <w:i w:val="0"/>
        </w:rPr>
        <w:t>skills for, 31–41</w:t>
      </w:r>
    </w:p>
    <w:p>
      <w:pPr>
        <w:pStyle w:val="ListBullet"/>
      </w:pPr>
      <w:r>
        <w:rPr>
          <w:b w:val="0"/>
          <w:i w:val="0"/>
        </w:rPr>
        <w:t>speed and excellence in, 35–36</w:t>
      </w:r>
    </w:p>
    <w:p>
      <w:pPr>
        <w:pStyle w:val="ListBullet"/>
      </w:pPr>
      <w:r>
        <w:rPr>
          <w:b w:val="0"/>
          <w:i w:val="0"/>
        </w:rPr>
        <w:t>strategic versus tactical, xii–xvi</w:t>
      </w:r>
    </w:p>
    <w:p>
      <w:pPr>
        <w:pStyle w:val="ListBullet"/>
      </w:pPr>
      <w:r>
        <w:rPr>
          <w:b w:val="0"/>
          <w:i w:val="0"/>
        </w:rPr>
        <w:t>use of employee data in, 127–135</w:t>
      </w:r>
    </w:p>
    <w:p>
      <w:pPr>
        <w:pStyle w:val="ListBullet"/>
      </w:pPr>
      <w:r>
        <w:rPr>
          <w:b w:val="0"/>
          <w:i w:val="0"/>
        </w:rPr>
        <w:t>analytics labs, 61–70</w:t>
      </w:r>
    </w:p>
    <w:p>
      <w:pPr>
        <w:pStyle w:val="ListBullet"/>
      </w:pPr>
      <w:r>
        <w:rPr>
          <w:b w:val="0"/>
          <w:i w:val="0"/>
        </w:rPr>
        <w:t>artificial intelligence (AI), xiii, 13</w:t>
      </w:r>
    </w:p>
    <w:p>
      <w:pPr>
        <w:pStyle w:val="ListBullet"/>
      </w:pPr>
      <w:r>
        <w:rPr>
          <w:b w:val="0"/>
          <w:i w:val="0"/>
        </w:rPr>
        <w:t>analytics for, 38–39</w:t>
      </w:r>
    </w:p>
    <w:p>
      <w:pPr>
        <w:pStyle w:val="ListBullet"/>
      </w:pPr>
      <w:r>
        <w:rPr>
          <w:b w:val="0"/>
          <w:i w:val="0"/>
        </w:rPr>
        <w:t>decision making driven by, 118–120, 137–150</w:t>
      </w:r>
    </w:p>
    <w:p>
      <w:pPr>
        <w:pStyle w:val="ListBullet"/>
      </w:pPr>
      <w:r>
        <w:rPr>
          <w:b w:val="0"/>
          <w:i w:val="0"/>
        </w:rPr>
        <w:t>workflows with, 137–138, 144–146</w:t>
      </w:r>
    </w:p>
    <w:p>
      <w:pPr>
        <w:pStyle w:val="ListBullet"/>
      </w:pPr>
      <w:r>
        <w:rPr>
          <w:b w:val="0"/>
          <w:i w:val="0"/>
        </w:rPr>
        <w:t>assumptions, making, 45–46</w:t>
      </w:r>
    </w:p>
    <w:p>
      <w:pPr>
        <w:pStyle w:val="ListBullet"/>
      </w:pPr>
      <w:r>
        <w:rPr>
          <w:b w:val="0"/>
          <w:i w:val="0"/>
        </w:rPr>
        <w:t>automation, 146</w:t>
      </w:r>
    </w:p>
    <w:p>
      <w:pPr>
        <w:pStyle w:val="ListBullet"/>
      </w:pPr>
      <w:r>
        <w:rPr>
          <w:b w:val="0"/>
          <w:i w:val="0"/>
        </w:rPr>
        <w:t>AXA, 131–132</w:t>
      </w:r>
    </w:p>
    <w:p>
      <w:pPr>
        <w:pStyle w:val="ListBullet"/>
      </w:pPr>
      <w:r>
        <w:rPr>
          <w:b w:val="0"/>
          <w:i w:val="0"/>
        </w:rPr>
        <w:t>bag-of-words model, 17</w:t>
      </w:r>
    </w:p>
    <w:p>
      <w:pPr>
        <w:pStyle w:val="ListBullet"/>
      </w:pPr>
      <w:r>
        <w:rPr>
          <w:b w:val="0"/>
          <w:i w:val="0"/>
        </w:rPr>
        <w:t>behavior, determining the “why” for, 43–51</w:t>
      </w:r>
    </w:p>
    <w:p>
      <w:pPr>
        <w:pStyle w:val="ListBullet"/>
      </w:pPr>
      <w:r>
        <w:rPr>
          <w:b w:val="0"/>
          <w:i w:val="0"/>
        </w:rPr>
        <w:t>Berinato, Scott, 85–111</w:t>
      </w:r>
    </w:p>
    <w:p>
      <w:pPr>
        <w:pStyle w:val="ListBullet"/>
      </w:pPr>
      <w:r>
        <w:rPr>
          <w:b w:val="0"/>
          <w:i w:val="0"/>
        </w:rPr>
        <w:t>bias, 133, 139–140</w:t>
      </w:r>
    </w:p>
    <w:p>
      <w:pPr>
        <w:pStyle w:val="ListBullet"/>
      </w:pPr>
      <w:r>
        <w:rPr>
          <w:b w:val="0"/>
          <w:i w:val="0"/>
        </w:rPr>
        <w:t>cognitive, 139–140, 143–144, 145</w:t>
      </w:r>
    </w:p>
    <w:p>
      <w:pPr>
        <w:pStyle w:val="ListBullet"/>
      </w:pPr>
      <w:r>
        <w:rPr>
          <w:b w:val="0"/>
          <w:i w:val="0"/>
        </w:rPr>
        <w:t>Bloom, Nicholas, 73–83</w:t>
      </w:r>
    </w:p>
    <w:p>
      <w:pPr>
        <w:pStyle w:val="ListBullet"/>
      </w:pPr>
      <w:r>
        <w:rPr>
          <w:b w:val="0"/>
          <w:i w:val="0"/>
        </w:rPr>
        <w:t>Bluecore, 118–125</w:t>
      </w:r>
    </w:p>
    <w:p>
      <w:pPr>
        <w:pStyle w:val="ListBullet"/>
      </w:pPr>
      <w:r>
        <w:rPr>
          <w:b w:val="0"/>
          <w:i w:val="0"/>
        </w:rPr>
        <w:t>Bowne-Anderson, Hugo, 11–19, 86</w:t>
      </w:r>
    </w:p>
    <w:p>
      <w:pPr>
        <w:pStyle w:val="ListBullet"/>
      </w:pPr>
      <w:r>
        <w:rPr>
          <w:b w:val="0"/>
          <w:i w:val="0"/>
        </w:rPr>
        <w:t>Brandt, Tobias, 61–71</w:t>
      </w:r>
    </w:p>
    <w:p>
      <w:pPr>
        <w:pStyle w:val="ListBullet"/>
      </w:pPr>
      <w:r>
        <w:rPr>
          <w:b w:val="0"/>
          <w:i w:val="0"/>
        </w:rPr>
        <w:t>Brinton, Willard, 87, 110</w:t>
      </w:r>
    </w:p>
    <w:p>
      <w:pPr>
        <w:pStyle w:val="ListBullet"/>
      </w:pPr>
      <w:r>
        <w:rPr>
          <w:b w:val="0"/>
          <w:i w:val="0"/>
        </w:rPr>
        <w:t>business models, 5–6</w:t>
      </w:r>
    </w:p>
    <w:p>
      <w:pPr>
        <w:pStyle w:val="ListBullet"/>
      </w:pPr>
      <w:r>
        <w:rPr>
          <w:b w:val="0"/>
          <w:i w:val="0"/>
        </w:rPr>
        <w:t>Cantrell, Susan, 127–135</w:t>
      </w:r>
    </w:p>
    <w:p>
      <w:pPr>
        <w:pStyle w:val="ListBullet"/>
      </w:pPr>
      <w:r>
        <w:rPr>
          <w:b w:val="0"/>
          <w:i w:val="0"/>
        </w:rPr>
        <w:t>career development, 131–132</w:t>
      </w:r>
    </w:p>
    <w:p>
      <w:pPr>
        <w:pStyle w:val="ListBullet"/>
      </w:pPr>
      <w:r>
        <w:rPr>
          <w:b w:val="0"/>
          <w:i w:val="0"/>
        </w:rPr>
        <w:t>cause analysis, 43–48</w:t>
      </w:r>
    </w:p>
    <w:p>
      <w:pPr>
        <w:pStyle w:val="ListBullet"/>
      </w:pPr>
      <w:r>
        <w:rPr>
          <w:b w:val="0"/>
          <w:i w:val="0"/>
        </w:rPr>
        <w:t>Chart Wizard, 90–91</w:t>
      </w:r>
    </w:p>
    <w:p>
      <w:pPr>
        <w:pStyle w:val="ListBullet"/>
      </w:pPr>
      <w:r>
        <w:rPr>
          <w:b w:val="0"/>
          <w:i w:val="0"/>
        </w:rPr>
        <w:t>click and viz, 90–91, 92</w:t>
      </w:r>
    </w:p>
    <w:p>
      <w:pPr>
        <w:pStyle w:val="ListBullet"/>
      </w:pPr>
      <w:r>
        <w:rPr>
          <w:b w:val="0"/>
          <w:i w:val="0"/>
        </w:rPr>
        <w:t>Clickclickclick.click, 134</w:t>
      </w:r>
    </w:p>
    <w:p>
      <w:pPr>
        <w:pStyle w:val="ListBullet"/>
      </w:pPr>
      <w:r>
        <w:rPr>
          <w:b w:val="0"/>
          <w:i w:val="0"/>
        </w:rPr>
        <w:t>Clinton, Hillary, 12</w:t>
      </w:r>
    </w:p>
    <w:p>
      <w:pPr>
        <w:pStyle w:val="ListBullet"/>
      </w:pPr>
      <w:r>
        <w:rPr>
          <w:b w:val="0"/>
          <w:i w:val="0"/>
        </w:rPr>
        <w:t>cloud computing, 14–15, 73–83</w:t>
      </w:r>
    </w:p>
    <w:p>
      <w:pPr>
        <w:pStyle w:val="ListBullet"/>
      </w:pPr>
      <w:r>
        <w:rPr>
          <w:b w:val="0"/>
          <w:i w:val="0"/>
        </w:rPr>
        <w:t>adoption across industries, 76–77</w:t>
      </w:r>
    </w:p>
    <w:p>
      <w:pPr>
        <w:pStyle w:val="ListBullet"/>
      </w:pPr>
      <w:r>
        <w:rPr>
          <w:b w:val="0"/>
          <w:i w:val="0"/>
        </w:rPr>
        <w:t>adoption rates of, 75–76, 78</w:t>
      </w:r>
    </w:p>
    <w:p>
      <w:pPr>
        <w:pStyle w:val="ListBullet"/>
      </w:pPr>
      <w:r>
        <w:rPr>
          <w:b w:val="0"/>
          <w:i w:val="0"/>
        </w:rPr>
        <w:t>in small, young firms, 77–81</w:t>
      </w:r>
    </w:p>
    <w:p>
      <w:pPr>
        <w:pStyle w:val="ListBullet"/>
      </w:pPr>
      <w:r>
        <w:rPr>
          <w:b w:val="0"/>
          <w:i w:val="0"/>
        </w:rPr>
        <w:t>Cloudera, 17</w:t>
      </w:r>
    </w:p>
    <w:p>
      <w:pPr>
        <w:pStyle w:val="ListBullet"/>
      </w:pPr>
      <w:r>
        <w:rPr>
          <w:b w:val="0"/>
          <w:i w:val="0"/>
        </w:rPr>
        <w:t>cognitive biases, 139–140, 143–144, 145</w:t>
      </w:r>
    </w:p>
    <w:p>
      <w:pPr>
        <w:pStyle w:val="ListBullet"/>
      </w:pPr>
      <w:r>
        <w:rPr>
          <w:b w:val="0"/>
          <w:i w:val="0"/>
        </w:rPr>
        <w:t>collaboration, 88–89, 107, 155–156</w:t>
      </w:r>
    </w:p>
    <w:p>
      <w:pPr>
        <w:pStyle w:val="ListBullet"/>
      </w:pPr>
      <w:r>
        <w:rPr>
          <w:b w:val="0"/>
          <w:i w:val="0"/>
        </w:rPr>
        <w:t>colocation, 107–108</w:t>
      </w:r>
    </w:p>
    <w:p>
      <w:pPr>
        <w:pStyle w:val="ListBullet"/>
      </w:pPr>
      <w:r>
        <w:rPr>
          <w:b w:val="0"/>
          <w:i w:val="0"/>
        </w:rPr>
        <w:t>Colson, Eric, 104–105, 108, 137–150</w:t>
      </w:r>
    </w:p>
    <w:p>
      <w:pPr>
        <w:pStyle w:val="ListBullet"/>
      </w:pPr>
      <w:r>
        <w:rPr>
          <w:b w:val="0"/>
          <w:i w:val="0"/>
        </w:rPr>
        <w:t>communication, 66, 146</w:t>
      </w:r>
    </w:p>
    <w:p>
      <w:pPr>
        <w:pStyle w:val="ListBullet"/>
      </w:pPr>
      <w:r>
        <w:rPr>
          <w:b w:val="0"/>
          <w:i w:val="0"/>
        </w:rPr>
        <w:t>about data, 11–12, 86–111</w:t>
      </w:r>
    </w:p>
    <w:p>
      <w:pPr>
        <w:pStyle w:val="ListBullet"/>
      </w:pPr>
      <w:r>
        <w:rPr>
          <w:b w:val="0"/>
          <w:i w:val="0"/>
        </w:rPr>
        <w:t>batch-and-blast, 117, 120</w:t>
      </w:r>
    </w:p>
    <w:p>
      <w:pPr>
        <w:pStyle w:val="ListBullet"/>
      </w:pPr>
      <w:r>
        <w:rPr>
          <w:b w:val="0"/>
          <w:i w:val="0"/>
        </w:rPr>
        <w:t>via email and social media, 118–121</w:t>
      </w:r>
    </w:p>
    <w:p>
      <w:pPr>
        <w:pStyle w:val="ListBullet"/>
      </w:pPr>
      <w:r>
        <w:rPr>
          <w:b w:val="0"/>
          <w:i w:val="0"/>
        </w:rPr>
        <w:t>how it fails, 92–93</w:t>
      </w:r>
    </w:p>
    <w:p>
      <w:pPr>
        <w:pStyle w:val="ListBullet"/>
      </w:pPr>
      <w:r>
        <w:rPr>
          <w:b w:val="0"/>
          <w:i w:val="0"/>
        </w:rPr>
        <w:t>persuasive, 85–111</w:t>
      </w:r>
    </w:p>
    <w:p>
      <w:pPr>
        <w:pStyle w:val="ListBullet"/>
      </w:pPr>
      <w:r>
        <w:rPr>
          <w:b w:val="0"/>
          <w:i w:val="0"/>
        </w:rPr>
        <w:t>skills for, 94–99</w:t>
      </w:r>
    </w:p>
    <w:p>
      <w:pPr>
        <w:pStyle w:val="ListBullet"/>
      </w:pPr>
      <w:r>
        <w:rPr>
          <w:b w:val="0"/>
          <w:i w:val="0"/>
        </w:rPr>
        <w:t>storytelling in, 36–37</w:t>
      </w:r>
    </w:p>
    <w:p>
      <w:pPr>
        <w:pStyle w:val="ListBullet"/>
      </w:pPr>
      <w:r>
        <w:rPr>
          <w:b w:val="0"/>
          <w:i w:val="0"/>
        </w:rPr>
        <w:t>targeted, 116, 118–120</w:t>
      </w:r>
    </w:p>
    <w:p>
      <w:pPr>
        <w:pStyle w:val="ListBullet"/>
      </w:pPr>
      <w:r>
        <w:rPr>
          <w:b w:val="0"/>
          <w:i w:val="0"/>
        </w:rPr>
        <w:t>winning over customers with, 115–126</w:t>
      </w:r>
    </w:p>
    <w:p>
      <w:pPr>
        <w:pStyle w:val="ListBullet"/>
      </w:pPr>
      <w:r>
        <w:rPr>
          <w:b w:val="0"/>
          <w:i w:val="0"/>
        </w:rPr>
        <w:t>confounding factors, 143</w:t>
      </w:r>
    </w:p>
    <w:p>
      <w:pPr>
        <w:pStyle w:val="ListBullet"/>
      </w:pPr>
      <w:r>
        <w:rPr>
          <w:b w:val="0"/>
          <w:i w:val="0"/>
        </w:rPr>
        <w:t>consultants, 27, 29</w:t>
      </w:r>
    </w:p>
    <w:p>
      <w:pPr>
        <w:pStyle w:val="ListBullet"/>
      </w:pPr>
      <w:r>
        <w:rPr>
          <w:b w:val="0"/>
          <w:i w:val="0"/>
        </w:rPr>
        <w:t>Correll, Michael, 96</w:t>
      </w:r>
    </w:p>
    <w:p>
      <w:pPr>
        <w:pStyle w:val="ListBullet"/>
      </w:pPr>
      <w:r>
        <w:rPr>
          <w:b w:val="0"/>
          <w:i w:val="0"/>
        </w:rPr>
        <w:t>culture, xi–xii</w:t>
      </w:r>
    </w:p>
    <w:p>
      <w:pPr>
        <w:pStyle w:val="ListBullet"/>
      </w:pPr>
      <w:r>
        <w:rPr>
          <w:b w:val="0"/>
          <w:i w:val="0"/>
        </w:rPr>
        <w:t>clashes, overcoming, 101–105</w:t>
      </w:r>
    </w:p>
    <w:p>
      <w:pPr>
        <w:pStyle w:val="ListBullet"/>
      </w:pPr>
      <w:r>
        <w:rPr>
          <w:b w:val="0"/>
          <w:i w:val="0"/>
        </w:rPr>
        <w:t>data-driven, xiv, xv</w:t>
      </w:r>
    </w:p>
    <w:p>
      <w:pPr>
        <w:pStyle w:val="ListBullet"/>
      </w:pPr>
      <w:r>
        <w:rPr>
          <w:b w:val="0"/>
          <w:i w:val="0"/>
        </w:rPr>
        <w:t>information sharing in, 146</w:t>
      </w:r>
    </w:p>
    <w:p>
      <w:pPr>
        <w:pStyle w:val="ListBullet"/>
      </w:pPr>
      <w:r>
        <w:rPr>
          <w:b w:val="0"/>
          <w:i w:val="0"/>
        </w:rPr>
        <w:t>for succeeding with data, 6–7</w:t>
      </w:r>
    </w:p>
    <w:p>
      <w:pPr>
        <w:pStyle w:val="ListBullet"/>
      </w:pPr>
      <w:r>
        <w:rPr>
          <w:b w:val="0"/>
          <w:i w:val="0"/>
        </w:rPr>
        <w:t>customers</w:t>
      </w:r>
    </w:p>
    <w:p>
      <w:pPr>
        <w:pStyle w:val="ListBullet"/>
      </w:pPr>
      <w:r>
        <w:rPr>
          <w:b w:val="0"/>
          <w:i w:val="0"/>
        </w:rPr>
        <w:t>internal, 63, 66, 70</w:t>
      </w:r>
    </w:p>
    <w:p>
      <w:pPr>
        <w:pStyle w:val="ListBullet"/>
      </w:pPr>
      <w:r>
        <w:rPr>
          <w:b w:val="0"/>
          <w:i w:val="0"/>
        </w:rPr>
        <w:t>segmentation of, 122–124</w:t>
      </w:r>
    </w:p>
    <w:p>
      <w:pPr>
        <w:pStyle w:val="ListBullet"/>
      </w:pPr>
      <w:r>
        <w:rPr>
          <w:b w:val="0"/>
          <w:i w:val="0"/>
        </w:rPr>
        <w:t>targeted communication to, 115–126</w:t>
      </w:r>
    </w:p>
    <w:p>
      <w:pPr>
        <w:pStyle w:val="ListBullet"/>
      </w:pPr>
      <w:r>
        <w:rPr>
          <w:b w:val="0"/>
          <w:i w:val="0"/>
        </w:rPr>
        <w:t>data, xiv</w:t>
      </w:r>
    </w:p>
    <w:p>
      <w:pPr>
        <w:pStyle w:val="ListBullet"/>
      </w:pPr>
      <w:r>
        <w:rPr>
          <w:b w:val="0"/>
          <w:i w:val="0"/>
        </w:rPr>
        <w:t>analysts, 31–41</w:t>
      </w:r>
    </w:p>
    <w:p>
      <w:pPr>
        <w:pStyle w:val="ListBullet"/>
      </w:pPr>
      <w:r>
        <w:rPr>
          <w:b w:val="0"/>
          <w:i w:val="0"/>
        </w:rPr>
        <w:t>cognitive biases and, 143–144</w:t>
      </w:r>
    </w:p>
    <w:p>
      <w:pPr>
        <w:pStyle w:val="ListBullet"/>
      </w:pPr>
      <w:r>
        <w:rPr>
          <w:b w:val="0"/>
          <w:i w:val="0"/>
        </w:rPr>
        <w:t>communicating about, 11–12, 86–111</w:t>
      </w:r>
    </w:p>
    <w:p>
      <w:pPr>
        <w:pStyle w:val="ListBullet"/>
      </w:pPr>
      <w:r>
        <w:rPr>
          <w:b w:val="0"/>
          <w:i w:val="0"/>
        </w:rPr>
        <w:t>conclusions based on, 36–37</w:t>
      </w:r>
    </w:p>
    <w:p>
      <w:pPr>
        <w:pStyle w:val="ListBullet"/>
      </w:pPr>
      <w:r>
        <w:rPr>
          <w:b w:val="0"/>
          <w:i w:val="0"/>
        </w:rPr>
        <w:t>decision making supported by, 141–145</w:t>
      </w:r>
    </w:p>
    <w:p>
      <w:pPr>
        <w:pStyle w:val="ListBullet"/>
      </w:pPr>
      <w:r>
        <w:rPr>
          <w:b w:val="0"/>
          <w:i w:val="0"/>
        </w:rPr>
        <w:t>employee, using responsibly, 127–135</w:t>
      </w:r>
    </w:p>
    <w:p>
      <w:pPr>
        <w:pStyle w:val="ListBullet"/>
      </w:pPr>
      <w:r>
        <w:rPr>
          <w:b w:val="0"/>
          <w:i w:val="0"/>
        </w:rPr>
        <w:t>essential elements for, 3–10</w:t>
      </w:r>
    </w:p>
    <w:p>
      <w:pPr>
        <w:pStyle w:val="ListBullet"/>
      </w:pPr>
      <w:r>
        <w:rPr>
          <w:b w:val="0"/>
          <w:i w:val="0"/>
        </w:rPr>
        <w:t>ethics and, 13</w:t>
      </w:r>
    </w:p>
    <w:p>
      <w:pPr>
        <w:pStyle w:val="ListBullet"/>
      </w:pPr>
      <w:r>
        <w:rPr>
          <w:b w:val="0"/>
          <w:i w:val="0"/>
        </w:rPr>
        <w:t>forms of, 15–18</w:t>
      </w:r>
    </w:p>
    <w:p>
      <w:pPr>
        <w:pStyle w:val="ListBullet"/>
      </w:pPr>
      <w:r>
        <w:rPr>
          <w:b w:val="0"/>
          <w:i w:val="0"/>
        </w:rPr>
        <w:t>generation, collection, and storage of, 13–15</w:t>
      </w:r>
    </w:p>
    <w:p>
      <w:pPr>
        <w:pStyle w:val="ListBullet"/>
      </w:pPr>
      <w:r>
        <w:rPr>
          <w:b w:val="0"/>
          <w:i w:val="0"/>
        </w:rPr>
        <w:t>image, 16, 19</w:t>
      </w:r>
    </w:p>
    <w:p>
      <w:pPr>
        <w:pStyle w:val="ListBullet"/>
      </w:pPr>
      <w:r>
        <w:rPr>
          <w:b w:val="0"/>
          <w:i w:val="0"/>
        </w:rPr>
        <w:t>monetization of, 5–6, 10</w:t>
      </w:r>
    </w:p>
    <w:p>
      <w:pPr>
        <w:pStyle w:val="ListBullet"/>
      </w:pPr>
      <w:r>
        <w:rPr>
          <w:b w:val="0"/>
          <w:i w:val="0"/>
        </w:rPr>
        <w:t>preparation, 91–106</w:t>
      </w:r>
    </w:p>
    <w:p>
      <w:pPr>
        <w:pStyle w:val="ListBullet"/>
      </w:pPr>
      <w:r>
        <w:rPr>
          <w:b w:val="0"/>
          <w:i w:val="0"/>
        </w:rPr>
        <w:t>presenting to nonexperts, 86–111</w:t>
      </w:r>
    </w:p>
    <w:p>
      <w:pPr>
        <w:pStyle w:val="ListBullet"/>
      </w:pPr>
      <w:r>
        <w:rPr>
          <w:b w:val="0"/>
          <w:i w:val="0"/>
        </w:rPr>
        <w:t>quality, 4–5, 8–9, 156</w:t>
      </w:r>
    </w:p>
    <w:p>
      <w:pPr>
        <w:pStyle w:val="ListBullet"/>
      </w:pPr>
      <w:r>
        <w:rPr>
          <w:b w:val="0"/>
          <w:i w:val="0"/>
        </w:rPr>
        <w:t>reduction, 142–143</w:t>
      </w:r>
    </w:p>
    <w:p>
      <w:pPr>
        <w:pStyle w:val="ListBullet"/>
      </w:pPr>
      <w:r>
        <w:rPr>
          <w:b w:val="0"/>
          <w:i w:val="0"/>
        </w:rPr>
        <w:t>repurposing for the public good, 151–158</w:t>
      </w:r>
    </w:p>
    <w:p>
      <w:pPr>
        <w:pStyle w:val="ListBullet"/>
      </w:pPr>
      <w:r>
        <w:rPr>
          <w:b w:val="0"/>
          <w:i w:val="0"/>
        </w:rPr>
        <w:t>skills, prioritizing needed, 53–59</w:t>
      </w:r>
    </w:p>
    <w:p>
      <w:pPr>
        <w:pStyle w:val="ListBullet"/>
      </w:pPr>
      <w:r>
        <w:rPr>
          <w:b w:val="0"/>
          <w:i w:val="0"/>
        </w:rPr>
        <w:t>storytelling and, 36–37</w:t>
      </w:r>
    </w:p>
    <w:p>
      <w:pPr>
        <w:pStyle w:val="ListBullet"/>
      </w:pPr>
      <w:r>
        <w:rPr>
          <w:b w:val="0"/>
          <w:i w:val="0"/>
        </w:rPr>
        <w:t>structured, 105–106</w:t>
      </w:r>
    </w:p>
    <w:p>
      <w:pPr>
        <w:pStyle w:val="ListBullet"/>
      </w:pPr>
      <w:r>
        <w:rPr>
          <w:b w:val="0"/>
          <w:i w:val="0"/>
        </w:rPr>
        <w:t>tabular, 15–16, 19</w:t>
      </w:r>
    </w:p>
    <w:p>
      <w:pPr>
        <w:pStyle w:val="ListBullet"/>
      </w:pPr>
      <w:r>
        <w:rPr>
          <w:b w:val="0"/>
          <w:i w:val="0"/>
        </w:rPr>
        <w:t>training, for machine learning, 26</w:t>
      </w:r>
    </w:p>
    <w:p>
      <w:pPr>
        <w:pStyle w:val="ListBullet"/>
      </w:pPr>
      <w:r>
        <w:rPr>
          <w:b w:val="0"/>
          <w:i w:val="0"/>
        </w:rPr>
        <w:t>unstructured, 17–18, 19</w:t>
      </w:r>
    </w:p>
    <w:p>
      <w:pPr>
        <w:pStyle w:val="ListBullet"/>
      </w:pPr>
      <w:r>
        <w:rPr>
          <w:b w:val="0"/>
          <w:i w:val="0"/>
        </w:rPr>
        <w:t>visualization, 87–88, 90–91</w:t>
      </w:r>
    </w:p>
    <w:p>
      <w:pPr>
        <w:pStyle w:val="ListBullet"/>
      </w:pPr>
      <w:r>
        <w:rPr>
          <w:b w:val="0"/>
          <w:i w:val="0"/>
        </w:rPr>
        <w:t>what it’s good and not good for, 43–51</w:t>
      </w:r>
    </w:p>
    <w:p>
      <w:pPr>
        <w:pStyle w:val="ListBullet"/>
      </w:pPr>
      <w:r>
        <w:rPr>
          <w:b w:val="0"/>
          <w:i w:val="0"/>
        </w:rPr>
        <w:t>wide versus deep analysis of, 34–35</w:t>
      </w:r>
    </w:p>
    <w:p>
      <w:pPr>
        <w:pStyle w:val="ListBullet"/>
      </w:pPr>
      <w:r>
        <w:rPr>
          <w:b w:val="0"/>
          <w:i w:val="0"/>
        </w:rPr>
        <w:t>“why” questions and, 43–51</w:t>
      </w:r>
    </w:p>
    <w:p>
      <w:pPr>
        <w:pStyle w:val="ListBullet"/>
      </w:pPr>
      <w:r>
        <w:rPr>
          <w:b w:val="0"/>
          <w:i w:val="0"/>
        </w:rPr>
        <w:t>data analysis, 95–96</w:t>
      </w:r>
    </w:p>
    <w:p>
      <w:pPr>
        <w:pStyle w:val="ListBullet"/>
      </w:pPr>
      <w:r>
        <w:rPr>
          <w:b w:val="0"/>
          <w:i w:val="0"/>
        </w:rPr>
        <w:t>data-driven cultures, xiv, xv</w:t>
      </w:r>
    </w:p>
    <w:p>
      <w:pPr>
        <w:pStyle w:val="ListBullet"/>
      </w:pPr>
      <w:r>
        <w:rPr>
          <w:b w:val="0"/>
          <w:i w:val="0"/>
        </w:rPr>
        <w:t>data-driven decision making, 138</w:t>
      </w:r>
    </w:p>
    <w:p>
      <w:pPr>
        <w:pStyle w:val="ListBullet"/>
      </w:pPr>
      <w:r>
        <w:rPr>
          <w:b w:val="0"/>
          <w:i w:val="0"/>
        </w:rPr>
        <w:t>data-driven workflows, 141–145</w:t>
      </w:r>
    </w:p>
    <w:p>
      <w:pPr>
        <w:pStyle w:val="ListBullet"/>
      </w:pPr>
      <w:r>
        <w:rPr>
          <w:b w:val="0"/>
          <w:i w:val="0"/>
        </w:rPr>
        <w:t>data science</w:t>
      </w:r>
    </w:p>
    <w:p>
      <w:pPr>
        <w:pStyle w:val="ListBullet"/>
      </w:pPr>
      <w:r>
        <w:rPr>
          <w:b w:val="0"/>
          <w:i w:val="0"/>
        </w:rPr>
        <w:t>defining objectives for, 22–24</w:t>
      </w:r>
    </w:p>
    <w:p>
      <w:pPr>
        <w:pStyle w:val="ListBullet"/>
      </w:pPr>
      <w:r>
        <w:rPr>
          <w:b w:val="0"/>
          <w:i w:val="0"/>
        </w:rPr>
        <w:t>getting value from, 86–87</w:t>
      </w:r>
    </w:p>
    <w:p>
      <w:pPr>
        <w:pStyle w:val="ListBullet"/>
      </w:pPr>
      <w:r>
        <w:rPr>
          <w:b w:val="0"/>
          <w:i w:val="0"/>
        </w:rPr>
        <w:t>hierarchy of needs in, 13</w:t>
      </w:r>
    </w:p>
    <w:p>
      <w:pPr>
        <w:pStyle w:val="ListBullet"/>
      </w:pPr>
      <w:r>
        <w:rPr>
          <w:b w:val="0"/>
          <w:i w:val="0"/>
        </w:rPr>
        <w:t>persuasion and, 85–111</w:t>
      </w:r>
    </w:p>
    <w:p>
      <w:pPr>
        <w:pStyle w:val="ListBullet"/>
      </w:pPr>
      <w:r>
        <w:rPr>
          <w:b w:val="0"/>
          <w:i w:val="0"/>
        </w:rPr>
        <w:t>skills needed for, 94–99</w:t>
      </w:r>
    </w:p>
    <w:p>
      <w:pPr>
        <w:pStyle w:val="ListBullet"/>
      </w:pPr>
      <w:r>
        <w:rPr>
          <w:b w:val="0"/>
          <w:i w:val="0"/>
        </w:rPr>
        <w:t>storytelling and, 36–37</w:t>
      </w:r>
    </w:p>
    <w:p>
      <w:pPr>
        <w:pStyle w:val="ListBullet"/>
      </w:pPr>
      <w:r>
        <w:rPr>
          <w:b w:val="0"/>
          <w:i w:val="0"/>
        </w:rPr>
        <w:t>talent for, xiv–xv, 21, 31–41, 100–105</w:t>
      </w:r>
    </w:p>
    <w:p>
      <w:pPr>
        <w:pStyle w:val="ListBullet"/>
      </w:pPr>
      <w:r>
        <w:rPr>
          <w:b w:val="0"/>
          <w:i w:val="0"/>
        </w:rPr>
        <w:t>data scientists, xiv–xv, 6</w:t>
      </w:r>
    </w:p>
    <w:p>
      <w:pPr>
        <w:pStyle w:val="ListBullet"/>
      </w:pPr>
      <w:r>
        <w:rPr>
          <w:b w:val="0"/>
          <w:i w:val="0"/>
        </w:rPr>
        <w:t>alternatives to, 31–41</w:t>
      </w:r>
    </w:p>
    <w:p>
      <w:pPr>
        <w:pStyle w:val="ListBullet"/>
      </w:pPr>
      <w:r>
        <w:rPr>
          <w:b w:val="0"/>
          <w:i w:val="0"/>
        </w:rPr>
        <w:t>communicating with executives, 85–111</w:t>
      </w:r>
    </w:p>
    <w:p>
      <w:pPr>
        <w:pStyle w:val="ListBullet"/>
      </w:pPr>
      <w:r>
        <w:rPr>
          <w:b w:val="0"/>
          <w:i w:val="0"/>
        </w:rPr>
        <w:t>demand for, 21, 85</w:t>
      </w:r>
    </w:p>
    <w:p>
      <w:pPr>
        <w:pStyle w:val="ListBullet"/>
      </w:pPr>
      <w:r>
        <w:rPr>
          <w:b w:val="0"/>
          <w:i w:val="0"/>
        </w:rPr>
        <w:t>as domain experts, 67–68</w:t>
      </w:r>
    </w:p>
    <w:p>
      <w:pPr>
        <w:pStyle w:val="ListBullet"/>
      </w:pPr>
      <w:r>
        <w:rPr>
          <w:b w:val="0"/>
          <w:i w:val="0"/>
        </w:rPr>
        <w:t>expectations for, 88, 91</w:t>
      </w:r>
    </w:p>
    <w:p>
      <w:pPr>
        <w:pStyle w:val="ListBullet"/>
      </w:pPr>
      <w:r>
        <w:rPr>
          <w:b w:val="0"/>
          <w:i w:val="0"/>
        </w:rPr>
        <w:t>forms of data used by, 15–18</w:t>
      </w:r>
    </w:p>
    <w:p>
      <w:pPr>
        <w:pStyle w:val="ListBullet"/>
      </w:pPr>
      <w:r>
        <w:rPr>
          <w:b w:val="0"/>
          <w:i w:val="0"/>
        </w:rPr>
        <w:t>data selfie (browser extension), 14</w:t>
      </w:r>
    </w:p>
    <w:p>
      <w:pPr>
        <w:pStyle w:val="ListBullet"/>
      </w:pPr>
      <w:r>
        <w:rPr>
          <w:b w:val="0"/>
          <w:i w:val="0"/>
        </w:rPr>
        <w:t>data wrangling, 95</w:t>
      </w:r>
    </w:p>
    <w:p>
      <w:pPr>
        <w:pStyle w:val="ListBullet"/>
      </w:pPr>
      <w:r>
        <w:rPr>
          <w:b w:val="0"/>
          <w:i w:val="0"/>
        </w:rPr>
        <w:t xml:space="preserve">dataviz. </w:t>
      </w:r>
      <w:r>
        <w:rPr>
          <w:b w:val="0"/>
          <w:i/>
        </w:rPr>
        <w:t>See</w:t>
      </w:r>
      <w:r>
        <w:rPr>
          <w:b w:val="0"/>
          <w:i w:val="0"/>
        </w:rPr>
        <w:t xml:space="preserve"> visualization</w:t>
      </w:r>
    </w:p>
    <w:p>
      <w:pPr>
        <w:pStyle w:val="ListBullet"/>
      </w:pPr>
      <w:r>
        <w:rPr>
          <w:b w:val="0"/>
          <w:i w:val="0"/>
        </w:rPr>
        <w:t>Davenport, Thomas H., xi–xvii, 24</w:t>
      </w:r>
    </w:p>
    <w:p>
      <w:pPr>
        <w:pStyle w:val="ListBullet"/>
      </w:pPr>
      <w:r>
        <w:rPr>
          <w:b w:val="0"/>
          <w:i w:val="0"/>
        </w:rPr>
        <w:t>decision making, xi–xii</w:t>
      </w:r>
    </w:p>
    <w:p>
      <w:pPr>
        <w:pStyle w:val="ListBullet"/>
      </w:pPr>
      <w:r>
        <w:rPr>
          <w:b w:val="0"/>
          <w:i w:val="0"/>
        </w:rPr>
        <w:t>AI-driven, 118–120, 137–150</w:t>
      </w:r>
    </w:p>
    <w:p>
      <w:pPr>
        <w:pStyle w:val="ListBullet"/>
      </w:pPr>
      <w:r>
        <w:rPr>
          <w:b w:val="0"/>
          <w:i w:val="0"/>
        </w:rPr>
        <w:t>analysts’ role in, 37–38</w:t>
      </w:r>
    </w:p>
    <w:p>
      <w:pPr>
        <w:pStyle w:val="ListBullet"/>
      </w:pPr>
      <w:r>
        <w:rPr>
          <w:b w:val="0"/>
          <w:i w:val="0"/>
        </w:rPr>
        <w:t>analytics for, 38</w:t>
      </w:r>
    </w:p>
    <w:p>
      <w:pPr>
        <w:pStyle w:val="ListBullet"/>
      </w:pPr>
      <w:r>
        <w:rPr>
          <w:b w:val="0"/>
          <w:i w:val="0"/>
        </w:rPr>
        <w:t>data literacy for, 12</w:t>
      </w:r>
    </w:p>
    <w:p>
      <w:pPr>
        <w:pStyle w:val="ListBullet"/>
      </w:pPr>
      <w:r>
        <w:rPr>
          <w:b w:val="0"/>
          <w:i w:val="0"/>
        </w:rPr>
        <w:t>data-supported, 141–145</w:t>
      </w:r>
    </w:p>
    <w:p>
      <w:pPr>
        <w:pStyle w:val="ListBullet"/>
      </w:pPr>
      <w:r>
        <w:rPr>
          <w:b w:val="0"/>
          <w:i w:val="0"/>
        </w:rPr>
        <w:t>human judgment in, 138–140</w:t>
      </w:r>
    </w:p>
    <w:p>
      <w:pPr>
        <w:pStyle w:val="ListBullet"/>
      </w:pPr>
      <w:r>
        <w:rPr>
          <w:b w:val="0"/>
          <w:i w:val="0"/>
        </w:rPr>
        <w:t>leveraging AI and humans in, 146–148</w:t>
      </w:r>
    </w:p>
    <w:p>
      <w:pPr>
        <w:pStyle w:val="ListBullet"/>
      </w:pPr>
      <w:r>
        <w:rPr>
          <w:b w:val="0"/>
          <w:i w:val="0"/>
        </w:rPr>
        <w:t>defense, 8, 10</w:t>
      </w:r>
    </w:p>
    <w:p>
      <w:pPr>
        <w:pStyle w:val="ListBullet"/>
      </w:pPr>
      <w:r>
        <w:rPr>
          <w:b w:val="0"/>
          <w:i w:val="0"/>
        </w:rPr>
        <w:t>deployment, of projects, 25–26</w:t>
      </w:r>
    </w:p>
    <w:p>
      <w:pPr>
        <w:pStyle w:val="ListBullet"/>
      </w:pPr>
      <w:r>
        <w:rPr>
          <w:b w:val="0"/>
          <w:i w:val="0"/>
        </w:rPr>
        <w:t>design skills, 97</w:t>
      </w:r>
    </w:p>
    <w:p>
      <w:pPr>
        <w:pStyle w:val="ListBullet"/>
      </w:pPr>
      <w:r>
        <w:rPr>
          <w:b w:val="0"/>
          <w:i w:val="0"/>
        </w:rPr>
        <w:t>digital determinism, 131</w:t>
      </w:r>
    </w:p>
    <w:p>
      <w:pPr>
        <w:pStyle w:val="ListBullet"/>
      </w:pPr>
      <w:r>
        <w:rPr>
          <w:b w:val="0"/>
          <w:i w:val="0"/>
        </w:rPr>
        <w:t>domain experts, 66, 67–68, 71</w:t>
      </w:r>
    </w:p>
    <w:p>
      <w:pPr>
        <w:pStyle w:val="ListBullet"/>
      </w:pPr>
      <w:r>
        <w:rPr>
          <w:b w:val="0"/>
          <w:i w:val="0"/>
        </w:rPr>
        <w:t>e-commerce, 79</w:t>
      </w:r>
    </w:p>
    <w:p>
      <w:pPr>
        <w:pStyle w:val="ListBullet"/>
      </w:pPr>
      <w:r>
        <w:rPr>
          <w:b w:val="0"/>
          <w:i w:val="0"/>
        </w:rPr>
        <w:t>empathy, 104–105</w:t>
      </w:r>
    </w:p>
    <w:p>
      <w:pPr>
        <w:pStyle w:val="ListBullet"/>
      </w:pPr>
      <w:r>
        <w:rPr>
          <w:b w:val="0"/>
          <w:i w:val="0"/>
        </w:rPr>
        <w:t>employee data, 127–135</w:t>
      </w:r>
    </w:p>
    <w:p>
      <w:pPr>
        <w:pStyle w:val="ListBullet"/>
      </w:pPr>
      <w:r>
        <w:rPr>
          <w:b w:val="0"/>
          <w:i w:val="0"/>
        </w:rPr>
        <w:t xml:space="preserve">employees. </w:t>
      </w:r>
      <w:r>
        <w:rPr>
          <w:b w:val="0"/>
          <w:i/>
        </w:rPr>
        <w:t>See</w:t>
      </w:r>
      <w:r>
        <w:rPr>
          <w:b w:val="0"/>
          <w:i w:val="0"/>
        </w:rPr>
        <w:t xml:space="preserve"> talent</w:t>
      </w:r>
    </w:p>
    <w:p>
      <w:pPr>
        <w:pStyle w:val="ListBullet"/>
      </w:pPr>
      <w:r>
        <w:rPr>
          <w:b w:val="0"/>
          <w:i w:val="0"/>
        </w:rPr>
        <w:t>empowerment, 106, 108</w:t>
      </w:r>
    </w:p>
    <w:p>
      <w:pPr>
        <w:pStyle w:val="ListBullet"/>
      </w:pPr>
      <w:r>
        <w:rPr>
          <w:b w:val="0"/>
          <w:i w:val="0"/>
        </w:rPr>
        <w:t>ethics, 13</w:t>
      </w:r>
    </w:p>
    <w:p>
      <w:pPr>
        <w:pStyle w:val="ListBullet"/>
      </w:pPr>
      <w:r>
        <w:rPr>
          <w:b w:val="0"/>
          <w:i w:val="0"/>
        </w:rPr>
        <w:t>employee data and, 127–135</w:t>
      </w:r>
    </w:p>
    <w:p>
      <w:pPr>
        <w:pStyle w:val="ListBullet"/>
      </w:pPr>
      <w:r>
        <w:rPr>
          <w:b w:val="0"/>
          <w:i w:val="0"/>
        </w:rPr>
        <w:t>execution, 65–66, 70</w:t>
      </w:r>
    </w:p>
    <w:p>
      <w:pPr>
        <w:pStyle w:val="ListBullet"/>
      </w:pPr>
      <w:r>
        <w:rPr>
          <w:b w:val="0"/>
          <w:i w:val="0"/>
        </w:rPr>
        <w:t>executives, support by, 67, 71</w:t>
      </w:r>
    </w:p>
    <w:p>
      <w:pPr>
        <w:pStyle w:val="ListBullet"/>
      </w:pPr>
      <w:r>
        <w:rPr>
          <w:b w:val="0"/>
          <w:i w:val="0"/>
        </w:rPr>
        <w:t>experimentation, 80</w:t>
      </w:r>
    </w:p>
    <w:p>
      <w:pPr>
        <w:pStyle w:val="ListBullet"/>
      </w:pPr>
      <w:r>
        <w:rPr>
          <w:b w:val="0"/>
          <w:i w:val="0"/>
        </w:rPr>
        <w:t>Facebook, 7, 14, 96–97</w:t>
      </w:r>
    </w:p>
    <w:p>
      <w:pPr>
        <w:pStyle w:val="ListBullet"/>
      </w:pPr>
      <w:r>
        <w:rPr>
          <w:b w:val="0"/>
          <w:i w:val="0"/>
        </w:rPr>
        <w:t>Filtered, 57</w:t>
      </w:r>
    </w:p>
    <w:p>
      <w:pPr>
        <w:pStyle w:val="ListBullet"/>
      </w:pPr>
      <w:r>
        <w:rPr>
          <w:b w:val="0"/>
          <w:i w:val="0"/>
        </w:rPr>
        <w:t>FiveThirtyEight, 12</w:t>
      </w:r>
    </w:p>
    <w:p>
      <w:pPr>
        <w:pStyle w:val="ListBullet"/>
      </w:pPr>
      <w:r>
        <w:rPr>
          <w:b w:val="0"/>
          <w:i w:val="0"/>
        </w:rPr>
        <w:t>General Data Protection Regulation (GDPR), 15</w:t>
      </w:r>
    </w:p>
    <w:p>
      <w:pPr>
        <w:pStyle w:val="ListBullet"/>
      </w:pPr>
      <w:r>
        <w:rPr>
          <w:b w:val="0"/>
          <w:i w:val="0"/>
        </w:rPr>
        <w:t>Glaeser, Edward L., 151–158</w:t>
      </w:r>
    </w:p>
    <w:p>
      <w:pPr>
        <w:pStyle w:val="ListBullet"/>
      </w:pPr>
      <w:r>
        <w:rPr>
          <w:b w:val="0"/>
          <w:i w:val="0"/>
        </w:rPr>
        <w:t>Glassdoor, 153</w:t>
      </w:r>
    </w:p>
    <w:p>
      <w:pPr>
        <w:pStyle w:val="ListBullet"/>
      </w:pPr>
      <w:r>
        <w:rPr>
          <w:b w:val="0"/>
          <w:i w:val="0"/>
        </w:rPr>
        <w:t>Goby, Niklas, 61–71</w:t>
      </w:r>
    </w:p>
    <w:p>
      <w:pPr>
        <w:pStyle w:val="ListBullet"/>
      </w:pPr>
      <w:r>
        <w:rPr>
          <w:b w:val="0"/>
          <w:i w:val="0"/>
        </w:rPr>
        <w:t>Google, xiii, 7</w:t>
      </w:r>
    </w:p>
    <w:p>
      <w:pPr>
        <w:pStyle w:val="ListBullet"/>
      </w:pPr>
      <w:r>
        <w:rPr>
          <w:b w:val="0"/>
          <w:i w:val="0"/>
        </w:rPr>
        <w:t>governance, 130–131</w:t>
      </w:r>
    </w:p>
    <w:p>
      <w:pPr>
        <w:pStyle w:val="ListBullet"/>
      </w:pPr>
      <w:r>
        <w:rPr>
          <w:b w:val="0"/>
          <w:i/>
        </w:rPr>
        <w:t>Graphic Methods for Presenting Facts</w:t>
      </w:r>
      <w:r>
        <w:rPr>
          <w:b w:val="0"/>
          <w:i w:val="0"/>
        </w:rPr>
        <w:t xml:space="preserve"> (Brinton), 87</w:t>
      </w:r>
    </w:p>
    <w:p>
      <w:pPr>
        <w:pStyle w:val="ListBullet"/>
      </w:pPr>
      <w:r>
        <w:rPr>
          <w:b w:val="0"/>
          <w:i w:val="0"/>
        </w:rPr>
        <w:t>heuristics, 139–140</w:t>
      </w:r>
    </w:p>
    <w:p>
      <w:pPr>
        <w:pStyle w:val="ListBullet"/>
      </w:pPr>
      <w:r>
        <w:rPr>
          <w:b w:val="0"/>
          <w:i w:val="0"/>
        </w:rPr>
        <w:t>hiring, xiii</w:t>
      </w:r>
    </w:p>
    <w:p>
      <w:pPr>
        <w:pStyle w:val="ListBullet"/>
      </w:pPr>
      <w:r>
        <w:rPr>
          <w:b w:val="0"/>
          <w:i w:val="0"/>
        </w:rPr>
        <w:t>for communication skills, 100–101</w:t>
      </w:r>
    </w:p>
    <w:p>
      <w:pPr>
        <w:pStyle w:val="ListBullet"/>
      </w:pPr>
      <w:r>
        <w:rPr>
          <w:b w:val="0"/>
          <w:i w:val="0"/>
        </w:rPr>
        <w:t>data specialists, xiii, 39–40, 88</w:t>
      </w:r>
    </w:p>
    <w:p>
      <w:pPr>
        <w:pStyle w:val="ListBullet"/>
      </w:pPr>
      <w:r>
        <w:rPr>
          <w:b w:val="0"/>
          <w:i w:val="0"/>
        </w:rPr>
        <w:t>reducing bias in, 133</w:t>
      </w:r>
    </w:p>
    <w:p>
      <w:pPr>
        <w:pStyle w:val="ListBullet"/>
      </w:pPr>
      <w:r>
        <w:rPr>
          <w:b w:val="0"/>
          <w:i w:val="0"/>
        </w:rPr>
        <w:t>holiday campaigns, 120–121</w:t>
      </w:r>
    </w:p>
    <w:p>
      <w:pPr>
        <w:pStyle w:val="ListBullet"/>
      </w:pPr>
      <w:r>
        <w:rPr>
          <w:b w:val="0"/>
          <w:i w:val="0"/>
        </w:rPr>
        <w:t>hypotheses, 37</w:t>
      </w:r>
    </w:p>
    <w:p>
      <w:pPr>
        <w:pStyle w:val="ListBullet"/>
      </w:pPr>
      <w:r>
        <w:rPr>
          <w:b w:val="0"/>
          <w:i w:val="0"/>
        </w:rPr>
        <w:t>image data, 16, 19</w:t>
      </w:r>
    </w:p>
    <w:p>
      <w:pPr>
        <w:pStyle w:val="ListBullet"/>
      </w:pPr>
      <w:r>
        <w:rPr>
          <w:b w:val="0"/>
          <w:i w:val="0"/>
        </w:rPr>
        <w:t>implementation, of analytics, xiii–xiv</w:t>
      </w:r>
    </w:p>
    <w:p>
      <w:pPr>
        <w:pStyle w:val="ListBullet"/>
      </w:pPr>
      <w:r>
        <w:rPr>
          <w:b w:val="0"/>
          <w:i w:val="0"/>
        </w:rPr>
        <w:t>innovation, 67</w:t>
      </w:r>
    </w:p>
    <w:p>
      <w:pPr>
        <w:pStyle w:val="ListBullet"/>
      </w:pPr>
      <w:r>
        <w:rPr>
          <w:b w:val="0"/>
          <w:i w:val="0"/>
        </w:rPr>
        <w:t>internet of things, 14, 141</w:t>
      </w:r>
    </w:p>
    <w:p>
      <w:pPr>
        <w:pStyle w:val="ListBullet"/>
      </w:pPr>
      <w:r>
        <w:rPr>
          <w:b w:val="0"/>
          <w:i w:val="0"/>
        </w:rPr>
        <w:t>JPMorgan Chase, 130–131</w:t>
      </w:r>
    </w:p>
    <w:p>
      <w:pPr>
        <w:pStyle w:val="ListBullet"/>
      </w:pPr>
      <w:r>
        <w:rPr>
          <w:b w:val="0"/>
          <w:i w:val="0"/>
        </w:rPr>
        <w:t>Kaggle, 86</w:t>
      </w:r>
    </w:p>
    <w:p>
      <w:pPr>
        <w:pStyle w:val="ListBullet"/>
      </w:pPr>
      <w:r>
        <w:rPr>
          <w:b w:val="0"/>
          <w:i w:val="0"/>
        </w:rPr>
        <w:t>KenSci, 74–75</w:t>
      </w:r>
    </w:p>
    <w:p>
      <w:pPr>
        <w:pStyle w:val="ListBullet"/>
      </w:pPr>
      <w:r>
        <w:rPr>
          <w:b w:val="0"/>
          <w:i w:val="0"/>
        </w:rPr>
        <w:t>Kim, Hyunjin, 151–158</w:t>
      </w:r>
    </w:p>
    <w:p>
      <w:pPr>
        <w:pStyle w:val="ListBullet"/>
      </w:pPr>
      <w:r>
        <w:rPr>
          <w:b w:val="0"/>
          <w:i w:val="0"/>
        </w:rPr>
        <w:t>Kozyrkov, Cassie, xiii, 31–41</w:t>
      </w:r>
    </w:p>
    <w:p>
      <w:pPr>
        <w:pStyle w:val="ListBullet"/>
      </w:pPr>
      <w:r>
        <w:rPr>
          <w:b w:val="0"/>
          <w:i w:val="0"/>
        </w:rPr>
        <w:t>last-mile problem, 87–89, 100–101</w:t>
      </w:r>
    </w:p>
    <w:p>
      <w:pPr>
        <w:pStyle w:val="ListBullet"/>
      </w:pPr>
      <w:r>
        <w:rPr>
          <w:b w:val="0"/>
          <w:i w:val="0"/>
        </w:rPr>
        <w:t>leadership, 7</w:t>
      </w:r>
    </w:p>
    <w:p>
      <w:pPr>
        <w:pStyle w:val="ListBullet"/>
      </w:pPr>
      <w:r>
        <w:rPr>
          <w:b w:val="0"/>
          <w:i w:val="0"/>
        </w:rPr>
        <w:t>communication between data scientists and, 92–93</w:t>
      </w:r>
    </w:p>
    <w:p>
      <w:pPr>
        <w:pStyle w:val="ListBullet"/>
      </w:pPr>
      <w:r>
        <w:rPr>
          <w:b w:val="0"/>
          <w:i w:val="0"/>
        </w:rPr>
        <w:t>employee data use and, 130–131</w:t>
      </w:r>
    </w:p>
    <w:p>
      <w:pPr>
        <w:pStyle w:val="ListBullet"/>
      </w:pPr>
      <w:r>
        <w:rPr>
          <w:b w:val="0"/>
          <w:i w:val="0"/>
        </w:rPr>
        <w:t>predictive analytics and, 23–24, 27</w:t>
      </w:r>
    </w:p>
    <w:p>
      <w:pPr>
        <w:pStyle w:val="ListBullet"/>
      </w:pPr>
      <w:r>
        <w:rPr>
          <w:b w:val="0"/>
          <w:i w:val="0"/>
        </w:rPr>
        <w:t>for projects, 107</w:t>
      </w:r>
    </w:p>
    <w:p>
      <w:pPr>
        <w:pStyle w:val="ListBullet"/>
      </w:pPr>
      <w:r>
        <w:rPr>
          <w:b w:val="0"/>
          <w:i w:val="0"/>
        </w:rPr>
        <w:t>liberal arts, 96</w:t>
      </w:r>
    </w:p>
    <w:p>
      <w:pPr>
        <w:pStyle w:val="ListBullet"/>
      </w:pPr>
      <w:r>
        <w:rPr>
          <w:b w:val="0"/>
          <w:i w:val="0"/>
        </w:rPr>
        <w:t>Lifetime Values (LTV), 16</w:t>
      </w:r>
    </w:p>
    <w:p>
      <w:pPr>
        <w:pStyle w:val="ListBullet"/>
      </w:pPr>
      <w:r>
        <w:rPr>
          <w:b w:val="0"/>
          <w:i w:val="0"/>
        </w:rPr>
        <w:t>LinkedIn, 153</w:t>
      </w:r>
    </w:p>
    <w:p>
      <w:pPr>
        <w:pStyle w:val="ListBullet"/>
      </w:pPr>
      <w:r>
        <w:rPr>
          <w:b w:val="0"/>
          <w:i w:val="0"/>
        </w:rPr>
        <w:t>Littlewood, Chris, 53–59</w:t>
      </w:r>
    </w:p>
    <w:p>
      <w:pPr>
        <w:pStyle w:val="ListBullet"/>
      </w:pPr>
      <w:r>
        <w:rPr>
          <w:b w:val="0"/>
          <w:i w:val="0"/>
        </w:rPr>
        <w:t>Luca, Michael, 151–158</w:t>
      </w:r>
    </w:p>
    <w:p>
      <w:pPr>
        <w:pStyle w:val="ListBullet"/>
      </w:pPr>
      <w:r>
        <w:rPr>
          <w:b w:val="0"/>
          <w:i w:val="0"/>
        </w:rPr>
        <w:t>machine learning, 13</w:t>
      </w:r>
    </w:p>
    <w:p>
      <w:pPr>
        <w:pStyle w:val="ListBullet"/>
      </w:pPr>
      <w:r>
        <w:rPr>
          <w:b w:val="0"/>
          <w:i w:val="0"/>
        </w:rPr>
        <w:t>analytics for, 38–39</w:t>
      </w:r>
    </w:p>
    <w:p>
      <w:pPr>
        <w:pStyle w:val="ListBullet"/>
      </w:pPr>
      <w:r>
        <w:rPr>
          <w:b w:val="0"/>
          <w:i w:val="0"/>
        </w:rPr>
        <w:t>consultants in, 27, 29</w:t>
      </w:r>
    </w:p>
    <w:p>
      <w:pPr>
        <w:pStyle w:val="ListBullet"/>
      </w:pPr>
      <w:r>
        <w:rPr>
          <w:b w:val="0"/>
          <w:i w:val="0"/>
        </w:rPr>
        <w:t>data for training, 16, 26</w:t>
      </w:r>
    </w:p>
    <w:p>
      <w:pPr>
        <w:pStyle w:val="ListBullet"/>
      </w:pPr>
      <w:r>
        <w:rPr>
          <w:b w:val="0"/>
          <w:i w:val="0"/>
        </w:rPr>
        <w:t>excellence in, 33–34</w:t>
      </w:r>
    </w:p>
    <w:p>
      <w:pPr>
        <w:pStyle w:val="ListBullet"/>
      </w:pPr>
      <w:r>
        <w:rPr>
          <w:b w:val="0"/>
          <w:i w:val="0"/>
        </w:rPr>
        <w:t>planning deployment of, 25–26</w:t>
      </w:r>
    </w:p>
    <w:p>
      <w:pPr>
        <w:pStyle w:val="ListBullet"/>
      </w:pPr>
      <w:r>
        <w:rPr>
          <w:b w:val="0"/>
          <w:i w:val="0"/>
        </w:rPr>
        <w:t>predictive analytics and, 23</w:t>
      </w:r>
    </w:p>
    <w:p>
      <w:pPr>
        <w:pStyle w:val="ListBullet"/>
      </w:pPr>
      <w:r>
        <w:rPr>
          <w:b w:val="0"/>
          <w:i w:val="0"/>
        </w:rPr>
        <w:t>specialists, 33–35, 38–39, 41</w:t>
      </w:r>
    </w:p>
    <w:p>
      <w:pPr>
        <w:pStyle w:val="ListBullet"/>
      </w:pPr>
      <w:r>
        <w:rPr>
          <w:b w:val="0"/>
          <w:i/>
        </w:rPr>
        <w:t>Marketing, Interrupted</w:t>
      </w:r>
      <w:r>
        <w:rPr>
          <w:b w:val="0"/>
          <w:i w:val="0"/>
        </w:rPr>
        <w:t xml:space="preserve"> (Sutton), 116</w:t>
      </w:r>
    </w:p>
    <w:p>
      <w:pPr>
        <w:pStyle w:val="ListBullet"/>
      </w:pPr>
      <w:r>
        <w:rPr>
          <w:b w:val="0"/>
          <w:i w:val="0"/>
        </w:rPr>
        <w:t>meetings, 103–104</w:t>
      </w:r>
    </w:p>
    <w:p>
      <w:pPr>
        <w:pStyle w:val="ListBullet"/>
      </w:pPr>
      <w:r>
        <w:rPr>
          <w:b w:val="0"/>
          <w:i w:val="0"/>
        </w:rPr>
        <w:t>mentoring, 104–105</w:t>
      </w:r>
    </w:p>
    <w:p>
      <w:pPr>
        <w:pStyle w:val="ListBullet"/>
      </w:pPr>
      <w:r>
        <w:rPr>
          <w:b w:val="0"/>
          <w:i w:val="0"/>
        </w:rPr>
        <w:t>Microsoft Excel, 55, 90–91</w:t>
      </w:r>
    </w:p>
    <w:p>
      <w:pPr>
        <w:pStyle w:val="ListBullet"/>
      </w:pPr>
      <w:r>
        <w:rPr>
          <w:b w:val="0"/>
          <w:i w:val="0"/>
        </w:rPr>
        <w:t>model building, 13</w:t>
      </w:r>
    </w:p>
    <w:p>
      <w:pPr>
        <w:pStyle w:val="ListBullet"/>
      </w:pPr>
      <w:r>
        <w:rPr>
          <w:b w:val="0"/>
          <w:i w:val="0"/>
        </w:rPr>
        <w:t>Mohamood, Fayez, 118</w:t>
      </w:r>
    </w:p>
    <w:p>
      <w:pPr>
        <w:pStyle w:val="ListBullet"/>
      </w:pPr>
      <w:r>
        <w:rPr>
          <w:b w:val="0"/>
          <w:i w:val="0"/>
        </w:rPr>
        <w:t>Murray, Ian, 115–126</w:t>
      </w:r>
    </w:p>
    <w:p>
      <w:pPr>
        <w:pStyle w:val="ListBullet"/>
      </w:pPr>
      <w:r>
        <w:rPr>
          <w:b w:val="0"/>
          <w:i w:val="0"/>
        </w:rPr>
        <w:t>Murray, Shep, 115–126</w:t>
      </w:r>
    </w:p>
    <w:p>
      <w:pPr>
        <w:pStyle w:val="ListBullet"/>
      </w:pPr>
      <w:r>
        <w:rPr>
          <w:b w:val="0"/>
          <w:i w:val="0"/>
        </w:rPr>
        <w:t>Neumann, Dirk, 61–71</w:t>
      </w:r>
    </w:p>
    <w:p>
      <w:pPr>
        <w:pStyle w:val="ListBullet"/>
      </w:pPr>
      <w:r>
        <w:rPr>
          <w:b w:val="0"/>
          <w:i w:val="0"/>
        </w:rPr>
        <w:t>Newsie, 17</w:t>
      </w:r>
    </w:p>
    <w:p>
      <w:pPr>
        <w:pStyle w:val="ListBullet"/>
      </w:pPr>
      <w:r>
        <w:rPr>
          <w:b w:val="0"/>
          <w:i w:val="0"/>
        </w:rPr>
        <w:t>number crunching, 25–28, 29</w:t>
      </w:r>
    </w:p>
    <w:p>
      <w:pPr>
        <w:pStyle w:val="ListBullet"/>
      </w:pPr>
      <w:r>
        <w:rPr>
          <w:b w:val="0"/>
          <w:i w:val="0"/>
        </w:rPr>
        <w:t>objectives, 22–24, 25–26, 28</w:t>
      </w:r>
    </w:p>
    <w:p>
      <w:pPr>
        <w:pStyle w:val="ListBullet"/>
      </w:pPr>
      <w:r>
        <w:rPr>
          <w:b w:val="0"/>
          <w:i w:val="0"/>
        </w:rPr>
        <w:t>Olson, Randal, 100–101</w:t>
      </w:r>
    </w:p>
    <w:p>
      <w:pPr>
        <w:pStyle w:val="ListBullet"/>
      </w:pPr>
      <w:r>
        <w:rPr>
          <w:b w:val="0"/>
          <w:i w:val="0"/>
        </w:rPr>
        <w:t>operational agility, 80</w:t>
      </w:r>
    </w:p>
    <w:p>
      <w:pPr>
        <w:pStyle w:val="ListBullet"/>
      </w:pPr>
      <w:r>
        <w:rPr>
          <w:b w:val="0"/>
          <w:i w:val="0"/>
        </w:rPr>
        <w:t>organizational capabilities, 6–7, 10</w:t>
      </w:r>
    </w:p>
    <w:p>
      <w:pPr>
        <w:pStyle w:val="ListBullet"/>
      </w:pPr>
      <w:r>
        <w:rPr>
          <w:b w:val="0"/>
          <w:i w:val="0"/>
        </w:rPr>
        <w:t>organizational structure, 6, 7</w:t>
      </w:r>
    </w:p>
    <w:p>
      <w:pPr>
        <w:pStyle w:val="ListBullet"/>
      </w:pPr>
      <w:r>
        <w:rPr>
          <w:b w:val="0"/>
          <w:i w:val="0"/>
        </w:rPr>
        <w:t>outside authorities, 67, 71</w:t>
      </w:r>
    </w:p>
    <w:p>
      <w:pPr>
        <w:pStyle w:val="ListBullet"/>
      </w:pPr>
      <w:r>
        <w:rPr>
          <w:b w:val="0"/>
          <w:i w:val="0"/>
        </w:rPr>
        <w:t>paired analysis techniques, 107–108</w:t>
      </w:r>
    </w:p>
    <w:p>
      <w:pPr>
        <w:pStyle w:val="ListBullet"/>
      </w:pPr>
      <w:r>
        <w:rPr>
          <w:b w:val="0"/>
          <w:i w:val="0"/>
        </w:rPr>
        <w:t>partnerships, 155–156</w:t>
      </w:r>
    </w:p>
    <w:p>
      <w:pPr>
        <w:pStyle w:val="ListBullet"/>
      </w:pPr>
      <w:r>
        <w:rPr>
          <w:b w:val="0"/>
          <w:i w:val="0"/>
        </w:rPr>
        <w:t>people analytics, 127–135</w:t>
      </w:r>
    </w:p>
    <w:p>
      <w:pPr>
        <w:pStyle w:val="ListBullet"/>
      </w:pPr>
      <w:r>
        <w:rPr>
          <w:b w:val="0"/>
          <w:i w:val="0"/>
        </w:rPr>
        <w:t>performance</w:t>
      </w:r>
    </w:p>
    <w:p>
      <w:pPr>
        <w:pStyle w:val="ListBullet"/>
      </w:pPr>
      <w:r>
        <w:rPr>
          <w:b w:val="0"/>
          <w:i w:val="0"/>
        </w:rPr>
        <w:t>cloud computing and, 81</w:t>
      </w:r>
    </w:p>
    <w:p>
      <w:pPr>
        <w:pStyle w:val="ListBullet"/>
      </w:pPr>
      <w:r>
        <w:rPr>
          <w:b w:val="0"/>
          <w:i w:val="0"/>
        </w:rPr>
        <w:t>data privacy and, 133</w:t>
      </w:r>
    </w:p>
    <w:p>
      <w:pPr>
        <w:pStyle w:val="ListBullet"/>
      </w:pPr>
      <w:r>
        <w:rPr>
          <w:b w:val="0"/>
          <w:i w:val="0"/>
        </w:rPr>
        <w:t>employee, tracking, 132–133</w:t>
      </w:r>
    </w:p>
    <w:p>
      <w:pPr>
        <w:pStyle w:val="ListBullet"/>
      </w:pPr>
      <w:r>
        <w:rPr>
          <w:b w:val="0"/>
          <w:i w:val="0"/>
        </w:rPr>
        <w:t>impact of data on, 4</w:t>
      </w:r>
    </w:p>
    <w:p>
      <w:pPr>
        <w:pStyle w:val="ListBullet"/>
      </w:pPr>
      <w:r>
        <w:rPr>
          <w:b w:val="0"/>
          <w:i w:val="0"/>
        </w:rPr>
        <w:t>machine learning specialists and, 33–34</w:t>
      </w:r>
    </w:p>
    <w:p>
      <w:pPr>
        <w:pStyle w:val="ListBullet"/>
      </w:pPr>
      <w:r>
        <w:rPr>
          <w:b w:val="0"/>
          <w:i w:val="0"/>
        </w:rPr>
        <w:t>personal computers (PCs), 79</w:t>
      </w:r>
    </w:p>
    <w:p>
      <w:pPr>
        <w:pStyle w:val="ListBullet"/>
      </w:pPr>
      <w:r>
        <w:rPr>
          <w:b w:val="0"/>
          <w:i w:val="0"/>
        </w:rPr>
        <w:t>perspective, 154</w:t>
      </w:r>
    </w:p>
    <w:p>
      <w:pPr>
        <w:pStyle w:val="ListBullet"/>
      </w:pPr>
      <w:r>
        <w:rPr>
          <w:b w:val="0"/>
          <w:i w:val="0"/>
        </w:rPr>
        <w:t>Pierri, Nicola, 73–83</w:t>
      </w:r>
    </w:p>
    <w:p>
      <w:pPr>
        <w:pStyle w:val="ListBullet"/>
      </w:pPr>
      <w:r>
        <w:rPr>
          <w:b w:val="0"/>
          <w:i w:val="0"/>
        </w:rPr>
        <w:t>pilot projects, 27, 29</w:t>
      </w:r>
    </w:p>
    <w:p>
      <w:pPr>
        <w:pStyle w:val="ListBullet"/>
      </w:pPr>
      <w:r>
        <w:rPr>
          <w:b w:val="0"/>
          <w:i w:val="0"/>
        </w:rPr>
        <w:t>Pivothead, 75</w:t>
      </w:r>
    </w:p>
    <w:p>
      <w:pPr>
        <w:pStyle w:val="ListBullet"/>
      </w:pPr>
      <w:r>
        <w:rPr>
          <w:b w:val="0"/>
          <w:i/>
        </w:rPr>
        <w:t>Practical Charting Techniques</w:t>
      </w:r>
      <w:r>
        <w:rPr>
          <w:b w:val="0"/>
          <w:i w:val="0"/>
        </w:rPr>
        <w:t xml:space="preserve"> (Spear), 89–90</w:t>
      </w:r>
    </w:p>
    <w:p>
      <w:pPr>
        <w:pStyle w:val="ListBullet"/>
      </w:pPr>
      <w:r>
        <w:rPr>
          <w:b w:val="0"/>
          <w:i w:val="0"/>
        </w:rPr>
        <w:t>predictive analytics, 21–29</w:t>
      </w:r>
    </w:p>
    <w:p>
      <w:pPr>
        <w:pStyle w:val="ListBullet"/>
      </w:pPr>
      <w:r>
        <w:rPr>
          <w:b w:val="0"/>
          <w:i w:val="0"/>
        </w:rPr>
        <w:t>definition of, 22–23</w:t>
      </w:r>
    </w:p>
    <w:p>
      <w:pPr>
        <w:pStyle w:val="ListBullet"/>
      </w:pPr>
      <w:r>
        <w:rPr>
          <w:b w:val="0"/>
          <w:i w:val="0"/>
        </w:rPr>
        <w:t>planning deployment of, 25–26</w:t>
      </w:r>
    </w:p>
    <w:p>
      <w:pPr>
        <w:pStyle w:val="ListBullet"/>
      </w:pPr>
      <w:r>
        <w:rPr>
          <w:b w:val="0"/>
          <w:i w:val="0"/>
        </w:rPr>
        <w:t>software selection versus team skills for, 24</w:t>
      </w:r>
    </w:p>
    <w:p>
      <w:pPr>
        <w:pStyle w:val="ListBullet"/>
      </w:pPr>
      <w:r>
        <w:rPr>
          <w:b w:val="0"/>
          <w:i w:val="0"/>
        </w:rPr>
        <w:t>Predictive Analytics World, 24</w:t>
      </w:r>
    </w:p>
    <w:p>
      <w:pPr>
        <w:pStyle w:val="ListBullet"/>
      </w:pPr>
      <w:r>
        <w:rPr>
          <w:b w:val="0"/>
          <w:i w:val="0"/>
        </w:rPr>
        <w:t>predictive audiences, 119</w:t>
      </w:r>
    </w:p>
    <w:p>
      <w:pPr>
        <w:pStyle w:val="ListBullet"/>
      </w:pPr>
      <w:r>
        <w:rPr>
          <w:b w:val="0"/>
          <w:i w:val="0"/>
        </w:rPr>
        <w:t>predictive model, 12, 16–17, 23, 121–122</w:t>
      </w:r>
    </w:p>
    <w:p>
      <w:pPr>
        <w:pStyle w:val="ListBullet"/>
      </w:pPr>
      <w:r>
        <w:rPr>
          <w:b w:val="0"/>
          <w:i w:val="0"/>
        </w:rPr>
        <w:t>presentations, 89–111</w:t>
      </w:r>
    </w:p>
    <w:p>
      <w:pPr>
        <w:pStyle w:val="ListBullet"/>
      </w:pPr>
      <w:r>
        <w:rPr>
          <w:b w:val="0"/>
          <w:i w:val="0"/>
        </w:rPr>
        <w:t>privacy, 8</w:t>
      </w:r>
    </w:p>
    <w:p>
      <w:pPr>
        <w:pStyle w:val="ListBullet"/>
      </w:pPr>
      <w:r>
        <w:rPr>
          <w:b w:val="0"/>
          <w:i w:val="0"/>
        </w:rPr>
        <w:t>cloud services and, 15</w:t>
      </w:r>
    </w:p>
    <w:p>
      <w:pPr>
        <w:pStyle w:val="ListBullet"/>
      </w:pPr>
      <w:r>
        <w:rPr>
          <w:b w:val="0"/>
          <w:i w:val="0"/>
        </w:rPr>
        <w:t>employee data and, 127–135</w:t>
      </w:r>
    </w:p>
    <w:p>
      <w:pPr>
        <w:pStyle w:val="ListBullet"/>
      </w:pPr>
      <w:r>
        <w:rPr>
          <w:b w:val="0"/>
          <w:i w:val="0"/>
        </w:rPr>
        <w:t>performance and, 133</w:t>
      </w:r>
    </w:p>
    <w:p>
      <w:pPr>
        <w:pStyle w:val="ListBullet"/>
      </w:pPr>
      <w:r>
        <w:rPr>
          <w:b w:val="0"/>
          <w:i w:val="0"/>
        </w:rPr>
        <w:t>probabilistic models, 12</w:t>
      </w:r>
    </w:p>
    <w:p>
      <w:pPr>
        <w:pStyle w:val="ListBullet"/>
      </w:pPr>
      <w:r>
        <w:rPr>
          <w:b w:val="0"/>
          <w:i w:val="0"/>
        </w:rPr>
        <w:t>problem solving</w:t>
      </w:r>
    </w:p>
    <w:p>
      <w:pPr>
        <w:pStyle w:val="ListBullet"/>
      </w:pPr>
      <w:r>
        <w:rPr>
          <w:b w:val="0"/>
          <w:i w:val="0"/>
        </w:rPr>
        <w:t>identifying high-impact problems for, 64–65, 70</w:t>
      </w:r>
    </w:p>
    <w:p>
      <w:pPr>
        <w:pStyle w:val="ListBullet"/>
      </w:pPr>
      <w:r>
        <w:rPr>
          <w:b w:val="0"/>
          <w:i w:val="0"/>
        </w:rPr>
        <w:t>“what” versus “why” in, 43–51</w:t>
      </w:r>
    </w:p>
    <w:p>
      <w:pPr>
        <w:pStyle w:val="ListBullet"/>
      </w:pPr>
      <w:r>
        <w:rPr>
          <w:b w:val="0"/>
          <w:i w:val="0"/>
        </w:rPr>
        <w:t>project management, 95, 105–106</w:t>
      </w:r>
    </w:p>
    <w:p>
      <w:pPr>
        <w:pStyle w:val="ListBullet"/>
      </w:pPr>
      <w:r>
        <w:rPr>
          <w:b w:val="0"/>
          <w:i w:val="0"/>
        </w:rPr>
        <w:t>public good, 151–158</w:t>
      </w:r>
    </w:p>
    <w:p>
      <w:pPr>
        <w:pStyle w:val="ListBullet"/>
      </w:pPr>
      <w:r>
        <w:rPr>
          <w:b w:val="0"/>
          <w:i w:val="0"/>
        </w:rPr>
        <w:t>qualitative approach, 46–47</w:t>
      </w:r>
    </w:p>
    <w:p>
      <w:pPr>
        <w:pStyle w:val="ListBullet"/>
      </w:pPr>
      <w:r>
        <w:rPr>
          <w:b w:val="0"/>
          <w:i w:val="0"/>
        </w:rPr>
        <w:t>randomized controlled trials, 143</w:t>
      </w:r>
    </w:p>
    <w:p>
      <w:pPr>
        <w:pStyle w:val="ListBullet"/>
      </w:pPr>
      <w:r>
        <w:rPr>
          <w:b w:val="0"/>
          <w:i w:val="0"/>
        </w:rPr>
        <w:t>regulations, 8, 10, 15, 129</w:t>
      </w:r>
    </w:p>
    <w:p>
      <w:pPr>
        <w:pStyle w:val="ListBullet"/>
      </w:pPr>
      <w:r>
        <w:rPr>
          <w:b w:val="0"/>
          <w:i w:val="0"/>
        </w:rPr>
        <w:t>Redman, Thomas C., 3–10</w:t>
      </w:r>
    </w:p>
    <w:p>
      <w:pPr>
        <w:pStyle w:val="ListBullet"/>
      </w:pPr>
      <w:r>
        <w:rPr>
          <w:b w:val="0"/>
          <w:i w:val="0"/>
        </w:rPr>
        <w:t>repurposing data, 151–158</w:t>
      </w:r>
    </w:p>
    <w:p>
      <w:pPr>
        <w:pStyle w:val="ListBullet"/>
      </w:pPr>
      <w:r>
        <w:rPr>
          <w:b w:val="0"/>
          <w:i w:val="0"/>
        </w:rPr>
        <w:t>reuse, 108–109</w:t>
      </w:r>
    </w:p>
    <w:p>
      <w:pPr>
        <w:pStyle w:val="ListBullet"/>
      </w:pPr>
      <w:r>
        <w:rPr>
          <w:b w:val="0"/>
          <w:i w:val="0"/>
        </w:rPr>
        <w:t>revenue per email (RPE), 119, 120, 121</w:t>
      </w:r>
    </w:p>
    <w:p>
      <w:pPr>
        <w:pStyle w:val="ListBullet"/>
      </w:pPr>
      <w:r>
        <w:rPr>
          <w:b w:val="0"/>
          <w:i w:val="0"/>
        </w:rPr>
        <w:t>rigor, 33, 48</w:t>
      </w:r>
    </w:p>
    <w:p>
      <w:pPr>
        <w:pStyle w:val="ListBullet"/>
      </w:pPr>
      <w:r>
        <w:rPr>
          <w:b w:val="0"/>
          <w:i w:val="0"/>
        </w:rPr>
        <w:t>risk management, 8, 10</w:t>
      </w:r>
    </w:p>
    <w:p>
      <w:pPr>
        <w:pStyle w:val="ListBullet"/>
      </w:pPr>
      <w:r>
        <w:rPr>
          <w:b w:val="0"/>
          <w:i w:val="0"/>
        </w:rPr>
        <w:t>Rogati, Monica, 13</w:t>
      </w:r>
    </w:p>
    <w:p>
      <w:pPr>
        <w:pStyle w:val="ListBullet"/>
      </w:pPr>
      <w:r>
        <w:rPr>
          <w:b w:val="0"/>
          <w:i w:val="0"/>
        </w:rPr>
        <w:t>Sage-Gavin, Eva, 127–135</w:t>
      </w:r>
    </w:p>
    <w:p>
      <w:pPr>
        <w:pStyle w:val="ListBullet"/>
      </w:pPr>
      <w:r>
        <w:rPr>
          <w:b w:val="0"/>
          <w:i w:val="0"/>
        </w:rPr>
        <w:t>scale, 7–8, 34, 80</w:t>
      </w:r>
    </w:p>
    <w:p>
      <w:pPr>
        <w:pStyle w:val="ListBullet"/>
      </w:pPr>
      <w:r>
        <w:rPr>
          <w:b w:val="0"/>
          <w:i w:val="0"/>
        </w:rPr>
        <w:t>Schlumberger’s Center for Reliability &amp; Efficiency, 129</w:t>
      </w:r>
    </w:p>
    <w:p>
      <w:pPr>
        <w:pStyle w:val="ListBullet"/>
      </w:pPr>
      <w:r>
        <w:rPr>
          <w:b w:val="0"/>
          <w:i w:val="0"/>
        </w:rPr>
        <w:t>sentiment analysis, 17</w:t>
      </w:r>
    </w:p>
    <w:p>
      <w:pPr>
        <w:pStyle w:val="ListBullet"/>
      </w:pPr>
      <w:r>
        <w:rPr>
          <w:b w:val="0"/>
          <w:i w:val="0"/>
        </w:rPr>
        <w:t>Shapiro, Joel, 43–51</w:t>
      </w:r>
    </w:p>
    <w:p>
      <w:pPr>
        <w:pStyle w:val="ListBullet"/>
      </w:pPr>
      <w:r>
        <w:rPr>
          <w:b w:val="0"/>
          <w:i w:val="0"/>
        </w:rPr>
        <w:t>Shook, Ellyn, 127–135</w:t>
      </w:r>
    </w:p>
    <w:p>
      <w:pPr>
        <w:pStyle w:val="ListBullet"/>
      </w:pPr>
      <w:r>
        <w:rPr>
          <w:b w:val="0"/>
          <w:i w:val="0"/>
        </w:rPr>
        <w:t>Siegel, Eric, 21–29</w:t>
      </w:r>
    </w:p>
    <w:p>
      <w:pPr>
        <w:pStyle w:val="ListBullet"/>
      </w:pPr>
      <w:r>
        <w:rPr>
          <w:b w:val="0"/>
          <w:i w:val="0"/>
        </w:rPr>
        <w:t>silos, 4–5, 7</w:t>
      </w:r>
    </w:p>
    <w:p>
      <w:pPr>
        <w:pStyle w:val="ListBullet"/>
      </w:pPr>
      <w:r>
        <w:rPr>
          <w:b w:val="0"/>
          <w:i w:val="0"/>
        </w:rPr>
        <w:t>skills, xi–xii, xiv–xv</w:t>
      </w:r>
    </w:p>
    <w:p>
      <w:pPr>
        <w:pStyle w:val="ListBullet"/>
      </w:pPr>
      <w:r>
        <w:rPr>
          <w:b w:val="0"/>
          <w:i w:val="0"/>
        </w:rPr>
        <w:t>of analysts, 31–41</w:t>
      </w:r>
    </w:p>
    <w:p>
      <w:pPr>
        <w:pStyle w:val="ListBullet"/>
      </w:pPr>
      <w:r>
        <w:rPr>
          <w:b w:val="0"/>
          <w:i w:val="0"/>
        </w:rPr>
        <w:t>communication, 11–12, 88–111</w:t>
      </w:r>
    </w:p>
    <w:p>
      <w:pPr>
        <w:pStyle w:val="ListBullet"/>
      </w:pPr>
      <w:r>
        <w:rPr>
          <w:b w:val="0"/>
          <w:i w:val="0"/>
        </w:rPr>
        <w:t>employee data and, 131–133</w:t>
      </w:r>
    </w:p>
    <w:p>
      <w:pPr>
        <w:pStyle w:val="ListBullet"/>
      </w:pPr>
      <w:r>
        <w:rPr>
          <w:b w:val="0"/>
          <w:i w:val="0"/>
        </w:rPr>
        <w:t>for predictive analytics, 24, 28</w:t>
      </w:r>
    </w:p>
    <w:p>
      <w:pPr>
        <w:pStyle w:val="ListBullet"/>
      </w:pPr>
      <w:r>
        <w:rPr>
          <w:b w:val="0"/>
          <w:i w:val="0"/>
        </w:rPr>
        <w:t>prioritizing needed, 53–59</w:t>
      </w:r>
    </w:p>
    <w:p>
      <w:pPr>
        <w:pStyle w:val="ListBullet"/>
      </w:pPr>
      <w:r>
        <w:rPr>
          <w:b w:val="0"/>
          <w:i w:val="0"/>
        </w:rPr>
        <w:t>for strategic analytics, xiii</w:t>
      </w:r>
    </w:p>
    <w:p>
      <w:pPr>
        <w:pStyle w:val="ListBullet"/>
      </w:pPr>
      <w:r>
        <w:rPr>
          <w:b w:val="0"/>
          <w:i w:val="0"/>
        </w:rPr>
        <w:t>for success with data, 6–7</w:t>
      </w:r>
    </w:p>
    <w:p>
      <w:pPr>
        <w:pStyle w:val="ListBullet"/>
      </w:pPr>
      <w:r>
        <w:rPr>
          <w:b w:val="0"/>
          <w:i w:val="0"/>
        </w:rPr>
        <w:t>for teams, 94–99</w:t>
      </w:r>
    </w:p>
    <w:p>
      <w:pPr>
        <w:pStyle w:val="ListBullet"/>
      </w:pPr>
      <w:r>
        <w:rPr>
          <w:b w:val="0"/>
          <w:i w:val="0"/>
        </w:rPr>
        <w:t>wide versus deep, 34–35</w:t>
      </w:r>
    </w:p>
    <w:p>
      <w:pPr>
        <w:pStyle w:val="ListBullet"/>
      </w:pPr>
      <w:r>
        <w:rPr>
          <w:b w:val="0"/>
          <w:i w:val="0"/>
        </w:rPr>
        <w:t>small companies, 73–83</w:t>
      </w:r>
    </w:p>
    <w:p>
      <w:pPr>
        <w:pStyle w:val="ListBullet"/>
      </w:pPr>
      <w:r>
        <w:rPr>
          <w:b w:val="0"/>
          <w:i w:val="0"/>
        </w:rPr>
        <w:t>social media analytics, 47</w:t>
      </w:r>
    </w:p>
    <w:p>
      <w:pPr>
        <w:pStyle w:val="ListBullet"/>
      </w:pPr>
      <w:r>
        <w:rPr>
          <w:b w:val="0"/>
          <w:i w:val="0"/>
        </w:rPr>
        <w:t>software selection, 24</w:t>
      </w:r>
    </w:p>
    <w:p>
      <w:pPr>
        <w:pStyle w:val="ListBullet"/>
      </w:pPr>
      <w:r>
        <w:rPr>
          <w:b w:val="0"/>
          <w:i w:val="0"/>
        </w:rPr>
        <w:t>Spear, Mary Eleanor, 89–90</w:t>
      </w:r>
    </w:p>
    <w:p>
      <w:pPr>
        <w:pStyle w:val="ListBullet"/>
      </w:pPr>
      <w:r>
        <w:rPr>
          <w:b w:val="0"/>
          <w:i w:val="0"/>
        </w:rPr>
        <w:t>speed, in data analysis, 35–36, 39</w:t>
      </w:r>
    </w:p>
    <w:p>
      <w:pPr>
        <w:pStyle w:val="ListBullet"/>
      </w:pPr>
      <w:r>
        <w:rPr>
          <w:b w:val="0"/>
          <w:i w:val="0"/>
        </w:rPr>
        <w:t>stakeholders, 106</w:t>
      </w:r>
    </w:p>
    <w:p>
      <w:pPr>
        <w:pStyle w:val="ListBullet"/>
      </w:pPr>
      <w:r>
        <w:rPr>
          <w:b w:val="0"/>
          <w:i w:val="0"/>
        </w:rPr>
        <w:t>statisticians, 33, 34–35, 38, 41, 92</w:t>
      </w:r>
    </w:p>
    <w:p>
      <w:pPr>
        <w:pStyle w:val="ListBullet"/>
      </w:pPr>
      <w:r>
        <w:rPr>
          <w:b w:val="0"/>
          <w:i w:val="0"/>
        </w:rPr>
        <w:t>statistics, 13</w:t>
      </w:r>
    </w:p>
    <w:p>
      <w:pPr>
        <w:pStyle w:val="ListBullet"/>
      </w:pPr>
      <w:r>
        <w:rPr>
          <w:b w:val="0"/>
          <w:i w:val="0"/>
        </w:rPr>
        <w:t>Stitch Fix, 104, 108</w:t>
      </w:r>
    </w:p>
    <w:p>
      <w:pPr>
        <w:pStyle w:val="ListBullet"/>
      </w:pPr>
      <w:r>
        <w:rPr>
          <w:b w:val="0"/>
          <w:i w:val="0"/>
        </w:rPr>
        <w:t xml:space="preserve">storytelling, 36–37, 97, 105. </w:t>
      </w:r>
      <w:r>
        <w:rPr>
          <w:b w:val="0"/>
          <w:i/>
        </w:rPr>
        <w:t>See also</w:t>
      </w:r>
      <w:r>
        <w:rPr>
          <w:b w:val="0"/>
          <w:i w:val="0"/>
        </w:rPr>
        <w:t xml:space="preserve"> communication</w:t>
      </w:r>
    </w:p>
    <w:p>
      <w:pPr>
        <w:pStyle w:val="ListBullet"/>
      </w:pPr>
      <w:r>
        <w:rPr>
          <w:b w:val="0"/>
          <w:i w:val="0"/>
        </w:rPr>
        <w:t>strategic analytics, xi–xvii</w:t>
      </w:r>
    </w:p>
    <w:p>
      <w:pPr>
        <w:pStyle w:val="ListBullet"/>
      </w:pPr>
      <w:r>
        <w:rPr>
          <w:b w:val="0"/>
          <w:i w:val="0"/>
        </w:rPr>
        <w:t>assessment of readiness for, xvi</w:t>
      </w:r>
    </w:p>
    <w:p>
      <w:pPr>
        <w:pStyle w:val="ListBullet"/>
      </w:pPr>
      <w:r>
        <w:rPr>
          <w:b w:val="0"/>
          <w:i w:val="0"/>
        </w:rPr>
        <w:t>definition of, xii</w:t>
      </w:r>
    </w:p>
    <w:p>
      <w:pPr>
        <w:pStyle w:val="ListBullet"/>
      </w:pPr>
      <w:r>
        <w:rPr>
          <w:b w:val="0"/>
          <w:i w:val="0"/>
        </w:rPr>
        <w:t>leveraging, xiv–xv</w:t>
      </w:r>
    </w:p>
    <w:p>
      <w:pPr>
        <w:pStyle w:val="ListBullet"/>
      </w:pPr>
      <w:r>
        <w:rPr>
          <w:b w:val="0"/>
          <w:i w:val="0"/>
        </w:rPr>
        <w:t>structured data, 105–106</w:t>
      </w:r>
    </w:p>
    <w:p>
      <w:pPr>
        <w:pStyle w:val="ListBullet"/>
      </w:pPr>
      <w:r>
        <w:rPr>
          <w:b w:val="0"/>
          <w:i w:val="0"/>
        </w:rPr>
        <w:t>subject expertise, 96–97</w:t>
      </w:r>
    </w:p>
    <w:p>
      <w:pPr>
        <w:pStyle w:val="ListBullet"/>
      </w:pPr>
      <w:r>
        <w:rPr>
          <w:b w:val="0"/>
          <w:i w:val="0"/>
        </w:rPr>
        <w:t>survival heuristics, 139–140</w:t>
      </w:r>
    </w:p>
    <w:p>
      <w:pPr>
        <w:pStyle w:val="ListBullet"/>
      </w:pPr>
      <w:r>
        <w:rPr>
          <w:b w:val="0"/>
          <w:i w:val="0"/>
        </w:rPr>
        <w:t>Sutton, Dave, 115–126</w:t>
      </w:r>
    </w:p>
    <w:p>
      <w:pPr>
        <w:pStyle w:val="ListBullet"/>
      </w:pPr>
      <w:r>
        <w:rPr>
          <w:b w:val="0"/>
          <w:i w:val="0"/>
        </w:rPr>
        <w:t>Tableau, 96</w:t>
      </w:r>
    </w:p>
    <w:p>
      <w:pPr>
        <w:pStyle w:val="ListBullet"/>
      </w:pPr>
      <w:r>
        <w:rPr>
          <w:b w:val="0"/>
          <w:i w:val="0"/>
        </w:rPr>
        <w:t>tabular data, 15–16, 19</w:t>
      </w:r>
    </w:p>
    <w:p>
      <w:pPr>
        <w:pStyle w:val="ListBullet"/>
      </w:pPr>
      <w:r>
        <w:rPr>
          <w:b w:val="0"/>
          <w:i w:val="0"/>
        </w:rPr>
        <w:t>talent, xiv–xv, 6–7, 8</w:t>
      </w:r>
    </w:p>
    <w:p>
      <w:pPr>
        <w:pStyle w:val="ListBullet"/>
      </w:pPr>
      <w:r>
        <w:rPr>
          <w:b w:val="0"/>
          <w:i w:val="0"/>
        </w:rPr>
        <w:t>dangers of underappreciating, 39–40</w:t>
      </w:r>
    </w:p>
    <w:p>
      <w:pPr>
        <w:pStyle w:val="ListBullet"/>
      </w:pPr>
      <w:r>
        <w:rPr>
          <w:b w:val="0"/>
          <w:i w:val="0"/>
        </w:rPr>
        <w:t>dashboards, 102</w:t>
      </w:r>
    </w:p>
    <w:p>
      <w:pPr>
        <w:pStyle w:val="ListBullet"/>
      </w:pPr>
      <w:r>
        <w:rPr>
          <w:b w:val="0"/>
          <w:i w:val="0"/>
        </w:rPr>
        <w:t>employee data use and, 127–135</w:t>
      </w:r>
    </w:p>
    <w:p>
      <w:pPr>
        <w:pStyle w:val="ListBullet"/>
      </w:pPr>
      <w:r>
        <w:rPr>
          <w:b w:val="0"/>
          <w:i w:val="0"/>
        </w:rPr>
        <w:t>exposing teams to, 101–105</w:t>
      </w:r>
    </w:p>
    <w:p>
      <w:pPr>
        <w:pStyle w:val="ListBullet"/>
      </w:pPr>
      <w:r>
        <w:rPr>
          <w:b w:val="0"/>
          <w:i w:val="0"/>
        </w:rPr>
        <w:t>hiring portfolios of, 100–101</w:t>
      </w:r>
    </w:p>
    <w:p>
      <w:pPr>
        <w:pStyle w:val="ListBullet"/>
      </w:pPr>
      <w:r>
        <w:rPr>
          <w:b w:val="0"/>
          <w:i w:val="0"/>
        </w:rPr>
        <w:t>prioritizing data skills for, 53–59</w:t>
      </w:r>
    </w:p>
    <w:p>
      <w:pPr>
        <w:pStyle w:val="ListBullet"/>
      </w:pPr>
      <w:r>
        <w:rPr>
          <w:b w:val="0"/>
          <w:i w:val="0"/>
        </w:rPr>
        <w:t>strategic analytics and, xiii</w:t>
      </w:r>
    </w:p>
    <w:p>
      <w:pPr>
        <w:pStyle w:val="ListBullet"/>
      </w:pPr>
      <w:r>
        <w:rPr>
          <w:b w:val="0"/>
          <w:i w:val="0"/>
        </w:rPr>
        <w:t>structuring projects around, 105–106</w:t>
      </w:r>
    </w:p>
    <w:p>
      <w:pPr>
        <w:pStyle w:val="ListBullet"/>
      </w:pPr>
      <w:r>
        <w:rPr>
          <w:b w:val="0"/>
          <w:i w:val="0"/>
        </w:rPr>
        <w:t>supporting, 107</w:t>
      </w:r>
    </w:p>
    <w:p>
      <w:pPr>
        <w:pStyle w:val="ListBullet"/>
      </w:pPr>
      <w:r>
        <w:rPr>
          <w:b w:val="0"/>
          <w:i/>
        </w:rPr>
        <w:t>See also</w:t>
      </w:r>
      <w:r>
        <w:rPr>
          <w:b w:val="0"/>
          <w:i w:val="0"/>
        </w:rPr>
        <w:t xml:space="preserve"> data scientists</w:t>
      </w:r>
    </w:p>
    <w:p>
      <w:pPr>
        <w:pStyle w:val="ListBullet"/>
      </w:pPr>
      <w:r>
        <w:rPr>
          <w:b w:val="0"/>
          <w:i w:val="0"/>
        </w:rPr>
        <w:t>teams, 89–90, 91, 94</w:t>
      </w:r>
    </w:p>
    <w:p>
      <w:pPr>
        <w:pStyle w:val="ListBullet"/>
      </w:pPr>
      <w:r>
        <w:rPr>
          <w:b w:val="0"/>
          <w:i w:val="0"/>
        </w:rPr>
        <w:t>colocating, 107–108</w:t>
      </w:r>
    </w:p>
    <w:p>
      <w:pPr>
        <w:pStyle w:val="ListBullet"/>
      </w:pPr>
      <w:r>
        <w:rPr>
          <w:b w:val="0"/>
          <w:i w:val="0"/>
        </w:rPr>
        <w:t>defining talents for, 94–99</w:t>
      </w:r>
    </w:p>
    <w:p>
      <w:pPr>
        <w:pStyle w:val="ListBullet"/>
      </w:pPr>
      <w:r>
        <w:rPr>
          <w:b w:val="0"/>
          <w:i w:val="0"/>
        </w:rPr>
        <w:t>empowering, 108</w:t>
      </w:r>
    </w:p>
    <w:p>
      <w:pPr>
        <w:pStyle w:val="ListBullet"/>
      </w:pPr>
      <w:r>
        <w:rPr>
          <w:b w:val="0"/>
          <w:i w:val="0"/>
        </w:rPr>
        <w:t>skills for, 24, 28</w:t>
      </w:r>
    </w:p>
    <w:p>
      <w:pPr>
        <w:pStyle w:val="ListBullet"/>
      </w:pPr>
      <w:r>
        <w:rPr>
          <w:b w:val="0"/>
          <w:i w:val="0"/>
        </w:rPr>
        <w:t>technology</w:t>
      </w:r>
    </w:p>
    <w:p>
      <w:pPr>
        <w:pStyle w:val="ListBullet"/>
      </w:pPr>
      <w:r>
        <w:rPr>
          <w:b w:val="0"/>
          <w:i w:val="0"/>
        </w:rPr>
        <w:t>as democratizing force, 73–83</w:t>
      </w:r>
    </w:p>
    <w:p>
      <w:pPr>
        <w:pStyle w:val="ListBullet"/>
      </w:pPr>
      <w:r>
        <w:rPr>
          <w:b w:val="0"/>
          <w:i w:val="0"/>
        </w:rPr>
        <w:t>in presenting data, 90–91</w:t>
      </w:r>
    </w:p>
    <w:p>
      <w:pPr>
        <w:pStyle w:val="ListBullet"/>
      </w:pPr>
      <w:r>
        <w:rPr>
          <w:b w:val="0"/>
          <w:i w:val="0"/>
        </w:rPr>
        <w:t>prioritizing data skills versus, 57</w:t>
      </w:r>
    </w:p>
    <w:p>
      <w:pPr>
        <w:pStyle w:val="ListBullet"/>
      </w:pPr>
      <w:r>
        <w:rPr>
          <w:b w:val="0"/>
          <w:i w:val="0"/>
        </w:rPr>
        <w:t>for success with data, 7–8, 10</w:t>
      </w:r>
    </w:p>
    <w:p>
      <w:pPr>
        <w:pStyle w:val="ListBullet"/>
      </w:pPr>
      <w:r>
        <w:rPr>
          <w:b w:val="0"/>
          <w:i w:val="0"/>
        </w:rPr>
        <w:t>Telstra, 130</w:t>
      </w:r>
    </w:p>
    <w:p>
      <w:pPr>
        <w:pStyle w:val="ListBullet"/>
      </w:pPr>
      <w:r>
        <w:rPr>
          <w:b w:val="0"/>
          <w:i w:val="0"/>
        </w:rPr>
        <w:t>templates, creating, 108–109</w:t>
      </w:r>
    </w:p>
    <w:p>
      <w:pPr>
        <w:pStyle w:val="ListBullet"/>
      </w:pPr>
      <w:r>
        <w:rPr>
          <w:b w:val="0"/>
          <w:i w:val="0"/>
        </w:rPr>
        <w:t>testing, 48, 49, 143</w:t>
      </w:r>
    </w:p>
    <w:p>
      <w:pPr>
        <w:pStyle w:val="ListBullet"/>
      </w:pPr>
      <w:r>
        <w:rPr>
          <w:b w:val="0"/>
          <w:i w:val="0"/>
        </w:rPr>
        <w:t>text classification, 17</w:t>
      </w:r>
    </w:p>
    <w:p>
      <w:pPr>
        <w:pStyle w:val="ListBullet"/>
      </w:pPr>
      <w:r>
        <w:rPr>
          <w:b w:val="0"/>
          <w:i w:val="0"/>
        </w:rPr>
        <w:t>time-utility analysis, 55–59</w:t>
      </w:r>
    </w:p>
    <w:p>
      <w:pPr>
        <w:pStyle w:val="ListBullet"/>
      </w:pPr>
      <w:r>
        <w:rPr>
          <w:b w:val="0"/>
          <w:i w:val="0"/>
        </w:rPr>
        <w:t>transparency, 155</w:t>
      </w:r>
    </w:p>
    <w:p>
      <w:pPr>
        <w:pStyle w:val="ListBullet"/>
      </w:pPr>
      <w:r>
        <w:rPr>
          <w:b w:val="0"/>
          <w:i w:val="0"/>
        </w:rPr>
        <w:t>Trump, Donald, 12</w:t>
      </w:r>
    </w:p>
    <w:p>
      <w:pPr>
        <w:pStyle w:val="ListBullet"/>
      </w:pPr>
      <w:r>
        <w:rPr>
          <w:b w:val="0"/>
          <w:i w:val="0"/>
        </w:rPr>
        <w:t>trust, 105, 128, 133</w:t>
      </w:r>
    </w:p>
    <w:p>
      <w:pPr>
        <w:pStyle w:val="ListBullet"/>
      </w:pPr>
      <w:r>
        <w:rPr>
          <w:b w:val="0"/>
          <w:i w:val="0"/>
        </w:rPr>
        <w:t>trust dividend, 128</w:t>
      </w:r>
    </w:p>
    <w:p>
      <w:pPr>
        <w:pStyle w:val="ListBullet"/>
      </w:pPr>
      <w:r>
        <w:rPr>
          <w:b w:val="0"/>
          <w:i w:val="0"/>
        </w:rPr>
        <w:t>U.S. presidential election of 2016, 12</w:t>
      </w:r>
    </w:p>
    <w:p>
      <w:pPr>
        <w:pStyle w:val="ListBullet"/>
      </w:pPr>
      <w:r>
        <w:rPr>
          <w:b w:val="0"/>
          <w:i w:val="0"/>
        </w:rPr>
        <w:t>unstructured data, 17–18, 19</w:t>
      </w:r>
    </w:p>
    <w:p>
      <w:pPr>
        <w:pStyle w:val="ListBullet"/>
      </w:pPr>
      <w:r>
        <w:rPr>
          <w:b w:val="0"/>
          <w:i w:val="0"/>
        </w:rPr>
        <w:t>Urban Institute, 109</w:t>
      </w:r>
    </w:p>
    <w:p>
      <w:pPr>
        <w:pStyle w:val="ListBullet"/>
      </w:pPr>
      <w:r>
        <w:rPr>
          <w:b w:val="0"/>
          <w:i w:val="0"/>
        </w:rPr>
        <w:t>value proposition, 23–24</w:t>
      </w:r>
    </w:p>
    <w:p>
      <w:pPr>
        <w:pStyle w:val="ListBullet"/>
      </w:pPr>
      <w:r>
        <w:rPr>
          <w:b w:val="0"/>
          <w:i w:val="0"/>
        </w:rPr>
        <w:t>Vineyard Vines, 115–126</w:t>
      </w:r>
    </w:p>
    <w:p>
      <w:pPr>
        <w:pStyle w:val="ListBullet"/>
      </w:pPr>
      <w:r>
        <w:rPr>
          <w:b w:val="0"/>
          <w:i w:val="0"/>
        </w:rPr>
        <w:t>visualization, 87–88, 90–91</w:t>
      </w:r>
    </w:p>
    <w:p>
      <w:pPr>
        <w:pStyle w:val="ListBullet"/>
      </w:pPr>
      <w:r>
        <w:rPr>
          <w:b w:val="0"/>
          <w:i w:val="0"/>
        </w:rPr>
        <w:t>wait times, 47–48</w:t>
      </w:r>
    </w:p>
    <w:p>
      <w:pPr>
        <w:pStyle w:val="ListBullet"/>
      </w:pPr>
      <w:r>
        <w:rPr>
          <w:b w:val="0"/>
          <w:i w:val="0"/>
        </w:rPr>
        <w:t>workplace data, 127–135</w:t>
      </w:r>
    </w:p>
    <w:p>
      <w:pPr>
        <w:pStyle w:val="ListBullet"/>
      </w:pPr>
      <w:r>
        <w:rPr>
          <w:b w:val="0"/>
          <w:i w:val="0"/>
        </w:rPr>
        <w:t>World Economic Forum, 53–54</w:t>
      </w:r>
    </w:p>
    <w:p>
      <w:pPr>
        <w:pStyle w:val="ListBullet"/>
      </w:pPr>
      <w:r>
        <w:rPr>
          <w:b w:val="0"/>
          <w:i w:val="0"/>
        </w:rPr>
        <w:t>Yelp, 151–152, 154, 155, 156</w:t>
      </w:r>
    </w:p>
    <w:p>
      <w:pPr>
        <w:pStyle w:val="ListBullet"/>
      </w:pPr>
      <w:r>
        <w:rPr>
          <w:b w:val="0"/>
          <w:i w:val="0"/>
        </w:rPr>
        <w:t>ZF, 61–71</w:t>
      </w:r>
    </w:p>
    <w:p>
      <w:pPr>
        <w:pStyle w:val="ListBullet"/>
      </w:pPr>
      <w:r>
        <w:rPr>
          <w:b w:val="0"/>
          <w:i w:val="0"/>
        </w:rPr>
        <w:t>Zillow, 153</w:t>
      </w:r>
    </w:p>
    <w:p>
      <w:pPr>
        <w:jc w:val="center"/>
      </w:pPr>
      <w:r>
        <w:drawing>
          <wp:inline xmlns:a="http://schemas.openxmlformats.org/drawingml/2006/main" xmlns:pic="http://schemas.openxmlformats.org/drawingml/2006/picture">
            <wp:extent cx="5753100" cy="8890000"/>
            <wp:docPr id="29" name="Picture 29"/>
            <wp:cNvGraphicFramePr>
              <a:graphicFrameLocks noChangeAspect="1"/>
            </wp:cNvGraphicFramePr>
            <a:graphic>
              <a:graphicData uri="http://schemas.openxmlformats.org/drawingml/2006/picture">
                <pic:pic>
                  <pic:nvPicPr>
                    <pic:cNvPr id="0" name="epub_img_6275797335303709484.jpg"/>
                    <pic:cNvPicPr/>
                  </pic:nvPicPr>
                  <pic:blipFill>
                    <a:blip r:embed="rId25"/>
                    <a:stretch>
                      <a:fillRect/>
                    </a:stretch>
                  </pic:blipFill>
                  <pic:spPr>
                    <a:xfrm>
                      <a:off x="0" y="0"/>
                      <a:ext cx="57531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30" name="Picture 30"/>
            <wp:cNvGraphicFramePr>
              <a:graphicFrameLocks noChangeAspect="1"/>
            </wp:cNvGraphicFramePr>
            <a:graphic>
              <a:graphicData uri="http://schemas.openxmlformats.org/drawingml/2006/picture">
                <pic:pic>
                  <pic:nvPicPr>
                    <pic:cNvPr id="0" name="epub_img_7441356833883062829.jpg"/>
                    <pic:cNvPicPr/>
                  </pic:nvPicPr>
                  <pic:blipFill>
                    <a:blip r:embed="rId26"/>
                    <a:stretch>
                      <a:fillRect/>
                    </a:stretch>
                  </pic:blipFill>
                  <pic:spPr>
                    <a:xfrm>
                      <a:off x="0" y="0"/>
                      <a:ext cx="59309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31" name="Picture 31"/>
            <wp:cNvGraphicFramePr>
              <a:graphicFrameLocks noChangeAspect="1"/>
            </wp:cNvGraphicFramePr>
            <a:graphic>
              <a:graphicData uri="http://schemas.openxmlformats.org/drawingml/2006/picture">
                <pic:pic>
                  <pic:nvPicPr>
                    <pic:cNvPr id="0" name="epub_img_1159470213360853902.jpg"/>
                    <pic:cNvPicPr/>
                  </pic:nvPicPr>
                  <pic:blipFill>
                    <a:blip r:embed="rId27"/>
                    <a:stretch>
                      <a:fillRect/>
                    </a:stretch>
                  </pic:blipFill>
                  <pic:spPr>
                    <a:xfrm>
                      <a:off x="0" y="0"/>
                      <a:ext cx="5930900" cy="8890000"/>
                    </a:xfrm>
                    <a:prstGeom prst="rect"/>
                  </pic:spPr>
                </pic:pic>
              </a:graphicData>
            </a:graphic>
          </wp:inline>
        </w:drawing>
      </w:r>
    </w:p>
    <w:p>
      <w:r>
        <w:rPr>
          <w:b/>
          <w:i w:val="0"/>
        </w:rPr>
        <w:t>Insights You Need from Harvard Business Review</w:t>
      </w:r>
    </w:p>
    <w:p>
      <w:r>
        <w:rPr>
          <w:b w:val="0"/>
          <w:i w:val="0"/>
        </w:rPr>
        <w:t>Business is changing. Will you adapt or be left behind?</w:t>
      </w:r>
    </w:p>
    <w:p>
      <w:r>
        <w:rPr>
          <w:b w:val="0"/>
          <w:i w:val="0"/>
        </w:rPr>
        <w:t xml:space="preserve">Get up to speed and deepen your understanding of the topics that are shaping your company’s future with the </w:t>
      </w:r>
      <w:r>
        <w:rPr>
          <w:b/>
          <w:i w:val="0"/>
        </w:rPr>
        <w:t>Insights You Need from Harvard Business Review</w:t>
      </w:r>
      <w:r>
        <w:rPr>
          <w:b w:val="0"/>
          <w:i w:val="0"/>
        </w:rPr>
        <w:t xml:space="preserve"> series. Featuring HBR’s smartest thinking on fast-moving issues—blockchain, cybersecurity, AI, and more—each book provides the foundational introduction and practical case studies your organization needs to compete today and collects the best research, interviews, and analysis to get it ready for tomorrow.</w:t>
      </w:r>
    </w:p>
    <w:p>
      <w:r>
        <w:rPr>
          <w:b w:val="0"/>
          <w:i w:val="0"/>
        </w:rPr>
        <w:t>You can’t afford to ignore how these issues will transform the landscape of business and society. The Insights You Need series will help you grasp these critical ideas—and prepare you and your company for the future.</w:t>
      </w:r>
    </w:p>
    <w:p>
      <w:r>
        <w:rPr>
          <w:b w:val="0"/>
          <w:i w:val="0"/>
        </w:rPr>
        <w:t>Books in the series include:</w:t>
      </w:r>
    </w:p>
    <w:p>
      <w:r>
        <w:rPr>
          <w:b w:val="0"/>
          <w:i/>
        </w:rPr>
        <w:t>Agile</w:t>
      </w:r>
    </w:p>
    <w:p>
      <w:r>
        <w:rPr>
          <w:b w:val="0"/>
          <w:i/>
        </w:rPr>
        <w:t>Artificial Intelligence</w:t>
      </w:r>
    </w:p>
    <w:p>
      <w:r>
        <w:rPr>
          <w:b w:val="0"/>
          <w:i/>
        </w:rPr>
        <w:t>Blockchain</w:t>
      </w:r>
    </w:p>
    <w:p>
      <w:r>
        <w:rPr>
          <w:b w:val="0"/>
          <w:i/>
        </w:rPr>
        <w:t>Cybersecurity</w:t>
      </w:r>
    </w:p>
    <w:p>
      <w:r>
        <w:rPr>
          <w:b w:val="0"/>
          <w:i/>
        </w:rPr>
        <w:t>Monopolies and Tech Giants</w:t>
      </w:r>
    </w:p>
    <w:p>
      <w:r>
        <w:rPr>
          <w:b w:val="0"/>
          <w:i/>
        </w:rPr>
        <w:t>Strategic Analytics</w:t>
      </w:r>
    </w:p>
    <w:p>
      <w:pPr>
        <w:jc w:val="center"/>
      </w:pPr>
      <w:r>
        <w:drawing>
          <wp:inline xmlns:a="http://schemas.openxmlformats.org/drawingml/2006/main" xmlns:pic="http://schemas.openxmlformats.org/drawingml/2006/picture">
            <wp:extent cx="6680200" cy="6680200"/>
            <wp:docPr id="32" name="Picture 32"/>
            <wp:cNvGraphicFramePr>
              <a:graphicFrameLocks noChangeAspect="1"/>
            </wp:cNvGraphicFramePr>
            <a:graphic>
              <a:graphicData uri="http://schemas.openxmlformats.org/drawingml/2006/picture">
                <pic:pic>
                  <pic:nvPicPr>
                    <pic:cNvPr id="0" name="epub_img_4056547328113056456.jpg"/>
                    <pic:cNvPicPr/>
                  </pic:nvPicPr>
                  <pic:blipFill>
                    <a:blip r:embed="rId28"/>
                    <a:stretch>
                      <a:fillRect/>
                    </a:stretch>
                  </pic:blipFill>
                  <pic:spPr>
                    <a:xfrm>
                      <a:off x="0" y="0"/>
                      <a:ext cx="6680200" cy="6680200"/>
                    </a:xfrm>
                    <a:prstGeom prst="rect"/>
                  </pic:spPr>
                </pic:pic>
              </a:graphicData>
            </a:graphic>
          </wp:inline>
        </w:drawing>
      </w:r>
    </w:p>
    <w:p>
      <w:r>
        <w:rPr>
          <w:b/>
          <w:i w:val="0"/>
        </w:rPr>
        <w:t>ARTIFICIAL INTELLIGENCE</w:t>
      </w:r>
    </w:p>
    <w:p>
      <w:r>
        <w:rPr>
          <w:b w:val="0"/>
          <w:i w:val="0"/>
        </w:rPr>
        <w:t>Harvard Business Review Press</w:t>
      </w:r>
    </w:p>
    <w:p>
      <w:r>
        <w:rPr>
          <w:b w:val="0"/>
          <w:i w:val="0"/>
        </w:rPr>
        <w:t>Boston, Massachusetts</w:t>
      </w:r>
    </w:p>
    <w:p>
      <w:r>
        <w:rPr>
          <w:b/>
          <w:i w:val="0"/>
        </w:rPr>
        <w:t>HBR Press Quantity Sales Discounts</w:t>
      </w:r>
    </w:p>
    <w:p>
      <w:r>
        <w:rPr>
          <w:b w:val="0"/>
          <w:i w:val="0"/>
        </w:rPr>
        <w:t>Harvard Business Review Press titles are available at significant quantity discounts when purchased in bulk for client gifts, sales promotions, and premiums. Special editions, including books with corporate logos, customized covers, and letters from the company or CEO printed in the front matter, as well as excerpts of existing books, can also be created in large quantities for special needs.</w:t>
      </w:r>
    </w:p>
    <w:p>
      <w:r>
        <w:rPr>
          <w:b w:val="0"/>
          <w:i w:val="0"/>
        </w:rPr>
        <w:t>For details and discount information for both print andebook formats, contact booksales@harvardbusiness.org,tel. 800-988-0886, or www.hbr.org/bulksales.</w:t>
      </w:r>
    </w:p>
    <w:p>
      <w:r>
        <w:rPr>
          <w:b w:val="0"/>
          <w:i w:val="0"/>
        </w:rPr>
        <w:t>Copyright 2019 Harvard Business School Publishing Corporation</w:t>
      </w:r>
    </w:p>
    <w:p>
      <w:r>
        <w:rPr>
          <w:b w:val="0"/>
          <w:i w:val="0"/>
        </w:rPr>
        <w:t>All rights reserved</w:t>
      </w:r>
    </w:p>
    <w:p>
      <w:r>
        <w:rPr>
          <w:b w:val="0"/>
          <w:i w:val="0"/>
        </w:rPr>
        <w:t>No part of this publication may be reproduced, stored in or introduced into a retrieval system, or transmitted, in any form, or by any means (electronic, mechanical, photocopying, recording, or otherwise), without the prior permission of the publisher. Requests for permission should be directed to permissions@harvardbusiness.org, or mailed to Permissions, Harvard Business School Publishing, 60 Harvard Way, Boston, Massachusetts 02163.</w:t>
      </w:r>
    </w:p>
    <w:p>
      <w:r>
        <w:rPr>
          <w:b w:val="0"/>
          <w:i w:val="0"/>
        </w:rPr>
        <w:t>The web addresses referenced in this book were live and correct at the time of the book’s publication but may be subject to change.</w:t>
      </w:r>
    </w:p>
    <w:p>
      <w:r>
        <w:rPr>
          <w:b w:val="0"/>
          <w:i w:val="0"/>
        </w:rPr>
        <w:t>Library of Congress Cataloging-in-Publication Data</w:t>
      </w:r>
    </w:p>
    <w:p>
      <w:r>
        <w:rPr>
          <w:b w:val="0"/>
          <w:i w:val="0"/>
        </w:rPr>
        <w:t>Title: Artificial intelligence : the insights you need from Harvard Business Review.</w:t>
      </w:r>
    </w:p>
    <w:p>
      <w:r>
        <w:rPr>
          <w:b w:val="0"/>
          <w:i w:val="0"/>
        </w:rPr>
        <w:t>Other titles: Artificial intelligence (Harvard Business Review Press) | Insights you need from Harvard Business Review.</w:t>
      </w:r>
    </w:p>
    <w:p>
      <w:r>
        <w:rPr>
          <w:b w:val="0"/>
          <w:i w:val="0"/>
        </w:rPr>
        <w:t>Description: Boston, Massachusetts : Harvard Business Review Press, [2019] | Series: The insights you need from Harvard Business Review</w:t>
      </w:r>
    </w:p>
    <w:p>
      <w:r>
        <w:rPr>
          <w:b w:val="0"/>
          <w:i w:val="0"/>
        </w:rPr>
        <w:t>Identifiers: LCCN 2019011886 | ISBN 9781633697898 (pbk.)</w:t>
      </w:r>
    </w:p>
    <w:p>
      <w:r>
        <w:rPr>
          <w:b w:val="0"/>
          <w:i w:val="0"/>
        </w:rPr>
        <w:t>Subjects: LCSH: Artificial intelligence. | Artificial intelligence—Industrial applications. | Technological innovations—Economic aspects.</w:t>
      </w:r>
    </w:p>
    <w:p>
      <w:r>
        <w:rPr>
          <w:b w:val="0"/>
          <w:i w:val="0"/>
        </w:rPr>
        <w:t>Classification: LCC Q335 .A778 2019 | DDC 658/.0563—dc23LC record available at https://lccn.loc.gov/2019011886</w:t>
      </w:r>
    </w:p>
    <w:p>
      <w:r>
        <w:rPr>
          <w:b w:val="0"/>
          <w:i w:val="0"/>
        </w:rPr>
        <w:t>ISBN: 978-1-63369-789-8</w:t>
      </w:r>
    </w:p>
    <w:p>
      <w:r>
        <w:rPr>
          <w:b w:val="0"/>
          <w:i w:val="0"/>
        </w:rPr>
        <w:t>eISBN: 978-1-63369-790-4</w:t>
      </w:r>
    </w:p>
    <w:p>
      <w:pPr>
        <w:pStyle w:val="Heading1"/>
      </w:pPr>
      <w:r>
        <w:rPr>
          <w:b/>
          <w:i w:val="0"/>
        </w:rPr>
        <w:t>Contents</w:t>
      </w:r>
    </w:p>
    <w:p>
      <w:pPr>
        <w:pStyle w:val="ListNumber"/>
      </w:pPr>
      <w:r>
        <w:rPr>
          <w:b/>
          <w:i w:val="0"/>
        </w:rPr>
        <w:t>Introduction</w:t>
      </w:r>
    </w:p>
    <w:p>
      <w:pPr>
        <w:pStyle w:val="ListNumber"/>
      </w:pPr>
      <w:r>
        <w:rPr>
          <w:b/>
          <w:i w:val="0"/>
        </w:rPr>
        <w:t>The State of AI in Business</w:t>
      </w:r>
    </w:p>
    <w:p>
      <w:pPr>
        <w:pStyle w:val="ListNumber"/>
      </w:pPr>
      <w:r>
        <w:rPr>
          <w:b w:val="0"/>
          <w:i/>
        </w:rPr>
        <w:t>It’s still early, but the revolution is coming.</w:t>
      </w:r>
    </w:p>
    <w:p>
      <w:pPr>
        <w:pStyle w:val="ListNumber"/>
      </w:pPr>
      <w:r>
        <w:rPr>
          <w:b w:val="0"/>
          <w:i w:val="0"/>
        </w:rPr>
        <w:t>by Thomas H. Davenport</w:t>
      </w:r>
    </w:p>
    <w:p>
      <w:pPr>
        <w:pStyle w:val="ListNumber"/>
      </w:pPr>
      <w:r>
        <w:rPr>
          <w:b/>
          <w:i w:val="0"/>
        </w:rPr>
        <w:t>Section 1</w:t>
      </w:r>
    </w:p>
    <w:p>
      <w:pPr>
        <w:pStyle w:val="ListNumber"/>
      </w:pPr>
      <w:r>
        <w:rPr>
          <w:b/>
          <w:i w:val="0"/>
        </w:rPr>
        <w:t>Understanding AI and Machine Learning</w:t>
      </w:r>
    </w:p>
    <w:p>
      <w:pPr>
        <w:pStyle w:val="ListNumber"/>
      </w:pPr>
      <w:r>
        <w:rPr>
          <w:b/>
          <w:i w:val="0"/>
        </w:rPr>
        <w:t>1.  The Business of Artificial Intelligence</w:t>
      </w:r>
    </w:p>
    <w:p>
      <w:pPr>
        <w:pStyle w:val="ListNumber"/>
      </w:pPr>
      <w:r>
        <w:rPr>
          <w:b w:val="0"/>
          <w:i/>
        </w:rPr>
        <w:t>What it can—and cannot—do for your organization.</w:t>
      </w:r>
    </w:p>
    <w:p>
      <w:pPr>
        <w:pStyle w:val="ListNumber"/>
      </w:pPr>
      <w:r>
        <w:rPr>
          <w:b w:val="0"/>
          <w:i w:val="0"/>
        </w:rPr>
        <w:t>by Erik Brynjolfsson and Andrew McAfee</w:t>
      </w:r>
    </w:p>
    <w:p>
      <w:pPr>
        <w:pStyle w:val="ListNumber"/>
      </w:pPr>
      <w:r>
        <w:rPr>
          <w:b/>
          <w:i w:val="0"/>
        </w:rPr>
        <w:t>2.  Inside Facebook’s AI Workshop</w:t>
      </w:r>
    </w:p>
    <w:p>
      <w:pPr>
        <w:pStyle w:val="ListNumber"/>
      </w:pPr>
      <w:r>
        <w:rPr>
          <w:b w:val="0"/>
          <w:i/>
        </w:rPr>
        <w:t>At the social network behemoth, machine learning has become a platform for the platform.</w:t>
      </w:r>
    </w:p>
    <w:p>
      <w:pPr>
        <w:pStyle w:val="ListNumber"/>
      </w:pPr>
      <w:r>
        <w:rPr>
          <w:b w:val="0"/>
          <w:i w:val="0"/>
        </w:rPr>
        <w:t>An interview with Joaquin Candela by Scott Berinato</w:t>
      </w:r>
    </w:p>
    <w:p>
      <w:pPr>
        <w:pStyle w:val="ListNumber"/>
      </w:pPr>
      <w:r>
        <w:rPr>
          <w:b/>
          <w:i w:val="0"/>
        </w:rPr>
        <w:t>3.  Why Companies That Wait to Adopt AI May</w:t>
      </w:r>
      <w:r>
        <w:rPr>
          <w:b w:val="0"/>
          <w:i w:val="0"/>
        </w:rPr>
        <w:t xml:space="preserve"> </w:t>
      </w:r>
      <w:r>
        <w:rPr>
          <w:b/>
          <w:i w:val="0"/>
        </w:rPr>
        <w:t>Never Catch Up</w:t>
      </w:r>
    </w:p>
    <w:p>
      <w:pPr>
        <w:pStyle w:val="ListNumber"/>
      </w:pPr>
      <w:r>
        <w:rPr>
          <w:b w:val="0"/>
          <w:i/>
        </w:rPr>
        <w:t>The “fast follower” strategy won’t work.</w:t>
      </w:r>
    </w:p>
    <w:p>
      <w:pPr>
        <w:pStyle w:val="ListNumber"/>
      </w:pPr>
      <w:r>
        <w:rPr>
          <w:b w:val="0"/>
          <w:i w:val="0"/>
        </w:rPr>
        <w:t>by Vikram Mahidhar and Thomas H. Davenport</w:t>
      </w:r>
    </w:p>
    <w:p>
      <w:pPr>
        <w:pStyle w:val="ListNumber"/>
      </w:pPr>
      <w:r>
        <w:rPr>
          <w:b/>
          <w:i w:val="0"/>
        </w:rPr>
        <w:t>Section 2</w:t>
      </w:r>
    </w:p>
    <w:p>
      <w:pPr>
        <w:pStyle w:val="ListNumber"/>
      </w:pPr>
      <w:r>
        <w:rPr>
          <w:b/>
          <w:i w:val="0"/>
        </w:rPr>
        <w:t>Adopting AI</w:t>
      </w:r>
    </w:p>
    <w:p>
      <w:pPr>
        <w:pStyle w:val="ListNumber"/>
      </w:pPr>
      <w:r>
        <w:rPr>
          <w:b/>
          <w:i w:val="0"/>
        </w:rPr>
        <w:t>4.  Three Questions About AI That Nontechnical Employees Should Be Able to Answer</w:t>
      </w:r>
    </w:p>
    <w:p>
      <w:pPr>
        <w:pStyle w:val="ListNumber"/>
      </w:pPr>
      <w:r>
        <w:rPr>
          <w:b w:val="0"/>
          <w:i/>
        </w:rPr>
        <w:t>How does it work, what is it good at, and what should it never do?</w:t>
      </w:r>
    </w:p>
    <w:p>
      <w:pPr>
        <w:pStyle w:val="ListNumber"/>
      </w:pPr>
      <w:r>
        <w:rPr>
          <w:b w:val="0"/>
          <w:i w:val="0"/>
        </w:rPr>
        <w:t>by Emma Martinho-Truswell</w:t>
      </w:r>
    </w:p>
    <w:p>
      <w:pPr>
        <w:pStyle w:val="ListNumber"/>
      </w:pPr>
      <w:r>
        <w:rPr>
          <w:b/>
          <w:i w:val="0"/>
        </w:rPr>
        <w:t>5.  Is Your Company’s Data Actually Valuable in the AI Era?</w:t>
      </w:r>
    </w:p>
    <w:p>
      <w:pPr>
        <w:pStyle w:val="ListNumber"/>
      </w:pPr>
      <w:r>
        <w:rPr>
          <w:b w:val="0"/>
          <w:i/>
        </w:rPr>
        <w:t>The problem with “data is the new oil.”</w:t>
      </w:r>
    </w:p>
    <w:p>
      <w:pPr>
        <w:pStyle w:val="ListNumber"/>
      </w:pPr>
      <w:r>
        <w:rPr>
          <w:b w:val="0"/>
          <w:i w:val="0"/>
        </w:rPr>
        <w:t>by Ajay Agrawal, Joshua Gans, and Avi Goldfarb</w:t>
      </w:r>
    </w:p>
    <w:p>
      <w:pPr>
        <w:pStyle w:val="ListNumber"/>
      </w:pPr>
      <w:r>
        <w:rPr>
          <w:b/>
          <w:i w:val="0"/>
        </w:rPr>
        <w:t>6.  How to Choose Your First AI Project</w:t>
      </w:r>
    </w:p>
    <w:p>
      <w:pPr>
        <w:pStyle w:val="ListNumber"/>
      </w:pPr>
      <w:r>
        <w:rPr>
          <w:b w:val="0"/>
          <w:i/>
        </w:rPr>
        <w:t>Pick a quick win to build internal support.</w:t>
      </w:r>
    </w:p>
    <w:p>
      <w:pPr>
        <w:pStyle w:val="ListNumber"/>
      </w:pPr>
      <w:r>
        <w:rPr>
          <w:b w:val="0"/>
          <w:i w:val="0"/>
        </w:rPr>
        <w:t>by Andrew Ng</w:t>
      </w:r>
    </w:p>
    <w:p>
      <w:pPr>
        <w:pStyle w:val="ListNumber"/>
      </w:pPr>
      <w:r>
        <w:rPr>
          <w:b/>
          <w:i w:val="0"/>
        </w:rPr>
        <w:t>7.  What Will Happen When Your Company’s Algorithms Go Wrong?</w:t>
      </w:r>
    </w:p>
    <w:p>
      <w:pPr>
        <w:pStyle w:val="ListNumber"/>
      </w:pPr>
      <w:r>
        <w:rPr>
          <w:b w:val="0"/>
          <w:i/>
        </w:rPr>
        <w:t>You need to have a plan.</w:t>
      </w:r>
    </w:p>
    <w:p>
      <w:pPr>
        <w:pStyle w:val="ListNumber"/>
      </w:pPr>
      <w:r>
        <w:rPr>
          <w:b w:val="0"/>
          <w:i w:val="0"/>
        </w:rPr>
        <w:t>by Roman V. Yampolskiy</w:t>
      </w:r>
    </w:p>
    <w:p>
      <w:pPr>
        <w:pStyle w:val="ListNumber"/>
      </w:pPr>
      <w:r>
        <w:rPr>
          <w:b/>
          <w:i w:val="0"/>
        </w:rPr>
        <w:t>Section 3</w:t>
      </w:r>
    </w:p>
    <w:p>
      <w:pPr>
        <w:pStyle w:val="ListNumber"/>
      </w:pPr>
      <w:r>
        <w:rPr>
          <w:b/>
          <w:i w:val="0"/>
        </w:rPr>
        <w:t>AI and the Future of Work</w:t>
      </w:r>
    </w:p>
    <w:p>
      <w:pPr>
        <w:pStyle w:val="ListNumber"/>
      </w:pPr>
      <w:r>
        <w:rPr>
          <w:b/>
          <w:i w:val="0"/>
        </w:rPr>
        <w:t>8.  How Will AI Change Work? Here Are Five Schools</w:t>
      </w:r>
      <w:r>
        <w:rPr>
          <w:b w:val="0"/>
          <w:i w:val="0"/>
        </w:rPr>
        <w:t xml:space="preserve"> </w:t>
      </w:r>
      <w:r>
        <w:rPr>
          <w:b/>
          <w:i w:val="0"/>
        </w:rPr>
        <w:t>of Thought</w:t>
      </w:r>
    </w:p>
    <w:p>
      <w:pPr>
        <w:pStyle w:val="ListNumber"/>
      </w:pPr>
      <w:r>
        <w:rPr>
          <w:b w:val="0"/>
          <w:i/>
        </w:rPr>
        <w:t>In some versions, society will fundamentally change.</w:t>
      </w:r>
    </w:p>
    <w:p>
      <w:pPr>
        <w:pStyle w:val="ListNumber"/>
      </w:pPr>
      <w:r>
        <w:rPr>
          <w:b w:val="0"/>
          <w:i w:val="0"/>
        </w:rPr>
        <w:t>by Mark Knickrehm</w:t>
      </w:r>
    </w:p>
    <w:p>
      <w:pPr>
        <w:pStyle w:val="ListNumber"/>
      </w:pPr>
      <w:r>
        <w:rPr>
          <w:b/>
          <w:i w:val="0"/>
        </w:rPr>
        <w:t>9.  Collaborative Intelligence: Humans and AI Are Joining Forces</w:t>
      </w:r>
    </w:p>
    <w:p>
      <w:pPr>
        <w:pStyle w:val="ListNumber"/>
      </w:pPr>
      <w:r>
        <w:rPr>
          <w:b w:val="0"/>
          <w:i/>
        </w:rPr>
        <w:t>Humans and machines can enhance each other’s strengths.</w:t>
      </w:r>
    </w:p>
    <w:p>
      <w:pPr>
        <w:pStyle w:val="ListNumber"/>
      </w:pPr>
      <w:r>
        <w:rPr>
          <w:b w:val="0"/>
          <w:i w:val="0"/>
        </w:rPr>
        <w:t>by H. James Wilson and Paul Daugherty</w:t>
      </w:r>
    </w:p>
    <w:p>
      <w:pPr>
        <w:pStyle w:val="ListNumber"/>
      </w:pPr>
      <w:r>
        <w:rPr>
          <w:b/>
          <w:i w:val="0"/>
        </w:rPr>
        <w:t>Section 4</w:t>
      </w:r>
    </w:p>
    <w:p>
      <w:pPr>
        <w:pStyle w:val="ListNumber"/>
      </w:pPr>
      <w:r>
        <w:rPr>
          <w:b/>
          <w:i w:val="0"/>
        </w:rPr>
        <w:t>The Future of AI</w:t>
      </w:r>
    </w:p>
    <w:p>
      <w:pPr>
        <w:pStyle w:val="ListNumber"/>
      </w:pPr>
      <w:r>
        <w:rPr>
          <w:b/>
          <w:i w:val="0"/>
        </w:rPr>
        <w:t>10.  Three Ways AI Is Getting More Emotional</w:t>
      </w:r>
    </w:p>
    <w:p>
      <w:pPr>
        <w:pStyle w:val="ListNumber"/>
      </w:pPr>
      <w:r>
        <w:rPr>
          <w:b w:val="0"/>
          <w:i/>
        </w:rPr>
        <w:t>As we spend more time with our devices, we emit more data to be analyzed.</w:t>
      </w:r>
    </w:p>
    <w:p>
      <w:pPr>
        <w:pStyle w:val="ListNumber"/>
      </w:pPr>
      <w:r>
        <w:rPr>
          <w:b w:val="0"/>
          <w:i w:val="0"/>
        </w:rPr>
        <w:t>by Sophie Kleber</w:t>
      </w:r>
    </w:p>
    <w:p>
      <w:pPr>
        <w:pStyle w:val="ListNumber"/>
      </w:pPr>
      <w:r>
        <w:rPr>
          <w:b/>
          <w:i w:val="0"/>
        </w:rPr>
        <w:t>11.  How AI Will Change Strategy: A Thought Experiment</w:t>
      </w:r>
    </w:p>
    <w:p>
      <w:pPr>
        <w:pStyle w:val="ListNumber"/>
      </w:pPr>
      <w:r>
        <w:rPr>
          <w:b w:val="0"/>
          <w:i/>
        </w:rPr>
        <w:t>E-commerce could move from shopping-then-shipping to shipping-then-shopping.</w:t>
      </w:r>
    </w:p>
    <w:p>
      <w:pPr>
        <w:pStyle w:val="ListNumber"/>
      </w:pPr>
      <w:r>
        <w:rPr>
          <w:b w:val="0"/>
          <w:i w:val="0"/>
        </w:rPr>
        <w:t>by Ajay Agrawal, Joshua Gans, and Avi Goldfarb</w:t>
      </w:r>
    </w:p>
    <w:p>
      <w:pPr>
        <w:pStyle w:val="ListNumber"/>
      </w:pPr>
      <w:r>
        <w:rPr>
          <w:b/>
          <w:i w:val="0"/>
        </w:rPr>
        <w:t>12.  The Future of AI Will Be About Less Data, Not More</w:t>
      </w:r>
    </w:p>
    <w:p>
      <w:pPr>
        <w:pStyle w:val="ListNumber"/>
      </w:pPr>
      <w:r>
        <w:rPr>
          <w:b w:val="0"/>
          <w:i/>
        </w:rPr>
        <w:t>We need computers with some common sense.</w:t>
      </w:r>
    </w:p>
    <w:p>
      <w:pPr>
        <w:pStyle w:val="ListNumber"/>
      </w:pPr>
      <w:r>
        <w:rPr>
          <w:b w:val="0"/>
          <w:i w:val="0"/>
        </w:rPr>
        <w:t>by H. James Wilson, Paul Daugherty, and Chase Davenport</w:t>
      </w:r>
    </w:p>
    <w:p>
      <w:pPr>
        <w:pStyle w:val="ListNumber"/>
      </w:pPr>
      <w:r>
        <w:rPr>
          <w:b w:val="0"/>
          <w:i w:val="0"/>
        </w:rPr>
        <w:t>About the Contributors</w:t>
      </w:r>
    </w:p>
    <w:p>
      <w:pPr>
        <w:pStyle w:val="ListNumber"/>
      </w:pPr>
      <w:r>
        <w:rPr>
          <w:b w:val="0"/>
          <w:i w:val="0"/>
        </w:rPr>
        <w:t>Index</w:t>
      </w:r>
    </w:p>
    <w:p>
      <w:pPr>
        <w:pStyle w:val="Heading1"/>
      </w:pPr>
      <w:r>
        <w:rPr>
          <w:b/>
          <w:i w:val="0"/>
        </w:rPr>
        <w:t>Introduction</w:t>
      </w:r>
    </w:p>
    <w:p>
      <w:r>
        <w:rPr>
          <w:b/>
          <w:i w:val="0"/>
        </w:rPr>
        <w:t>THE STATE OF AI IN BUSINESS</w:t>
      </w:r>
    </w:p>
    <w:p>
      <w:r>
        <w:rPr>
          <w:b w:val="0"/>
          <w:i w:val="0"/>
        </w:rPr>
        <w:t>by Thomas H. Davenport</w:t>
      </w:r>
    </w:p>
    <w:p>
      <w:r>
        <w:rPr>
          <w:b w:val="0"/>
          <w:i/>
        </w:rPr>
        <w:t>The most important general-purpose technology of our era is artificial intelligence.</w:t>
      </w:r>
      <w:r>
        <w:rPr>
          <w:b w:val="0"/>
          <w:i w:val="0"/>
        </w:rPr>
        <w:t xml:space="preserve"> So Eric Brynjolfsson and Andrew McAfee describe AI in the first article of this book. But even as the significance of AI becomes irrefutable, it remains misunderstood. Executives view AI as a key disruptive technology, employees fear it as a job destroyer, consultants pitch it as a cure-all, and the media hype and deride it endlessly.</w:t>
      </w:r>
    </w:p>
    <w:p>
      <w:r>
        <w:rPr>
          <w:b w:val="0"/>
          <w:i w:val="0"/>
        </w:rPr>
        <w:t>This book will help you tune out all this noise and understand AI’s implications for you and your business. No matter your industry, level, or the size of your company, this collection of some of HBR’s best recent articles on AI will show you where the technology is going.</w:t>
      </w:r>
    </w:p>
    <w:p>
      <w:r>
        <w:rPr>
          <w:b w:val="0"/>
          <w:i w:val="0"/>
        </w:rPr>
        <w:t>Let’s start with an overview of the state of AI in business today and its near-term implications.</w:t>
      </w:r>
    </w:p>
    <w:p>
      <w:pPr>
        <w:pStyle w:val="Heading3"/>
      </w:pPr>
      <w:r>
        <w:rPr>
          <w:b w:val="0"/>
          <w:i w:val="0"/>
        </w:rPr>
        <w:t xml:space="preserve">AI </w:t>
      </w:r>
      <w:r>
        <w:rPr>
          <w:b w:val="0"/>
          <w:i/>
        </w:rPr>
        <w:t>is</w:t>
      </w:r>
      <w:r>
        <w:rPr>
          <w:b w:val="0"/>
          <w:i w:val="0"/>
        </w:rPr>
        <w:t xml:space="preserve"> undoubtedly booming in business—at least in certain segments of it.  In my work, I’ve helped design and analyze surveys suggesting that 25% to 30% of large U.S. companies are pursuing AI, many quite aggressively. Some have hundreds or even thousands of projects underway. The firms using AI most aggressively are large businesses with the most data—online platforms, financial services, telecommunications, and retail. Small- to medium-sized enterprises, business-to-business firms, and those in basic manufacturing industries are less likely to use AI. They typically lack not only the data to succeed with AI, but the expertise and awareness to pursue it effectively. Firms outside the United States are also pursuing AI at a slower pace, although there are aggressive adopters in China, the U.K., Canada, and Singapore.</w:t>
      </w:r>
    </w:p>
    <w:p>
      <w:pPr>
        <w:pStyle w:val="Heading3"/>
      </w:pPr>
      <w:r>
        <w:rPr>
          <w:b w:val="0"/>
          <w:i w:val="0"/>
        </w:rPr>
        <w:t>A variety of different AI technologies are in use.  You need to be aware of which ones do what. As Emma Martinho-Truswell explains in her article, machine learning is perhaps the most important component of AI, but it has multiple variations—ordinary statistical machine learning, neural networks, deep learning neural networks, and so on. Versions of AI also use semantic approaches to understanding language and logic-based rule engines for making simple decisions. Each technology performs a particular set of tasks; deep learning, for example, excels at recognizing images and speech.</w:t>
      </w:r>
    </w:p>
    <w:p>
      <w:pPr>
        <w:pStyle w:val="Heading3"/>
      </w:pPr>
      <w:r>
        <w:rPr>
          <w:b w:val="0"/>
          <w:i w:val="0"/>
        </w:rPr>
        <w:t>AI is being applied for various business purposes.  The most common uses enable us to make better decisions, improve operational processes, and enhance products and services. The first two are an extension of business analytics and typically employ machine learning; product-oriented objectives are common in high-tech firms, automobiles, and advanced manufacturing.</w:t>
      </w:r>
    </w:p>
    <w:p>
      <w:pPr>
        <w:pStyle w:val="Heading3"/>
      </w:pPr>
      <w:r>
        <w:rPr>
          <w:b w:val="0"/>
          <w:i w:val="0"/>
        </w:rPr>
        <w:t>Many large companies are creating infrastructures and processes to manage AI.  More than a third of large U.S. firms report in multiple surveys that they have a strategy in place for AI, have created a center of excellence to facilitate its use, and have identified its champions in the management team. As Vikram Mahidhar and I suggest in our article, late adopters may have difficulty catching up.</w:t>
      </w:r>
    </w:p>
    <w:p>
      <w:pPr>
        <w:pStyle w:val="Heading3"/>
      </w:pPr>
      <w:r>
        <w:rPr>
          <w:b w:val="0"/>
          <w:i w:val="0"/>
        </w:rPr>
        <w:t>Companies are finding success by focusing their AI efforts in certain areas of the organization.  Given the combination of short-term incremental value and long-term opportunity, many companies are tempering expectations about AI while still providing motivation to move forward aggressively with the technology. This is perhaps best accomplished by undertaking several projects focused in a particular area rather than spreading AI projects throughout the organization. Transforming customer service, for example, might include projects involving chatbots, intelligent agents, recommendation engines, and so forth.</w:t>
      </w:r>
    </w:p>
    <w:p>
      <w:pPr>
        <w:pStyle w:val="Heading3"/>
      </w:pPr>
      <w:r>
        <w:rPr>
          <w:b w:val="0"/>
          <w:i w:val="0"/>
        </w:rPr>
        <w:t>AI hasn’t transformed business—yet.  While surveys suggest high expectations for transformation and high percentages of respondents say they have achieved economic returns, there are few examples of sweeping business reinvention thus far, for several reasons:</w:t>
      </w:r>
    </w:p>
    <w:p>
      <w:pPr>
        <w:pStyle w:val="ListBullet"/>
      </w:pPr>
      <w:r>
        <w:rPr>
          <w:b w:val="0"/>
          <w:i w:val="0"/>
        </w:rPr>
        <w:t>It’s still early in the life cycle of AI activity.</w:t>
      </w:r>
    </w:p>
    <w:p>
      <w:pPr>
        <w:pStyle w:val="ListBullet"/>
      </w:pPr>
      <w:r>
        <w:rPr>
          <w:b w:val="0"/>
          <w:i w:val="0"/>
        </w:rPr>
        <w:t>Not every company has data that’s suited for AI, as Ajay Agrawal, Joshua Gans, and Avi Goldfarb explain in their article (although H. James Wilson, Paul Daugherty, and my son Chase Davenport suggest in their article that data requirements for effective AI may lessen in the future).</w:t>
      </w:r>
    </w:p>
    <w:p>
      <w:pPr>
        <w:pStyle w:val="ListBullet"/>
      </w:pPr>
      <w:r>
        <w:rPr>
          <w:b w:val="0"/>
          <w:i w:val="0"/>
        </w:rPr>
        <w:t>Companies are undertaking pilots with AI rather than production deployments, as Andrew Ng recommends in his piece.</w:t>
      </w:r>
    </w:p>
    <w:p>
      <w:pPr>
        <w:pStyle w:val="ListBullet"/>
      </w:pPr>
      <w:r>
        <w:rPr>
          <w:b w:val="0"/>
          <w:i w:val="0"/>
        </w:rPr>
        <w:t>AI tends to be a narrow technology that supports particular tasks, not entire jobs or processes.</w:t>
      </w:r>
    </w:p>
    <w:p>
      <w:pPr>
        <w:pStyle w:val="ListBullet"/>
      </w:pPr>
      <w:r>
        <w:rPr>
          <w:b w:val="0"/>
          <w:i w:val="0"/>
        </w:rPr>
        <w:t>Highly ambitious moon-shot projects, such as treating cancer, enabling autonomous vehicles, and powering drone deliveries, have been unsuccessful or slow to arrive.</w:t>
      </w:r>
    </w:p>
    <w:p>
      <w:r>
        <w:rPr>
          <w:b w:val="0"/>
          <w:i w:val="0"/>
        </w:rPr>
        <w:t>Even at data powerhouses like Amazon, most AI activity has involved projects that “quietly but meaningfully improve core operations,” according to CEO Jeff Bezos in his 2017 letter to shareholders. It’s an evolutionary set of improvements that will eventually add up to revolution.</w:t>
      </w:r>
    </w:p>
    <w:p>
      <w:pPr>
        <w:pStyle w:val="Heading3"/>
      </w:pPr>
      <w:r>
        <w:rPr>
          <w:b w:val="0"/>
          <w:i w:val="0"/>
        </w:rPr>
        <w:t>AI’s overall impact on employment isn’t certain, but jobs will clearly change.  Some observers have predicted dire levels of AI-driven unemployment. Thus far—as Wilson and Daugherty discuss in their article on “collaborative intelligence”—augmentation of human work by smart machines has been far more common than large-scale automation. Therefore, according to Mark Knickrehm, organizations need to begin preparing employees to work alongside smart machines and add value to their efforts.</w:t>
      </w:r>
    </w:p>
    <w:p>
      <w:pPr>
        <w:pStyle w:val="Heading3"/>
      </w:pPr>
      <w:r>
        <w:rPr>
          <w:b w:val="0"/>
          <w:i w:val="0"/>
        </w:rPr>
        <w:t>Implementing AI raises ethical questions.  Other articles in the book, including one by Roman Yampolskiy, suggest that it’s not too early to consider the ethical concerns around AI. Algorithmic bias and lack of transparency are two critical issues that AI exacerbates. These powerful technologies have powerful implications for the workplace and the broader society.</w:t>
      </w:r>
    </w:p>
    <w:p>
      <w:r>
        <w:rPr>
          <w:b w:val="0"/>
          <w:i w:val="0"/>
        </w:rPr>
        <w:t>With these fundamentals covered, it’s time to dive into the articles. To best understand how AI will impact your company’s situation, consider these questions as you read:</w:t>
      </w:r>
    </w:p>
    <w:p>
      <w:pPr>
        <w:pStyle w:val="ListBullet"/>
      </w:pPr>
      <w:r>
        <w:rPr>
          <w:b w:val="0"/>
          <w:i w:val="0"/>
        </w:rPr>
        <w:t>Which particular AI technologies have the greatest potential benefit to your organization?</w:t>
      </w:r>
    </w:p>
    <w:p>
      <w:pPr>
        <w:pStyle w:val="ListBullet"/>
      </w:pPr>
      <w:r>
        <w:rPr>
          <w:b w:val="0"/>
          <w:i w:val="0"/>
        </w:rPr>
        <w:t>How might those technologies enable new strategies, business models, or business process designs?</w:t>
      </w:r>
    </w:p>
    <w:p>
      <w:pPr>
        <w:pStyle w:val="ListBullet"/>
      </w:pPr>
      <w:r>
        <w:rPr>
          <w:b w:val="0"/>
          <w:i w:val="0"/>
        </w:rPr>
        <w:t>What data resources do you have—or might you obtain—in order to power AI projects?</w:t>
      </w:r>
    </w:p>
    <w:p>
      <w:pPr>
        <w:pStyle w:val="ListBullet"/>
      </w:pPr>
      <w:r>
        <w:rPr>
          <w:b w:val="0"/>
          <w:i w:val="0"/>
        </w:rPr>
        <w:t>How do you anticipate that AI will impact your workforce, and how can you begin to prepare employees to augment AI capabilities?</w:t>
      </w:r>
    </w:p>
    <w:p>
      <w:r>
        <w:rPr>
          <w:b w:val="0"/>
          <w:i w:val="0"/>
        </w:rPr>
        <w:t>If you and your organization haven’t already confronted these questions, let this book spark conversations. Think about how the right AI initiative could help your division perform better or make you more efficient at your own job. Simply asking the questions may be the first step in starting your company down the path of transformation.</w:t>
      </w:r>
    </w:p>
    <w:p>
      <w:r>
        <w:rPr>
          <w:b w:val="0"/>
          <w:i w:val="0"/>
        </w:rPr>
        <w:t>As a professor and a consultant on information technology and business, I’ve spent the past several decades watching AI alternate from spring blooms to winter doldrums. This time is different. AI is deeply ensconced in business and is starting to bring about exciting change. Now, it appears that winter will not return.</w:t>
      </w:r>
    </w:p>
    <w:p>
      <w:pPr>
        <w:pStyle w:val="Heading1"/>
      </w:pPr>
      <w:r>
        <w:rPr>
          <w:b/>
          <w:i w:val="0"/>
        </w:rPr>
        <w:t>Section 1</w:t>
      </w:r>
    </w:p>
    <w:p>
      <w:pPr>
        <w:pStyle w:val="Heading1"/>
      </w:pPr>
      <w:r>
        <w:rPr>
          <w:b/>
          <w:i w:val="0"/>
        </w:rPr>
        <w:t>UNDERSTANDING AI AND MACHINE LEARNING</w:t>
      </w:r>
    </w:p>
    <w:p>
      <w:pPr>
        <w:pStyle w:val="Heading1"/>
      </w:pPr>
      <w:r>
        <w:rPr>
          <w:b/>
          <w:i w:val="0"/>
        </w:rPr>
        <w:t>1</w:t>
      </w:r>
    </w:p>
    <w:p>
      <w:pPr>
        <w:pStyle w:val="Heading1"/>
      </w:pPr>
      <w:r>
        <w:rPr>
          <w:b/>
          <w:i w:val="0"/>
        </w:rPr>
        <w:t>THE BUSINESS OF ARTIFICIAL INTELLIGENCE</w:t>
      </w:r>
    </w:p>
    <w:p>
      <w:r>
        <w:rPr>
          <w:b w:val="0"/>
          <w:i w:val="0"/>
        </w:rPr>
        <w:t>by Erik Brynjolfsson and Andrew McAfee</w:t>
      </w:r>
    </w:p>
    <w:p>
      <w:r>
        <w:rPr>
          <w:b w:val="0"/>
          <w:i w:val="0"/>
        </w:rPr>
        <w:t>For more than 250 years the fundamental drivers of economic growth have been technological innovations. The most important of these are what economists call general-purpose technologies—a category that includes the steam engine, electricity, and the internal combustion engine. Each one catalyzed waves of complementary innovations and opportunities. The internal combustion engine, for example, gave rise to cars, trucks, airplanes, chain saws, and lawnmowers, along with big-box retailers, shopping centers, cross-docking warehouses, new supply chains, and, when you think about it, suburbs. Companies as diverse as Walmart, UPS, and Uber found ways to leverage the technology to create profitable new business models.</w:t>
      </w:r>
    </w:p>
    <w:p>
      <w:r>
        <w:rPr>
          <w:b w:val="0"/>
          <w:i w:val="0"/>
        </w:rPr>
        <w:t>The most important general-purpose technology of our era is artificial intelligence, particularly machine learning (ML)—that is, the machine’s ability to keep improving its performance without humans having to explain exactly how to accomplish all the tasks it’s given. Within just the past few years machine learning has become far more effective and widely available. We can now build systems that learn how to perform tasks on their own.</w:t>
      </w:r>
    </w:p>
    <w:p>
      <w:r>
        <w:rPr>
          <w:b w:val="0"/>
          <w:i w:val="0"/>
        </w:rPr>
        <w:t>Why is this such a big deal? Two reasons. First, we humans know more than we can tell: We can’t explain exactly how we’re able to do a lot of things—from recognizing a face to making a smart move in the ancient Asian strategy game of Go. Prior to ML, this inability to articulate our own knowledge meant that we couldn’t automate many tasks. Now we can.</w:t>
      </w:r>
    </w:p>
    <w:p>
      <w:r>
        <w:rPr>
          <w:b w:val="0"/>
          <w:i w:val="0"/>
        </w:rPr>
        <w:t>Second, ML systems are often excellent learners. They can achieve superhuman performance in a wide range of activities, including detecting fraud and diagnosing disease. Excellent digital learners are being deployed across the economy, and their impact will be profound.</w:t>
      </w:r>
    </w:p>
    <w:p>
      <w:r>
        <w:rPr>
          <w:b w:val="0"/>
          <w:i w:val="0"/>
        </w:rPr>
        <w:t>In the sphere of business, AI is poised to have a transformational impact, on the scale of earlier general-purpose technologies. Although it is already in use in thousands of companies around the world, most big opportunities have not yet been tapped. The effects of AI will be magnified in the coming decade, as manufacturing, retailing, transportation, finance, health care, law, advertising, insurance, entertainment, education, and virtually every other industry transform their core processes and business models to take advantage of machine learning. The bottleneck now is in management, implementation, and business imagination.</w:t>
      </w:r>
    </w:p>
    <w:p>
      <w:r>
        <w:rPr>
          <w:b w:val="0"/>
          <w:i w:val="0"/>
        </w:rPr>
        <w:t>Like so many other new technologies, however, AI has generated lots of unrealistic expectations. We see business plans liberally sprinkled with references to machine learning, neural nets, and other forms of the technology, with little connection to its real capabilities. Simply calling a dating site “AI-powered,” for example, doesn’t make it any more effective, but it might help with fund-raising. This article will cut through the noise to describe the real potential of AI, its practical implications, and the barriers to its adoption.</w:t>
      </w:r>
    </w:p>
    <w:p>
      <w:pPr>
        <w:pStyle w:val="Heading2"/>
      </w:pPr>
      <w:r>
        <w:rPr>
          <w:b/>
          <w:i w:val="0"/>
        </w:rPr>
        <w:t>What Can AI Do Today?</w:t>
      </w:r>
    </w:p>
    <w:p>
      <w:r>
        <w:rPr>
          <w:b w:val="0"/>
          <w:i w:val="0"/>
        </w:rPr>
        <w:t xml:space="preserve">The term </w:t>
      </w:r>
      <w:r>
        <w:rPr>
          <w:b w:val="0"/>
          <w:i/>
        </w:rPr>
        <w:t>artificial intelligence</w:t>
      </w:r>
      <w:r>
        <w:rPr>
          <w:b w:val="0"/>
          <w:i w:val="0"/>
        </w:rPr>
        <w:t xml:space="preserve"> was coined in 1955 by John McCarthy, a math professor at Dartmouth who organized the seminal conference on the topic the following year. Ever since, perhaps in part because of its evocative name, the field has given rise to more than its share of fantastic claims and promises. In 1957 the economist Herbert Simon predicted that computers would beat humans at chess within 10 years. (It took 40.) In 1967 the cognitive scientist Marvin Minsky said, “Within a generation the problem of creating ‘artificial intelligence’ will be substantially solved.” Simon and Minsky were both intellectual giants, but they erred badly. Thus it’s understandable that dramatic claims about future breakthroughs meet with a certain amount of skepticism.</w:t>
      </w:r>
    </w:p>
    <w:p>
      <w:r>
        <w:rPr>
          <w:b w:val="0"/>
          <w:i w:val="0"/>
        </w:rPr>
        <w:t>Let’s start by exploring what AI is already doing and how quickly it is improving. The biggest advances have been in two broad areas: perception and cognition. In the former category some of the most practical advances have been made in relation to speech. Voice recognition is still far from perfect, but millions of people are now using it—think Siri, Alexa, and Google Assistant. The text you are now reading was originally dictated to a computer and transcribed with sufficient accuracy to make it faster than typing. A study by the Stanford computer scientist James Landay and colleagues found that speech recognition is now about three times as fast, on average, as typing on a cell phone. The error rate, once 8.5%, has dropped to 4.9%. What’s striking is that this substantial improvement has come not over the past 10 years but just since the summer of 2016.</w:t>
      </w:r>
    </w:p>
    <w:p>
      <w:r>
        <w:rPr>
          <w:b w:val="0"/>
          <w:i w:val="0"/>
        </w:rPr>
        <w:t>Image recognition, too, has improved dramatically. You may have noticed that Facebook and other apps now recognize many of your friends’ faces in posted photos and prompt you to tag them with their names. An app running on your smartphone will recognize virtually any bird in the wild. Image recognition is even replacing ID cards at corporate headquarters. Vision systems, such as those used in self-driving cars, formerly made a mistake when identifying a pedestrian as often as once in 30 frames (the cameras in these systems record about 30 frames a second); now they err less often than once in 30 million frames. The error rate for recognizing images from a large database called ImageNet, with several million photographs of common, obscure, or downright weird images, fell from higher than 30% in 2010 to about 4% in 2016 for the best systems. (See figure 1-1.)</w:t>
      </w:r>
    </w:p>
    <w:p>
      <w:r>
        <w:rPr>
          <w:b/>
          <w:i w:val="0"/>
        </w:rPr>
        <w:t>FIGURE 1-1</w:t>
      </w:r>
    </w:p>
    <w:p>
      <w:r>
        <w:rPr>
          <w:b/>
          <w:i w:val="0"/>
        </w:rPr>
        <w:t>Machines have made real strides in distinguishing among similar-looking categories of images</w:t>
      </w:r>
    </w:p>
    <w:p>
      <w:pPr>
        <w:jc w:val="center"/>
      </w:pPr>
      <w:r>
        <w:drawing>
          <wp:inline xmlns:a="http://schemas.openxmlformats.org/drawingml/2006/main" xmlns:pic="http://schemas.openxmlformats.org/drawingml/2006/picture">
            <wp:extent cx="6680200" cy="6375400"/>
            <wp:docPr id="33" name="Picture 33"/>
            <wp:cNvGraphicFramePr>
              <a:graphicFrameLocks noChangeAspect="1"/>
            </wp:cNvGraphicFramePr>
            <a:graphic>
              <a:graphicData uri="http://schemas.openxmlformats.org/drawingml/2006/picture">
                <pic:pic>
                  <pic:nvPicPr>
                    <pic:cNvPr id="0" name="epub_img_1119324207900730133.jpg"/>
                    <pic:cNvPicPr/>
                  </pic:nvPicPr>
                  <pic:blipFill>
                    <a:blip r:embed="rId29"/>
                    <a:stretch>
                      <a:fillRect/>
                    </a:stretch>
                  </pic:blipFill>
                  <pic:spPr>
                    <a:xfrm>
                      <a:off x="0" y="0"/>
                      <a:ext cx="6680200" cy="6375400"/>
                    </a:xfrm>
                    <a:prstGeom prst="rect"/>
                  </pic:spPr>
                </pic:pic>
              </a:graphicData>
            </a:graphic>
          </wp:inline>
        </w:drawing>
      </w:r>
    </w:p>
    <w:p>
      <w:r>
        <w:rPr>
          <w:b w:val="0"/>
          <w:i/>
        </w:rPr>
        <w:t>Source:</w:t>
      </w:r>
      <w:r>
        <w:rPr>
          <w:b w:val="0"/>
          <w:i w:val="0"/>
        </w:rPr>
        <w:t xml:space="preserve"> Electronic Frontier Foundation</w:t>
      </w:r>
    </w:p>
    <w:p>
      <w:r>
        <w:rPr>
          <w:b w:val="0"/>
          <w:i w:val="0"/>
        </w:rPr>
        <w:t>The speed of improvement has accelerated rapidly in recent years as a new approach, based on very large or “deep” neural nets, was adopted. The ML approach for vision systems is still far from flawless—but even people have trouble quickly recognizing puppies’ faces or, more embarrassingly, see their cute faces where none exist.</w:t>
      </w:r>
    </w:p>
    <w:p>
      <w:r>
        <w:rPr>
          <w:b w:val="0"/>
          <w:i w:val="0"/>
        </w:rPr>
        <w:t>The second type of major improvement has been in cognition and problem solving. Machines have already beaten the finest (human) players of poker and Go—achievements that experts had predicted would take at least another decade. Google’s DeepMind team has used ML systems to improve the cooling efficiency at data centers by more than 15%, even after they were optimized by human experts. Intelligent agents are being used by the cybersecurity company Deep Instinct to detect malware, and by PayPal to prevent money laundering. A system using IBM technology automates the claims process at an insurance company in Singapore, and a system from Lumidatum, a data science platform firm, offers timely advice to improve customer support. Dozens of companies are using ML to decide which trades to execute on Wall Street, and more and more credit decisions are made with its help. Amazon employs ML to optimize inventory and improve product recommendations to customers. Infinite Analytics developed one ML system to predict whether a user would click on a particular ad, improving online ad placement for a global consumer packaged goods company, and another to improve customers’ search and discovery process at a Brazilian online retailer. The first system increased advertising ROI threefold, and the second resulted in a $125 million increase in annual revenue.</w:t>
      </w:r>
    </w:p>
    <w:p>
      <w:r>
        <w:rPr>
          <w:b w:val="0"/>
          <w:i w:val="0"/>
        </w:rPr>
        <w:t>Machine learning systems are not only replacing older algorithms in many applications, but are now superior at many tasks that were once done best by humans. Although the systems are far from perfect, their error rate—about 5%—on the ImageNet database is at or better than human-level performance. Voice recognition, too, even in noisy environments, is now nearly equal to human performance. Reaching this threshold opens up vast new possibilities for transforming the workplace and the economy. Once AI-based systems surpass human performance at a given task, they are much likelier to spread quickly. For instance, Aptonomy and Sanbot, makers respectively of drones and robots, are using improved vision systems to automate much of the work of security guards. The software company Affectiva, among others, is using them to recognize emotions such as joy, surprise, and anger in focus groups. And Enlitic is one of several deep-learning startups that use them to scan medical images to help diagnose cancer.</w:t>
      </w:r>
    </w:p>
    <w:p>
      <w:r>
        <w:rPr>
          <w:b w:val="0"/>
          <w:i w:val="0"/>
        </w:rPr>
        <w:t>These are impressive achievements, but the applicability of AI-based systems is still quite narrow. For instance, their remarkable performance on the ImageNet database, even with its millions of images, doesn’t always translate into similar success “in the wild,” where lighting conditions, angles, image resolution, and context may be very different. More fundamentally, we can marvel at a system that understands Chinese speech and translates it into English, but we don’t expect such a system to know what a particular Chinese character means—let alone where to eat in Beijing. If someone performs a task well, it’s natural to assume that the person has some competence in related tasks. But ML systems are trained to do specific tasks, and typically their knowledge does not generalize. The fallacy that a computer’s narrow understanding implies broader understanding is perhaps the biggest source of confusion, and exaggerated claims, about AI’s progress. We are far from machines that exhibit general intelligence across diverse domains.</w:t>
      </w:r>
    </w:p>
    <w:p>
      <w:pPr>
        <w:pStyle w:val="Heading2"/>
      </w:pPr>
      <w:r>
        <w:rPr>
          <w:b/>
          <w:i w:val="0"/>
        </w:rPr>
        <w:t>Understanding Machine Learning</w:t>
      </w:r>
    </w:p>
    <w:p>
      <w:r>
        <w:rPr>
          <w:b w:val="0"/>
          <w:i w:val="0"/>
        </w:rPr>
        <w:t>The most important thing to understand about ML is that it represents a fundamentally different approach to creating software: The machine learns from examples, rather than being explicitly programmed for a particular outcome. This is an important break from previous practice. For most of the past 50 years, advances in information technology and its applications have focused on codifying existing knowledge and procedures and embedding them in machines. Indeed, the term “coding” denotes the painstaking process of transferring knowledge from developers’ heads into a form that machines can understand and execute. This approach has a fundamental weakness: Much of the knowledge we all have is tacit, meaning that we can’t fully explain it. It’s nearly impossible for us to write down instructions that would enable another person to learn how to ride a bike or to recognize a friend’s face.</w:t>
      </w:r>
    </w:p>
    <w:p>
      <w:r>
        <w:rPr>
          <w:b w:val="0"/>
          <w:i w:val="0"/>
        </w:rPr>
        <w:t>In other words, we all know more than we can tell. This fact is so important that it has a name: Polanyi’s Paradox, for the philosopher and polymath Michael Polanyi, who described it in 1964. Polanyi’s Paradox not only limits what we can tell one another but has historically placed a fundamental restriction on our ability to endow machines with intelligence. For a long time that limited the activities that machines could productively perform in the economy.</w:t>
      </w:r>
    </w:p>
    <w:p>
      <w:r>
        <w:rPr>
          <w:b w:val="0"/>
          <w:i w:val="0"/>
        </w:rPr>
        <w:t>Machine learning is overcoming those limits. In this second wave of the second machine age, machines built by humans are learning from examples and using structured feedback to solve on their own problems such as Polanyi’s classic one of recognizing a face.</w:t>
      </w:r>
    </w:p>
    <w:p>
      <w:pPr>
        <w:pStyle w:val="Heading2"/>
      </w:pPr>
      <w:r>
        <w:rPr>
          <w:b/>
          <w:i w:val="0"/>
        </w:rPr>
        <w:t>Different Flavors of Machine Learning</w:t>
      </w:r>
    </w:p>
    <w:p>
      <w:r>
        <w:rPr>
          <w:b w:val="0"/>
          <w:i w:val="0"/>
        </w:rPr>
        <w:t>Artificial intelligence and machine learning come in many flavors, but most of the successes in recent years have been in one category: supervised learning systems, in which the machine is given lots of examples of the correct answer to a particular problem. This process almost always involves mapping from a set of inputs, X, to a set of outputs, Y. For instance, the inputs might be pictures of various animals, and the correct outputs might be labels for those animals: dog, cat, horse. The inputs could also be waveforms from a sound recording and the outputs could be words: “yes,” “no,” “hello,” “good-bye.” (See table 1-1.)</w:t>
      </w:r>
    </w:p>
    <w:p>
      <w:r>
        <w:rPr>
          <w:b/>
          <w:i w:val="0"/>
        </w:rPr>
        <w:t>TABLE 1-1</w:t>
      </w:r>
    </w:p>
    <w:p>
      <w:r>
        <w:rPr>
          <w:b/>
          <w:i w:val="0"/>
        </w:rPr>
        <w:t>Supervised learning systems</w:t>
      </w:r>
    </w:p>
    <w:p>
      <w:r>
        <w:rPr>
          <w:b w:val="0"/>
          <w:i/>
        </w:rPr>
        <w:t>As two pioneers in the field, Tom Mitchell and Michael I. Jordan, have noted, most of the recent progress in machine learning involves mapping from a set of inputs to a set of outputs. Some examples: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Input X</w:t>
            </w:r>
          </w:p>
        </w:tc>
        <w:tc>
          <w:tcPr>
            <w:tcW w:type="dxa" w:w="1728"/>
          </w:tcPr>
          <w:p>
            <w:r/>
          </w:p>
        </w:tc>
        <w:tc>
          <w:tcPr>
            <w:tcW w:type="dxa" w:w="1728"/>
          </w:tcPr>
          <w:p>
            <w:r>
              <w:t>Output Y</w:t>
            </w:r>
          </w:p>
        </w:tc>
        <w:tc>
          <w:tcPr>
            <w:tcW w:type="dxa" w:w="1728"/>
          </w:tcPr>
          <w:p>
            <w:r/>
          </w:p>
        </w:tc>
        <w:tc>
          <w:tcPr>
            <w:tcW w:type="dxa" w:w="1728"/>
          </w:tcPr>
          <w:p>
            <w:r>
              <w:t>Application</w:t>
            </w:r>
          </w:p>
        </w:tc>
      </w:tr>
      <w:tr>
        <w:tc>
          <w:tcPr>
            <w:tcW w:type="dxa" w:w="1728"/>
          </w:tcPr>
          <w:p>
            <w:r>
              <w:t>Voice recording</w:t>
            </w:r>
          </w:p>
        </w:tc>
        <w:tc>
          <w:tcPr>
            <w:tcW w:type="dxa" w:w="1728"/>
          </w:tcPr>
          <w:p>
            <w:r/>
          </w:p>
        </w:tc>
        <w:tc>
          <w:tcPr>
            <w:tcW w:type="dxa" w:w="1728"/>
          </w:tcPr>
          <w:p>
            <w:r>
              <w:t>Transcript</w:t>
            </w:r>
          </w:p>
        </w:tc>
        <w:tc>
          <w:tcPr>
            <w:tcW w:type="dxa" w:w="1728"/>
          </w:tcPr>
          <w:p>
            <w:r/>
          </w:p>
        </w:tc>
        <w:tc>
          <w:tcPr>
            <w:tcW w:type="dxa" w:w="1728"/>
          </w:tcPr>
          <w:p>
            <w:r>
              <w:t>Speech recognition</w:t>
            </w:r>
          </w:p>
        </w:tc>
      </w:tr>
      <w:tr>
        <w:tc>
          <w:tcPr>
            <w:tcW w:type="dxa" w:w="1728"/>
          </w:tcPr>
          <w:p>
            <w:r>
              <w:t>Historical market data</w:t>
            </w:r>
          </w:p>
        </w:tc>
        <w:tc>
          <w:tcPr>
            <w:tcW w:type="dxa" w:w="1728"/>
          </w:tcPr>
          <w:p>
            <w:r/>
          </w:p>
        </w:tc>
        <w:tc>
          <w:tcPr>
            <w:tcW w:type="dxa" w:w="1728"/>
          </w:tcPr>
          <w:p>
            <w:r>
              <w:t>Future market data</w:t>
            </w:r>
          </w:p>
        </w:tc>
        <w:tc>
          <w:tcPr>
            <w:tcW w:type="dxa" w:w="1728"/>
          </w:tcPr>
          <w:p>
            <w:r/>
          </w:p>
        </w:tc>
        <w:tc>
          <w:tcPr>
            <w:tcW w:type="dxa" w:w="1728"/>
          </w:tcPr>
          <w:p>
            <w:r>
              <w:t>Trading bots</w:t>
            </w:r>
          </w:p>
        </w:tc>
      </w:tr>
      <w:tr>
        <w:tc>
          <w:tcPr>
            <w:tcW w:type="dxa" w:w="1728"/>
          </w:tcPr>
          <w:p>
            <w:r>
              <w:t>Photograph</w:t>
            </w:r>
          </w:p>
        </w:tc>
        <w:tc>
          <w:tcPr>
            <w:tcW w:type="dxa" w:w="1728"/>
          </w:tcPr>
          <w:p>
            <w:r/>
          </w:p>
        </w:tc>
        <w:tc>
          <w:tcPr>
            <w:tcW w:type="dxa" w:w="1728"/>
          </w:tcPr>
          <w:p>
            <w:r>
              <w:t>Caption</w:t>
            </w:r>
          </w:p>
        </w:tc>
        <w:tc>
          <w:tcPr>
            <w:tcW w:type="dxa" w:w="1728"/>
          </w:tcPr>
          <w:p>
            <w:r/>
          </w:p>
        </w:tc>
        <w:tc>
          <w:tcPr>
            <w:tcW w:type="dxa" w:w="1728"/>
          </w:tcPr>
          <w:p>
            <w:r>
              <w:t>Image tagging</w:t>
            </w:r>
          </w:p>
        </w:tc>
      </w:tr>
      <w:tr>
        <w:tc>
          <w:tcPr>
            <w:tcW w:type="dxa" w:w="1728"/>
          </w:tcPr>
          <w:p>
            <w:r>
              <w:t>Drug chemical properties</w:t>
            </w:r>
          </w:p>
        </w:tc>
        <w:tc>
          <w:tcPr>
            <w:tcW w:type="dxa" w:w="1728"/>
          </w:tcPr>
          <w:p>
            <w:r/>
          </w:p>
        </w:tc>
        <w:tc>
          <w:tcPr>
            <w:tcW w:type="dxa" w:w="1728"/>
          </w:tcPr>
          <w:p>
            <w:r>
              <w:t>Treatment efficacy</w:t>
            </w:r>
          </w:p>
        </w:tc>
        <w:tc>
          <w:tcPr>
            <w:tcW w:type="dxa" w:w="1728"/>
          </w:tcPr>
          <w:p>
            <w:r/>
          </w:p>
        </w:tc>
        <w:tc>
          <w:tcPr>
            <w:tcW w:type="dxa" w:w="1728"/>
          </w:tcPr>
          <w:p>
            <w:r>
              <w:t>Pharma R&amp;D</w:t>
            </w:r>
          </w:p>
        </w:tc>
      </w:tr>
      <w:tr>
        <w:tc>
          <w:tcPr>
            <w:tcW w:type="dxa" w:w="1728"/>
          </w:tcPr>
          <w:p>
            <w:r>
              <w:t>Store transaction details</w:t>
            </w:r>
          </w:p>
        </w:tc>
        <w:tc>
          <w:tcPr>
            <w:tcW w:type="dxa" w:w="1728"/>
          </w:tcPr>
          <w:p>
            <w:r/>
          </w:p>
        </w:tc>
        <w:tc>
          <w:tcPr>
            <w:tcW w:type="dxa" w:w="1728"/>
          </w:tcPr>
          <w:p>
            <w:r>
              <w:t>Is the transaction fraudulent?</w:t>
            </w:r>
          </w:p>
        </w:tc>
        <w:tc>
          <w:tcPr>
            <w:tcW w:type="dxa" w:w="1728"/>
          </w:tcPr>
          <w:p>
            <w:r/>
          </w:p>
        </w:tc>
        <w:tc>
          <w:tcPr>
            <w:tcW w:type="dxa" w:w="1728"/>
          </w:tcPr>
          <w:p>
            <w:r>
              <w:t>Fraud detection</w:t>
            </w:r>
          </w:p>
        </w:tc>
      </w:tr>
      <w:tr>
        <w:tc>
          <w:tcPr>
            <w:tcW w:type="dxa" w:w="1728"/>
          </w:tcPr>
          <w:p>
            <w:r>
              <w:t>Recipe ingredients</w:t>
            </w:r>
          </w:p>
        </w:tc>
        <w:tc>
          <w:tcPr>
            <w:tcW w:type="dxa" w:w="1728"/>
          </w:tcPr>
          <w:p>
            <w:r/>
          </w:p>
        </w:tc>
        <w:tc>
          <w:tcPr>
            <w:tcW w:type="dxa" w:w="1728"/>
          </w:tcPr>
          <w:p>
            <w:r>
              <w:t>Customer reviews</w:t>
            </w:r>
          </w:p>
        </w:tc>
        <w:tc>
          <w:tcPr>
            <w:tcW w:type="dxa" w:w="1728"/>
          </w:tcPr>
          <w:p>
            <w:r/>
          </w:p>
        </w:tc>
        <w:tc>
          <w:tcPr>
            <w:tcW w:type="dxa" w:w="1728"/>
          </w:tcPr>
          <w:p>
            <w:r>
              <w:t>Food recommendations</w:t>
            </w:r>
          </w:p>
        </w:tc>
      </w:tr>
      <w:tr>
        <w:tc>
          <w:tcPr>
            <w:tcW w:type="dxa" w:w="1728"/>
          </w:tcPr>
          <w:p>
            <w:r>
              <w:t>Purchase histories</w:t>
            </w:r>
          </w:p>
        </w:tc>
        <w:tc>
          <w:tcPr>
            <w:tcW w:type="dxa" w:w="1728"/>
          </w:tcPr>
          <w:p>
            <w:r/>
          </w:p>
        </w:tc>
        <w:tc>
          <w:tcPr>
            <w:tcW w:type="dxa" w:w="1728"/>
          </w:tcPr>
          <w:p>
            <w:r>
              <w:t>Future purchase behavior</w:t>
            </w:r>
          </w:p>
        </w:tc>
        <w:tc>
          <w:tcPr>
            <w:tcW w:type="dxa" w:w="1728"/>
          </w:tcPr>
          <w:p>
            <w:r/>
          </w:p>
        </w:tc>
        <w:tc>
          <w:tcPr>
            <w:tcW w:type="dxa" w:w="1728"/>
          </w:tcPr>
          <w:p>
            <w:r>
              <w:t>Customer retention</w:t>
            </w:r>
          </w:p>
        </w:tc>
      </w:tr>
      <w:tr>
        <w:tc>
          <w:tcPr>
            <w:tcW w:type="dxa" w:w="1728"/>
          </w:tcPr>
          <w:p>
            <w:r>
              <w:t>Car locations and speed</w:t>
            </w:r>
          </w:p>
        </w:tc>
        <w:tc>
          <w:tcPr>
            <w:tcW w:type="dxa" w:w="1728"/>
          </w:tcPr>
          <w:p>
            <w:r/>
          </w:p>
        </w:tc>
        <w:tc>
          <w:tcPr>
            <w:tcW w:type="dxa" w:w="1728"/>
          </w:tcPr>
          <w:p>
            <w:r>
              <w:t>Traffic flow</w:t>
            </w:r>
          </w:p>
        </w:tc>
        <w:tc>
          <w:tcPr>
            <w:tcW w:type="dxa" w:w="1728"/>
          </w:tcPr>
          <w:p>
            <w:r/>
          </w:p>
        </w:tc>
        <w:tc>
          <w:tcPr>
            <w:tcW w:type="dxa" w:w="1728"/>
          </w:tcPr>
          <w:p>
            <w:r>
              <w:t>Traffic lights</w:t>
            </w:r>
          </w:p>
        </w:tc>
      </w:tr>
      <w:tr>
        <w:tc>
          <w:tcPr>
            <w:tcW w:type="dxa" w:w="1728"/>
          </w:tcPr>
          <w:p>
            <w:r>
              <w:t>Faces</w:t>
            </w:r>
          </w:p>
        </w:tc>
        <w:tc>
          <w:tcPr>
            <w:tcW w:type="dxa" w:w="1728"/>
          </w:tcPr>
          <w:p>
            <w:r/>
          </w:p>
        </w:tc>
        <w:tc>
          <w:tcPr>
            <w:tcW w:type="dxa" w:w="1728"/>
          </w:tcPr>
          <w:p>
            <w:r>
              <w:t>Names</w:t>
            </w:r>
          </w:p>
        </w:tc>
        <w:tc>
          <w:tcPr>
            <w:tcW w:type="dxa" w:w="1728"/>
          </w:tcPr>
          <w:p>
            <w:r/>
          </w:p>
        </w:tc>
        <w:tc>
          <w:tcPr>
            <w:tcW w:type="dxa" w:w="1728"/>
          </w:tcPr>
          <w:p>
            <w:r>
              <w:t>Face recognition</w:t>
            </w:r>
          </w:p>
        </w:tc>
      </w:tr>
    </w:tbl>
    <w:p>
      <w:r>
        <w:rPr>
          <w:b w:val="0"/>
          <w:i w:val="0"/>
        </w:rPr>
        <w:t>Successful systems often use a training set of data with thousands or even millions of examples, each of which has been labeled with the correct answer. The system can then be let loose to look at new examples. If the training has gone well, the system will predict answers with a high rate of accuracy.</w:t>
      </w:r>
    </w:p>
    <w:p>
      <w:r>
        <w:rPr>
          <w:b w:val="0"/>
          <w:i w:val="0"/>
        </w:rPr>
        <w:t xml:space="preserve">The algorithms that have driven much of this success depend on an approach called </w:t>
      </w:r>
      <w:r>
        <w:rPr>
          <w:b w:val="0"/>
          <w:i/>
        </w:rPr>
        <w:t>deep learning</w:t>
      </w:r>
      <w:r>
        <w:rPr>
          <w:b w:val="0"/>
          <w:i w:val="0"/>
        </w:rPr>
        <w:t>, which uses neural networks. Deep learning algorithms have a significant advantage over earlier generations of ML algorithms: They can make better use of much larger data sets. The old systems would improve as the number of examples in the training data grew, but only up to a point, after which additional data didn’t lead to better predictions. According to Andrew Ng, one of the giants of the field, deep neural nets don’t seem to level off in this way: More data leads to better and better predictions. Some very large systems are trained by using 36 million examples or more. Of course, working with extremely large data sets requires more and more processing power, which is one reason the very big systems are often run on supercomputers or specialized computer architectures.</w:t>
      </w:r>
    </w:p>
    <w:p>
      <w:r>
        <w:rPr>
          <w:b w:val="0"/>
          <w:i w:val="0"/>
        </w:rPr>
        <w:t>Any situation in which you have a lot of data on behavior and are trying to predict an outcome is a potential application for supervised learning systems. Jeff Wilke, who leads Amazon’s consumer business, says that supervised learning systems have largely replaced the memory-based filtering algorithms that were used to make personalized recommendations to customers. In other cases, classic algorithms for setting inventory levels and optimizing supply chains have been replaced by more efficient and robust systems based on machine learning. JPMorgan Chase introduced a system for reviewing commercial loan contracts; work that used to take loan officers 360,000 hours can now be done in a few seconds. And supervised learning systems are now being used to diagnose skin cancer. These are just a few examples.</w:t>
      </w:r>
    </w:p>
    <w:p>
      <w:r>
        <w:rPr>
          <w:b w:val="0"/>
          <w:i w:val="0"/>
        </w:rPr>
        <w:t xml:space="preserve">It’s comparatively straightforward to label a body of data and use it to train a supervised learner; that’s why supervised ML systems are more common than </w:t>
      </w:r>
      <w:r>
        <w:rPr>
          <w:b w:val="0"/>
          <w:i/>
        </w:rPr>
        <w:t>un</w:t>
      </w:r>
      <w:r>
        <w:rPr>
          <w:b w:val="0"/>
          <w:i w:val="0"/>
        </w:rPr>
        <w:t>supervised ones, at least for now. Unsupervised learning systems seek to learn on their own. We humans are excellent unsupervised learners: We pick up most of our knowledge of the world (such as how to recognize a tree) with little or no labeled data. But it is exceedingly difficult to develop a successful machine learning system that works this way.</w:t>
      </w:r>
    </w:p>
    <w:p>
      <w:r>
        <w:rPr>
          <w:b w:val="0"/>
          <w:i w:val="0"/>
        </w:rPr>
        <w:t>If and when we learn to build robust unsupervised learners, exciting possibilities will open up. These machines could look at complex problems in fresh ways to help us discover patterns—in the spread of diseases, in price moves across securities in a market, in customers’ purchase behaviors, and so on—that we are currently unaware of. Such possibilities lead Yann LeCun, the head of AI research at Facebook and a professor at NYU, to compare supervised learning systems to the frosting on the cake and unsupervised learning to the cake itself.</w:t>
      </w:r>
    </w:p>
    <w:p>
      <w:r>
        <w:rPr>
          <w:b w:val="0"/>
          <w:i w:val="0"/>
        </w:rPr>
        <w:t xml:space="preserve">Another small but growing area within the field is </w:t>
      </w:r>
      <w:r>
        <w:rPr>
          <w:b w:val="0"/>
          <w:i/>
        </w:rPr>
        <w:t>reinforcement learning</w:t>
      </w:r>
      <w:r>
        <w:rPr>
          <w:b w:val="0"/>
          <w:i w:val="0"/>
        </w:rPr>
        <w:t>. This approach is embedded in systems that have mastered Atari video games and board games like Go. It is also helping to optimize data center power usage and to develop trading strategies for the stock market. Robots created by Kindred use machine learning to identify and sort objects they’ve never encountered before, speeding up the “pick and place” process in distribution centers for consumer goods. In reinforcement learning systems the programmer specifies the current state of the system and the goal, lists allowable actions, and describes the elements of the environment that constrain the outcomes for each of those actions. Using the allowable actions, the system has to figure out how to get as close to the goal as possible. These systems work well when humans can specify the goal but not necessarily how to get there. For instance, Microsoft used reinforcement learning to select headlines for MSN.com news stories by “rewarding” the system with a higher score when more visitors clicked on the link. The system tried to maximize its score on the basis of the rules its designers gave it. Of course, this means that a reinforcement learning system will optimize for the goal you explicitly reward, not necessarily the goal you really care about (such as lifetime customer value), so specifying the goal correctly and clearly is critical.</w:t>
      </w:r>
    </w:p>
    <w:p>
      <w:pPr>
        <w:pStyle w:val="Heading2"/>
      </w:pPr>
      <w:r>
        <w:rPr>
          <w:b/>
          <w:i w:val="0"/>
        </w:rPr>
        <w:t>Putting Machine Learning to Work</w:t>
      </w:r>
    </w:p>
    <w:p>
      <w:r>
        <w:rPr>
          <w:b w:val="0"/>
          <w:i w:val="0"/>
        </w:rPr>
        <w:t>There are three pieces of good news for organizations looking to put ML to use today. First, AI skills are spreading quickly. The world still has not nearly enough data scientists and machine learning experts, but the demand for them is being met by online educational resources as well as by universities. The best of these, including Udacity, Coursera, and fast.ai, do much more than teach introductory concepts; they can actually get smart, motivated students to the point of being able to create industrial-grade ML deployments. In addition to training their own people, interested companies can use online talent platforms such as Upwork, Topcoder, and Kaggle to find ML experts with verifiable expertise.</w:t>
      </w:r>
    </w:p>
    <w:p>
      <w:r>
        <w:rPr>
          <w:b w:val="0"/>
          <w:i w:val="0"/>
        </w:rPr>
        <w:t>The second welcome development is that the necessary algorithms and hardware for modern AI can be bought or rented as needed. Google, Amazon, Microsoft, Salesforce, and other companies are making powerful ML infrastructure available via the cloud. The cutthroat competition among these rivals means that companies that want to experiment with or deploy ML will see more and more capabilities available at ever-lower prices over time.</w:t>
      </w:r>
    </w:p>
    <w:p>
      <w:r>
        <w:rPr>
          <w:b w:val="0"/>
          <w:i w:val="0"/>
        </w:rPr>
        <w:t>The final piece of good news, and probably the most underappreciated, is that you may not need all that much data to start making productive use of ML. The performance of most machine learning systems improves as they’re given more data to work with, so it seems logical to conclude that the company with the most data will win. That might be the case if “win” means “dominate the global market for a single application such as ad targeting or speech recognition.” But if success is defined instead as significantly improving performance, then sufficient data is often surprisingly easy to obtain.</w:t>
      </w:r>
    </w:p>
    <w:p>
      <w:r>
        <w:rPr>
          <w:b w:val="0"/>
          <w:i w:val="0"/>
        </w:rPr>
        <w:t>For example, Udacity cofounder Sebastian Thrun noticed that some of his salespeople were much more effective than others when replying to inbound queries in a chat room. Thrun and his graduate student Zayd Enam realized that their chat room logs were essentially a set of labeled training data—exactly what a supervised learning system needs. Interactions that led to a sale were labeled successes, and all others were labeled failures. Zayd used the data to predict what answers successful salespeople were likely to give in response to certain very common inquiries and then shared those predictions with the other salespeople to nudge them toward better performance. After 1,000 training cycles, the salespeople had increased their effectiveness by 54% and were able to serve twice as many customers at a time.</w:t>
      </w:r>
    </w:p>
    <w:p>
      <w:r>
        <w:rPr>
          <w:b w:val="0"/>
          <w:i w:val="0"/>
        </w:rPr>
        <w:t>The AI startup WorkFusion takes a similar approach. It works with companies to bring higher levels of automation to back-office processes such as paying international invoices and settling large trades between financial institutions. The reason these processes haven’t been automated yet is that they’re complicated; relevant information isn’t always presented the same way every time (“How do we know what currency they’re talking about?”), and some interpretation and judgment are necessary. WorkFusion’s software watches in the background as people do their work and uses their actions as training data for the cognitive task of classification (“This invoice is in dollars. This one is in yen. This one is in euros …”). Once the system is confident enough in its classifications, it takes over the process.</w:t>
      </w:r>
    </w:p>
    <w:p>
      <w:r>
        <w:rPr>
          <w:b w:val="0"/>
          <w:i w:val="0"/>
        </w:rPr>
        <w:t>Machine learning is driving changes at three levels: tasks and occupations, business processes, and business models. An example of task-and-occupation redesign is the use of machine vision systems to identify potential cancer cells—freeing up radiologists to focus on truly critical cases, to communicate with patients, and to coordinate with other physicians. An example of process redesign is the reinvention of the workflow and layout of Amazon fulfillment centers after the introduction of robots and optimization algorithms based on machine learning. Similarly, business models need to be rethought to take advantage of ML systems that can intelligently recommend music or movies in a personalized way. Instead of selling songs à la carte on the basis of consumer choices, a better model might offer a subscription to a personalized station that predicted and played music a particular customer would like, even if the person had never heard it before.</w:t>
      </w:r>
    </w:p>
    <w:p>
      <w:r>
        <w:rPr>
          <w:b w:val="0"/>
          <w:i w:val="0"/>
        </w:rPr>
        <w:t>Note that machine learning systems hardly ever replace the entire job, process, or business model. Most often they complement human activities, which can make their work ever more valuable. The most effective rule for the new division of labor is rarely, if ever, “give all tasks to the machine.” Instead, if the successful completion of a process requires 10 steps, one or two of them may become automated while the rest become more valuable for humans to do. For instance, the chat room sales support system at Udacity didn’t try to build a bot that could take over all the conversations; rather, it advised human salespeople about how to improve their performance. The humans remained in charge but became vastly more effective and efficient. This approach is usually much more feasible than trying to design machines that can do everything humans can do. It often leads to better, more satisfying work for the people involved and ultimately to a better outcome for customers.</w:t>
      </w:r>
    </w:p>
    <w:p>
      <w:r>
        <w:rPr>
          <w:b w:val="0"/>
          <w:i w:val="0"/>
        </w:rPr>
        <w:t>Designing and implementing new combinations of technologies, human skills, and capital assets to meet customers’ needs requires large-scale creativity and planning. It is a task that machines are not very good at. That makes being an entrepreneur or a business manager one of society’s most rewarding jobs in the age of ML.</w:t>
      </w:r>
    </w:p>
    <w:p>
      <w:pPr>
        <w:pStyle w:val="Heading2"/>
      </w:pPr>
      <w:r>
        <w:rPr>
          <w:b/>
          <w:i w:val="0"/>
        </w:rPr>
        <w:t>Risks and Limits</w:t>
      </w:r>
    </w:p>
    <w:p>
      <w:r>
        <w:rPr>
          <w:b w:val="0"/>
          <w:i w:val="0"/>
        </w:rPr>
        <w:t>The second wave of the second machine age brings with it new risks. In particular, machine learning systems often have low “interpretability,” meaning that humans have difficulty figuring out how the systems reached their decisions. Deep neural networks may have hundreds of millions of connections, each of which contributes a small amount to the ultimate decision. As a result, these systems’ predictions tend to resist simple, clear explanation. Unlike humans, machines are not (yet!) good storytellers. They can’t always give a rationale for why a particular applicant was accepted or rejected for a job, or a particular medicine was recommended. Ironically, even as we have begun to overcome Polanyi’s Paradox, we’re facing a kind of reverse version: Machines know more than they can tell us.</w:t>
      </w:r>
    </w:p>
    <w:p>
      <w:r>
        <w:rPr>
          <w:b w:val="0"/>
          <w:i w:val="0"/>
        </w:rPr>
        <w:t>This creates three risks. First, the machines may have hidden biases, derived not from any intent of the designer but from the data provided to train the system. For instance, if a system learns which job applicants to accept for an interview by using a data set of decisions made by human recruiters in the past, it may inadvertently learn to perpetuate their racial, gender, ethnic, or other biases. Moreover, these biases may not appear as an explicit rule but, rather, be embedded in subtle interactions among the thousands of factors considered.</w:t>
      </w:r>
    </w:p>
    <w:p>
      <w:r>
        <w:rPr>
          <w:b w:val="0"/>
          <w:i w:val="0"/>
        </w:rPr>
        <w:t>A second risk is that, unlike traditional systems built on explicit logic rules, neural network systems deal with statistical truths rather than literal truths. That can make it difficult, if not impossible, to prove with complete certainty that the system will work in all cases—especially in situations that weren’t represented in the training data. Lack of verifiability can be a concern in mission-critical applications, such as controlling a nuclear power plant, or when life-or-death decisions are involved.</w:t>
      </w:r>
    </w:p>
    <w:p>
      <w:r>
        <w:rPr>
          <w:b w:val="0"/>
          <w:i w:val="0"/>
        </w:rPr>
        <w:t>Third, when the ML system does make errors, as it almost inevitably will, diagnosing and correcting exactly what’s going wrong can be difficult. The underlying structure that led to the solution can be unimaginably complex, and the solution may be far from optimal if the conditions under which the system was trained change.</w:t>
      </w:r>
    </w:p>
    <w:p>
      <w:r>
        <w:rPr>
          <w:b w:val="0"/>
          <w:i w:val="0"/>
        </w:rPr>
        <w:t>While all these risks are very real, the appropriate benchmark is not perfection but the best available alternative. After all, we humans, too, have biases, make mistakes, and have trouble explaining truthfully how we arrived at a particular decision. The advantage of machine-based systems is that they can be improved over time and will give consistent answers when presented with the same data.</w:t>
      </w:r>
    </w:p>
    <w:p>
      <w:r>
        <w:rPr>
          <w:b w:val="0"/>
          <w:i w:val="0"/>
        </w:rPr>
        <w:t xml:space="preserve">Does that mean there is no limit to what artificial intelligence and machine learning can do? Perception and cognition cover a great deal of territory—from driving a car to forecasting sales to deciding whom to hire or promote. We believe the chances are excellent that AI will soon reach superhuman levels of performance in most or all of these areas. So what </w:t>
      </w:r>
      <w:r>
        <w:rPr>
          <w:b w:val="0"/>
          <w:i/>
        </w:rPr>
        <w:t>won’t</w:t>
      </w:r>
      <w:r>
        <w:rPr>
          <w:b w:val="0"/>
          <w:i w:val="0"/>
        </w:rPr>
        <w:t xml:space="preserve"> AI and ML be able to do?</w:t>
      </w:r>
    </w:p>
    <w:p>
      <w:r>
        <w:rPr>
          <w:b w:val="0"/>
          <w:i w:val="0"/>
        </w:rPr>
        <w:t>We sometimes hear “Artificial intelligence will never be good at assessing emotional, crafty, sly, inconsistent human beings—it’s too rigid and impersonal for that.” We don’t agree. ML systems like those at Affectiva are already at or beyond human-level performance in discerning a person’s emotional state on the basis of tone of voice or facial expression. Other systems can infer when even the world’s best poker players are bluffing well enough to beat them at the amazingly complex game Heads-Up No-Limit Texas Hold’em. Reading people accurately is subtle work, but it’s not magic. It requires perception and cognition—exactly the areas in which ML is currently strong and getting stronger all the time.</w:t>
      </w:r>
    </w:p>
    <w:p>
      <w:r>
        <w:rPr>
          <w:b w:val="0"/>
          <w:i w:val="0"/>
        </w:rPr>
        <w:t>A great place to start a discussion of the limits of AI is with Pablo Picasso’s observation about computers: “But they are useless. They can only give you answers.” They’re actually far from useless, as ML’s recent triumphs show, but Picasso’s observation still provides insight. Computers are devices for answering questions, not for posing them. That means entrepreneurs, innovators, scientists, creators, and other kinds of people who figure out what problem or opportunity to tackle next, or what new territory to explore, will continue to be essential.</w:t>
      </w:r>
    </w:p>
    <w:p>
      <w:r>
        <w:rPr>
          <w:b w:val="0"/>
          <w:i w:val="0"/>
        </w:rPr>
        <w:t>Similarly, there’s a huge difference between passively assessing someone’s mental state or morale and actively working to change it. ML systems are getting quite good at the former but remain well behind us at the latter. We humans are a deeply social species; other humans, not machines, are best at tapping into social drives such as compassion, pride, solidarity, and shame in order to persuade, motivate, and inspire. In 2014 the TED Conference and the XPRIZE Foundation announced an award for “the first artificial intelligence to come to this stage and give a TED Talk compelling enough to win a standing ovation from the audience.” We doubt the award will be claimed anytime soon.</w:t>
      </w:r>
    </w:p>
    <w:p>
      <w:r>
        <w:rPr>
          <w:b w:val="0"/>
          <w:i w:val="0"/>
        </w:rPr>
        <w:t>We think the biggest and most important opportunities for human smarts in this new age of superpowerful ML lie at the intersection of two areas: figuring out what problems to work on next, and persuading a lot of people to tackle them and go along with the solutions. This is a decent definition of leadership, which is becoming much more important in the second machine age.</w:t>
      </w:r>
    </w:p>
    <w:p>
      <w:r>
        <w:rPr>
          <w:b w:val="0"/>
          <w:i w:val="0"/>
        </w:rPr>
        <w:t>The status quo of dividing up work between minds and machines is falling apart very quickly. Companies that stick with it are going to find themselves at an ever-greater competitive disadvantage compared with rivals who are willing and able to put ML to use in all the places where it is appropriate and who can figure out how to effectively integrate its capabilities with humanity’s.</w:t>
      </w:r>
    </w:p>
    <w:p>
      <w:r>
        <w:rPr>
          <w:b w:val="0"/>
          <w:i w:val="0"/>
        </w:rPr>
        <w:t>A time of tectonic change in the business world has begun, brought on by technological progress. As was the case with steam power and electricity, it’s not access to the new technologies themselves, or even to the best technologists, that separates winners from losers. Instead, it’s innovators who are open-minded enough to see past the status quo and envision very different approaches, and savvy enough to put them into place. One of machine learning’s greatest legacies may well be the creation of a new generation of business leaders.</w:t>
      </w:r>
    </w:p>
    <w:p>
      <w:r>
        <w:rPr>
          <w:b w:val="0"/>
          <w:i w:val="0"/>
        </w:rPr>
        <w:t>In our view, artificial intelligence, especially machine learning, is the most important general-purpose technology of our era. The impact of these innovations on business and the economy will be reflected not only in their direct contributions but also in their ability to enable and inspire complementary innovations. New products and processes are being made possible by better vision systems, speech recognition, intelligent problem solving, and many other capabilities that machine learning delivers.</w:t>
      </w:r>
    </w:p>
    <w:p>
      <w:r>
        <w:rPr>
          <w:b w:val="0"/>
          <w:i w:val="0"/>
        </w:rPr>
        <w:t>Some experts have gone even further. Gil Pratt, who now heads the Toyota Research Institute, has compared the current wave of AI technology to the Cambrian explosion 500 million years ago that birthed a tremendous variety of new life forms. Then as now, one of the key new capabilities was vision. When animals first gained this capability, it allowed them to explore the environment far more effectively; that catalyzed an enormous increase in the number of species, both predators and prey, and in the range of ecological niches that were filled. Today as well we expect to see a variety of new products, services, processes, and organizational forms and also numerous extinctions. There will certainly be some weird failures along with unexpected successes.</w:t>
      </w:r>
    </w:p>
    <w:p>
      <w:r>
        <w:rPr>
          <w:b w:val="0"/>
          <w:i w:val="0"/>
        </w:rPr>
        <w:t>Although it is hard to predict exactly which companies will dominate in the new environment, a general principle is clear: The most nimble and adaptable companies and executives will thrive. Organizations that can rapidly sense and respond to opportunities will seize the advantage in the AI-enabled landscape. So the successful strategy is to be willing to experiment and learn quickly. If managers aren’t ramping up experiments in the area of machine learning, they aren’t doing their job. Over the next decade, AI won’t replace managers, but managers who use AI will replace those who don’t.</w:t>
      </w:r>
    </w:p>
    <w:p>
      <w:r>
        <w:rPr>
          <w:b/>
          <w:i w:val="0"/>
        </w:rPr>
        <w:t>TAKEAWAYS</w:t>
      </w:r>
    </w:p>
    <w:p>
      <w:r>
        <w:rPr>
          <w:b w:val="0"/>
          <w:i w:val="0"/>
        </w:rPr>
        <w:t>The most important new general-purpose technology is artificial intelligence, particularly machine learning. ML systems are replacing older algorithms in many applications and are now superior at many tasks previously done best by humans.</w:t>
      </w:r>
    </w:p>
    <w:p>
      <w:pPr>
        <w:pStyle w:val="ListBullet"/>
      </w:pPr>
      <w:r>
        <w:rPr>
          <w:b w:val="0"/>
          <w:i w:val="0"/>
        </w:rPr>
        <w:t>Machine learning is fundamentally different from the software that preceded it: The machine learns from examples, rather than being explicitly programmed for a particular outcome.</w:t>
      </w:r>
    </w:p>
    <w:p>
      <w:pPr>
        <w:pStyle w:val="ListBullet"/>
      </w:pPr>
      <w:r>
        <w:rPr>
          <w:b w:val="0"/>
          <w:i w:val="0"/>
        </w:rPr>
        <w:t>Organizations looking to put ML to use should be aware that AI skills are spreading quickly; the necessary algorithms and hardware for modern AI can be bought or rented as needed; and they may not need much data to start using ML productively.</w:t>
      </w:r>
    </w:p>
    <w:p>
      <w:pPr>
        <w:pStyle w:val="ListBullet"/>
      </w:pPr>
      <w:r>
        <w:rPr>
          <w:b w:val="0"/>
          <w:i w:val="0"/>
        </w:rPr>
        <w:t>ML systems have low “interpretability,” meaning that humans have difficulty figuring out how the systems reach their decisions. This creates three risks: The machines may have hidden biases; it is often impossible to prove that an ML system will work in all mission-critical situations; and when the ML system does make errors, diagnosing the problem and correcting it can be difficult.</w:t>
      </w:r>
    </w:p>
    <w:p>
      <w:pPr>
        <w:pStyle w:val="ListBullet"/>
      </w:pPr>
      <w:r>
        <w:rPr>
          <w:b w:val="0"/>
          <w:i w:val="0"/>
        </w:rPr>
        <w:t>Companies that continue to divide up work between minds and machines will increasingly lose their competitive advantage to rivals that effectively integrate AI’s capabilities with human capabilities.</w:t>
      </w:r>
    </w:p>
    <w:p>
      <w:r>
        <w:rPr>
          <w:b w:val="0"/>
          <w:i/>
        </w:rPr>
        <w:t>Adapted from content posted on hbr.org, August 7, 2017 (product #BG1704).</w:t>
      </w:r>
    </w:p>
    <w:p>
      <w:pPr>
        <w:pStyle w:val="Heading1"/>
      </w:pPr>
      <w:r>
        <w:rPr>
          <w:b/>
          <w:i w:val="0"/>
        </w:rPr>
        <w:t>2</w:t>
      </w:r>
    </w:p>
    <w:p>
      <w:pPr>
        <w:pStyle w:val="Heading1"/>
      </w:pPr>
      <w:r>
        <w:rPr>
          <w:b/>
          <w:i w:val="0"/>
        </w:rPr>
        <w:t>INSIDE FACEBOOK’S AI WORKSHOP</w:t>
      </w:r>
    </w:p>
    <w:p>
      <w:r>
        <w:rPr>
          <w:b w:val="0"/>
          <w:i w:val="0"/>
        </w:rPr>
        <w:t>An interview with Joaquin Candela by Scott Berinato</w:t>
      </w:r>
    </w:p>
    <w:p>
      <w:r>
        <w:rPr>
          <w:b w:val="0"/>
          <w:i w:val="0"/>
        </w:rPr>
        <w:t>Within Facebook’s cavernous Building 20, about halfway between the lobby (panoramic views of the Ravenswood Slough) and the kitchen (hot breakfast, smoothies, gourmet coffee), in a small conference room called Lollapalooza, Joaquin Candela is trying to explain artificial intelligence to a layperson.</w:t>
      </w:r>
    </w:p>
    <w:p>
      <w:r>
        <w:rPr>
          <w:b w:val="0"/>
          <w:i w:val="0"/>
        </w:rPr>
        <w:t>Candela—bald, compact, thoughtful—runs Facebook’s Applied Machine Learning (AML) group, the engine room of AI at Facebook, which increasingly makes it the engine room of Facebook in general. After some verbal searching, he finally says:</w:t>
      </w:r>
    </w:p>
    <w:p>
      <w:pPr>
        <w:pStyle w:val="Quote"/>
      </w:pPr>
      <w:r>
        <w:rPr>
          <w:b w:val="0"/>
          <w:i w:val="0"/>
        </w:rPr>
        <w:br/>
      </w:r>
      <w:r>
        <w:rPr>
          <w:b w:val="0"/>
          <w:i/>
        </w:rPr>
        <w:t>Look, a machine learning algorithm really is a lookup table, right? Where the key is the input, like an image, and the value is the label for the input, like “a horse.” I have a bunch of examples of something. Pictures of horses. I give the algorithm as many as I can. “This is a horse. This is a horse. This isn’t a horse. This is a horse.” And the algorithm keeps those in a table. Then, if a new example comes along—or if I tell it to watch for new examples—well, the algorithm just goes and looks at all those examples we fed it. Which rows in the table look similar? And how similar? It’s trying to decide, “Is this new thing a horse? I think so.” If it’s right, the image gets put in the “This is a horse” group, and if it’s wrong, it gets put in the “This isn’t a horse” group. Next time, it has more data to look up.</w:t>
      </w:r>
      <w:r>
        <w:rPr>
          <w:b w:val="0"/>
          <w:i w:val="0"/>
        </w:rPr>
        <w:br/>
      </w:r>
      <w:r>
        <w:rPr>
          <w:b w:val="0"/>
          <w:i/>
        </w:rPr>
        <w:t>One challenge is how do we decide how similar a new picture is to the ones stored in the table. One aspect of machine learning is to learn similarity functions. Another challenge is, What happens when your table grows really large? For every new image, you would need to make a zillion comparisons … So another aspect of machine learning is to approximate a large stored table with a function instead of going through every image. The function knows how to roughly estimate what the corresponding value should be. That’s the essence of machine learning—to approximate a gigantic table with a function. This is what learning is about.</w:t>
      </w:r>
      <w:r>
        <w:rPr>
          <w:b w:val="0"/>
          <w:i w:val="0"/>
        </w:rPr>
        <w:br/>
      </w:r>
    </w:p>
    <w:p>
      <w:r>
        <w:rPr>
          <w:b w:val="0"/>
          <w:i w:val="0"/>
        </w:rPr>
        <w:t>There’s more to it than that, obviously, but it’s a good starting point when talking about AI because it makes it sound real, almost boring. Mechanical. So much of the conversation around AI is awash in mystical descriptions of its power and in reverence for its near-magic capabilities. Candela doesn’t like that and tries to use more-prosaic terms. It’s powerful, yes, but not magical. It has limitations. During presentations, he’s fond of showing a slide with a wizard and a factory, telling audiences that Facebook thinks of AI like the latter, because “wizards don’t scale.”</w:t>
      </w:r>
    </w:p>
    <w:p>
      <w:r>
        <w:rPr>
          <w:b w:val="0"/>
          <w:i w:val="0"/>
        </w:rPr>
        <w:t>And that’s what Facebook has done with AI and machine learning: scaled it at a breakneck pace. A few years ago the company’s machine learning group numbered just a few and needed days to run an experiment. Now, Candela says, several hundred employees run thousands of experiments a day. AI is woven so intricately into the platform that it would be impossible to separate the products—your feed, your chat, your kid’s finsta—from the algorithms. Nearly everything users see and do is informed by AI and machine learning.</w:t>
      </w:r>
    </w:p>
    <w:p>
      <w:r>
        <w:rPr>
          <w:b w:val="0"/>
          <w:i w:val="0"/>
        </w:rPr>
        <w:t>Understanding how and why Facebook has so fully embraced AI can help any organization that’s ready to invest in an algorithmic future. It would be easy to assume that Facebook, with all its resources, would simply get the best talent and write the best algorithms—game over. But Candela took a different approach. Certainly the talent is strong, and the algorithms are good. Some of them are designed to “see” images or automatically filter them. Some understand conversations and can respond to them. Some translate between languages. Some try to predict what you’ll like and buy.</w:t>
      </w:r>
    </w:p>
    <w:p>
      <w:r>
        <w:rPr>
          <w:b w:val="0"/>
          <w:i w:val="0"/>
        </w:rPr>
        <w:t>But in some ways the algorithms are not his main focus. Instead, he’s been busy creating an AI workshop in which anyone in the company can use AI to achieve a goal. Basically, Candela built an AI platform for the platform. Whether you’re a deeply knowledgeable programmer or a complete newbie, you can take advantage of his wares.</w:t>
      </w:r>
    </w:p>
    <w:p>
      <w:r>
        <w:rPr>
          <w:b w:val="0"/>
          <w:i w:val="0"/>
        </w:rPr>
        <w:t>Here’s how he did it and what you can learn from it.</w:t>
      </w:r>
    </w:p>
    <w:p>
      <w:pPr>
        <w:pStyle w:val="Heading2"/>
      </w:pPr>
      <w:r>
        <w:rPr>
          <w:b/>
          <w:i w:val="0"/>
        </w:rPr>
        <w:t>Soyuz</w:t>
      </w:r>
    </w:p>
    <w:p>
      <w:r>
        <w:rPr>
          <w:b w:val="0"/>
          <w:i w:val="0"/>
        </w:rPr>
        <w:t>Candela, a veteran of Microsoft Research, arrived at Facebook in 2012 to work in the company’s ads business. He and a handful of staffers inherited a ranking algorithm for better targeting users with ads.</w:t>
      </w:r>
    </w:p>
    <w:p>
      <w:r>
        <w:rPr>
          <w:b w:val="0"/>
          <w:i w:val="0"/>
        </w:rPr>
        <w:t>Candela describes the machine learning code he inherited as “robust but not the latest.” More than once he compares it to Soyuz, the 1960s Soviet spacecraft. Basic but reliable. Gets the job done even if it’s not the newest, best thing. “It’ll get you up there and down. But it’s not the latest covnet [convolutional neural net] of the month.”</w:t>
      </w:r>
    </w:p>
    <w:p>
      <w:r>
        <w:rPr>
          <w:b w:val="0"/>
          <w:i w:val="0"/>
        </w:rPr>
        <w:t>You might assume, then, that the first thing Candela set out to do was to upgrade the algorithm. Get rid of Soyuz in favor of a space plane. It wasn’t. “To get more value, I can do three things,” he says. “I can improve the algorithm itself, make it more sophisticated. I can throw more and better data at the algorithm so that the existing code produces better results. And I can change the speed of experimentation to get more results faster.</w:t>
      </w:r>
    </w:p>
    <w:p>
      <w:r>
        <w:rPr>
          <w:b w:val="0"/>
          <w:i w:val="0"/>
        </w:rPr>
        <w:t>“We focused on data and speed, not on a better algorithm.”</w:t>
      </w:r>
    </w:p>
    <w:p>
      <w:r>
        <w:rPr>
          <w:b w:val="0"/>
          <w:i w:val="0"/>
        </w:rPr>
        <w:t>Candela describes this decision as “dramatic” and “hard.” Computer scientists, especially academic-minded ones, are rewarded for inventing new algorithms or improving existing ones. A better statistical model is the goal. Getting cited in a journal is validation. Wowing your peers gives you cred.</w:t>
      </w:r>
    </w:p>
    <w:p>
      <w:r>
        <w:rPr>
          <w:b w:val="0"/>
          <w:i w:val="0"/>
        </w:rPr>
        <w:t>It requires a shift in thinking to get those engineers to focus on business impact before optimal statistical model. He thinks many companies are making the mistake of structuring their efforts around building the best algorithms, or hiring developers who claim to have the best algorithms, because that’s how many AI developers think.</w:t>
      </w:r>
    </w:p>
    <w:p>
      <w:r>
        <w:rPr>
          <w:b w:val="0"/>
          <w:i w:val="0"/>
        </w:rPr>
        <w:t>But for a company, a good algorithm that improves the business is more valuable than vanguard statistical models. In truth, Candela says, real algorithmic breakthroughs are few and far between—two or three a year at best. If his team focused its energies there, it would take lots of effort to make marginal gains.</w:t>
      </w:r>
    </w:p>
    <w:p>
      <w:r>
        <w:rPr>
          <w:b w:val="0"/>
          <w:i w:val="0"/>
        </w:rPr>
        <w:t>He hammers these points home constantly: Figure out the impact on the business first. Know what you’re solving for. Know what business challenge you need to address. “You might look for the shiniest algorithm or the people who are telling you they have the most advanced algorithm. And you really should be looking for people who are most obsessed with getting any algorithm to do a job. That’s kind of a profound thing that I think is lost in a lot of the conversation. I had a conversation with our resident machine learning geek at our office, and we were just talking about different people doing AI. He said, ‘Nobody really thinks their algorithms are very good or whatever.’ It makes me think, maybe that’s fine.</w:t>
      </w:r>
    </w:p>
    <w:p>
      <w:r>
        <w:rPr>
          <w:b w:val="0"/>
          <w:i w:val="0"/>
        </w:rPr>
        <w:t>“I’m not saying don’t work on the algorithm at all. I’m saying that focusing on giving it more data and better data, and then experimenting faster, makes a lot more sense.”</w:t>
      </w:r>
    </w:p>
    <w:p>
      <w:r>
        <w:rPr>
          <w:b w:val="0"/>
          <w:i w:val="0"/>
        </w:rPr>
        <w:t>So rather than defining success as building the best natural language processing algorithm, he defines it as deploying one that will help users find a restaurant when they ask their friends, “Where can I get a good bite around here?” Instead of being thrilled that some computer vision algorithm is nearing pixel-perfect object recognition, he gets excited if that AI is good enough to notice that you post a lot of pictures of the beach and can help you buy a swimsuit.</w:t>
      </w:r>
    </w:p>
    <w:p>
      <w:r>
        <w:rPr>
          <w:b w:val="0"/>
          <w:i w:val="0"/>
        </w:rPr>
        <w:t>The strategy worked when he started at Facebook. Ad revenues rose. Candela’s profile rose. It was suggested that AML become a centralized function for all of Facebook. Candela said no. Twice. “I was concerned about the ‘If you build it, they will come’ phenomenon.” Just creating bits of artificial intelligence in the hope that people would see the value and adopt it wouldn’t work.</w:t>
      </w:r>
    </w:p>
    <w:p>
      <w:r>
        <w:rPr>
          <w:b w:val="0"/>
          <w:i w:val="0"/>
        </w:rPr>
        <w:t>But he did pick his spots. He collaborated with the feeds team while saying no to many other groups. Then he worked with the Messenger team. His team grew and took on more projects with other teams.</w:t>
      </w:r>
    </w:p>
    <w:p>
      <w:r>
        <w:rPr>
          <w:b w:val="0"/>
          <w:i w:val="0"/>
        </w:rPr>
        <w:t>By 2015 Candela could see that his group would need to centralize, so he turned his attention to how he’d build such an operation. He was still worried about the “build it and they will come” phenomenon, so he focused less on how his team would be structured and more on how the group would connect to the rest of Facebook. “You build a factory that makes amazing widgets, and you forget to design the loading docks into your factory?” He laughs. “Well, enjoy your widgets.”</w:t>
      </w:r>
    </w:p>
    <w:p>
      <w:r>
        <w:rPr>
          <w:b w:val="0"/>
          <w:i w:val="0"/>
        </w:rPr>
        <w:t>Only then, about three years in, did Candela think about upgrading some of his algorithms. (Incidentally, even today, the emergency escape spacecraft attached to the International Space Station is a Soyuz.)</w:t>
      </w:r>
    </w:p>
    <w:p>
      <w:pPr>
        <w:pStyle w:val="Heading2"/>
      </w:pPr>
      <w:r>
        <w:rPr>
          <w:b/>
          <w:i w:val="0"/>
        </w:rPr>
        <w:t>H2</w:t>
      </w:r>
    </w:p>
    <w:p>
      <w:r>
        <w:rPr>
          <w:b w:val="0"/>
          <w:i w:val="0"/>
        </w:rPr>
        <w:t>Candela goes to a whiteboard to describe how he built his AI factory inside Facebook. The key, he says, was figuring out where on the product development path AI fits. He draws something like the graph in figure 2-1.</w:t>
      </w:r>
    </w:p>
    <w:p>
      <w:r>
        <w:rPr>
          <w:b/>
          <w:i w:val="0"/>
        </w:rPr>
        <w:t>FIGURE 2-1</w:t>
      </w:r>
    </w:p>
    <w:p>
      <w:r>
        <w:rPr>
          <w:b/>
          <w:i w:val="0"/>
        </w:rPr>
        <w:t>Where AI fits in at Facebook</w:t>
      </w:r>
    </w:p>
    <w:p>
      <w:pPr>
        <w:jc w:val="center"/>
      </w:pPr>
      <w:r>
        <w:drawing>
          <wp:inline xmlns:a="http://schemas.openxmlformats.org/drawingml/2006/main" xmlns:pic="http://schemas.openxmlformats.org/drawingml/2006/picture">
            <wp:extent cx="6680200" cy="3746500"/>
            <wp:docPr id="34" name="Picture 34"/>
            <wp:cNvGraphicFramePr>
              <a:graphicFrameLocks noChangeAspect="1"/>
            </wp:cNvGraphicFramePr>
            <a:graphic>
              <a:graphicData uri="http://schemas.openxmlformats.org/drawingml/2006/picture">
                <pic:pic>
                  <pic:nvPicPr>
                    <pic:cNvPr id="0" name="epub_img_3988564065708009416.jpg"/>
                    <pic:cNvPicPr/>
                  </pic:nvPicPr>
                  <pic:blipFill>
                    <a:blip r:embed="rId30"/>
                    <a:stretch>
                      <a:fillRect/>
                    </a:stretch>
                  </pic:blipFill>
                  <pic:spPr>
                    <a:xfrm>
                      <a:off x="0" y="0"/>
                      <a:ext cx="6680200" cy="3746500"/>
                    </a:xfrm>
                    <a:prstGeom prst="rect"/>
                  </pic:spPr>
                </pic:pic>
              </a:graphicData>
            </a:graphic>
          </wp:inline>
        </w:drawing>
      </w:r>
    </w:p>
    <w:p>
      <w:r>
        <w:rPr>
          <w:b w:val="0"/>
          <w:i/>
        </w:rPr>
        <w:t>Source:</w:t>
      </w:r>
      <w:r>
        <w:rPr>
          <w:b w:val="0"/>
          <w:i w:val="0"/>
        </w:rPr>
        <w:t xml:space="preserve"> Facebook</w:t>
      </w:r>
    </w:p>
    <w:p>
      <w:r>
        <w:rPr>
          <w:b w:val="0"/>
          <w:i w:val="0"/>
        </w:rPr>
        <w:t>H3—Horizon 3, or three years out from product—is the realm of R&amp;D and science. Often, data scientists who work on AI think of themselves as here, improving algorithms and looking for new ways to get machines to learn. Candela didn’t put his team here for the reasons already mentioned. It’s too far from impact on the business. H1, approaching product delivery, is where the product teams live—the feeds team, the Instagram team, the ads team. AI doesn’t go here either, because it would be difficult to retrofit products this deeply developed. It would be like building a car and then deciding that it should be self-driving after you started to put it together.</w:t>
      </w:r>
    </w:p>
    <w:p>
      <w:r>
        <w:rPr>
          <w:b w:val="0"/>
          <w:i w:val="0"/>
        </w:rPr>
        <w:t>That leaves H2, between the science and the product, as the place AML lives at Facebook. AML is a conduit for transferring the science into the product. It does not do research for research’s sake, and it does not build and ship products. As the upward slope in the product’s readiness shows, it’s a dynamic space. Pointing to H2, Candela says, “This needs to feel uncomfortable all the time. The people you need to hire need to be okay with that, and they need to be incredibly selfless. Because if your work is successful, you spin it out. And you need to fail quite a bit. I’m comfortable with a 50% failure rate.”</w:t>
      </w:r>
    </w:p>
    <w:p>
      <w:r>
        <w:rPr>
          <w:b w:val="0"/>
          <w:i w:val="0"/>
        </w:rPr>
        <w:t>If the team is failing less, Candela suspects its members are too risk averse, or they’re taking on challenges that are sliding them closer to H1’s product focus. “Maybe we do something like that and it works, but it’s still a failure, because the product teams should be taking that on, not us. If you own a piece of technology that the ads team should operate themselves to generate value, give it to them, and then increase your level of ambition in the machine learning space before something becomes product.”</w:t>
      </w:r>
    </w:p>
    <w:p>
      <w:r>
        <w:rPr>
          <w:b w:val="0"/>
          <w:i w:val="0"/>
        </w:rPr>
        <w:t>So Candela’s team is neither earning the glory of inventing new statistical models nor putting products out into the world. It’s a factory of specialists who translate others’ science for others’ products and fail half the time.</w:t>
      </w:r>
    </w:p>
    <w:p>
      <w:pPr>
        <w:pStyle w:val="Heading2"/>
      </w:pPr>
      <w:r>
        <w:rPr>
          <w:b/>
          <w:i w:val="0"/>
        </w:rPr>
        <w:t>Push/Pull</w:t>
      </w:r>
    </w:p>
    <w:p>
      <w:r>
        <w:rPr>
          <w:b w:val="0"/>
          <w:i w:val="0"/>
        </w:rPr>
        <w:t>All that being said, the lines between the three realms—H3, H2, and H1—still aren’t crisp. In some cases Candela’s team does look at the science of machine learning to solve specific problems. And sometimes it does help build the products.</w:t>
      </w:r>
    </w:p>
    <w:p>
      <w:r>
        <w:rPr>
          <w:b w:val="0"/>
          <w:i w:val="0"/>
        </w:rPr>
        <w:t>That was especially true as AML got off the ground, because many people in the business hadn’t yet been exposed to AI and what it could do for them. In one case AML built a translation algorithm. The team dipped into the research space to look at how existing translation algorithms worked and could be improved, because bad translations, which either don’t make sense or create a misleading interpretation, are in some ways worse than no translation.</w:t>
      </w:r>
    </w:p>
    <w:p>
      <w:r>
        <w:rPr>
          <w:b w:val="0"/>
          <w:i w:val="0"/>
        </w:rPr>
        <w:t>“Early on it was more push, more tenacity on our part,” Candela says. “But it was gentle tenacity. We weren’t going to throw something over the fence and tell the product team, ‘This is great, use it.’ ” That meant that his team helped write some product code. Doing a little bit of the science and a little bit of the product in addition to its core function was meant to inspire the product team members to see what AML could do for them.</w:t>
      </w:r>
    </w:p>
    <w:p>
      <w:r>
        <w:rPr>
          <w:b w:val="0"/>
          <w:i w:val="0"/>
        </w:rPr>
        <w:t>What the two teams built—a product that allowed community pages to instantly translate into several languages—worked. Other projects were similarly pushed out, and now the international team and other product groups at Facebook are pulling from AML, asking to use code in their products themselves.</w:t>
      </w:r>
    </w:p>
    <w:p>
      <w:r>
        <w:rPr>
          <w:b w:val="0"/>
          <w:i w:val="0"/>
        </w:rPr>
        <w:t>“Look, it’s nowhere near where I want it to be,” Candela says. “I’d like to have all the product leaders in the company get together quarterly for AI reviews. That will certainly happen. But the conversation in the past two years has completely changed. Now if I walk from one end of this building to the other and I bump into, I don’t know, the video team or the Messenger team, they’ll stop me and say, ‘Hey, we’re excited to try this. We think we can build a product on this.’ That didn’t happen before.”</w:t>
      </w:r>
    </w:p>
    <w:p>
      <w:r>
        <w:rPr>
          <w:b w:val="0"/>
          <w:i w:val="0"/>
        </w:rPr>
        <w:t>AML’s success, though, has created a new challenge for Candela. Now that everyone wants a piece of AML, the factory has to scale.</w:t>
      </w:r>
    </w:p>
    <w:p>
      <w:pPr>
        <w:pStyle w:val="Heading2"/>
      </w:pPr>
      <w:r>
        <w:rPr>
          <w:b/>
          <w:i w:val="0"/>
        </w:rPr>
        <w:t>Layer Cake</w:t>
      </w:r>
    </w:p>
    <w:p>
      <w:r>
        <w:rPr>
          <w:b w:val="0"/>
          <w:i w:val="0"/>
        </w:rPr>
        <w:t>Candela couldn’t scale just by saying yes to every project and adding bodies to get the work done. So he organized in other ways. First he subdivided his team according to the type of AI its members would focus on (see figure 2-2).</w:t>
      </w:r>
    </w:p>
    <w:p>
      <w:r>
        <w:rPr>
          <w:b/>
          <w:i w:val="0"/>
        </w:rPr>
        <w:t>FIGURE 2-2</w:t>
      </w:r>
    </w:p>
    <w:p>
      <w:r>
        <w:rPr>
          <w:b/>
          <w:i w:val="0"/>
        </w:rPr>
        <w:t>Applied machine learning</w:t>
      </w:r>
    </w:p>
    <w:p>
      <w:pPr>
        <w:jc w:val="center"/>
      </w:pPr>
      <w:r>
        <w:drawing>
          <wp:inline xmlns:a="http://schemas.openxmlformats.org/drawingml/2006/main" xmlns:pic="http://schemas.openxmlformats.org/drawingml/2006/picture">
            <wp:extent cx="4102099" cy="8890000"/>
            <wp:docPr id="35" name="Picture 35"/>
            <wp:cNvGraphicFramePr>
              <a:graphicFrameLocks noChangeAspect="1"/>
            </wp:cNvGraphicFramePr>
            <a:graphic>
              <a:graphicData uri="http://schemas.openxmlformats.org/drawingml/2006/picture">
                <pic:pic>
                  <pic:nvPicPr>
                    <pic:cNvPr id="0" name="epub_img_8173928340904303663.jpg"/>
                    <pic:cNvPicPr/>
                  </pic:nvPicPr>
                  <pic:blipFill>
                    <a:blip r:embed="rId31"/>
                    <a:stretch>
                      <a:fillRect/>
                    </a:stretch>
                  </pic:blipFill>
                  <pic:spPr>
                    <a:xfrm>
                      <a:off x="0" y="0"/>
                      <a:ext cx="4102099" cy="8890000"/>
                    </a:xfrm>
                    <a:prstGeom prst="rect"/>
                  </pic:spPr>
                </pic:pic>
              </a:graphicData>
            </a:graphic>
          </wp:inline>
        </w:drawing>
      </w:r>
    </w:p>
    <w:p>
      <w:r>
        <w:rPr>
          <w:b w:val="0"/>
          <w:i/>
        </w:rPr>
        <w:t>Source:</w:t>
      </w:r>
      <w:r>
        <w:rPr>
          <w:b w:val="0"/>
          <w:i w:val="0"/>
        </w:rPr>
        <w:t xml:space="preserve"> Facebook</w:t>
      </w:r>
    </w:p>
    <w:p>
      <w:r>
        <w:rPr>
          <w:b w:val="0"/>
          <w:i w:val="0"/>
        </w:rPr>
        <w:t>This created common denominators so that one team—say, computer vision—could work on any machine learning application involving parsing images and reuse its work whenever possible.</w:t>
      </w:r>
    </w:p>
    <w:p>
      <w:r>
        <w:rPr>
          <w:b w:val="0"/>
          <w:i w:val="0"/>
        </w:rPr>
        <w:t>Next came a large-scale engineering effort to build Facebook’s own AI backbone, called FBLearner Flow. Here algorithms are deployed once and made reusable for anyone who may need them. The time-consuming parts of setting up and running experiments are automated, and past results are stored and made available and easily searchable. And the system runs through a serious hardware array, so many experiments can be run simultaneously. (The system allows for more than 6 million predictions a second.) All of this is to increase the velocity of running experiments on the data and scale.</w:t>
      </w:r>
    </w:p>
    <w:p>
      <w:r>
        <w:rPr>
          <w:b w:val="0"/>
          <w:i w:val="0"/>
        </w:rPr>
        <w:t>The system was also designed to accommodate many kinds of possible users. Candela believes that for AI to work, and to scale even further, he must help people outside AML do the work themselves. He created what he calls a layer cake of artificial intelligence (see figure 2-3).</w:t>
      </w:r>
    </w:p>
    <w:p>
      <w:r>
        <w:rPr>
          <w:b/>
          <w:i w:val="0"/>
        </w:rPr>
        <w:t>FIGURE 2-3</w:t>
      </w:r>
    </w:p>
    <w:p>
      <w:r>
        <w:rPr>
          <w:b/>
          <w:i w:val="0"/>
        </w:rPr>
        <w:t>Layer cake of AI</w:t>
      </w:r>
    </w:p>
    <w:p>
      <w:pPr>
        <w:jc w:val="center"/>
      </w:pPr>
      <w:r>
        <w:drawing>
          <wp:inline xmlns:a="http://schemas.openxmlformats.org/drawingml/2006/main" xmlns:pic="http://schemas.openxmlformats.org/drawingml/2006/picture">
            <wp:extent cx="3670300" cy="8890000"/>
            <wp:docPr id="36" name="Picture 36"/>
            <wp:cNvGraphicFramePr>
              <a:graphicFrameLocks noChangeAspect="1"/>
            </wp:cNvGraphicFramePr>
            <a:graphic>
              <a:graphicData uri="http://schemas.openxmlformats.org/drawingml/2006/picture">
                <pic:pic>
                  <pic:nvPicPr>
                    <pic:cNvPr id="0" name="epub_img_7640477009764979587.jpg"/>
                    <pic:cNvPicPr/>
                  </pic:nvPicPr>
                  <pic:blipFill>
                    <a:blip r:embed="rId32"/>
                    <a:stretch>
                      <a:fillRect/>
                    </a:stretch>
                  </pic:blipFill>
                  <pic:spPr>
                    <a:xfrm>
                      <a:off x="0" y="0"/>
                      <a:ext cx="3670300" cy="8890000"/>
                    </a:xfrm>
                    <a:prstGeom prst="rect"/>
                  </pic:spPr>
                </pic:pic>
              </a:graphicData>
            </a:graphic>
          </wp:inline>
        </w:drawing>
      </w:r>
    </w:p>
    <w:p>
      <w:r>
        <w:rPr>
          <w:b w:val="0"/>
          <w:i/>
        </w:rPr>
        <w:t>Source:</w:t>
      </w:r>
      <w:r>
        <w:rPr>
          <w:b w:val="0"/>
          <w:i w:val="0"/>
        </w:rPr>
        <w:t xml:space="preserve"> Facebook</w:t>
      </w:r>
    </w:p>
    <w:p>
      <w:r>
        <w:rPr>
          <w:b w:val="0"/>
          <w:i w:val="0"/>
        </w:rPr>
        <w:t>The bottom layers focus on AML’s work: refining the core engine (with a strong focus on optimizing performance, especially for mobile) and working with machine learning algorithms. The upper layers focus on tools that make it possible for those outside AML to exploit the algorithms with less AML involvement. “It’s all about what you expose to the user,” Candela says. In some cases he’s built systems that developers outside AML can take advantage of to build and run their own models.</w:t>
      </w:r>
    </w:p>
    <w:p>
      <w:pPr>
        <w:pStyle w:val="Heading2"/>
      </w:pPr>
      <w:r>
        <w:rPr>
          <w:b/>
          <w:i w:val="0"/>
        </w:rPr>
        <w:t>Rex</w:t>
      </w:r>
    </w:p>
    <w:p>
      <w:r>
        <w:rPr>
          <w:b w:val="0"/>
          <w:i w:val="0"/>
        </w:rPr>
        <w:t>A good example of Candela’s team structure and the push/pull dynamic comes from some AI built to surface content on the basis of what you type. The natural-language machine learning team created an engine to understand conversational typing.</w:t>
      </w:r>
    </w:p>
    <w:p>
      <w:r>
        <w:rPr>
          <w:b w:val="0"/>
          <w:i w:val="0"/>
        </w:rPr>
        <w:t>This bit of intelligence first found its way into the Messenger chat client. AML developed the models while the product team developed use cases and “intents”—lingo for the types of tasks you want the engine to learn. For example, training natural language AI to recognize and reliably respond to a phrase like “I’m looking for the best …” is an intent.</w:t>
      </w:r>
    </w:p>
    <w:p>
      <w:r>
        <w:rPr>
          <w:b w:val="0"/>
          <w:i w:val="0"/>
        </w:rPr>
        <w:t>The first few such intents were deployed to Messenger through a product called M Suggestions.</w:t>
      </w:r>
    </w:p>
    <w:p>
      <w:r>
        <w:rPr>
          <w:b w:val="0"/>
          <w:i w:val="0"/>
        </w:rPr>
        <w:t>If you sent a chat to a friend that said “I’ll meet you there in 30 minutes,” M Suggestions might prompt you with an offer to hire a car.</w:t>
      </w:r>
    </w:p>
    <w:p>
      <w:r>
        <w:rPr>
          <w:b w:val="0"/>
          <w:i w:val="0"/>
        </w:rPr>
        <w:t>As the tools for building intent models developed and the product team became more conversant with them, AML’s role diminished. Now the Messenger team has improved M Suggestions by building dozens more intents on its own.</w:t>
      </w:r>
    </w:p>
    <w:p>
      <w:r>
        <w:rPr>
          <w:b w:val="0"/>
          <w:i w:val="0"/>
        </w:rPr>
        <w:t>Still, this bit of natural language AI wasn’t built just for chat. It’s reusable. It was codified as CLUE, for “conversational learning understanding engine.” It found its way into more Facebook applications. It’s being adapted for status updates and feeds. Social recommendations—or social rex, as everyone calls them—are increasingly driven by AI. If you typed “I’m traveling to Omaha and I really want to find a good steak downtown,” AI might respond as if it were one of your friends, with a comment on your post, rex such as a list of steakhouses, and a tagged map of where they are relative to downtown. If your friend replied to you and said, “It also has some great vegetarian restaurants,” the algorithm might again reply with pertinent data.</w:t>
      </w:r>
    </w:p>
    <w:p>
      <w:r>
        <w:rPr>
          <w:b w:val="0"/>
          <w:i w:val="0"/>
        </w:rPr>
        <w:t>Social rex intents are not yet being developed without AML, but the goal is to have them move out of Candela’s group, just as M Suggestions did.</w:t>
      </w:r>
    </w:p>
    <w:p>
      <w:r>
        <w:rPr>
          <w:b w:val="0"/>
          <w:i w:val="0"/>
        </w:rPr>
        <w:t>In general, the idea is to make product teams AI-capable themselves. “We’ll teach you to fish,” Candela says, “and you go fish, and we’ll drag up the next thing. We’ll build a fishing boat. And once you’re using the fishing boat, I’m going to build a cannery, right?”</w:t>
      </w:r>
    </w:p>
    <w:p>
      <w:r>
        <w:rPr>
          <w:b w:val="0"/>
          <w:i w:val="0"/>
        </w:rPr>
        <w:t>At the moment, about 70% of the AI work on the backbone is done by people outside Candela’s team. That’s possible in part because of the interface with AI. In some cases, as with a tool called Lumos, machine learning can be used by nondevelopers.</w:t>
      </w:r>
    </w:p>
    <w:p>
      <w:pPr>
        <w:pStyle w:val="Heading2"/>
      </w:pPr>
      <w:r>
        <w:rPr>
          <w:b/>
          <w:i w:val="0"/>
        </w:rPr>
        <w:t>Horseback Riding and Cereal Boxes</w:t>
      </w:r>
    </w:p>
    <w:p>
      <w:r>
        <w:rPr>
          <w:b w:val="0"/>
          <w:i w:val="0"/>
        </w:rPr>
        <w:t>Lumos is computer vision AI, a tool that can comb through photos on Facebook or Instagram or other platforms and learn what they contain. You can train it to see anything. It has helped automate the discovery and banning of pornographic or violent content, IP appropriation (improper use of brands and logos), and other unwelcome content. It can also help identify things you like and do (to drive personalized advertising and recommendations) on the basis of photos in your feeds.</w:t>
      </w:r>
    </w:p>
    <w:p>
      <w:r>
        <w:rPr>
          <w:b w:val="0"/>
          <w:i w:val="0"/>
        </w:rPr>
        <w:t>I watch a demo in which engineers select “horseback riding” as our intent, the thing we’ll be looking for. The interface is simple: A few clicks, a couple of forms to fill out—What are you looking for? How much data do you want to look at?—and the algorithm gets to work finding pictures of horseback riding. Thumbnails start to fill the page.</w:t>
      </w:r>
    </w:p>
    <w:p>
      <w:r>
        <w:rPr>
          <w:b w:val="0"/>
          <w:i w:val="0"/>
        </w:rPr>
        <w:t>The algorithm has searched for horseback riding before, so it’s already quite good at finding it. My guess is that north of 80% of the images that pop up are indeed of horseback riding, and they show remarkable variety. Here’s one with someone posing at a standstill. Here’s one with the horse rearing. Here’s an equestrian jumping. The algorithm finds shapes and boundaries between shapes and builds on previous knowledge of what those interactions mean. It knows things about what combination of pixels is most likely a person, for example, and what’s a horse. It knows when it “sees” a person and a horse together with the person situated close above the horse. And it decides that this looks like horseback riding.</w:t>
      </w:r>
    </w:p>
    <w:p>
      <w:r>
        <w:rPr>
          <w:b w:val="0"/>
          <w:i w:val="0"/>
        </w:rPr>
        <w:t>We also find pictures that aren’t horseback riding—one is a person standing next to a horse; another is a person on a mule—and check those off as not matches. They’re framed in red, in case there’s any doubt. The algorithm internalizes that information—adds it to the lookup table—for use next time. A simple chart at the top of the page shows the algorithm’s accuracy and confidence over time. It’s always an S curve, slow to learn at first, then rapidly improving, then tapering off on how much more accurate it can get. It’s very good at seeing horseback riding.</w:t>
      </w:r>
    </w:p>
    <w:p>
      <w:r>
        <w:rPr>
          <w:b w:val="0"/>
          <w:i w:val="0"/>
        </w:rPr>
        <w:t>Other potentially valuable pictures are harder for AI to parse. “Receipts” is tricky to suss out because it can look to a computer just like type on a page; but there would be some interesting apps for AI that could recognize and “read” receipts. The engineers show how bowling alleys and escalators often confuse the algorithm because they have similar shapes and visual properties.</w:t>
      </w:r>
    </w:p>
    <w:p>
      <w:r>
        <w:rPr>
          <w:b w:val="0"/>
          <w:i w:val="0"/>
        </w:rPr>
        <w:t>I ask, “What about something like ‘food’?” This brings us to an important point about machine learning: It’s only as good as its training.</w:t>
      </w:r>
    </w:p>
    <w:p>
      <w:r>
        <w:rPr>
          <w:b w:val="0"/>
          <w:i w:val="0"/>
        </w:rPr>
        <w:t>We call up food as a topic to train. Indeed, we see lots of pictures of fruits and vegetables, a few of plates at restaurants. All food. We also see a cereal box. Is that food?</w:t>
      </w:r>
    </w:p>
    <w:p>
      <w:r>
        <w:rPr>
          <w:b w:val="0"/>
          <w:i w:val="0"/>
        </w:rPr>
        <w:t>Well, yes. Or no. It’s a box. But there’s food in it. When we buy it, we’re buying food, not the box. If I asked if there was any food in the cupboard, you wouldn’t say, “No, just a cereal box.” (Or, more pertinent to Facebook, if I posted a picture of a cereal box, should it think I’m posting about food or about a box?) As a picture, as a piece of data, it’s a box.</w:t>
      </w:r>
    </w:p>
    <w:p>
      <w:r>
        <w:rPr>
          <w:b w:val="0"/>
          <w:i w:val="0"/>
        </w:rPr>
        <w:t>Should we mark this as a match or a miss? Here’s part of the art of machine learning. When training algorithms, one needs to use clearly definable categories. Food is probably too general in some ways, and the algorithm will either improperly hit or miss on images because it’s hard to know what we mean when we say “Show me pictures of food.” “Vegetable” is a better idea to train on. And when training, everyone must define terms in the same way. Imagine two people training the algorithm when one always marks cereal boxes as food and the other marks them as not food. Now imagine that happening at scale, on terabytes of visual data.</w:t>
      </w:r>
    </w:p>
    <w:p>
      <w:r>
        <w:rPr>
          <w:b w:val="0"/>
          <w:i w:val="0"/>
        </w:rPr>
        <w:t>The same applies to natural language processing. Humans are very good at interpreting text in context to find sophisticated meaning. For example, I may type, “Gee, I love that movie about the superheroes. It’s so, so original! I hope they make a hundred more of them.” My friends, who know me and know some of the mechanics of sarcasm, may readily understand that my meaning is the opposite of what I’m typing. Artificial intelligence is still learning how to decide the meaning of something like that. To figure out if I’m being sarcastic, it has to go much further than just learning how to parse grammar and vocabulary. It has to see what else I’ve said and posted and try to find other clues that will tell it whether I really loved the movie and I want 100 more or I actually detested it—because getting that wrong is not good for a platform that wants to create affinities with me. If I was being sarcastic and my feed starts filling up with superhero movie ads, I’m probably not enjoying the experience.</w:t>
      </w:r>
    </w:p>
    <w:p>
      <w:pPr>
        <w:pStyle w:val="Heading2"/>
      </w:pPr>
      <w:r>
        <w:rPr>
          <w:b/>
          <w:i w:val="0"/>
        </w:rPr>
        <w:t>Not Magic</w:t>
      </w:r>
    </w:p>
    <w:p>
      <w:r>
        <w:rPr>
          <w:b w:val="0"/>
          <w:i w:val="0"/>
        </w:rPr>
        <w:t>It’s details like these—showing where AI is still limited, how humans have such a core role in training it, and how solving problems and creating value are more important than finding great models—that Candela is thinking about near the end of the day, when he’s talking about the mythic status AI has gained. He’s railing against what he perceives as laziness in those who find the idea of AI-as-magic-bullet appealing and don’t apply critical thinking to it.</w:t>
      </w:r>
    </w:p>
    <w:p>
      <w:r>
        <w:rPr>
          <w:b w:val="0"/>
          <w:i w:val="0"/>
        </w:rPr>
        <w:t>“What frustrates me,” he says, “is that everybody knows what a statistician is and what a data analyst can do. If I want to know ‘Hey, what age segment behaves in what way?’ I get the data analyst.</w:t>
      </w:r>
    </w:p>
    <w:p>
      <w:r>
        <w:rPr>
          <w:b w:val="0"/>
          <w:i w:val="0"/>
        </w:rPr>
        <w:t>“So when people skip that, and they come to us and say, ‘Hey, give me a machine learning algorithm that will do what we do,’ I’m like, ‘What is it that I look like? What problem are you trying to solve? What’s your goal? What are the trade-offs?’ ” Sometimes they’re surprised that there are trade-offs. “If that person doesn’t have answers to those questions, I’m thinking, ‘What the hell are you thinking AI is?’ ”</w:t>
      </w:r>
    </w:p>
    <w:p>
      <w:r>
        <w:rPr>
          <w:b w:val="0"/>
          <w:i w:val="0"/>
        </w:rPr>
        <w:t>They are thinking it’s magic.</w:t>
      </w:r>
    </w:p>
    <w:p>
      <w:r>
        <w:rPr>
          <w:b w:val="0"/>
          <w:i w:val="0"/>
        </w:rPr>
        <w:t xml:space="preserve">“But it’s not. That’s the part where I tell people, ‘You don’t need machine learning. You need to build a data science team that helps you think through a problem and apply the human litmus test. Sit with them. Look at your data. If you can’t tell what’s going on, if you don’t have any intuition, if you can’t build a very simple, rule-based system—like, </w:t>
      </w:r>
      <w:r>
        <w:rPr>
          <w:b w:val="0"/>
          <w:i/>
        </w:rPr>
        <w:t>Hey, if a person is younger than 20 and living in this geography, then do this thing</w:t>
      </w:r>
      <w:r>
        <w:rPr>
          <w:b w:val="0"/>
          <w:i w:val="0"/>
        </w:rPr>
        <w:t>—if you can’t do that, then I’m extremely nervous even talking about throwing AI at your problem.’</w:t>
      </w:r>
    </w:p>
    <w:p>
      <w:r>
        <w:rPr>
          <w:b w:val="0"/>
          <w:i w:val="0"/>
        </w:rPr>
        <w:t>“I’m delighted when other executives come to me and start not from wanting to understand the technology but from a problem they have that they’ve thought very, very deeply about. And sometimes—often, in fact—a simple, good old rule-based system, if you have the right data, will get you 80% of the way to solving the problem.</w:t>
      </w:r>
    </w:p>
    <w:p>
      <w:r>
        <w:rPr>
          <w:b w:val="0"/>
          <w:i w:val="0"/>
        </w:rPr>
        <w:t>“And guess what? It’s going to have the benefit that everybody understands it. Exhaust the human brain first.”</w:t>
      </w:r>
    </w:p>
    <w:p>
      <w:r>
        <w:rPr>
          <w:b/>
          <w:i w:val="0"/>
        </w:rPr>
        <w:t>TAKEAWAYS</w:t>
      </w:r>
    </w:p>
    <w:p>
      <w:r>
        <w:rPr>
          <w:b w:val="0"/>
          <w:i w:val="0"/>
        </w:rPr>
        <w:t>In Facebook’s Applied Machine Learning (AML) group, several hundred employees run thousands of experiments a day. Understanding how and why Facebook has so fully embraced AI can help any organization that’s ready to invest in an algorithmic future.</w:t>
      </w:r>
    </w:p>
    <w:p>
      <w:pPr>
        <w:pStyle w:val="ListBullet"/>
      </w:pPr>
      <w:r>
        <w:rPr>
          <w:b w:val="0"/>
          <w:i w:val="0"/>
        </w:rPr>
        <w:t>Knowing what business challenge you need to address should be more important to your company than trying to make technological breakthroughs. A basic but reliable algorithm that improves the business is more valuable than pioneering vanguard statistical models.</w:t>
      </w:r>
    </w:p>
    <w:p>
      <w:pPr>
        <w:pStyle w:val="ListBullet"/>
      </w:pPr>
      <w:r>
        <w:rPr>
          <w:b w:val="0"/>
          <w:i w:val="0"/>
        </w:rPr>
        <w:t>Facebook thinks of three horizons for developing and deploying AI capabilities. The first is existing products—if these products aren’t already driven by AI, they won’t have AI retrofitted onto them. The second is AML, between science and product, a factory of specialists that translates others’ science for others’ products and still fails half the time. The third horizon, three years out from product delivery, is the realm of R&amp;D and data scientists.</w:t>
      </w:r>
    </w:p>
    <w:p>
      <w:pPr>
        <w:pStyle w:val="ListBullet"/>
      </w:pPr>
      <w:r>
        <w:rPr>
          <w:b w:val="0"/>
          <w:i w:val="0"/>
        </w:rPr>
        <w:t>AI shouldn’t be used for every data or prediction problem. Often, a simple, rule-based system will solve the problem if you have the right data.</w:t>
      </w:r>
    </w:p>
    <w:p>
      <w:r>
        <w:rPr>
          <w:b w:val="0"/>
          <w:i/>
        </w:rPr>
        <w:t>Adapted from content posted on hbr.org, July 19, 2017 (product #BG1704).</w:t>
      </w:r>
    </w:p>
    <w:p>
      <w:pPr>
        <w:pStyle w:val="Heading1"/>
      </w:pPr>
      <w:r>
        <w:rPr>
          <w:b/>
          <w:i w:val="0"/>
        </w:rPr>
        <w:t>3</w:t>
      </w:r>
    </w:p>
    <w:p>
      <w:pPr>
        <w:pStyle w:val="Heading1"/>
      </w:pPr>
      <w:r>
        <w:rPr>
          <w:b/>
          <w:i w:val="0"/>
        </w:rPr>
        <w:t>WHY COMPANIES THAT WAIT TO ADOPT AI MAY NEVER CATCH UP</w:t>
      </w:r>
    </w:p>
    <w:p>
      <w:r>
        <w:rPr>
          <w:b w:val="0"/>
          <w:i w:val="0"/>
        </w:rPr>
        <w:t>by Vikram Mahidhar and Thomas H. Davenport</w:t>
      </w:r>
    </w:p>
    <w:p>
      <w:r>
        <w:rPr>
          <w:b w:val="0"/>
          <w:i w:val="0"/>
        </w:rPr>
        <w:t>While some companies—most large banks, Ford and GM, Pfizer, and virtually all tech firms—are aggressively adopting artificial intelligence, many are not. Instead they are waiting for the technology to mature and for expertise in AI to become more widely available. They are planning to be “fast followers”—a strategy that has worked with most information technologies.</w:t>
      </w:r>
    </w:p>
    <w:p>
      <w:r>
        <w:rPr>
          <w:b w:val="0"/>
          <w:i w:val="0"/>
        </w:rPr>
        <w:t>We think this is a bad idea. It’s true that some technologies need further development, but some (like traditional machine learning) are quite mature and have been available in some form for decades. Even more recent technologies like deep learning are based on research that took place in the 1980s. New research is being conducted all the time, but the mathematical and statistical foundations of current AI are well established.</w:t>
      </w:r>
    </w:p>
    <w:p>
      <w:pPr>
        <w:pStyle w:val="Heading2"/>
      </w:pPr>
      <w:r>
        <w:rPr>
          <w:b/>
          <w:i w:val="0"/>
        </w:rPr>
        <w:t>System Development Time</w:t>
      </w:r>
    </w:p>
    <w:p>
      <w:r>
        <w:rPr>
          <w:b w:val="0"/>
          <w:i w:val="0"/>
        </w:rPr>
        <w:t>Beyond the technical maturity issue, there are several other problems with the idea that companies will be able to adopt quickly once technologies are more capable. First, there is the time required to develop AI systems. Such systems will probably add little value to your business if they are completely generic, so time is required to tailor and configure them to your business and the specific knowledge domain within it. If the AI you are adopting employs machine learning, you will have to round up a substantial amount of training data. If it manipulates language—as in natural language processing applications—it can be even more difficult to get systems up and running. There is a lot of taxonomy and local knowledge that needs to be incorporated into the AI system—similar to the old “knowledge engineering” activity for expert systems. AI of this type is not just a software coding problem; it is a knowledge coding problem. It takes time to discover, disambiguate, and deploy knowledge.</w:t>
      </w:r>
    </w:p>
    <w:p>
      <w:r>
        <w:rPr>
          <w:b w:val="0"/>
          <w:i w:val="0"/>
        </w:rPr>
        <w:t>If your knowledge domain has not already been modeled by your vendor or consultant, it will typically require many months to design. This is particularly true for complex knowledge domains. For example, Memorial Sloan Kettering Cancer Center has been working with IBM to use Watson to treat certain forms of cancer for over six years, and the system still isn’t ready for broad use despite availability of high-quality talent in cancer care and AI. There are several domains and business problems for which the requisite knowledge engineering is available. However, it still needs to be manipulated to a company’s specific business context.</w:t>
      </w:r>
    </w:p>
    <w:p>
      <w:pPr>
        <w:pStyle w:val="Heading2"/>
      </w:pPr>
      <w:r>
        <w:rPr>
          <w:b/>
          <w:i w:val="0"/>
        </w:rPr>
        <w:t>Integration Time</w:t>
      </w:r>
    </w:p>
    <w:p>
      <w:r>
        <w:rPr>
          <w:b w:val="0"/>
          <w:i w:val="0"/>
        </w:rPr>
        <w:t>Even once your systems have been built, there is the issue of integrating AI systems into your organization. Unless you are employing some AI capabilities that are embedded within existing packaged application systems that your company already uses (for example, Salesforce Einstein features within your CRM system), the fit with your business processes and IT architecture will require significant planning and time for adaptation. The transition from pilots and prototypes to production systems for AI can be difficult and time-consuming.</w:t>
      </w:r>
    </w:p>
    <w:p>
      <w:r>
        <w:rPr>
          <w:b w:val="0"/>
          <w:i w:val="0"/>
        </w:rPr>
        <w:t>Even if your organization is skilled at moving pilots and prototypes into production, you will also have to reengineer the business processes to have full impact on your business and industry. In most cases AI supports individual tasks and not entire business processes, so you will have to redesign business processes and new human tasks around it. If you want to affect customer engagement, for example, you will need to develop or adapt multiple AI applications and tasks that relate to different aspects of marketing, sales, and service relationships.</w:t>
      </w:r>
    </w:p>
    <w:p>
      <w:pPr>
        <w:pStyle w:val="Heading2"/>
      </w:pPr>
      <w:r>
        <w:rPr>
          <w:b/>
          <w:i w:val="0"/>
        </w:rPr>
        <w:t>Human Interactions with AI Time</w:t>
      </w:r>
    </w:p>
    <w:p>
      <w:r>
        <w:rPr>
          <w:b w:val="0"/>
          <w:i w:val="0"/>
        </w:rPr>
        <w:t>Finally, there are the human challenges of AI to overcome. Very few AI systems are fully autonomous but rather are focused on augmentation of and by human workers. New AI systems typically mean new roles and skills for the humans who work alongside them, and it will typically require considerable time to retrain workers on the new process and system. For example, investment advice companies providing “robo-advice” to their customers have often attempted to get human advisers to shift their focus to “behavioral finance,” or providing advice and “nudges” to encourage wise decisions and actions in investing. But this sort of skill is quite different from providing advice about what stocks and bonds to buy and will take some time to inculcate.</w:t>
      </w:r>
    </w:p>
    <w:p>
      <w:r>
        <w:rPr>
          <w:b w:val="0"/>
          <w:i w:val="0"/>
        </w:rPr>
        <w:t xml:space="preserve">Even if the goal for an AI system is to be fully autonomous, it is likely that some period of time in augmentation mode will be necessary. During this period, a critical piece of machine learning occurs through interaction between the system and its human users and observers. Called </w:t>
      </w:r>
      <w:r>
        <w:rPr>
          <w:b w:val="0"/>
          <w:i/>
        </w:rPr>
        <w:t>interaction learning</w:t>
      </w:r>
      <w:r>
        <w:rPr>
          <w:b w:val="0"/>
          <w:i w:val="0"/>
        </w:rPr>
        <w:t>, this is a critical step for organizations to understand how the system interacts with its ecosystem. They can often gather new data sets and begin to bake them into algorithms during this period—which often takes months or years.</w:t>
      </w:r>
    </w:p>
    <w:p>
      <w:pPr>
        <w:pStyle w:val="Heading2"/>
      </w:pPr>
      <w:r>
        <w:rPr>
          <w:b/>
          <w:i w:val="0"/>
        </w:rPr>
        <w:t>Governance Time for AI Applications</w:t>
      </w:r>
    </w:p>
    <w:p>
      <w:r>
        <w:rPr>
          <w:b w:val="0"/>
          <w:i w:val="0"/>
        </w:rPr>
        <w:t>While AI systems are geared to provide exponential scale and predictions, they will need a much broader governing approach than the classic controls- and testing-driven approach. The efficacy of AI algorithms decays over time because these are built based on historical data and recent business knowledge. The algorithms can be updated as the machine learns from patterns in new data, but they will need to be monitored by subject-matter experts to ensure the machine is interpreting the change in business context correctly. Algorithms will also have to be continuously monitored for bias. For instance, if an AI system is trained to create product recommendations based on customer demographics and the demographics change dramatically in new data, it may provide biased recommendations.</w:t>
      </w:r>
    </w:p>
    <w:p>
      <w:r>
        <w:rPr>
          <w:b w:val="0"/>
          <w:i w:val="0"/>
        </w:rPr>
        <w:t>Governance will also include watching for customer fraud. As the systems become smart, so will the users. They may try to game the systems with fraudulent data and activities. Monitoring and preventing this will require sophisticated instrumentation and human monitoring in the context of your business.</w:t>
      </w:r>
    </w:p>
    <w:p>
      <w:pPr>
        <w:pStyle w:val="Heading2"/>
      </w:pPr>
      <w:r>
        <w:rPr>
          <w:b/>
          <w:i w:val="0"/>
        </w:rPr>
        <w:t>Winners Take All</w:t>
      </w:r>
    </w:p>
    <w:p>
      <w:r>
        <w:rPr>
          <w:b w:val="0"/>
          <w:i w:val="0"/>
        </w:rPr>
        <w:t>It may, then, take a long time to develop and fully implement AI systems, and there are few if any shortcuts to the necessary steps. Once they have been successfully undertaken, scaling—particularly if the company has a plentiful supply of data and the knowledge engineering mastered—can be very rapid. By the time a late adopter has done all the necessary preparation, earlier adopters will have taken considerable market share—they’ll be able to operate at substantially lower costs with better performance. In short, the winners may take all and late adopters may never catch up. Think, for example, of the learning and capability that a company like Pfizer—which has, according to one of the leaders of the company’s Analytics and AI Lab, more than 150 AI projects underway—has already accumulated. Tech companies like Alphabet have even more learning; that company had 2,700 AI projects underway as far back as 2015.</w:t>
      </w:r>
    </w:p>
    <w:p>
      <w:r>
        <w:rPr>
          <w:b w:val="0"/>
          <w:i w:val="0"/>
        </w:rPr>
        <w:t>Admittedly, some steps can be accelerated by waiting, if a company is willing to compromise its unique knowledge and ways of conducting business. Vendors are developing a vast variety of knowledge graphs and models that use techniques ranging from natural language processing to computer vision. If one exists for your industry or business problem, and you’re willing to adopt it with little modification, that will speed up the process of AI adoption. But you may lose your distinctive competence or competitive advantage if you do not tweak it to fit your context and build everything around it.</w:t>
      </w:r>
    </w:p>
    <w:p>
      <w:r>
        <w:rPr>
          <w:b w:val="0"/>
          <w:i w:val="0"/>
        </w:rPr>
        <w:t>The obvious implication is that if you want to be successful with AI and think there may be a threat from AI-driven competitors or new entrants, you should start learning now about how to adapt it to your business across multiple different applications and AI methods. Some leading companies have created a centralized AI group to do this at scale. Such central groups focus on framing the problems, proving out the business hypothesis, modularizing the AI assets for reusability, creating techniques to manage the data pipeline, and training across businesses. One other possibility may be to acquire a startup that has accumulated substantial AI capabilities, but there will still be the need to adapt those capabilities to your business. In short, you should get started now if you haven’t already, and hope that it’s not too late.</w:t>
      </w:r>
    </w:p>
    <w:p>
      <w:r>
        <w:rPr>
          <w:b/>
          <w:i w:val="0"/>
        </w:rPr>
        <w:t>TAKEAWAYS</w:t>
      </w:r>
    </w:p>
    <w:p>
      <w:r>
        <w:rPr>
          <w:b w:val="0"/>
          <w:i w:val="0"/>
        </w:rPr>
        <w:t>Many companies are waiting for AI technology to mature before adopting it—using a “fast follower” approach—but there are several problems with this plan.</w:t>
      </w:r>
    </w:p>
    <w:p>
      <w:pPr>
        <w:pStyle w:val="ListBullet"/>
      </w:pPr>
      <w:r>
        <w:rPr>
          <w:b w:val="0"/>
          <w:i w:val="0"/>
        </w:rPr>
        <w:t>Systems developed by a vendor or consultant will probably add little value to your business if they are completely generic. You’ll need time to tailor and configure them to your business.</w:t>
      </w:r>
    </w:p>
    <w:p>
      <w:pPr>
        <w:pStyle w:val="ListBullet"/>
      </w:pPr>
      <w:r>
        <w:rPr>
          <w:b w:val="0"/>
          <w:i w:val="0"/>
        </w:rPr>
        <w:t>Even once your systems are built, the transition from pilots and prototypes to production systems for AI can be difficult, and you will also have to reengineer certain business processes for AI systems to have their full impact.</w:t>
      </w:r>
    </w:p>
    <w:p>
      <w:pPr>
        <w:pStyle w:val="ListBullet"/>
      </w:pPr>
      <w:r>
        <w:rPr>
          <w:b w:val="0"/>
          <w:i w:val="0"/>
        </w:rPr>
        <w:t>New AI systems typically mean new roles and skills for the humans who work alongside them. This will require considerable, time-consuming retraining for workers on the new processes and systems.</w:t>
      </w:r>
    </w:p>
    <w:p>
      <w:pPr>
        <w:pStyle w:val="ListBullet"/>
      </w:pPr>
      <w:r>
        <w:rPr>
          <w:b w:val="0"/>
          <w:i w:val="0"/>
        </w:rPr>
        <w:t>By the time a fast follower has done the necessary preparation, earlier adopters will have taken considerable market share, operating at lower cost with better performance. The winners may take all—and late adopters may never catch up.</w:t>
      </w:r>
    </w:p>
    <w:p>
      <w:r>
        <w:rPr>
          <w:b w:val="0"/>
          <w:i/>
        </w:rPr>
        <w:t>Adapted from content posted on hbr.org, December 6, 2018 (product #H04OK4).</w:t>
      </w:r>
    </w:p>
    <w:p>
      <w:pPr>
        <w:pStyle w:val="Heading1"/>
      </w:pPr>
      <w:r>
        <w:rPr>
          <w:b/>
          <w:i w:val="0"/>
        </w:rPr>
        <w:t>Section 2</w:t>
      </w:r>
    </w:p>
    <w:p>
      <w:pPr>
        <w:pStyle w:val="Heading1"/>
      </w:pPr>
      <w:r>
        <w:rPr>
          <w:b/>
          <w:i w:val="0"/>
        </w:rPr>
        <w:t>ADOPTING AI</w:t>
      </w:r>
    </w:p>
    <w:p>
      <w:pPr>
        <w:pStyle w:val="Heading1"/>
      </w:pPr>
      <w:r>
        <w:rPr>
          <w:b/>
          <w:i w:val="0"/>
        </w:rPr>
        <w:t>4</w:t>
      </w:r>
    </w:p>
    <w:p>
      <w:pPr>
        <w:pStyle w:val="Heading1"/>
      </w:pPr>
      <w:r>
        <w:rPr>
          <w:b/>
          <w:i w:val="0"/>
        </w:rPr>
        <w:t>THREE QUESTIONS ABOUT AI THAT NONTECHNICAL EMPLOYEES SHOULD BE ABLE TO ANSWER</w:t>
      </w:r>
    </w:p>
    <w:p>
      <w:r>
        <w:rPr>
          <w:b w:val="0"/>
          <w:i w:val="0"/>
        </w:rPr>
        <w:t>by Emma Martinho-Truswell</w:t>
      </w:r>
    </w:p>
    <w:p>
      <w:r>
        <w:rPr>
          <w:b w:val="0"/>
          <w:i w:val="0"/>
        </w:rPr>
        <w:t>Articles about artificial intelligence often begin with an intention to shock readers, referencing classic works of science fiction or alarming statistics about impending job losses. But I think we get closer to the heart of AI when we think about small and mundane ways in which AI makes work just a little easier. And it’s not necessarily the AI experts in your organization who will identify these mundane problems that AI can help solve. Instead, employees throughout the organization will be able to spot the low-hanging fruit where AI could make your organization more efficient, but only if they know what AI is capable of doing, and what it should never do.</w:t>
      </w:r>
    </w:p>
    <w:p>
      <w:r>
        <w:rPr>
          <w:b w:val="0"/>
          <w:i w:val="0"/>
        </w:rPr>
        <w:t>For example, I manage the finances for a team that travels very often, and I’ve been grateful for the intelligent guesswork that my expenses software extracts from receipts using machine learning: the merchant’s name, the dollar amount spent, taxes, and likely expense categorization. Finding opportunities for this kind of clever improvement, saving human time and energy, is not just a leadership challenge. It’s a search best undertaken by as many people within the organization as possible.</w:t>
      </w:r>
    </w:p>
    <w:p>
      <w:r>
        <w:rPr>
          <w:b w:val="0"/>
          <w:i w:val="0"/>
        </w:rPr>
        <w:t xml:space="preserve">A fast-growing area of artificial intelligence is machine learning, in which a computer program improves its answers to a question by creating and iterating algorithms based on data. It is often regarded as the kind of technology that only the cleverest and most mathematically minded people can understand and work with. Indeed, those who work day to day building machine learning programs will tend to have postgraduate degrees in computer science. But machine learning is a technological tool like any other: It can be understood on various levels and can still be used by those whose understanding is incomplete. People do not need to know how to fly a plane to be able to spot sensible new airline routes. Instead, they need to know approximately what a plane can and cannot do. For instance, laypeople might also have ideas about what planes should </w:t>
      </w:r>
      <w:r>
        <w:rPr>
          <w:b w:val="0"/>
          <w:i/>
        </w:rPr>
        <w:t>not</w:t>
      </w:r>
      <w:r>
        <w:rPr>
          <w:b w:val="0"/>
          <w:i w:val="0"/>
        </w:rPr>
        <w:t xml:space="preserve"> be used for, which could result in positive outcomes such as reducing aircraft noise in the middle of cities or limiting costly flights for very short journeys.</w:t>
      </w:r>
    </w:p>
    <w:p>
      <w:r>
        <w:rPr>
          <w:b w:val="0"/>
          <w:i w:val="0"/>
        </w:rPr>
        <w:t>When leaders in companies, nonprofits, or governments invest in artificial intelligence, much of their attention goes to hiring machine learning experts, or paying for tools. But this misses a critical opportunity. For organizations to get the most that they can from AI, they should also be investing in helping all of their team members to understand the technology better. Understanding machine learning can make an employee more likely to spot potential applications in her own work. Many of the most promising uses for machine learning will be humdrum, and this is where technology can be at its most useful: saving people time, so that they can concentrate on the many tasks at which they outperform machines. An executive assistant who has a better understanding of machine learning might suggest that calendar software learn more explicitly from patterns that develop over time, reminding him when his boss has not met with a team member for an unusually long time. A calendar that learns patterns could give an executive assistant more time for the human specialties of his job, such as helping his boss to manage a team.</w:t>
      </w:r>
    </w:p>
    <w:p>
      <w:r>
        <w:rPr>
          <w:b w:val="0"/>
          <w:i w:val="0"/>
        </w:rPr>
        <w:t xml:space="preserve">So, what </w:t>
      </w:r>
      <w:r>
        <w:rPr>
          <w:b w:val="0"/>
          <w:i/>
        </w:rPr>
        <w:t>should</w:t>
      </w:r>
      <w:r>
        <w:rPr>
          <w:b w:val="0"/>
          <w:i w:val="0"/>
        </w:rPr>
        <w:t xml:space="preserve"> all of your employees be learning about AI? There are three important questions that any member of your team should be able to answer: How does artificial intelligence work? What is it good at? And what should it never do? Let’s look at each in more detail.</w:t>
      </w:r>
    </w:p>
    <w:p>
      <w:pPr>
        <w:pStyle w:val="Heading2"/>
      </w:pPr>
      <w:r>
        <w:rPr>
          <w:b/>
          <w:i w:val="0"/>
        </w:rPr>
        <w:t>How Does It Work?</w:t>
      </w:r>
    </w:p>
    <w:p>
      <w:r>
        <w:rPr>
          <w:b w:val="0"/>
          <w:i w:val="0"/>
        </w:rPr>
        <w:t>Team members who aren’t responsible for building an AI system should nonetheless know how it processes information and answers questions. It’s particularly important for people to understand the differences between how they learn and how a machine “learns.” For example, a human trying to analyze one million data points will need to simplify it in some way in order to make sense of it—perhaps by finding an average or creating a chart. A machine learning algorithm, on the other hand, can use every individual data point when it makes its calculations. It is “trained” to spot patterns using an existing set of data inputs and outputs. Because data is fundamental to a machine’s ability to provide useful answers, a manager should ensure that her team members have some basic data literacy. This means helping people to understand what numbers are telling us, and the biases and errors that might be hidden within them. Understanding data—the fuel of AI—helps people to understand what AI is good at.</w:t>
      </w:r>
    </w:p>
    <w:p>
      <w:pPr>
        <w:pStyle w:val="Heading2"/>
      </w:pPr>
      <w:r>
        <w:rPr>
          <w:b/>
          <w:i w:val="0"/>
        </w:rPr>
        <w:t>What Is It Good At?</w:t>
      </w:r>
    </w:p>
    <w:p>
      <w:r>
        <w:rPr>
          <w:b w:val="0"/>
          <w:i w:val="0"/>
        </w:rPr>
        <w:t xml:space="preserve">Machine learning tools excel when they can be trained to solve a problem using vast quantities of reliable data, and to give answers within clear parameters that people have defined for them. My expenses software is a perfect example: It has the receipts of its millions of users to learn from, and it uses them to help predict whether a cup of coffee from Starbucks should be categorized as travel, stationery, or entertainment. Learning what machine learning is good at quickly helps someone to see what machine learning is </w:t>
      </w:r>
      <w:r>
        <w:rPr>
          <w:b w:val="0"/>
          <w:i/>
        </w:rPr>
        <w:t>not</w:t>
      </w:r>
      <w:r>
        <w:rPr>
          <w:b w:val="0"/>
          <w:i w:val="0"/>
        </w:rPr>
        <w:t xml:space="preserve"> good at. Problems that are novel, or which lack meaningful data to explain them, remain squarely in the realm of human specialties. Help your employees to understand this difference by showing them tools they already use that are powered by AI, either within the organization or outside it (such as social media advertising or streaming service recommendations). These examples will help team members to understand AI’s enormous potential, but also its limitations.</w:t>
      </w:r>
    </w:p>
    <w:p>
      <w:pPr>
        <w:pStyle w:val="Heading2"/>
      </w:pPr>
      <w:r>
        <w:rPr>
          <w:b/>
          <w:i w:val="0"/>
        </w:rPr>
        <w:t>What Should It Never Do?</w:t>
      </w:r>
    </w:p>
    <w:p>
      <w:r>
        <w:rPr>
          <w:b w:val="0"/>
          <w:i w:val="0"/>
        </w:rPr>
        <w:t>Just because machine learning can solve a problem does not mean it should do so. A machine cannot understand, for example, the biases that data reveals, nor the consequences of the advice it gives. There may be some problems that your organization should never ask an AI application to solve. For example, I would not want an algorithm to make the final decision in my company on whom to hire, what to discuss at a board meeting, or how to manage a poorly performing staff member. If employees have thought about the proper ethical limitations of AI, they can be important guards against its misuse.</w:t>
      </w:r>
    </w:p>
    <w:p>
      <w:r>
        <w:rPr>
          <w:b w:val="0"/>
          <w:i w:val="0"/>
        </w:rPr>
        <w:t>The organizations that will do best in the age of artificial intelligence will be good at finding opportunities for AI to help employees do their day-to-day jobs better and will be able to implement those ideas quickly. They will be clear about where to deploy machine learning, and where to avoid it. Alongside their investments in technology, they will remind their teams of the importance of human specialties: supporting colleagues, communicating well, and experimenting with novel ideas. To be ready for pervasive AI, an organization’s whole team will need to be ready too.</w:t>
      </w:r>
    </w:p>
    <w:p>
      <w:r>
        <w:rPr>
          <w:b/>
          <w:i w:val="0"/>
        </w:rPr>
        <w:t>TAKEAWAYS</w:t>
      </w:r>
    </w:p>
    <w:p>
      <w:r>
        <w:rPr>
          <w:b w:val="0"/>
          <w:i w:val="0"/>
        </w:rPr>
        <w:t>Employees throughout your company may be able to spot the low-hanging fruit where AI could make your organization more efficient, but only if they have some minimum knowledge of AI. Any member of your team should be able to answer the following questions:</w:t>
      </w:r>
    </w:p>
    <w:p>
      <w:pPr>
        <w:pStyle w:val="ListBullet"/>
      </w:pPr>
      <w:r>
        <w:rPr>
          <w:b w:val="0"/>
          <w:i w:val="0"/>
        </w:rPr>
        <w:t>How does it work? Team members who aren’t responsible for building an AI system should nonetheless know how it processes information and answers questions. Understanding data—the fuel of AI—helps people understand what AI is good at.</w:t>
      </w:r>
    </w:p>
    <w:p>
      <w:pPr>
        <w:pStyle w:val="ListBullet"/>
      </w:pPr>
      <w:r>
        <w:rPr>
          <w:b w:val="0"/>
          <w:i w:val="0"/>
        </w:rPr>
        <w:t>What is it good at? Machine learning tools excel when they can be trained to solve a problem using vast quantities of reliable data, and to give answers within clear parameters that people have defined for them. Help your employees understand this difference by showing them tools they already use that are powered by AI, either within the organization or outside it.</w:t>
      </w:r>
    </w:p>
    <w:p>
      <w:pPr>
        <w:pStyle w:val="ListBullet"/>
      </w:pPr>
      <w:r>
        <w:rPr>
          <w:b w:val="0"/>
          <w:i w:val="0"/>
        </w:rPr>
        <w:t xml:space="preserve">What should it never do? Just because machine learning </w:t>
      </w:r>
      <w:r>
        <w:rPr>
          <w:b w:val="0"/>
          <w:i/>
        </w:rPr>
        <w:t>can</w:t>
      </w:r>
      <w:r>
        <w:rPr>
          <w:b w:val="0"/>
          <w:i w:val="0"/>
        </w:rPr>
        <w:t xml:space="preserve"> solve a problem does not mean it should. If employees understand the ethical limitations of AI, they can be important guards against its misuse.</w:t>
      </w:r>
    </w:p>
    <w:p>
      <w:r>
        <w:rPr>
          <w:b w:val="0"/>
          <w:i/>
        </w:rPr>
        <w:t>Adapted from content posted on hbr.org, August 2, 2018 (product #H04GEB).</w:t>
      </w:r>
    </w:p>
    <w:p>
      <w:pPr>
        <w:pStyle w:val="Heading1"/>
      </w:pPr>
      <w:r>
        <w:rPr>
          <w:b/>
          <w:i w:val="0"/>
        </w:rPr>
        <w:t>5</w:t>
      </w:r>
    </w:p>
    <w:p>
      <w:pPr>
        <w:pStyle w:val="Heading1"/>
      </w:pPr>
      <w:r>
        <w:rPr>
          <w:b/>
          <w:i w:val="0"/>
        </w:rPr>
        <w:t>IS YOUR COMPANY’S DATA ACTUALLY VALUABLE IN THE AI ERA?</w:t>
      </w:r>
    </w:p>
    <w:p>
      <w:r>
        <w:rPr>
          <w:b w:val="0"/>
          <w:i w:val="0"/>
        </w:rPr>
        <w:t>by Ajay Agrawal, Joshua Gans, and Avi Goldfarb</w:t>
      </w:r>
    </w:p>
    <w:p>
      <w:r>
        <w:rPr>
          <w:b w:val="0"/>
          <w:i w:val="0"/>
        </w:rPr>
        <w:t>Artificial intelligence is coming. That’s what we’ve heard over the past few years, and what we’ll continue to hear over the next few. For established businesses that are not Google or Facebook, a natural question to ask is: What have we got that is going to allow us to survive this transition?</w:t>
      </w:r>
    </w:p>
    <w:p>
      <w:r>
        <w:rPr>
          <w:b w:val="0"/>
          <w:i w:val="0"/>
        </w:rPr>
        <w:t>In our experience, when business leaders ask this with respect to AI, the answer they are given is “data.” This view is confirmed by the business press. There are hundreds of articles claiming that “data is the new oil”—by which they mean it is a fuel that will drive the AI economy.</w:t>
      </w:r>
    </w:p>
    <w:p>
      <w:r>
        <w:rPr>
          <w:b w:val="0"/>
          <w:i w:val="0"/>
        </w:rPr>
        <w:t>If that is the case, then your company can consider itself lucky. You collected all this data, and then it turned out you were sitting on an oil reserve when AI happened to show up. But when you have that sort of luck, it is probably a good idea to ask, “Are we really that lucky?”</w:t>
      </w:r>
    </w:p>
    <w:p>
      <w:r>
        <w:rPr>
          <w:b w:val="0"/>
          <w:i w:val="0"/>
        </w:rPr>
        <w:t>The “data is oil” analogy does have some truth to it. Like internal combustion engines with oil, AI needs data to run. AI takes in raw data and converts it into something useful for decision making. Want to know the weather tomorrow? Let’s use data on past weather. Want to know yogurt sales next week? Let’s use data on past yogurt sales. AIs are prediction machines driven by data.</w:t>
      </w:r>
    </w:p>
    <w:p>
      <w:r>
        <w:rPr>
          <w:b w:val="0"/>
          <w:i w:val="0"/>
        </w:rPr>
        <w:t xml:space="preserve">But does AI need </w:t>
      </w:r>
      <w:r>
        <w:rPr>
          <w:b w:val="0"/>
          <w:i/>
        </w:rPr>
        <w:t>your</w:t>
      </w:r>
      <w:r>
        <w:rPr>
          <w:b w:val="0"/>
          <w:i w:val="0"/>
        </w:rPr>
        <w:t xml:space="preserve"> data? There is a tendency these days to see all data as potentially valuable for AI, but that isn’t really the case. Yes, data, like oil, is used day to day to operate your prediction machine. But the data you are sitting on now is likely not that data. Instead, the data you have now, which your company accumulated over time, is the type of data used to </w:t>
      </w:r>
      <w:r>
        <w:rPr>
          <w:b w:val="0"/>
          <w:i/>
        </w:rPr>
        <w:t>build</w:t>
      </w:r>
      <w:r>
        <w:rPr>
          <w:b w:val="0"/>
          <w:i w:val="0"/>
        </w:rPr>
        <w:t xml:space="preserve"> the prediction machine—not operate it.</w:t>
      </w:r>
    </w:p>
    <w:p>
      <w:r>
        <w:rPr>
          <w:b w:val="0"/>
          <w:i w:val="0"/>
        </w:rPr>
        <w:t>The data you have now is training data. You use that data as input to train an algorithm. And you use that algorithm to generate predictions to inform actions.</w:t>
      </w:r>
    </w:p>
    <w:p>
      <w:r>
        <w:rPr>
          <w:b w:val="0"/>
          <w:i w:val="0"/>
        </w:rPr>
        <w:t>So, yes, that does mean your data is valuable. But it does not mean your business can survive the storm. Once your data is used to train a prediction machine, it is devalued. It is not useful anymore for that sort of prediction. And there are only so many predictions your data will be useful for. To continue the oil analogy, data can be burned. It is somewhat lost after use. Scientists know this. They spend years collecting data, but once it has produced research findings, it sits unused in a file drawer or on a backup disk. Your business may be sitting on an oil well, but it’s finite. It doesn’t guarantee you more in the AI economy than perhaps a more favorable liquidation value.</w:t>
      </w:r>
    </w:p>
    <w:p>
      <w:r>
        <w:rPr>
          <w:b w:val="0"/>
          <w:i w:val="0"/>
        </w:rPr>
        <w:t>Even to the extent that your data could be valuable, your ability to capture that value may be limited. How many other sources of comparable data exist? If you are one of many yogurt vendors, then your database containing the past 10 years of yogurt sales and related data (price, temperature, sales of related products like ice cream) will have less market value than if you are the only owner of that type of data. In other words, just as with oil, the greater the number of other suppliers of your type of data, the less value you can capture from your training data. The value of your training data is further influenced by the value generated through enhanced prediction accuracy. Your training data is more valuable if enhanced prediction accuracy can increase yogurt sales by $100 million rather than only $10 million.</w:t>
      </w:r>
    </w:p>
    <w:p>
      <w:r>
        <w:rPr>
          <w:b w:val="0"/>
          <w:i w:val="0"/>
        </w:rPr>
        <w:t xml:space="preserve">Moreover, the ongoing value of data usually comes from the actions you take in your day-to-day business—the new data you accrue each day. New data allows you to </w:t>
      </w:r>
      <w:r>
        <w:rPr>
          <w:b w:val="0"/>
          <w:i/>
        </w:rPr>
        <w:t>operate</w:t>
      </w:r>
      <w:r>
        <w:rPr>
          <w:b w:val="0"/>
          <w:i w:val="0"/>
        </w:rPr>
        <w:t xml:space="preserve"> your prediction machine after it is trained. It also enables you to improve your prediction machine through </w:t>
      </w:r>
      <w:r>
        <w:rPr>
          <w:b w:val="0"/>
          <w:i/>
        </w:rPr>
        <w:t>learning</w:t>
      </w:r>
      <w:r>
        <w:rPr>
          <w:b w:val="0"/>
          <w:i w:val="0"/>
        </w:rPr>
        <w:t>. While 10 years of data on past yogurt sales is valuable for training an AI model to predict future yogurt sales, the actual predictions used to manage the supply chain require operational data on an ongoing basis. And this is the important point for today’s incumbent companies.</w:t>
      </w:r>
    </w:p>
    <w:p>
      <w:r>
        <w:rPr>
          <w:b w:val="0"/>
          <w:i w:val="0"/>
        </w:rPr>
        <w:t>An AI startup that acquires a trove of data on past yogurt sales can train an AI model to predict future sales. It can’t actually use its model to make decisions unless the startup obtains ongoing operational data to learn from. Unlike startups, large enterprises generate operational data every day. That’s an asset. The more operations, the more data. Furthermore, the owner of the operation can actually make use of the prediction. It can use the prediction to enhance its future operation.</w:t>
      </w:r>
    </w:p>
    <w:p>
      <w:r>
        <w:rPr>
          <w:b w:val="0"/>
          <w:i w:val="0"/>
        </w:rPr>
        <w:t xml:space="preserve">In the AI economy, the value of your accumulated data is limited to a onetime benefit from training your AI model. And the value of training data is, like oil or any other input, influenced by the overall supply—it’s less valuable when more people have it. In contrast, the value of your ongoing operational data is not limited to a onetime benefit, but rather provides a perpetual benefit for operating and further enhancing your prediction machine. So, despite all the talk about data being the new oil, your accumulated historical data isn’t the thing. However, it may be the thing that </w:t>
      </w:r>
      <w:r>
        <w:rPr>
          <w:b w:val="0"/>
          <w:i/>
        </w:rPr>
        <w:t>gets you to</w:t>
      </w:r>
      <w:r>
        <w:rPr>
          <w:b w:val="0"/>
          <w:i w:val="0"/>
        </w:rPr>
        <w:t xml:space="preserve"> the thing. Its value for your future business prospects is low. But if you can find ways to generate a new, ongoing data stream that delivers a performance advantage in terms of your AI’s predictive power, that will give you sustainable leverage when AI arrives.</w:t>
      </w:r>
    </w:p>
    <w:p>
      <w:r>
        <w:rPr>
          <w:b/>
          <w:i w:val="0"/>
        </w:rPr>
        <w:t>TAKEAWAYS</w:t>
      </w:r>
    </w:p>
    <w:p>
      <w:r>
        <w:rPr>
          <w:b w:val="0"/>
          <w:i w:val="0"/>
        </w:rPr>
        <w:t xml:space="preserve">It is conventional wisdom that companies that are sitting on troves of data enjoy great advantages as they transition to the AI-driven economy. But many leaders don’t realize that the data they have is what they need to </w:t>
      </w:r>
      <w:r>
        <w:rPr>
          <w:b w:val="0"/>
          <w:i/>
        </w:rPr>
        <w:t>build</w:t>
      </w:r>
      <w:r>
        <w:rPr>
          <w:b w:val="0"/>
          <w:i w:val="0"/>
        </w:rPr>
        <w:t xml:space="preserve"> AI systems, not to operate them and gain new insights from them.</w:t>
      </w:r>
    </w:p>
    <w:p>
      <w:pPr>
        <w:pStyle w:val="ListBullet"/>
      </w:pPr>
      <w:r>
        <w:rPr>
          <w:b w:val="0"/>
          <w:i w:val="0"/>
        </w:rPr>
        <w:t>Even when your data is useful, your ability to capture value from it may be limited. If your competitors have compiled similar data sets, your data won’t allow you to make predictions any better than theirs will.</w:t>
      </w:r>
    </w:p>
    <w:p>
      <w:pPr>
        <w:pStyle w:val="ListBullet"/>
      </w:pPr>
      <w:r>
        <w:rPr>
          <w:b w:val="0"/>
          <w:i w:val="0"/>
        </w:rPr>
        <w:t>Fully trained AI models must be fed ongoing operational data to make predictions that have business value. Large companies have an advantage because they generate large sets of operational data every day.</w:t>
      </w:r>
    </w:p>
    <w:p>
      <w:pPr>
        <w:pStyle w:val="ListBullet"/>
      </w:pPr>
      <w:r>
        <w:rPr>
          <w:b w:val="0"/>
          <w:i w:val="0"/>
        </w:rPr>
        <w:t>Only companies that have both data to train their AI models and ongoing data streams to make predictions that have business value will be able to leverage AI for sustainable advantage.</w:t>
      </w:r>
    </w:p>
    <w:p>
      <w:r>
        <w:rPr>
          <w:b w:val="0"/>
          <w:i/>
        </w:rPr>
        <w:t>Adapted from content posted on hbr.org, January 17, 2018 (product #H0442I).</w:t>
      </w:r>
    </w:p>
    <w:p>
      <w:pPr>
        <w:pStyle w:val="Heading1"/>
      </w:pPr>
      <w:r>
        <w:rPr>
          <w:b/>
          <w:i w:val="0"/>
        </w:rPr>
        <w:t>6</w:t>
      </w:r>
    </w:p>
    <w:p>
      <w:pPr>
        <w:pStyle w:val="Heading1"/>
      </w:pPr>
      <w:r>
        <w:rPr>
          <w:b/>
          <w:i w:val="0"/>
        </w:rPr>
        <w:t>HOW TO CHOOSE YOUR FIRST AI PROJECT</w:t>
      </w:r>
    </w:p>
    <w:p>
      <w:r>
        <w:rPr>
          <w:b w:val="0"/>
          <w:i w:val="0"/>
        </w:rPr>
        <w:t>by Andrew Ng</w:t>
      </w:r>
    </w:p>
    <w:p>
      <w:r>
        <w:rPr>
          <w:b w:val="0"/>
          <w:i w:val="0"/>
        </w:rPr>
        <w:t>Artificial intelligence is poised to transform every industry, just as electricity did 100 years ago. It will create $13 trillion of GDP growth by 2030, according to McKinsey, most of which will be in non-internet sectors including manufacturing, agriculture, energy, logistics, and education. The rise of AI presents an opportunity for executives in every industry to differentiate and defend their businesses. But implementing a companywide AI strategy is challenging, especially for legacy enterprises.</w:t>
      </w:r>
    </w:p>
    <w:p>
      <w:r>
        <w:rPr>
          <w:b w:val="0"/>
          <w:i w:val="0"/>
        </w:rPr>
        <w:t>My advice for executives, in any industry, is to start small. The first step to building an AI strategy, drawn from my article the “AI Transformation Playbook,” is to choose one to two company-level pilot AI projects.1 These projects will help your company gain momentum and gain firsthand knowledge of what it takes to build an AI product.</w:t>
      </w:r>
    </w:p>
    <w:p>
      <w:pPr>
        <w:pStyle w:val="Heading2"/>
      </w:pPr>
      <w:r>
        <w:rPr>
          <w:b/>
          <w:i w:val="0"/>
        </w:rPr>
        <w:t>Five Traits of a Strong AI Pilot Project</w:t>
      </w:r>
    </w:p>
    <w:p>
      <w:r>
        <w:rPr>
          <w:b w:val="0"/>
          <w:i w:val="0"/>
        </w:rPr>
        <w:t>Tapping the power of AI technologies requires customizing them to your business context. The purpose of your one or two pilot projects is only partly to create value; more importantly, the success of these first projects will help convince stakeholders to invest in building up your company’s AI capabilities.</w:t>
      </w:r>
    </w:p>
    <w:p>
      <w:r>
        <w:rPr>
          <w:b w:val="0"/>
          <w:i w:val="0"/>
        </w:rPr>
        <w:t>When you’re considering a pilot AI project, ask yourself the following questions:</w:t>
      </w:r>
    </w:p>
    <w:p>
      <w:pPr>
        <w:pStyle w:val="Heading3"/>
      </w:pPr>
      <w:r>
        <w:rPr>
          <w:b w:val="0"/>
          <w:i w:val="0"/>
        </w:rPr>
        <w:t>1. Does the project give you a quick win?</w:t>
      </w:r>
    </w:p>
    <w:p>
      <w:r>
        <w:rPr>
          <w:b w:val="0"/>
          <w:i w:val="0"/>
        </w:rPr>
        <w:t>Use your first AI pilot project to get the flywheel turning as soon as possible. Choose initial projects that can be done quickly (ideally within 6 to 12 months) and have a high chance of success. Instead of doing only one pilot project, choose two to three to increase the odds of creating at least one significant success.</w:t>
      </w:r>
    </w:p>
    <w:p>
      <w:pPr>
        <w:pStyle w:val="Heading3"/>
      </w:pPr>
      <w:r>
        <w:rPr>
          <w:b w:val="0"/>
          <w:i w:val="0"/>
        </w:rPr>
        <w:t>2. Is the project either too trivial or too unwieldy in size?</w:t>
      </w:r>
    </w:p>
    <w:p>
      <w:r>
        <w:rPr>
          <w:b w:val="0"/>
          <w:i w:val="0"/>
        </w:rPr>
        <w:t>Your pilot project does not have to be the most valuable AI application, as long as it delivers a quick win. But it should be meaningful enough so that a success convinces other company leaders to invest in further AI projects.</w:t>
      </w:r>
    </w:p>
    <w:p>
      <w:r>
        <w:rPr>
          <w:b w:val="0"/>
          <w:i w:val="0"/>
        </w:rPr>
        <w:t>In the early days of leading the Google Brain team, I faced widespread skepticism within Google about the potential of deep learning. Speech recognition was much less important to Google than web search and advertising, so I had my team take on speech as our first internal customer. By helping the speech team build a much more accurate recognition system, we convinced other teams to have faith in Google Brain. For our second project, we worked with Google Maps to increase data quality. Each successful project increased the momentum in the flywheel, and Google Brain played a leading role in turning Google into the great AI company it is today.</w:t>
      </w:r>
    </w:p>
    <w:p>
      <w:pPr>
        <w:pStyle w:val="Heading3"/>
      </w:pPr>
      <w:r>
        <w:rPr>
          <w:b w:val="0"/>
          <w:i w:val="0"/>
        </w:rPr>
        <w:t>3. Is your project specific to your industry?</w:t>
      </w:r>
    </w:p>
    <w:p>
      <w:r>
        <w:rPr>
          <w:b w:val="0"/>
          <w:i w:val="0"/>
        </w:rPr>
        <w:t>By choosing a company-specific project, your internal stakeholders can directly understand the value. For example, if you run a medical devices company, building an AI + Recruiting project to automatically screen résumés is a bad idea for two reasons: (1) There’s a high chance someone else will build an AI + Recruiting platform that serves a much larger user base and will outperform what you could do in-house and/or will undercut you; (2) This project is less likely to convince the rest of your company that AI is worth investing in than if your pilot project applied AI to medical devices. It is more valuable to build a health-care-specific AI system—anything ranging from using AI to assist doctors with crafting treatment plans, to streamlining the hospital check-in process through automation, to offering personalized health advice.</w:t>
      </w:r>
    </w:p>
    <w:p>
      <w:pPr>
        <w:pStyle w:val="Heading3"/>
      </w:pPr>
      <w:r>
        <w:rPr>
          <w:b w:val="0"/>
          <w:i w:val="0"/>
        </w:rPr>
        <w:t>4. Are you accelerating your pilot project with credible partners?</w:t>
      </w:r>
    </w:p>
    <w:p>
      <w:r>
        <w:rPr>
          <w:b w:val="0"/>
          <w:i w:val="0"/>
        </w:rPr>
        <w:t>If you are still building up your AI team, consider working with external partners to bring in AI expertise quickly. Eventually, you will want to have your own in-house AI team; however, waiting to build a team before executing might be too slow relative to the pace of AI’s rise.</w:t>
      </w:r>
    </w:p>
    <w:p>
      <w:pPr>
        <w:pStyle w:val="Heading3"/>
      </w:pPr>
      <w:r>
        <w:rPr>
          <w:b w:val="0"/>
          <w:i w:val="0"/>
        </w:rPr>
        <w:t>5. Is your project creating value?</w:t>
      </w:r>
    </w:p>
    <w:p>
      <w:r>
        <w:rPr>
          <w:b w:val="0"/>
          <w:i w:val="0"/>
        </w:rPr>
        <w:t>Most AI projects create AI value in one of three ways: reducing costs (automation creates opportunities for cost reduction in almost every industry), increasing revenue (recommendation and prediction systems increase sales and efficiency), or launching new lines of business (AI enables new projects that were not possible before).</w:t>
      </w:r>
    </w:p>
    <w:p>
      <w:r>
        <w:rPr>
          <w:b w:val="0"/>
          <w:i w:val="0"/>
        </w:rPr>
        <w:t>You can create value even without having big data, which is often overhyped. Some businesses, such as web search, have a long tail of queries, and so search engines with more data do perform better. However, not all businesses have this amount of data, and it may be possible to build a valuable AI system with perhaps as few as 100–1,000 data records (though more does not hurt). Do not choose projects just because you have a lot of data in industry X and believe the AI team will figure out how to turn this data into value. Projects like this tend to fail. It is important to develop a thesis upfront about how specifically an AI system will create value.</w:t>
      </w:r>
    </w:p>
    <w:p>
      <w:pPr>
        <w:pStyle w:val="Heading2"/>
      </w:pPr>
      <w:r>
        <w:rPr>
          <w:b/>
          <w:i w:val="0"/>
        </w:rPr>
        <w:t>Setting Up Your AI Project for Success</w:t>
      </w:r>
    </w:p>
    <w:p>
      <w:r>
        <w:rPr>
          <w:b w:val="0"/>
          <w:i w:val="0"/>
        </w:rPr>
        <w:t>So what do these traits look like in practice?</w:t>
      </w:r>
    </w:p>
    <w:p>
      <w:r>
        <w:rPr>
          <w:b w:val="0"/>
          <w:i w:val="0"/>
        </w:rPr>
        <w:t xml:space="preserve">AI is automation on steroids. A rich source of ideas for AI projects will lie in automating tasks that humans are doing today, using a technology called supervised learning. You will find that AI is good at automating </w:t>
      </w:r>
      <w:r>
        <w:rPr>
          <w:b w:val="0"/>
          <w:i/>
        </w:rPr>
        <w:t>tasks</w:t>
      </w:r>
      <w:r>
        <w:rPr>
          <w:b w:val="0"/>
          <w:i w:val="0"/>
        </w:rPr>
        <w:t xml:space="preserve">, rather than </w:t>
      </w:r>
      <w:r>
        <w:rPr>
          <w:b w:val="0"/>
          <w:i/>
        </w:rPr>
        <w:t>jobs</w:t>
      </w:r>
      <w:r>
        <w:rPr>
          <w:b w:val="0"/>
          <w:i w:val="0"/>
        </w:rPr>
        <w:t xml:space="preserve">. Try to identify the specific tasks that people are doing and examine if any can be automated. For example, the tasks involved in a radiologist’s job may include reading X-rays, operating imaging machinery, consulting with colleagues, and planning surgery. Rather than trying to automate their entire </w:t>
      </w:r>
      <w:r>
        <w:rPr>
          <w:b w:val="0"/>
          <w:i/>
        </w:rPr>
        <w:t>job</w:t>
      </w:r>
      <w:r>
        <w:rPr>
          <w:b w:val="0"/>
          <w:i w:val="0"/>
        </w:rPr>
        <w:t xml:space="preserve">, consider if just one of the </w:t>
      </w:r>
      <w:r>
        <w:rPr>
          <w:b w:val="0"/>
          <w:i/>
        </w:rPr>
        <w:t>tasks</w:t>
      </w:r>
      <w:r>
        <w:rPr>
          <w:b w:val="0"/>
          <w:i w:val="0"/>
        </w:rPr>
        <w:t xml:space="preserve"> could be automated or made faster through partial automation.</w:t>
      </w:r>
    </w:p>
    <w:p>
      <w:r>
        <w:rPr>
          <w:b w:val="0"/>
          <w:i w:val="0"/>
        </w:rPr>
        <w:t>Before executing on an AI pilot, I recommend clearly stating the desired timeline and outcome, and allocating a reasonable budget to the team.</w:t>
      </w:r>
    </w:p>
    <w:p>
      <w:pPr>
        <w:pStyle w:val="Heading3"/>
      </w:pPr>
      <w:r>
        <w:rPr>
          <w:b w:val="0"/>
          <w:i w:val="0"/>
        </w:rPr>
        <w:t>Appoint a leader</w:t>
      </w:r>
    </w:p>
    <w:p>
      <w:r>
        <w:rPr>
          <w:b w:val="0"/>
          <w:i w:val="0"/>
        </w:rPr>
        <w:t xml:space="preserve">Choose someone who can work cross-functionally and bridge both AI and your industry’s domain experts. This will ensure that when the project succeeds, it will influence the rest of the organization. Their goal is </w:t>
      </w:r>
      <w:r>
        <w:rPr>
          <w:b w:val="0"/>
          <w:i/>
        </w:rPr>
        <w:t>not</w:t>
      </w:r>
      <w:r>
        <w:rPr>
          <w:b w:val="0"/>
          <w:i w:val="0"/>
        </w:rPr>
        <w:t xml:space="preserve"> to build an AI startup. Their goal is to build a successful project that will influence the rest of the company’s beliefs and state of knowledge about AI as a first step toward building future projects.</w:t>
      </w:r>
    </w:p>
    <w:p>
      <w:pPr>
        <w:pStyle w:val="Heading3"/>
      </w:pPr>
      <w:r>
        <w:rPr>
          <w:b w:val="0"/>
          <w:i w:val="0"/>
        </w:rPr>
        <w:t xml:space="preserve">Conduct business value </w:t>
      </w:r>
      <w:r>
        <w:rPr>
          <w:b w:val="0"/>
          <w:i/>
        </w:rPr>
        <w:t>and</w:t>
      </w:r>
      <w:r>
        <w:rPr>
          <w:b w:val="0"/>
          <w:i w:val="0"/>
        </w:rPr>
        <w:t xml:space="preserve"> technical diligence</w:t>
      </w:r>
    </w:p>
    <w:p>
      <w:r>
        <w:rPr>
          <w:b w:val="0"/>
          <w:i w:val="0"/>
        </w:rPr>
        <w:t>Make sure that, if executed successfully, the business leaders agree that this project will create sufficient value for the business. But also make sure that the project is feasible. Technical diligence can take a few weeks, requiring a technical team to examine what data you have and perhaps even carry out small-scale experiments.</w:t>
      </w:r>
    </w:p>
    <w:p>
      <w:pPr>
        <w:pStyle w:val="Heading3"/>
      </w:pPr>
      <w:r>
        <w:rPr>
          <w:b w:val="0"/>
          <w:i w:val="0"/>
        </w:rPr>
        <w:t>Build a small team</w:t>
      </w:r>
    </w:p>
    <w:p>
      <w:r>
        <w:rPr>
          <w:b w:val="0"/>
          <w:i w:val="0"/>
        </w:rPr>
        <w:t>I have seen numerous pilot ideas that were executed with about 5 to 15 people. The exact level of resources varies wildly per project, but scoping projects that can be done with a small team ensures that everyone can know everyone else and work cross-functionally, and perhaps also makes the allocation of resources more painless. While there are some projects today that require 100+ (or even 1,000+) engineers to do well, such a high level of resourcing is likely not necessary for your pilot AI project.</w:t>
      </w:r>
    </w:p>
    <w:p>
      <w:pPr>
        <w:pStyle w:val="Heading3"/>
      </w:pPr>
      <w:r>
        <w:rPr>
          <w:b w:val="0"/>
          <w:i w:val="0"/>
        </w:rPr>
        <w:t>Communicate</w:t>
      </w:r>
    </w:p>
    <w:p>
      <w:r>
        <w:rPr>
          <w:b w:val="0"/>
          <w:i w:val="0"/>
        </w:rPr>
        <w:t>When the pilot project hits key milestones, and especially when it delivers a successful result, be sure to give the team an internal platform—ranging from talks, to awards, to even external PR—to allow their work to become known inside the company. Making sure the project team is recognized by the CEO and is visibly successful will be a key part to building momentum. If you have an AI technology team working with a business team, make sure also that the business team receives plenty of credit and rewards for the success. This will encourage other business teams to jump into AI as well.</w:t>
      </w:r>
    </w:p>
    <w:p>
      <w:r>
        <w:rPr>
          <w:b w:val="0"/>
          <w:i w:val="0"/>
        </w:rPr>
        <w:t>Having led Google Brain and Baidu’s AI Group, which were respectively leading forces for turning Google and Baidu into great AI companies, I think most companies can and should become good at AI. Your goal should not be to compete with the leading internet companies, but rather to master AI for your vertical industry sector. And remember: The first step is to select the right pilot projects and execute on them.</w:t>
      </w:r>
    </w:p>
    <w:p>
      <w:r>
        <w:rPr>
          <w:b/>
          <w:i w:val="0"/>
        </w:rPr>
        <w:t>TAKEAWAYS</w:t>
      </w:r>
    </w:p>
    <w:p>
      <w:r>
        <w:rPr>
          <w:b w:val="0"/>
          <w:i w:val="0"/>
        </w:rPr>
        <w:t>The first step to building an AI strategy is to choose one to two company-level pilot projects. These initiatives will help your company gain momentum and gain firsthand knowledge of what it takes to build an AI product.</w:t>
      </w:r>
    </w:p>
    <w:p>
      <w:pPr>
        <w:pStyle w:val="ListBullet"/>
      </w:pPr>
      <w:r>
        <w:rPr>
          <w:b w:val="0"/>
          <w:i w:val="0"/>
        </w:rPr>
        <w:t>When you’re considering a pilot AI project, ask yourself the following five questions:</w:t>
      </w:r>
    </w:p>
    <w:p>
      <w:pPr>
        <w:pStyle w:val="ListNumber"/>
      </w:pPr>
      <w:r>
        <w:rPr>
          <w:b w:val="0"/>
          <w:i w:val="0"/>
        </w:rPr>
        <w:t>Does the project give you a quick win?</w:t>
      </w:r>
    </w:p>
    <w:p>
      <w:pPr>
        <w:pStyle w:val="ListNumber"/>
      </w:pPr>
      <w:r>
        <w:rPr>
          <w:b w:val="0"/>
          <w:i w:val="0"/>
        </w:rPr>
        <w:t>Is the project either too trivial or too unwieldy in size?</w:t>
      </w:r>
    </w:p>
    <w:p>
      <w:pPr>
        <w:pStyle w:val="ListNumber"/>
      </w:pPr>
      <w:r>
        <w:rPr>
          <w:b w:val="0"/>
          <w:i w:val="0"/>
        </w:rPr>
        <w:t>Is the project specific to your industry?</w:t>
      </w:r>
    </w:p>
    <w:p>
      <w:pPr>
        <w:pStyle w:val="ListNumber"/>
      </w:pPr>
      <w:r>
        <w:rPr>
          <w:b w:val="0"/>
          <w:i w:val="0"/>
        </w:rPr>
        <w:t>Are you accelerating your pilot project with credible partners?</w:t>
      </w:r>
    </w:p>
    <w:p>
      <w:pPr>
        <w:pStyle w:val="ListNumber"/>
      </w:pPr>
      <w:r>
        <w:rPr>
          <w:b w:val="0"/>
          <w:i w:val="0"/>
        </w:rPr>
        <w:t>Is your project creating value?</w:t>
        <w:br/>
      </w:r>
    </w:p>
    <w:p>
      <w:pPr>
        <w:pStyle w:val="ListBullet"/>
      </w:pPr>
      <w:r>
        <w:rPr>
          <w:b w:val="0"/>
          <w:i w:val="0"/>
        </w:rPr>
        <w:t>Before executing on an AI pilot, leaders should clearly state the desired timeline and outcome, allocate a reasonable budget, appoint a team leader who can bridge between AI and your industry’s domain experts, conduct business value and technical due diligence, and build a small team.</w:t>
      </w:r>
    </w:p>
    <w:p>
      <w:pPr>
        <w:pStyle w:val="ListBullet"/>
      </w:pPr>
      <w:r>
        <w:rPr>
          <w:b w:val="0"/>
          <w:i w:val="0"/>
        </w:rPr>
        <w:t>When the pilot project hits key milestones, and especially when it delivers a positive result, the team should communicate the success to others in the company.</w:t>
      </w:r>
    </w:p>
    <w:p>
      <w:pPr>
        <w:pStyle w:val="Heading3"/>
      </w:pPr>
      <w:r>
        <w:rPr>
          <w:b/>
          <w:i w:val="0"/>
        </w:rPr>
        <w:t>NOTE</w:t>
      </w:r>
    </w:p>
    <w:p>
      <w:r>
        <w:rPr>
          <w:b w:val="0"/>
          <w:i w:val="0"/>
        </w:rPr>
        <w:t>1.  Andrew Ng, “AI Transformation Playbook” (working paper, Landing AI, 2018), https://landing.ai/content/uploads/2018/12/AI-Transformation-Playbook-v8.pdf.</w:t>
      </w:r>
    </w:p>
    <w:p>
      <w:r>
        <w:rPr>
          <w:b w:val="0"/>
          <w:i/>
        </w:rPr>
        <w:t>Adapted from content posted on hbr.org, February 6, 2019 (product #H04S3S).</w:t>
      </w:r>
    </w:p>
    <w:p>
      <w:pPr>
        <w:pStyle w:val="Heading1"/>
      </w:pPr>
      <w:r>
        <w:rPr>
          <w:b/>
          <w:i w:val="0"/>
        </w:rPr>
        <w:t>7</w:t>
      </w:r>
    </w:p>
    <w:p>
      <w:pPr>
        <w:pStyle w:val="Heading1"/>
      </w:pPr>
      <w:r>
        <w:rPr>
          <w:b/>
          <w:i w:val="0"/>
        </w:rPr>
        <w:t>WHAT WILL HAPPEN WHEN YOUR COMPANY’S ALGORITHMS GO WRONG?</w:t>
      </w:r>
    </w:p>
    <w:p>
      <w:r>
        <w:rPr>
          <w:b w:val="0"/>
          <w:i w:val="0"/>
        </w:rPr>
        <w:t>by Roman V. Yampolskiy</w:t>
      </w:r>
    </w:p>
    <w:p>
      <w:r>
        <w:rPr>
          <w:b w:val="0"/>
          <w:i w:val="0"/>
        </w:rPr>
        <w:t>When you’re ready to incorporate artificial intelligence technologies in your business, the analysis you should perform is this: What can possibly go wrong? What is our product or service expected to do? What happens if it fails to do so? Do we have a damage mitigation plan? Consider the embarrassing situation that Microsoft found itself in with its Tay chatbot fiasco, where internet trolls exploited vulnerabilities in the bot’s code, feeding it racist, homophobic, and sexist content that millions read on social media.</w:t>
      </w:r>
    </w:p>
    <w:p>
      <w:r>
        <w:rPr>
          <w:b w:val="0"/>
          <w:i w:val="0"/>
        </w:rPr>
        <w:t>Accidents, including deadly ones, caused by software or industrial robots can be traced to the early days of such technology, but they are not necessarily caused by the systems themselves. AI failures, on the other hand, are directly related to the mistakes produced by the intelligence such systems are designed to exhibit. We can broadly classify such failures into “mistakes made during the learning phase” and “mistakes made during performance phase.” A system can fail to learn what its designers want it to learn and might instead learn a different, but correlated function.</w:t>
      </w:r>
    </w:p>
    <w:p>
      <w:r>
        <w:rPr>
          <w:b w:val="0"/>
          <w:i w:val="0"/>
        </w:rPr>
        <w:t>A frequently cited example is a computer vision system that the U.S. Army had hoped to use to automatically detect camouflaged enemy tanks. The system was supposed to classify pictures of tanks, but instead learned to distinguish the backgrounds of such images. Other examples include problems caused by poorly designed functions that would reward AIs for only partially desirable behaviors, such as pausing a game to avoid losing, or repeatedly touching a soccer ball to get credit for possession.</w:t>
      </w:r>
    </w:p>
    <w:p>
      <w:r>
        <w:rPr>
          <w:b w:val="0"/>
          <w:i w:val="0"/>
        </w:rPr>
        <w:t>It can help to look at some recent examples of AI failure to better understand what problems are likely to arise and what you can do to prevent them—or at least to clean up quickly after a failure. Consider these examples of AI failures from the past few years:1</w:t>
      </w:r>
    </w:p>
    <w:p>
      <w:pPr>
        <w:pStyle w:val="ListBullet"/>
      </w:pPr>
      <w:r>
        <w:rPr>
          <w:b w:val="0"/>
          <w:i w:val="0"/>
        </w:rPr>
        <w:t>An automated email-reply generator created inappropriate responses, such as writing “I love you” to a business colleague.</w:t>
      </w:r>
    </w:p>
    <w:p>
      <w:pPr>
        <w:pStyle w:val="ListBullet"/>
      </w:pPr>
      <w:r>
        <w:rPr>
          <w:b w:val="0"/>
          <w:i w:val="0"/>
        </w:rPr>
        <w:t>A robot for grabbing auto parts grabbed and killed a man.</w:t>
      </w:r>
    </w:p>
    <w:p>
      <w:pPr>
        <w:pStyle w:val="ListBullet"/>
      </w:pPr>
      <w:r>
        <w:rPr>
          <w:b w:val="0"/>
          <w:i w:val="0"/>
        </w:rPr>
        <w:t>Image-tagging software classified black people as gorillas.</w:t>
      </w:r>
    </w:p>
    <w:p>
      <w:pPr>
        <w:pStyle w:val="ListBullet"/>
      </w:pPr>
      <w:r>
        <w:rPr>
          <w:b w:val="0"/>
          <w:i w:val="0"/>
        </w:rPr>
        <w:t>Medical AI classified patients with asthma as having a lower risk of dying of pneumonia.</w:t>
      </w:r>
    </w:p>
    <w:p>
      <w:pPr>
        <w:pStyle w:val="ListBullet"/>
      </w:pPr>
      <w:r>
        <w:rPr>
          <w:b w:val="0"/>
          <w:i w:val="0"/>
        </w:rPr>
        <w:t>Adult-content-filtering software failed to remove inappropriate content, exposing children to violent and sexual content.</w:t>
      </w:r>
    </w:p>
    <w:p>
      <w:pPr>
        <w:pStyle w:val="ListBullet"/>
      </w:pPr>
      <w:r>
        <w:rPr>
          <w:b w:val="0"/>
          <w:i w:val="0"/>
        </w:rPr>
        <w:t>AI designed to predict recidivism acted racist.</w:t>
      </w:r>
    </w:p>
    <w:p>
      <w:pPr>
        <w:pStyle w:val="ListBullet"/>
      </w:pPr>
      <w:r>
        <w:rPr>
          <w:b w:val="0"/>
          <w:i w:val="0"/>
        </w:rPr>
        <w:t>An AI agent exploited a reward signal to win a game without actually completing the game.</w:t>
      </w:r>
    </w:p>
    <w:p>
      <w:pPr>
        <w:pStyle w:val="ListBullet"/>
      </w:pPr>
      <w:r>
        <w:rPr>
          <w:b w:val="0"/>
          <w:i w:val="0"/>
        </w:rPr>
        <w:t>Video game NPCs (nonplayer characters, or any character that is not controlled by a human player) designed unauthorized superweapons.</w:t>
      </w:r>
    </w:p>
    <w:p>
      <w:pPr>
        <w:pStyle w:val="ListBullet"/>
      </w:pPr>
      <w:r>
        <w:rPr>
          <w:b w:val="0"/>
          <w:i w:val="0"/>
        </w:rPr>
        <w:t>AI judged a beauty contest and rated dark-skinned contestants lower.</w:t>
      </w:r>
    </w:p>
    <w:p>
      <w:pPr>
        <w:pStyle w:val="ListBullet"/>
      </w:pPr>
      <w:r>
        <w:rPr>
          <w:b w:val="0"/>
          <w:i w:val="0"/>
        </w:rPr>
        <w:t>A mall security robot collided with and injured a child.</w:t>
      </w:r>
    </w:p>
    <w:p>
      <w:pPr>
        <w:pStyle w:val="ListBullet"/>
      </w:pPr>
      <w:r>
        <w:rPr>
          <w:b w:val="0"/>
          <w:i w:val="0"/>
        </w:rPr>
        <w:t>A self-driving car had a deadly accident.</w:t>
      </w:r>
    </w:p>
    <w:p>
      <w:r>
        <w:rPr>
          <w:b w:val="0"/>
          <w:i w:val="0"/>
        </w:rPr>
        <w:t xml:space="preserve">And every day, consumers experience more common shortcomings of AI: Spam filters block important emails, GPS provides faulty directions, machine translations corrupt the meaning of phrases, autocorrect replaces a desired word with a wrong one, biometric systems misrecognize people, transcription software fails to capture what is being said; overall, it is harder to find examples of AIs that </w:t>
      </w:r>
      <w:r>
        <w:rPr>
          <w:b w:val="0"/>
          <w:i/>
        </w:rPr>
        <w:t>don’t</w:t>
      </w:r>
      <w:r>
        <w:rPr>
          <w:b w:val="0"/>
          <w:i w:val="0"/>
        </w:rPr>
        <w:t xml:space="preserve"> fail.</w:t>
      </w:r>
    </w:p>
    <w:p>
      <w:r>
        <w:rPr>
          <w:b w:val="0"/>
          <w:i w:val="0"/>
        </w:rPr>
        <w:t>Analyzing the list of AI failures, we can arrive at a simple generalization: An AI designed to do X will eventually fail to do X. While it may seem trivial, it is a powerful generalization tool, which can be used to predict future failures of AI. For example, looking at cutting-edge current and future AI, we can predict that:</w:t>
      </w:r>
    </w:p>
    <w:p>
      <w:pPr>
        <w:pStyle w:val="ListBullet"/>
      </w:pPr>
      <w:r>
        <w:rPr>
          <w:b w:val="0"/>
          <w:i w:val="0"/>
        </w:rPr>
        <w:t>AI doctors will misdiagnose some patients in a way a real doctor would not.</w:t>
      </w:r>
    </w:p>
    <w:p>
      <w:pPr>
        <w:pStyle w:val="ListBullet"/>
      </w:pPr>
      <w:r>
        <w:rPr>
          <w:b w:val="0"/>
          <w:i w:val="0"/>
        </w:rPr>
        <w:t>Video-description software will misunderstand movie plots.</w:t>
      </w:r>
    </w:p>
    <w:p>
      <w:pPr>
        <w:pStyle w:val="ListBullet"/>
      </w:pPr>
      <w:r>
        <w:rPr>
          <w:b w:val="0"/>
          <w:i w:val="0"/>
        </w:rPr>
        <w:t>Software for generating jokes will occasionally fail to make them funny.</w:t>
      </w:r>
    </w:p>
    <w:p>
      <w:pPr>
        <w:pStyle w:val="ListBullet"/>
      </w:pPr>
      <w:r>
        <w:rPr>
          <w:b w:val="0"/>
          <w:i w:val="0"/>
        </w:rPr>
        <w:t>Sarcasm-detection software will confuse sarcastic and sincere statements.</w:t>
      </w:r>
    </w:p>
    <w:p>
      <w:pPr>
        <w:pStyle w:val="ListBullet"/>
      </w:pPr>
      <w:r>
        <w:rPr>
          <w:b w:val="0"/>
          <w:i w:val="0"/>
        </w:rPr>
        <w:t>Employee-screening software will be systematically biased and thus hire low performers.</w:t>
      </w:r>
    </w:p>
    <w:p>
      <w:pPr>
        <w:pStyle w:val="ListBullet"/>
      </w:pPr>
      <w:r>
        <w:rPr>
          <w:b w:val="0"/>
          <w:i w:val="0"/>
        </w:rPr>
        <w:t>The Mars robot explorer will misjudge its environment and fall into a crater.</w:t>
      </w:r>
    </w:p>
    <w:p>
      <w:pPr>
        <w:pStyle w:val="ListBullet"/>
      </w:pPr>
      <w:r>
        <w:rPr>
          <w:b w:val="0"/>
          <w:i w:val="0"/>
        </w:rPr>
        <w:t>Tax-preparation software will miss important deductions or make inappropriate ones.</w:t>
      </w:r>
    </w:p>
    <w:p>
      <w:r>
        <w:rPr>
          <w:b w:val="0"/>
          <w:i w:val="0"/>
        </w:rPr>
        <w:t>What should you learn from these examples and analysis? Failures will happen! It’s inevitable. But we can still put best practices in place, such as:</w:t>
      </w:r>
    </w:p>
    <w:p>
      <w:pPr>
        <w:pStyle w:val="ListBullet"/>
      </w:pPr>
      <w:r>
        <w:rPr>
          <w:b w:val="0"/>
          <w:i w:val="0"/>
        </w:rPr>
        <w:t>Controlling user input to the system and limiting learning to verified data inputs</w:t>
      </w:r>
    </w:p>
    <w:p>
      <w:pPr>
        <w:pStyle w:val="ListBullet"/>
      </w:pPr>
      <w:r>
        <w:rPr>
          <w:b w:val="0"/>
          <w:i w:val="0"/>
        </w:rPr>
        <w:t>Checking for racial, gender, age, and other common biases in your algorithms</w:t>
      </w:r>
    </w:p>
    <w:p>
      <w:pPr>
        <w:pStyle w:val="ListBullet"/>
      </w:pPr>
      <w:r>
        <w:rPr>
          <w:b w:val="0"/>
          <w:i w:val="0"/>
        </w:rPr>
        <w:t>Explicitly analyzing how your software can fail, and then providing a safety mechanism for each possible failure</w:t>
      </w:r>
    </w:p>
    <w:p>
      <w:pPr>
        <w:pStyle w:val="ListBullet"/>
      </w:pPr>
      <w:r>
        <w:rPr>
          <w:b w:val="0"/>
          <w:i w:val="0"/>
        </w:rPr>
        <w:t>Having a less “smart” backup product or service available</w:t>
      </w:r>
    </w:p>
    <w:p>
      <w:pPr>
        <w:pStyle w:val="ListBullet"/>
      </w:pPr>
      <w:r>
        <w:rPr>
          <w:b w:val="0"/>
          <w:i w:val="0"/>
        </w:rPr>
        <w:t>Having a communications plan in place to address the media in case of an embarrassing failure (Hint: Start with an apology.)</w:t>
      </w:r>
    </w:p>
    <w:p>
      <w:r>
        <w:rPr>
          <w:b w:val="0"/>
          <w:i w:val="0"/>
        </w:rPr>
        <w:t>I predict that both the frequency and seriousness of AI failures will steadily increase as AIs become more capable. The failures of today’s narrow domain AIs are just the tip of the iceberg; once we develop general artificial intelligence capable of cross-domain performance, embarrassment will be the least of our concerns.</w:t>
      </w:r>
    </w:p>
    <w:p>
      <w:r>
        <w:rPr>
          <w:b/>
          <w:i w:val="0"/>
        </w:rPr>
        <w:t>TAKEAWAYS</w:t>
      </w:r>
    </w:p>
    <w:p>
      <w:r>
        <w:rPr>
          <w:b w:val="0"/>
          <w:i w:val="0"/>
        </w:rPr>
        <w:t>There are countless examples of an AI designed for a task eventually failing to do that task. As AI performs more consequential functions, damage caused by single failures will become more severe.</w:t>
      </w:r>
    </w:p>
    <w:p>
      <w:pPr>
        <w:pStyle w:val="ListBullet"/>
      </w:pPr>
      <w:r>
        <w:rPr>
          <w:b w:val="0"/>
          <w:i w:val="0"/>
        </w:rPr>
        <w:t>When your business is ready to incorporate AI technologies, perform this risk analysis: What can possibly go wrong with our AI? What is our product or service expected to do? What happens if it fails to do so? Do we have a damage mitigation plan?</w:t>
      </w:r>
    </w:p>
    <w:p>
      <w:pPr>
        <w:pStyle w:val="ListBullet"/>
      </w:pPr>
      <w:r>
        <w:rPr>
          <w:b w:val="0"/>
          <w:i w:val="0"/>
        </w:rPr>
        <w:t>To mitigate damage from AI failures, companies should follow these best practices:</w:t>
      </w:r>
    </w:p>
    <w:p>
      <w:pPr>
        <w:pStyle w:val="ListBullet"/>
      </w:pPr>
      <w:r>
        <w:rPr>
          <w:b w:val="0"/>
          <w:i w:val="0"/>
        </w:rPr>
        <w:t>Control user input into system and only use verified data.</w:t>
      </w:r>
    </w:p>
    <w:p>
      <w:pPr>
        <w:pStyle w:val="ListBullet"/>
      </w:pPr>
      <w:r>
        <w:rPr>
          <w:b w:val="0"/>
          <w:i w:val="0"/>
        </w:rPr>
        <w:t>Check for racial, gender, age, and other common biases in algorithms.</w:t>
      </w:r>
    </w:p>
    <w:p>
      <w:pPr>
        <w:pStyle w:val="ListBullet"/>
      </w:pPr>
      <w:r>
        <w:rPr>
          <w:b w:val="0"/>
          <w:i w:val="0"/>
        </w:rPr>
        <w:t>Analyze how the software can fail, and then provide a safety mechanism for each possible failure.</w:t>
      </w:r>
    </w:p>
    <w:p>
      <w:pPr>
        <w:pStyle w:val="ListBullet"/>
      </w:pPr>
      <w:r>
        <w:rPr>
          <w:b w:val="0"/>
          <w:i w:val="0"/>
        </w:rPr>
        <w:t>Have a less “smart” backup product or service available.</w:t>
      </w:r>
    </w:p>
    <w:p>
      <w:pPr>
        <w:pStyle w:val="ListBullet"/>
      </w:pPr>
      <w:r>
        <w:rPr>
          <w:b w:val="0"/>
          <w:i w:val="0"/>
        </w:rPr>
        <w:t>Have a communications plan in place to address the media in case of an embarrassing failure.</w:t>
      </w:r>
    </w:p>
    <w:p>
      <w:pPr>
        <w:pStyle w:val="Heading3"/>
      </w:pPr>
      <w:r>
        <w:rPr>
          <w:b/>
          <w:i w:val="0"/>
        </w:rPr>
        <w:t>NOTE</w:t>
      </w:r>
    </w:p>
    <w:p>
      <w:r>
        <w:rPr>
          <w:b w:val="0"/>
          <w:i w:val="0"/>
        </w:rPr>
        <w:t xml:space="preserve">1.  Bálint Miklós, “Computer, Respond to This Email: Introducing Smart Reply in Inbox by Gmail,” The Key Word (Google), November 3, 2015, https://blog.google/products/gmail/computer-respond-to-this-email/; Eliana Dockterman, “Robot Kills Man at Volkswagen Plant,” </w:t>
      </w:r>
      <w:r>
        <w:rPr>
          <w:b w:val="0"/>
          <w:i/>
        </w:rPr>
        <w:t>Time</w:t>
      </w:r>
      <w:r>
        <w:rPr>
          <w:b w:val="0"/>
          <w:i w:val="0"/>
        </w:rPr>
        <w:t xml:space="preserve">, July 2, 2015, http://time.com/3944181/robot-kills-man-volkswagen-plant/; Taryn Finley, “Google Apologizes for Tagging Photos of Black People as ‘Gorillas,’ ” </w:t>
      </w:r>
      <w:r>
        <w:rPr>
          <w:b w:val="0"/>
          <w:i/>
        </w:rPr>
        <w:t>Huffington Post</w:t>
      </w:r>
      <w:r>
        <w:rPr>
          <w:b w:val="0"/>
          <w:i w:val="0"/>
        </w:rPr>
        <w:t xml:space="preserve">, July 2, 2015, https://www.huffingtonpost.com/2015/07/02/google-black-people-goril_n_7717008.html; Rich Caruana et al., “Intelligible Models for HealthCare: Predicting Pneumonia Risk and Hospital 30-Day Readmission,” Proceedings of the 21th ACM SIGKDD International Conference on Knowledge Discovery and Data Mining, August 10, 2015, http://people.dbmi.columbia.edu/noemie/papers/15kdd.pdf; Alistair Barr, “Google’s YouTube Kids App Criticized for ‘Inappropriate Content,’ ” </w:t>
      </w:r>
      <w:r>
        <w:rPr>
          <w:b w:val="0"/>
          <w:i/>
        </w:rPr>
        <w:t>Wall Street Journal</w:t>
      </w:r>
      <w:r>
        <w:rPr>
          <w:b w:val="0"/>
          <w:i w:val="0"/>
        </w:rPr>
        <w:t xml:space="preserve">, May 19, 2015, https://blogs.wsj.com/digits/2015/05/19/googles-youtube-kids-app-criticized-for-inappropriate-content/; Andy Cush, “This Program That Judges Use to Predict the Future Seems Racist as Hell,” </w:t>
      </w:r>
      <w:r>
        <w:rPr>
          <w:b w:val="0"/>
          <w:i/>
        </w:rPr>
        <w:t>Gawker</w:t>
      </w:r>
      <w:r>
        <w:rPr>
          <w:b w:val="0"/>
          <w:i w:val="0"/>
        </w:rPr>
        <w:t xml:space="preserve">, May 23, 2016, https://gawker.com/this-program-that-judges-use-to-predict-future-crimes-s-1778151070; Jack Dario, “Faulty Reward Functions in the Wild,” OpenAI Blog, December 21, 2016, https://blog.openai.com/faulty-reward-functions/; Julian Benson, “Elite’s AI Created Super Weapons and Started Hunting Players. Skynet Is Here,” </w:t>
      </w:r>
      <w:r>
        <w:rPr>
          <w:b w:val="0"/>
          <w:i/>
        </w:rPr>
        <w:t>Kotaku</w:t>
      </w:r>
      <w:r>
        <w:rPr>
          <w:b w:val="0"/>
          <w:i w:val="0"/>
        </w:rPr>
        <w:t xml:space="preserve">, June 3, 2016, http://www.kotaku.co.uk/2016/06/03/elites-ai-created-super-weapons-and-started-hunting-players-skynet-is-here; Sam Levin, “A Beauty Contest Was Judged by AI and the Robots Didn’t Like Dark Skin,” </w:t>
      </w:r>
      <w:r>
        <w:rPr>
          <w:b w:val="0"/>
          <w:i/>
        </w:rPr>
        <w:t>Guardian</w:t>
      </w:r>
      <w:r>
        <w:rPr>
          <w:b w:val="0"/>
          <w:i w:val="0"/>
        </w:rPr>
        <w:t xml:space="preserve">, April 8, 2016, https://www.theguardian.com/technology/2016/sep/08/artificial-intelligence-beauty-contest-doesnt-like-black-people; Veronica Rocha, “Crime-Fighting Robot Hits, Rolls Over Child at Silicon Valley Mall,” </w:t>
      </w:r>
      <w:r>
        <w:rPr>
          <w:b w:val="0"/>
          <w:i/>
        </w:rPr>
        <w:t>LA Times</w:t>
      </w:r>
      <w:r>
        <w:rPr>
          <w:b w:val="0"/>
          <w:i w:val="0"/>
        </w:rPr>
        <w:t xml:space="preserve">, July 14, 2016, https://www.latimes.com/local/lanow/la-me-ln-crimefighting-robot-hurts-child-bay-area-20160713-snap-story.html; Sam Levin and Nicky Woolf, “Tesla Driver Killed While Using Autopilot Was Watching Harry Potter, Witness Says,” </w:t>
      </w:r>
      <w:r>
        <w:rPr>
          <w:b w:val="0"/>
          <w:i/>
        </w:rPr>
        <w:t>Guardian</w:t>
      </w:r>
      <w:r>
        <w:rPr>
          <w:b w:val="0"/>
          <w:i w:val="0"/>
        </w:rPr>
        <w:t>, July 1, 2016, https://www.theguardian.com/technology/2016/jul/01/tesla-driver-killed-autopilot-self-driving-car-harry-potter.</w:t>
      </w:r>
    </w:p>
    <w:p>
      <w:r>
        <w:rPr>
          <w:b w:val="0"/>
          <w:i/>
        </w:rPr>
        <w:t>Adapted from content posted on hbr.org, April 10, 2017 (product #H03L3S).</w:t>
      </w:r>
    </w:p>
    <w:p>
      <w:pPr>
        <w:pStyle w:val="Heading1"/>
      </w:pPr>
      <w:r>
        <w:rPr>
          <w:b/>
          <w:i w:val="0"/>
        </w:rPr>
        <w:t>Section 3</w:t>
      </w:r>
    </w:p>
    <w:p>
      <w:pPr>
        <w:pStyle w:val="Heading1"/>
      </w:pPr>
      <w:r>
        <w:rPr>
          <w:b/>
          <w:i w:val="0"/>
        </w:rPr>
        <w:t>AI AND THE FUTURE OF WORK</w:t>
      </w:r>
    </w:p>
    <w:p>
      <w:pPr>
        <w:pStyle w:val="Heading1"/>
      </w:pPr>
      <w:r>
        <w:rPr>
          <w:b/>
          <w:i w:val="0"/>
        </w:rPr>
        <w:t>8</w:t>
      </w:r>
    </w:p>
    <w:p>
      <w:pPr>
        <w:pStyle w:val="Heading1"/>
      </w:pPr>
      <w:r>
        <w:rPr>
          <w:b/>
          <w:i w:val="0"/>
        </w:rPr>
        <w:t>HOW WILL AI CHANGE WORK?</w:t>
      </w:r>
    </w:p>
    <w:p>
      <w:pPr>
        <w:pStyle w:val="Heading2"/>
      </w:pPr>
      <w:r>
        <w:rPr>
          <w:b/>
          <w:i w:val="0"/>
        </w:rPr>
        <w:t>Here Are Five Schools of Thought</w:t>
      </w:r>
    </w:p>
    <w:p>
      <w:r>
        <w:rPr>
          <w:b w:val="0"/>
          <w:i w:val="0"/>
        </w:rPr>
        <w:t>by Mark Knickrehm</w:t>
      </w:r>
    </w:p>
    <w:p>
      <w:r>
        <w:rPr>
          <w:b w:val="0"/>
          <w:i w:val="0"/>
        </w:rPr>
        <w:t>The future of the workforce is one of the biggest issues facing CEOs today. It’s abundantly clear to all that artificial intelligence, big data analytics, and advanced robotics make it possible for machines to take on tasks that once required a person to do them. How should companies prepare, strategically, to thrive in this world?</w:t>
      </w:r>
    </w:p>
    <w:p>
      <w:r>
        <w:rPr>
          <w:b w:val="0"/>
          <w:i w:val="0"/>
        </w:rPr>
        <w:t>Views on what to expect vary dramatically. By some accounts, almost half of all jobs in the U.S. economy could be made obsolete. Others have described how intelligent machines will actually create jobs—including entirely new categories of jobs. Some people even talk about a world of superabundance where work will be about pursuing your passion, on your own terms.</w:t>
      </w:r>
    </w:p>
    <w:p>
      <w:r>
        <w:rPr>
          <w:b w:val="0"/>
          <w:i w:val="0"/>
        </w:rPr>
        <w:t>It’s critical for companies to understand the range of opinions on this issue, because implicitly or explicitly, they will influence the way business leaders create the workforce of the future. And while a lot will shake out in years to come, this issue is already front and center. Companies are making decisions today that will matter hugely to their ability to compete tomorrow and throughout the 2020s.</w:t>
      </w:r>
    </w:p>
    <w:p>
      <w:r>
        <w:rPr>
          <w:b w:val="0"/>
          <w:i w:val="0"/>
        </w:rPr>
        <w:t>Most companies are already moving rapidly to acquire new capabilities. In Accenture’s “Reworking the Revolution” survey of 1,200 C-level executives worldwide, 75% say that they are currently accelerating investments in AI and other intelligent technologies. And 72% say they are responding to a competitive imperative—they recognize the need for new tools to keep up with rivals, both by improving productivity and by finding new sources of growth. Some companies are transforming themselves into “intelligent enterprises,” in which all processes are digitized, decisions are data-driven, and machines do the heavy lifting—both physical and cognitive.</w:t>
      </w:r>
    </w:p>
    <w:p>
      <w:r>
        <w:rPr>
          <w:b w:val="0"/>
          <w:i w:val="0"/>
        </w:rPr>
        <w:t>So, there’s a great deal at stake in the debate over productivity and jobs. Leaders must understand the debate and be prepared to address tough questions: What kind of new skills do we need? How should we be organized? How do we define jobs? How can we bring our people along with us, in a way that benefits everyone?</w:t>
      </w:r>
    </w:p>
    <w:p>
      <w:r>
        <w:rPr>
          <w:b w:val="0"/>
          <w:i w:val="0"/>
        </w:rPr>
        <w:t>Through research, we’ve identified five schools of thought in this debate.</w:t>
      </w:r>
    </w:p>
    <w:p>
      <w:pPr>
        <w:pStyle w:val="Heading3"/>
      </w:pPr>
      <w:r>
        <w:rPr>
          <w:b w:val="0"/>
          <w:i w:val="0"/>
        </w:rPr>
        <w:t>The dystopians:  Man and machine will wage a Darwinian struggle that machines will win. AI systems will take on tasks at the heart of middle- and high-skill jobs, while robots will perform menial work that requires low-skill labor. The result will be massive unemployment, falling wages, and wrenching economic dislocation. Falling incomes will have grave consequences in places like the United States and Europe, where consumption accounts for 56% or 69% of GDP, respectively, requiring new social supports, such as a universal basic income.</w:t>
      </w:r>
    </w:p>
    <w:p>
      <w:pPr>
        <w:pStyle w:val="Heading3"/>
      </w:pPr>
      <w:r>
        <w:rPr>
          <w:b w:val="0"/>
          <w:i w:val="0"/>
        </w:rPr>
        <w:t>The utopians:  Intelligent machines will take on even more work, but the result will be unprecedented wealth, not economic decline. AI and computing power will advance in the next two decades to achieve “the singularity”—when machines will be able to emulate the workings of the human brain in its entirety. Human brains will be scanned and downloaded to computers and billions of replicated human brains will do most of the cognitive work, while robots will do all the heavy lifting. Economic output could double every three months. The singularity may even lead to a world where little human labor is required, a universal income program covers basic needs, and people apply their talents to meaningful pursuits.</w:t>
      </w:r>
    </w:p>
    <w:p>
      <w:pPr>
        <w:pStyle w:val="Heading3"/>
      </w:pPr>
      <w:r>
        <w:rPr>
          <w:b w:val="0"/>
          <w:i w:val="0"/>
        </w:rPr>
        <w:t>The technology optimists:  A burst of productivity has already begun but is not captured in official data because companies are still learning how intelligent technologies can change how they operate. When companies do take full advantage of intelligent technologies, a leap in productivity will produce a digital bounty—creating both economic growth and improvements in living standards not counted in GDP, such as consumer surplus (from better, cheaper products) and the value of free apps and information. However, based on current trends, the bounty won’t be distributed evenly, and many jobs will be displaced. To avoid negative income and employment effects, there will be a need to invest in education and training alongside investments in technology.</w:t>
      </w:r>
    </w:p>
    <w:p>
      <w:pPr>
        <w:pStyle w:val="Heading3"/>
      </w:pPr>
      <w:r>
        <w:rPr>
          <w:b w:val="0"/>
          <w:i w:val="0"/>
        </w:rPr>
        <w:t>The productivity skeptics:  Despite the power of intelligent technologies, any gains in national productivity levels will be low. Combine that with headwinds from aging populations, income inequality, and the costs of dealing with climate change, and the United States will have near-zero GDP growth. In the end, there isn’t much to do except brace for stagnant growth in advanced economies.</w:t>
      </w:r>
    </w:p>
    <w:p>
      <w:pPr>
        <w:pStyle w:val="Heading3"/>
      </w:pPr>
      <w:r>
        <w:rPr>
          <w:b w:val="0"/>
          <w:i w:val="0"/>
        </w:rPr>
        <w:t>The optimistic realists:  Digitization and intelligent machines can spur productivity gains that match previous technology waves. Productivity will advance rapidly in certain sectors and for high-performing companies. New jobs will be created, but intelligent technologies may exacerbate the trends of the recent past, in which demand rose for both high- and low-skill workers whose jobs could be easily automated, while demand for middle-skill workers fell. With no simple solutions, more research is needed into the true relationship between productivity, employment, and wages to uncover effective responses.</w:t>
      </w:r>
    </w:p>
    <w:p>
      <w:pPr>
        <w:pStyle w:val="Heading2"/>
      </w:pPr>
      <w:r>
        <w:rPr>
          <w:b/>
          <w:i w:val="0"/>
        </w:rPr>
        <w:t>Three Actions for Shaping the Future</w:t>
      </w:r>
    </w:p>
    <w:p>
      <w:r>
        <w:rPr>
          <w:b w:val="0"/>
          <w:i w:val="0"/>
        </w:rPr>
        <w:t>Our crystal ball for what things might look like in 10 years is cloudy. What we do know is that business leaders must take steps now to shape their workforces for the emerging intelligent enterprise. Our research and experience point to three critical imperatives.</w:t>
      </w:r>
    </w:p>
    <w:p>
      <w:pPr>
        <w:pStyle w:val="Heading3"/>
      </w:pPr>
      <w:r>
        <w:rPr>
          <w:b w:val="0"/>
          <w:i w:val="0"/>
        </w:rPr>
        <w:t>Use technology to augment human skills and reinvent operating models</w:t>
      </w:r>
    </w:p>
    <w:p>
      <w:r>
        <w:rPr>
          <w:b w:val="0"/>
          <w:i w:val="0"/>
        </w:rPr>
        <w:t>Companies that think beyond labor substitution and cost savings will see a much greater payoff. For example, a new class of adaptive robots can function safely alongside workers and can take on difficult and tedious work. Consider this example: At BMW’s Spartanburg, South Carolina, plant, robots are installing door-sealing gaskets, an awkward and tiring job for workers. This speeds up the line, improves quality, and gives workers more time to do higher-value work. Researchers estimate that using adaptive robots this way could cut time wasted on nonvalue-added work by 25%. Employee surveys show that workers have more positive views of the new robots, which they regard as useful helpers. Away from the factory, companies are using AI to offload routine work from employees and to give them new analytical tools to improve customer experience and discover new possibilities for products, services, and business models that drive growth.</w:t>
      </w:r>
    </w:p>
    <w:p>
      <w:pPr>
        <w:pStyle w:val="Heading3"/>
      </w:pPr>
      <w:r>
        <w:rPr>
          <w:b w:val="0"/>
          <w:i w:val="0"/>
        </w:rPr>
        <w:t>Take the opportunity to redefine jobs and rethink organizational design</w:t>
      </w:r>
    </w:p>
    <w:p>
      <w:r>
        <w:rPr>
          <w:b w:val="0"/>
          <w:i w:val="0"/>
        </w:rPr>
        <w:t>Companies cannot optimize their investments if they have the same old job descriptions and organizational structures. Executives should assess the tasks that need to be done, anticipate which ones will be transferred to machines, then reconfigure jobs by adding new tasks or creating entirely different roles that are needed for managing intelligent technologies. A factory worker, for example, can be trained to run robots. AI systems also need human help to train and correct algorithms and override fallible machine judgment. For example, at Stitch Fix, an online clothing subscription service, 3,400 human stylists work with an AI recommendation engine to make personalized suggestions for customers. The machines give stylists the speed they need to be productive, and the stylists provide the additional judgment needed for accurate recommendations (and fewer returns). To function effectively, an intelligent enterprise should have a nonhierarchical organization, in which employees collaborate across functional and operational silos. This enables the intelligent enterprise to act quickly on the insights from data-crunching machines and deploy human talent to swarm on problems, experiment, iterate, and get solutions into the market.</w:t>
      </w:r>
    </w:p>
    <w:p>
      <w:pPr>
        <w:pStyle w:val="Heading3"/>
      </w:pPr>
      <w:r>
        <w:rPr>
          <w:b w:val="0"/>
          <w:i w:val="0"/>
        </w:rPr>
        <w:t>Make employees your partners in building the intelligent enterprise</w:t>
      </w:r>
    </w:p>
    <w:p>
      <w:r>
        <w:rPr>
          <w:b w:val="0"/>
          <w:i w:val="0"/>
        </w:rPr>
        <w:t>To strike the right balance between investing in intelligent technologies and maintaining existing businesses, companies need help from their employees. In our (the previously referenced Accenture survey) research, we have found that employees are far more willing—even eager—to master new technologies than employers appreciate. They want to learn new skills, not least because they know they will need them to remain employed. Investments in both technology and training will help companies make a smooth transition to the intelligent enterprise. Companies that do this stand to outperform competitors because they will unleash the human talents that machines still can’t match and that are essential to growth—creativity, empathy, communications, adaptability, and problem solving. “As basic automation and machine learning move toward becoming commodities,” says Devin Fidler, research director at the Institute for the Future, “uniquely human skills will become more valuable.”</w:t>
      </w:r>
    </w:p>
    <w:p>
      <w:r>
        <w:rPr>
          <w:b w:val="0"/>
          <w:i w:val="0"/>
        </w:rPr>
        <w:t>The debate over technology and jobs will rage on. Business leaders must follow this debate—and participate in it, too. And much more research is needed to fully understand the implications of intelligent technologies for work. In the meantime, companies that actively seize control of what can be done to prepare will position themselves to thrive in this exciting new era.</w:t>
      </w:r>
    </w:p>
    <w:p>
      <w:r>
        <w:rPr>
          <w:b/>
          <w:i w:val="0"/>
        </w:rPr>
        <w:t>TAKEAWAYS</w:t>
      </w:r>
    </w:p>
    <w:p>
      <w:r>
        <w:rPr>
          <w:b w:val="0"/>
          <w:i w:val="0"/>
        </w:rPr>
        <w:t>Companies need to understand the varying opinions on how AI will change work and society, because implicitly or explicitly, these beliefs will influence the way they develop the workforce of the future.</w:t>
      </w:r>
    </w:p>
    <w:p>
      <w:pPr>
        <w:pStyle w:val="ListBullet"/>
      </w:pPr>
      <w:r>
        <w:rPr>
          <w:b w:val="0"/>
          <w:i w:val="0"/>
        </w:rPr>
        <w:t>Five schools of thought are central to this debate:</w:t>
        <w:br/>
      </w:r>
    </w:p>
    <w:p>
      <w:pPr>
        <w:pStyle w:val="ListBullet"/>
      </w:pPr>
      <w:r>
        <w:rPr>
          <w:b w:val="0"/>
          <w:i w:val="0"/>
        </w:rPr>
        <w:t>Dystopians. Man and machine will wage a Darwinian struggle that machines will win.</w:t>
      </w:r>
    </w:p>
    <w:p>
      <w:pPr>
        <w:pStyle w:val="ListBullet"/>
      </w:pPr>
      <w:r>
        <w:rPr>
          <w:b w:val="0"/>
          <w:i w:val="0"/>
        </w:rPr>
        <w:t>Utopians. Intelligent machines will take on even more work, but the result will be unprecedented wealth, not economic decline.</w:t>
      </w:r>
    </w:p>
    <w:p>
      <w:pPr>
        <w:pStyle w:val="ListBullet"/>
      </w:pPr>
      <w:r>
        <w:rPr>
          <w:b w:val="0"/>
          <w:i w:val="0"/>
        </w:rPr>
        <w:t>Technology optimists. A burst of productivity has already begun but is not captured in official data.</w:t>
      </w:r>
    </w:p>
    <w:p>
      <w:pPr>
        <w:pStyle w:val="ListBullet"/>
      </w:pPr>
      <w:r>
        <w:rPr>
          <w:b w:val="0"/>
          <w:i w:val="0"/>
        </w:rPr>
        <w:t>Productivity skeptics. Despite the power of intelligent technologies, any productivity gains will be low.</w:t>
      </w:r>
    </w:p>
    <w:p>
      <w:pPr>
        <w:pStyle w:val="ListBullet"/>
      </w:pPr>
      <w:r>
        <w:rPr>
          <w:b w:val="0"/>
          <w:i w:val="0"/>
        </w:rPr>
        <w:t>Optimistic realists. Digitization and intelligent machines can spur productivity gains that match previous technology waves.</w:t>
      </w:r>
    </w:p>
    <w:p>
      <w:pPr>
        <w:pStyle w:val="ListBullet"/>
      </w:pPr>
      <w:r>
        <w:rPr>
          <w:b w:val="0"/>
          <w:i w:val="0"/>
        </w:rPr>
        <w:t>Executives who want to position their companies to thrive in the AI future should set the following goals:</w:t>
      </w:r>
    </w:p>
    <w:p>
      <w:pPr>
        <w:pStyle w:val="ListBullet"/>
      </w:pPr>
      <w:r>
        <w:rPr>
          <w:b w:val="0"/>
          <w:i w:val="0"/>
        </w:rPr>
        <w:t>Use technology to augment human skills and reinvent operating models.</w:t>
      </w:r>
    </w:p>
    <w:p>
      <w:pPr>
        <w:pStyle w:val="ListBullet"/>
      </w:pPr>
      <w:r>
        <w:rPr>
          <w:b w:val="0"/>
          <w:i w:val="0"/>
        </w:rPr>
        <w:t>Take the opportunity to redefine jobs and rethink organizational design.</w:t>
      </w:r>
    </w:p>
    <w:p>
      <w:pPr>
        <w:pStyle w:val="ListBullet"/>
      </w:pPr>
      <w:r>
        <w:rPr>
          <w:b w:val="0"/>
          <w:i w:val="0"/>
        </w:rPr>
        <w:t>Make employees partners in building the intelligent enterprise.</w:t>
      </w:r>
    </w:p>
    <w:p>
      <w:r>
        <w:rPr>
          <w:b w:val="0"/>
          <w:i/>
        </w:rPr>
        <w:t>Adapted from content posted on hbr.org, January 24, 2018 (product #H0449F).</w:t>
      </w:r>
    </w:p>
    <w:p>
      <w:r>
        <w:rPr>
          <w:b w:val="0"/>
          <w:i/>
        </w:rPr>
        <w:t>The author thanks his colleagues in Accenture Research, Svenja Falk, David Light, and Geoffrey Lewis, for their contributions to this article.</w:t>
      </w:r>
    </w:p>
    <w:p>
      <w:pPr>
        <w:pStyle w:val="Heading1"/>
      </w:pPr>
      <w:r>
        <w:rPr>
          <w:b/>
          <w:i w:val="0"/>
        </w:rPr>
        <w:t>9</w:t>
      </w:r>
    </w:p>
    <w:p>
      <w:pPr>
        <w:pStyle w:val="Heading1"/>
      </w:pPr>
      <w:r>
        <w:rPr>
          <w:b/>
          <w:i w:val="0"/>
        </w:rPr>
        <w:t>COLLABORATIVE INTELLIGENCE</w:t>
      </w:r>
    </w:p>
    <w:p>
      <w:pPr>
        <w:pStyle w:val="Heading2"/>
      </w:pPr>
      <w:r>
        <w:rPr>
          <w:b/>
          <w:i w:val="0"/>
        </w:rPr>
        <w:t>Humans and AI Are Joining Forces</w:t>
      </w:r>
    </w:p>
    <w:p>
      <w:r>
        <w:rPr>
          <w:b w:val="0"/>
          <w:i w:val="0"/>
        </w:rPr>
        <w:t>by H. James Wilson and Paul Daugherty</w:t>
      </w:r>
    </w:p>
    <w:p>
      <w:r>
        <w:rPr>
          <w:b w:val="0"/>
          <w:i w:val="0"/>
        </w:rPr>
        <w:t>Artificial intelligence is becoming good at many “human” jobs—diagnosing disease, translating languages, providing customer service—and it’s improving fast. This is raising reasonable fears that AI will ultimately replace human workers throughout the economy. But that’s not the inevitable, or even most likely, outcome. Never before have digital tools been so responsive to us, nor we to our tools. While AI will radically alter how work gets done and who does it, the technology’s larger impact will be in complementing and augmenting human capabilities, not replacing them.</w:t>
      </w:r>
    </w:p>
    <w:p>
      <w:r>
        <w:rPr>
          <w:b/>
          <w:i w:val="0"/>
        </w:rPr>
        <w:t>The Value of Collaboration</w:t>
      </w:r>
    </w:p>
    <w:p>
      <w:r>
        <w:rPr>
          <w:b w:val="0"/>
          <w:i w:val="0"/>
        </w:rPr>
        <w:t>Companies benefit from optimizing collaboration between humans and artificial intelligence. Five principles can help them do so: Reimagine business processes; embrace experimentation/employee involvement; actively direct AI strategy; responsibly collect data; and redesign work to incorporate AI and cultivate related employee skills. A survey of 1,075 companies in 12 industries found that the more of these principles companies adopted, the better their AI initiatives performed in terms of speed, cost savings, revenues, or other operational measures (see the figure).</w:t>
      </w:r>
    </w:p>
    <w:p>
      <w:pPr>
        <w:jc w:val="center"/>
      </w:pPr>
      <w:r>
        <w:drawing>
          <wp:inline xmlns:a="http://schemas.openxmlformats.org/drawingml/2006/main" xmlns:pic="http://schemas.openxmlformats.org/drawingml/2006/picture">
            <wp:extent cx="6680200" cy="6515100"/>
            <wp:docPr id="37" name="Picture 37"/>
            <wp:cNvGraphicFramePr>
              <a:graphicFrameLocks noChangeAspect="1"/>
            </wp:cNvGraphicFramePr>
            <a:graphic>
              <a:graphicData uri="http://schemas.openxmlformats.org/drawingml/2006/picture">
                <pic:pic>
                  <pic:nvPicPr>
                    <pic:cNvPr id="0" name="epub_img_5318556911559651452.jpg"/>
                    <pic:cNvPicPr/>
                  </pic:nvPicPr>
                  <pic:blipFill>
                    <a:blip r:embed="rId33"/>
                    <a:stretch>
                      <a:fillRect/>
                    </a:stretch>
                  </pic:blipFill>
                  <pic:spPr>
                    <a:xfrm>
                      <a:off x="0" y="0"/>
                      <a:ext cx="6680200" cy="6515100"/>
                    </a:xfrm>
                    <a:prstGeom prst="rect"/>
                  </pic:spPr>
                </pic:pic>
              </a:graphicData>
            </a:graphic>
          </wp:inline>
        </w:drawing>
      </w:r>
    </w:p>
    <w:p>
      <w:pPr>
        <w:jc w:val="center"/>
      </w:pPr>
      <w:r>
        <w:drawing>
          <wp:inline xmlns:a="http://schemas.openxmlformats.org/drawingml/2006/main" xmlns:pic="http://schemas.openxmlformats.org/drawingml/2006/picture">
            <wp:extent cx="6680200" cy="6515100"/>
            <wp:docPr id="38" name="Picture 38"/>
            <wp:cNvGraphicFramePr>
              <a:graphicFrameLocks noChangeAspect="1"/>
            </wp:cNvGraphicFramePr>
            <a:graphic>
              <a:graphicData uri="http://schemas.openxmlformats.org/drawingml/2006/picture">
                <pic:pic>
                  <pic:nvPicPr>
                    <pic:cNvPr id="0" name="epub_img_5318556911559651452.jpg"/>
                    <pic:cNvPicPr/>
                  </pic:nvPicPr>
                  <pic:blipFill>
                    <a:blip r:embed="rId33"/>
                    <a:stretch>
                      <a:fillRect/>
                    </a:stretch>
                  </pic:blipFill>
                  <pic:spPr>
                    <a:xfrm>
                      <a:off x="0" y="0"/>
                      <a:ext cx="6680200" cy="6515100"/>
                    </a:xfrm>
                    <a:prstGeom prst="rect"/>
                  </pic:spPr>
                </pic:pic>
              </a:graphicData>
            </a:graphic>
          </wp:inline>
        </w:drawing>
      </w:r>
    </w:p>
    <w:p>
      <w:r>
        <w:rPr>
          <w:b w:val="0"/>
          <w:i w:val="0"/>
        </w:rPr>
        <w:t>Certainly, many companies have used AI to automate processes, but those that deploy it mainly to displace employees will see only short-term productivity gains. In our research involving 1,500 companies, we found that firms achieve the most significant performance improvements when humans and machines work together. Through such collaborative intelligence, humans and AI actively enhance each other’s complementary strengths: the leadership, teamwork, creativity, and social skills of the former, and the speed, scalability, and quantitative capabilities of the latter. What comes naturally to people (making a joke, for example) can be tricky for machines, and what’s straightforward for machines (analyzing gigabytes of data) remains virtually impossible for humans. Business requires both kinds of capabilities.</w:t>
      </w:r>
    </w:p>
    <w:p>
      <w:r>
        <w:rPr>
          <w:b w:val="0"/>
          <w:i w:val="0"/>
        </w:rPr>
        <w:t>To take full advantage of this collaboration, companies must understand how humans can most effectively augment machines, how machines can enhance what humans do best, and how to redesign business processes to support the partnership. Through our research and work in the field, we have developed guidelines to help companies achieve this and put the power of collaborative intelligence to work.</w:t>
      </w:r>
    </w:p>
    <w:p>
      <w:pPr>
        <w:pStyle w:val="Heading2"/>
      </w:pPr>
      <w:r>
        <w:rPr>
          <w:b/>
          <w:i w:val="0"/>
        </w:rPr>
        <w:t>Humans Assisting Machines</w:t>
      </w:r>
    </w:p>
    <w:p>
      <w:r>
        <w:rPr>
          <w:b w:val="0"/>
          <w:i w:val="0"/>
        </w:rPr>
        <w:t xml:space="preserve">Humans need to perform three crucial roles. They must </w:t>
      </w:r>
      <w:r>
        <w:rPr>
          <w:b w:val="0"/>
          <w:i/>
        </w:rPr>
        <w:t>train</w:t>
      </w:r>
      <w:r>
        <w:rPr>
          <w:b w:val="0"/>
          <w:i w:val="0"/>
        </w:rPr>
        <w:t xml:space="preserve"> machines to perform certain tasks; </w:t>
      </w:r>
      <w:r>
        <w:rPr>
          <w:b w:val="0"/>
          <w:i/>
        </w:rPr>
        <w:t>explain</w:t>
      </w:r>
      <w:r>
        <w:rPr>
          <w:b w:val="0"/>
          <w:i w:val="0"/>
        </w:rPr>
        <w:t xml:space="preserve"> the outcomes of those tasks, especially when the results are counterintuitive or controversial; and </w:t>
      </w:r>
      <w:r>
        <w:rPr>
          <w:b w:val="0"/>
          <w:i/>
        </w:rPr>
        <w:t>sustain</w:t>
      </w:r>
      <w:r>
        <w:rPr>
          <w:b w:val="0"/>
          <w:i w:val="0"/>
        </w:rPr>
        <w:t xml:space="preserve"> the responsible use of machines (by, for example, preventing robots from harming humans).</w:t>
      </w:r>
    </w:p>
    <w:p>
      <w:pPr>
        <w:pStyle w:val="Heading3"/>
      </w:pPr>
      <w:r>
        <w:rPr>
          <w:b w:val="0"/>
          <w:i w:val="0"/>
        </w:rPr>
        <w:t>Training</w:t>
      </w:r>
    </w:p>
    <w:p>
      <w:r>
        <w:rPr>
          <w:b w:val="0"/>
          <w:i w:val="0"/>
        </w:rPr>
        <w:t>Machine learning algorithms must be taught how to perform the work they’re designed to do. In that effort, huge training data sets are amassed to teach machine-translation apps to handle idiomatic expressions, medical apps to detect disease, and recommendation engines to support financial decision making. In addition, AI systems must be trained how best to interact with humans. While organizations across sectors are now in the early stages of filling trainer roles, leading tech companies and research groups already have mature training staffs and expertise.</w:t>
      </w:r>
    </w:p>
    <w:p>
      <w:r>
        <w:rPr>
          <w:b w:val="0"/>
          <w:i w:val="0"/>
        </w:rPr>
        <w:t>Consider Microsoft’s AI assistant, Cortana. The bot required extensive training to develop just the right personality: confident, caring, and helpful but not bossy. Instilling those qualities took countless hours of attention by a team that included a poet, a novelist, and a playwright. Similarly, human trainers were needed to develop the personalities of Apple’s Siri and Amazon’s Alexa to ensure that they accurately reflected their companies’ brands. Siri, for example, has just a touch of sassiness, as consumers might expect from Apple.</w:t>
      </w:r>
    </w:p>
    <w:p>
      <w:r>
        <w:rPr>
          <w:b w:val="0"/>
          <w:i w:val="0"/>
        </w:rPr>
        <w:t>AI assistants are now being trained to display even more complex and subtle human traits, such as sympathy. The startup Koko, an offshoot of the MIT Media Lab, has developed technology that can help AI assistants seem to commiserate. For instance, if a user is having a bad day, the Koko system doesn’t reply with a canned response such as “I’m sorry to hear that.” Instead it may ask for more information and then offer advice to help the person see his issues in a different light. If he were feeling stressed, for instance, Koko might recommend thinking of that tension as a positive emotion that could be channeled into action.</w:t>
      </w:r>
    </w:p>
    <w:p>
      <w:pPr>
        <w:pStyle w:val="Heading3"/>
      </w:pPr>
      <w:r>
        <w:rPr>
          <w:b w:val="0"/>
          <w:i w:val="0"/>
        </w:rPr>
        <w:t>Explaining</w:t>
      </w:r>
    </w:p>
    <w:p>
      <w:r>
        <w:rPr>
          <w:b w:val="0"/>
          <w:i w:val="0"/>
        </w:rPr>
        <w:t xml:space="preserve">As AIs increasingly reach conclusions through processes that are opaque (the so-called black-box problem), they require human experts in the field to explain their behavior to nonexpert users. These “explainers” are particularly important in evidence-based industries, such as law and medicine, where a practitioner needs to understand how an AI weighed inputs into, say, a sentencing or medical recommendation. Explainers are similarly important in helping insurers and law enforcement understand why an autonomous car took actions that led to an accident—or failed to avoid one. And explainers are becoming integral in regulated industries—indeed, in any consumer-facing industry where a machine’s output could be challenged as unfair, illegal, or just plain wrong. For instance, the European Union’s new General Data Protection Regulation (GDPR) gives consumers the right to receive an explanation for any algorithm-based decision, such as the rate offer on a credit card or mortgage. This is one area where AI will contribute to </w:t>
      </w:r>
      <w:r>
        <w:rPr>
          <w:b w:val="0"/>
          <w:i/>
        </w:rPr>
        <w:t>increased</w:t>
      </w:r>
      <w:r>
        <w:rPr>
          <w:b w:val="0"/>
          <w:i w:val="0"/>
        </w:rPr>
        <w:t xml:space="preserve"> employment: Experts estimate that companies will have to create about 75,000 new jobs to administer the GDPR requirements.</w:t>
      </w:r>
    </w:p>
    <w:p>
      <w:pPr>
        <w:pStyle w:val="Heading3"/>
      </w:pPr>
      <w:r>
        <w:rPr>
          <w:b w:val="0"/>
          <w:i w:val="0"/>
        </w:rPr>
        <w:t>Sustaining</w:t>
      </w:r>
    </w:p>
    <w:p>
      <w:r>
        <w:rPr>
          <w:b w:val="0"/>
          <w:i w:val="0"/>
        </w:rPr>
        <w:t>In addition to having people who can explain AI outcomes, companies need “sustainers”—employees who continually work to ensure that AI systems are functioning properly, safely, and responsibly.</w:t>
      </w:r>
    </w:p>
    <w:p>
      <w:r>
        <w:rPr>
          <w:b w:val="0"/>
          <w:i w:val="0"/>
        </w:rPr>
        <w:t>For example, an array of experts, sometimes referred to as safety engineers, focuses on anticipating and trying to prevent harm by AIs. The developers of industrial robots that work alongside people have paid careful attention to ensuring that they recognize humans nearby and don’t endanger them. These experts may also review analysis from explainers when AIs do cause harm, as when a self-driving car is involved in a fatal accident.</w:t>
      </w:r>
    </w:p>
    <w:p>
      <w:r>
        <w:rPr>
          <w:b w:val="0"/>
          <w:i w:val="0"/>
        </w:rPr>
        <w:t>Other groups of sustainers make sure that AI systems uphold ethical norms. If an AI system for credit approval, for example, is found to be discriminating against people in certain groups (as has happened), these ethics managers are responsible for investigating and addressing the problem. Playing a similar role, data compliance officers try to ensure that the data that is feeding AI systems complies with the GDPR and other consumer-protection regulations. A related data-use role involves ensuring that AIs manage information responsibly. Like many tech companies, Apple uses AI to collect personal details about users as they engage with the company’s devices and software. The aim is to improve the user experience, but unconstrained data gathering can compromise privacy, anger customers, and run afoul of the law. The company’s “differential privacy team” works to make sure that while the AI seeks to learn as much as possible about a group of users in a statistical sense, it is protecting the privacy of individual users.</w:t>
      </w:r>
    </w:p>
    <w:p>
      <w:pPr>
        <w:pStyle w:val="Heading2"/>
      </w:pPr>
      <w:r>
        <w:rPr>
          <w:b/>
          <w:i w:val="0"/>
        </w:rPr>
        <w:t>Machines Assisting Humans</w:t>
      </w:r>
    </w:p>
    <w:p>
      <w:r>
        <w:rPr>
          <w:b w:val="0"/>
          <w:i w:val="0"/>
        </w:rPr>
        <w:t xml:space="preserve">Smart machines are helping humans expand their abilities in three ways. They can </w:t>
      </w:r>
      <w:r>
        <w:rPr>
          <w:b w:val="0"/>
          <w:i/>
        </w:rPr>
        <w:t>amplify</w:t>
      </w:r>
      <w:r>
        <w:rPr>
          <w:b w:val="0"/>
          <w:i w:val="0"/>
        </w:rPr>
        <w:t xml:space="preserve"> our cognitive strengths; </w:t>
      </w:r>
      <w:r>
        <w:rPr>
          <w:b w:val="0"/>
          <w:i/>
        </w:rPr>
        <w:t>interact</w:t>
      </w:r>
      <w:r>
        <w:rPr>
          <w:b w:val="0"/>
          <w:i w:val="0"/>
        </w:rPr>
        <w:t xml:space="preserve"> with customers and employees to free us for higher-level tasks; and </w:t>
      </w:r>
      <w:r>
        <w:rPr>
          <w:b w:val="0"/>
          <w:i/>
        </w:rPr>
        <w:t>embody</w:t>
      </w:r>
      <w:r>
        <w:rPr>
          <w:b w:val="0"/>
          <w:i w:val="0"/>
        </w:rPr>
        <w:t xml:space="preserve"> human skills to extend our physical capabilities.</w:t>
      </w:r>
    </w:p>
    <w:p>
      <w:pPr>
        <w:pStyle w:val="Heading3"/>
      </w:pPr>
      <w:r>
        <w:rPr>
          <w:b w:val="0"/>
          <w:i w:val="0"/>
        </w:rPr>
        <w:t>Amplifying</w:t>
      </w:r>
    </w:p>
    <w:p>
      <w:r>
        <w:rPr>
          <w:b w:val="0"/>
          <w:i w:val="0"/>
        </w:rPr>
        <w:t>Artificial intelligence can boost our analytic and decision-making abilities by providing the right information at the right time. But it can also heighten creativity. Consider how Autodesk’s Dreamcatcher AI enhances the imagination of even exceptional designers. A designer provides Dreamcatcher with criteria about the desired product—for example, a chair able to support up to 300 pounds, with a seat 18 inches off the ground, made of materials costing less than $75, and so on. She can also supply information about other chairs that she finds attractive. Dreamcatcher then churns out thousands of designs that match those criteria, often sparking ideas that the designer might not have initially considered. She can then guide the software, telling it which chairs she likes or doesn’t, leading to a new round of designs.</w:t>
      </w:r>
    </w:p>
    <w:p>
      <w:r>
        <w:rPr>
          <w:b w:val="0"/>
          <w:i w:val="0"/>
        </w:rPr>
        <w:t>Throughout the iterative process, Dreamcatcher performs the myriad calculations needed to ensure that each proposed design meets the specified criteria. This frees the designer to concentrate on deploying uniquely human strengths: professional judgment and aesthetic sensibilities.</w:t>
      </w:r>
    </w:p>
    <w:p>
      <w:pPr>
        <w:pStyle w:val="Heading3"/>
      </w:pPr>
      <w:r>
        <w:rPr>
          <w:b w:val="0"/>
          <w:i w:val="0"/>
        </w:rPr>
        <w:t>Interacting</w:t>
      </w:r>
    </w:p>
    <w:p>
      <w:r>
        <w:rPr>
          <w:b w:val="0"/>
          <w:i w:val="0"/>
        </w:rPr>
        <w:t>Human-machine collaboration enables companies to interact with employees and customers in novel, more effective ways. AI agents like Cortana, for example, can facilitate communications between people or on behalf of people, such as by transcribing a meeting and distributing a voice-searchable version to those who couldn’t attend. Such applications are inherently scalable—a single chatbot, for instance, can provide routine customer service to large numbers of people simultaneously, wherever they may be.</w:t>
      </w:r>
    </w:p>
    <w:p>
      <w:r>
        <w:rPr>
          <w:b w:val="0"/>
          <w:i w:val="0"/>
        </w:rPr>
        <w:t>SEB, a major Swedish bank, now uses a virtual assistant called Aida to interact with millions of customers. Able to handle natural-language conversations, Aida has access to vast stores of data and can answer many frequently asked questions, such as how to open an account or make cross-border payments. She can also ask callers follow-up questions to solve their problems, and she’s able to analyze a caller’s tone of voice (frustrated versus appreciative, for instance) and use that information to provide better service later. Whenever the system can’t resolve an issue—which happens in about 30% of cases—it turns the caller over to a human customer-service representative and then monitors that interaction to learn how to resolve similar problems in the future. With Aida handling basic requests, human reps can concentrate on addressing more-complex issues, especially those from unhappy callers who might require extra hand-holding.</w:t>
      </w:r>
    </w:p>
    <w:p>
      <w:pPr>
        <w:pStyle w:val="Heading3"/>
      </w:pPr>
      <w:r>
        <w:rPr>
          <w:b w:val="0"/>
          <w:i w:val="0"/>
        </w:rPr>
        <w:t>Embodying</w:t>
      </w:r>
    </w:p>
    <w:p>
      <w:r>
        <w:rPr>
          <w:b w:val="0"/>
          <w:i w:val="0"/>
        </w:rPr>
        <w:t>Many AIs, like Aida and Cortana, exist principally as digital entities, but in other applications the intelligence is embodied in a robot that augments a human worker. With their sophisticated sensors, motors, and actuators, AI-enabled machines can now recognize people and objects and work safely alongside humans in factories, warehouses, and laboratories.</w:t>
      </w:r>
    </w:p>
    <w:p>
      <w:r>
        <w:rPr>
          <w:b w:val="0"/>
          <w:i w:val="0"/>
        </w:rPr>
        <w:t>In manufacturing, for example, robots are evolving from potentially dangerous and “dumb” industrial machines into smart, context-aware “cobots.” A cobot arm might, for example, handle repetitive actions that require heavy lifting, while a person performs complementary tasks that require dexterity and human judgment, such as assembling a gear motor.</w:t>
      </w:r>
    </w:p>
    <w:p>
      <w:r>
        <w:rPr>
          <w:b w:val="0"/>
          <w:i w:val="0"/>
        </w:rPr>
        <w:t>Hyundai is extending the cobot concept with exoskeletons. These wearable robotic devices, which adapt to the user and location in real time, will enable industrial workers to perform their jobs with superhuman endurance and strength.</w:t>
      </w:r>
    </w:p>
    <w:p>
      <w:pPr>
        <w:pStyle w:val="Heading2"/>
      </w:pPr>
      <w:r>
        <w:rPr>
          <w:b/>
          <w:i w:val="0"/>
        </w:rPr>
        <w:t>Reimagining Your Business</w:t>
      </w:r>
    </w:p>
    <w:p>
      <w:r>
        <w:rPr>
          <w:b w:val="0"/>
          <w:i w:val="0"/>
        </w:rPr>
        <w:t>In order to get the most value from AI, operations need to be redesigned. To do this, companies must first discover and describe an operational area that can be improved. It might be a balky internal process (such as HR’s slowness to fill staff positions), or it could be a previously intractable problem that can now be addressed using AI (such as quickly identifying adverse drug reactions across patient populations). Moreover, a number of new AI and advanced analytic techniques can help surface previously invisible problems that are amenable to AI solutions.</w:t>
      </w:r>
    </w:p>
    <w:p>
      <w:r>
        <w:rPr>
          <w:b w:val="0"/>
          <w:i w:val="0"/>
        </w:rPr>
        <w:t>Next, companies must develop a solution through co-creation—having stakeholders envision how they might collaborate with AI systems to improve a process. Consider the case of a large agricultural company that wanted to deploy AI technology to help farmers. An enormous amount of data was available about soil properties, weather patterns, historical harvests, and so forth, and the initial plan was to build an AI application that would more accurately predict future crop yields. But in discussions with farmers, the company learned of a more pressing need. What farmers really wanted was a system that could provide real-time recommendations on how to increase productivity—which crops to plant, where to grow them, how much nitrogen to use in the soil, and so on. The company developed an AI system to provide such advice, and the initial outcomes were promising; farmers were happy about the crop yields obtained with the AI’s guidance. Results from that initial test were then fed back into the system to refine the algorithms used. As with the discovery step, new AI and analytic techniques can assist in co-creation by suggesting novel approaches to improving processes.</w:t>
      </w:r>
    </w:p>
    <w:p>
      <w:r>
        <w:rPr>
          <w:b/>
          <w:i w:val="0"/>
        </w:rPr>
        <w:t>Revealing Invisible Problems</w:t>
      </w:r>
    </w:p>
    <w:p>
      <w:r>
        <w:rPr>
          <w:b w:val="0"/>
          <w:i w:val="0"/>
        </w:rPr>
        <w:t>Former U.S. Defense Secretary Donald Rumsfeld once famously distinguished among “known knowns,” “known unknowns,” and “unknown unknowns”—things you’re not even aware you don’t know. Some companies are now using AI to uncover unknown unknowns in their businesses. Case in point: GNS Healthcare applies machine learning software to find overlooked relationships among data in patients’ health records and elsewhere. After identifying a relationship, the software churns out numerous hypotheses to explain it and then suggests which of those are the most likely. This approach enabled GNS to uncover a new drug interaction hidden in unstructured patient notes. CEO Colin Hill points out that this is not garden-variety data mining to find associations. “Our machine learning platform is not just about seeing patterns and correlations in data,” he says. “It’s about actually discovering causal links.”</w:t>
      </w:r>
    </w:p>
    <w:p>
      <w:r>
        <w:rPr>
          <w:b w:val="0"/>
          <w:i w:val="0"/>
        </w:rPr>
        <w:t>The third step for companies is to scale and then sustain the proposed solution. SEB, for example, originally deployed a version of Aida internally to assist 15,000 bank employees but thereafter rolled out the chatbot to its one million customers.</w:t>
      </w:r>
    </w:p>
    <w:p>
      <w:r>
        <w:rPr>
          <w:b w:val="0"/>
          <w:i w:val="0"/>
        </w:rPr>
        <w:t>Through our work with hundreds of companies, we have identified five characteristics of business processes that companies typically want to improve: flexibility, speed, scale, decision making, and personalization. When reimagining a business process, determine which of these characteristics is central to the desired transformation, how intelligent collaboration could be harnessed to address it, and what alignments and trade-offs with other process characteristics will be necessary.</w:t>
      </w:r>
    </w:p>
    <w:p>
      <w:pPr>
        <w:pStyle w:val="Heading3"/>
      </w:pPr>
      <w:r>
        <w:rPr>
          <w:b w:val="0"/>
          <w:i w:val="0"/>
        </w:rPr>
        <w:t>Flexibility</w:t>
      </w:r>
    </w:p>
    <w:p>
      <w:r>
        <w:rPr>
          <w:b w:val="0"/>
          <w:i w:val="0"/>
        </w:rPr>
        <w:t>For Mercedes-Benz executives, inflexible processes presented a growing challenge. Increasingly, the company’s most profitable customers had been demanding individualized S-class sedans, but the automaker’s assembly systems couldn’t deliver the customization people wanted.</w:t>
      </w:r>
    </w:p>
    <w:p>
      <w:r>
        <w:rPr>
          <w:b w:val="0"/>
          <w:i w:val="0"/>
        </w:rPr>
        <w:t>Traditionally, car manufacturing has been a rigid process with automated steps executed by “dumb” robots. To improve flexibility, Mercedes replaced some of those robots with AI-enabled cobots and redesigned its processes around human-machine collaborations. At the company’s plant near Stuttgart, Germany, cobot arms guided by human workers pick up and place heavy parts, becoming an extension of the worker’s body. This system puts the worker in control of the building of each car, doing less manual labor and more of a “piloting” job with the robot.</w:t>
      </w:r>
    </w:p>
    <w:p>
      <w:r>
        <w:rPr>
          <w:b w:val="0"/>
          <w:i w:val="0"/>
        </w:rPr>
        <w:t>The company’s human-machine teams can adapt on the fly. In the plant, the cobots can be reprogrammed easily with a tablet, allowing them to handle different tasks depending on changes in the workflow. Such agility has enabled the manufacturer to achieve unprecedented levels of customization. Mercedes can individualize vehicle production according to the real-time choices consumers make at dealerships, changing everything from a vehicle’s dashboard components to the seat leather to the tire valve caps. As a result, no two cars rolling off the assembly line at the Stuttgart plant are the same.</w:t>
      </w:r>
    </w:p>
    <w:p>
      <w:pPr>
        <w:pStyle w:val="Heading3"/>
      </w:pPr>
      <w:r>
        <w:rPr>
          <w:b w:val="0"/>
          <w:i w:val="0"/>
        </w:rPr>
        <w:t>Speed</w:t>
      </w:r>
    </w:p>
    <w:p>
      <w:r>
        <w:rPr>
          <w:b w:val="0"/>
          <w:i w:val="0"/>
        </w:rPr>
        <w:t>For some business activities, the premium is on speed. One such operation is the detection of credit-card fraud. Companies have just seconds to determine whether they should approve a given transaction. If it’s fraudulent, they will most likely have to eat that loss. But if they deny a legitimate transaction, they lose the fee from that purchase and anger the customer.</w:t>
      </w:r>
    </w:p>
    <w:p>
      <w:r>
        <w:rPr>
          <w:b w:val="0"/>
          <w:i w:val="0"/>
        </w:rPr>
        <w:t>Like most major banks, HSBC has developed an AI-based solution that improves the speed and accuracy of fraud detection. The AI monitors and scores millions of transactions daily, using data on purchase location and customer behavior, IP addresses, and other information to identify subtle patterns that signal possible fraud. HSBC first implemented the system in the United States, significantly reducing the rate of undetected fraud and false positives, and then rolled it out in the United Kingdom and Asia. A different AI system used by Danske Bank improved its fraud-detection rate by 50% and decreased false positives by 60%. The reduction in the number of false positives frees investigators to concentrate their efforts on equivocal transactions the AI has flagged, where human judgment is needed.</w:t>
      </w:r>
    </w:p>
    <w:p>
      <w:r>
        <w:rPr>
          <w:b/>
          <w:i w:val="0"/>
        </w:rPr>
        <w:t>TABLE 9-1</w:t>
      </w:r>
    </w:p>
    <w:p>
      <w:r>
        <w:rPr>
          <w:b/>
          <w:i w:val="0"/>
        </w:rPr>
        <w:t>Enhancing performance</w:t>
      </w:r>
    </w:p>
    <w:p>
      <w:r>
        <w:rPr>
          <w:b w:val="0"/>
          <w:i/>
        </w:rPr>
        <w:t>At organizations in all kinds of industries, humans and AI are collaborating to improve five elements of business processes.</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Element</w:t>
            </w:r>
          </w:p>
        </w:tc>
        <w:tc>
          <w:tcPr>
            <w:tcW w:type="dxa" w:w="1234"/>
          </w:tcPr>
          <w:p>
            <w:r/>
          </w:p>
        </w:tc>
        <w:tc>
          <w:tcPr>
            <w:tcW w:type="dxa" w:w="1234"/>
          </w:tcPr>
          <w:p>
            <w:r>
              <w:t>Business process</w:t>
            </w:r>
          </w:p>
        </w:tc>
        <w:tc>
          <w:tcPr>
            <w:tcW w:type="dxa" w:w="1234"/>
          </w:tcPr>
          <w:p>
            <w:r/>
          </w:p>
        </w:tc>
        <w:tc>
          <w:tcPr>
            <w:tcW w:type="dxa" w:w="1234"/>
          </w:tcPr>
          <w:p>
            <w:r>
              <w:t>Company or organization</w:t>
            </w:r>
          </w:p>
        </w:tc>
        <w:tc>
          <w:tcPr>
            <w:tcW w:type="dxa" w:w="1234"/>
          </w:tcPr>
          <w:p>
            <w:r/>
          </w:p>
        </w:tc>
        <w:tc>
          <w:tcPr>
            <w:tcW w:type="dxa" w:w="1234"/>
          </w:tcPr>
          <w:p>
            <w:r>
              <w:t>Type of collaboration</w:t>
            </w:r>
          </w:p>
        </w:tc>
      </w:tr>
      <w:tr>
        <w:tc>
          <w:tcPr>
            <w:tcW w:type="dxa" w:w="1234"/>
          </w:tcPr>
          <w:p>
            <w:r>
              <w:t>Flexibility</w:t>
            </w:r>
          </w:p>
        </w:tc>
        <w:tc>
          <w:tcPr>
            <w:tcW w:type="dxa" w:w="1234"/>
          </w:tcPr>
          <w:p>
            <w:r/>
          </w:p>
        </w:tc>
        <w:tc>
          <w:tcPr>
            <w:tcW w:type="dxa" w:w="1234"/>
          </w:tcPr>
          <w:p>
            <w:r>
              <w:t>Auto manufacturing</w:t>
            </w:r>
          </w:p>
        </w:tc>
        <w:tc>
          <w:tcPr>
            <w:tcW w:type="dxa" w:w="1234"/>
          </w:tcPr>
          <w:p>
            <w:r/>
          </w:p>
        </w:tc>
        <w:tc>
          <w:tcPr>
            <w:tcW w:type="dxa" w:w="1234"/>
          </w:tcPr>
          <w:p>
            <w:r>
              <w:t>Mercedes-Benz</w:t>
            </w:r>
          </w:p>
        </w:tc>
        <w:tc>
          <w:tcPr>
            <w:tcW w:type="dxa" w:w="1234"/>
          </w:tcPr>
          <w:p>
            <w:r/>
          </w:p>
        </w:tc>
        <w:tc>
          <w:tcPr>
            <w:tcW w:type="dxa" w:w="1234"/>
          </w:tcPr>
          <w:p>
            <w:r>
              <w:t>Assembly robots work safely alongside humans to customize cars in real time.</w:t>
            </w:r>
          </w:p>
        </w:tc>
      </w:tr>
      <w:tr>
        <w:tc>
          <w:tcPr>
            <w:tcW w:type="dxa" w:w="1234"/>
          </w:tcPr>
          <w:p>
            <w:r/>
          </w:p>
        </w:tc>
        <w:tc>
          <w:tcPr>
            <w:tcW w:type="dxa" w:w="1234"/>
          </w:tcPr>
          <w:p>
            <w:r/>
          </w:p>
        </w:tc>
        <w:tc>
          <w:tcPr>
            <w:tcW w:type="dxa" w:w="1234"/>
          </w:tcPr>
          <w:p>
            <w:r>
              <w:t>Product design</w:t>
            </w:r>
          </w:p>
        </w:tc>
        <w:tc>
          <w:tcPr>
            <w:tcW w:type="dxa" w:w="1234"/>
          </w:tcPr>
          <w:p>
            <w:r/>
          </w:p>
        </w:tc>
        <w:tc>
          <w:tcPr>
            <w:tcW w:type="dxa" w:w="1234"/>
          </w:tcPr>
          <w:p>
            <w:r>
              <w:t>Autodesk</w:t>
            </w:r>
          </w:p>
        </w:tc>
        <w:tc>
          <w:tcPr>
            <w:tcW w:type="dxa" w:w="1234"/>
          </w:tcPr>
          <w:p>
            <w:r/>
          </w:p>
        </w:tc>
        <w:tc>
          <w:tcPr>
            <w:tcW w:type="dxa" w:w="1234"/>
          </w:tcPr>
          <w:p>
            <w:r>
              <w:t>Software suggests new product design concepts as a designer changes parameters such as materials, cost, and performance requirements.</w:t>
            </w:r>
          </w:p>
        </w:tc>
      </w:tr>
      <w:tr>
        <w:tc>
          <w:tcPr>
            <w:tcW w:type="dxa" w:w="1234"/>
          </w:tcPr>
          <w:p>
            <w:r/>
          </w:p>
        </w:tc>
        <w:tc>
          <w:tcPr>
            <w:tcW w:type="dxa" w:w="1234"/>
          </w:tcPr>
          <w:p>
            <w:r/>
          </w:p>
        </w:tc>
        <w:tc>
          <w:tcPr>
            <w:tcW w:type="dxa" w:w="1234"/>
          </w:tcPr>
          <w:p>
            <w:r>
              <w:t>Software development</w:t>
            </w:r>
          </w:p>
        </w:tc>
        <w:tc>
          <w:tcPr>
            <w:tcW w:type="dxa" w:w="1234"/>
          </w:tcPr>
          <w:p>
            <w:r/>
          </w:p>
        </w:tc>
        <w:tc>
          <w:tcPr>
            <w:tcW w:type="dxa" w:w="1234"/>
          </w:tcPr>
          <w:p>
            <w:r>
              <w:t>Gigster</w:t>
            </w:r>
          </w:p>
        </w:tc>
        <w:tc>
          <w:tcPr>
            <w:tcW w:type="dxa" w:w="1234"/>
          </w:tcPr>
          <w:p>
            <w:r/>
          </w:p>
        </w:tc>
        <w:tc>
          <w:tcPr>
            <w:tcW w:type="dxa" w:w="1234"/>
          </w:tcPr>
          <w:p>
            <w:r>
              <w:t>AI helps analyze any type of software project, no matter the size or complexity, enabling humans to quickly estimate the work required, organize experts, and adapt workflows in real time.</w:t>
            </w:r>
          </w:p>
        </w:tc>
      </w:tr>
      <w:tr>
        <w:tc>
          <w:tcPr>
            <w:tcW w:type="dxa" w:w="1234"/>
          </w:tcPr>
          <w:p>
            <w:r>
              <w:t>Speed</w:t>
            </w:r>
          </w:p>
        </w:tc>
        <w:tc>
          <w:tcPr>
            <w:tcW w:type="dxa" w:w="1234"/>
          </w:tcPr>
          <w:p>
            <w:r/>
          </w:p>
        </w:tc>
        <w:tc>
          <w:tcPr>
            <w:tcW w:type="dxa" w:w="1234"/>
          </w:tcPr>
          <w:p>
            <w:r>
              <w:t>Fraud detection</w:t>
            </w:r>
          </w:p>
        </w:tc>
        <w:tc>
          <w:tcPr>
            <w:tcW w:type="dxa" w:w="1234"/>
          </w:tcPr>
          <w:p>
            <w:r/>
          </w:p>
        </w:tc>
        <w:tc>
          <w:tcPr>
            <w:tcW w:type="dxa" w:w="1234"/>
          </w:tcPr>
          <w:p>
            <w:r>
              <w:t>HSBC</w:t>
            </w:r>
          </w:p>
        </w:tc>
        <w:tc>
          <w:tcPr>
            <w:tcW w:type="dxa" w:w="1234"/>
          </w:tcPr>
          <w:p>
            <w:r/>
          </w:p>
        </w:tc>
        <w:tc>
          <w:tcPr>
            <w:tcW w:type="dxa" w:w="1234"/>
          </w:tcPr>
          <w:p>
            <w:r>
              <w:t>AI screens credit- and debit-card transactions to instantly approve legitimate ones while flagging questionable ones for humans to evaluate.</w:t>
            </w:r>
          </w:p>
        </w:tc>
      </w:tr>
      <w:tr>
        <w:tc>
          <w:tcPr>
            <w:tcW w:type="dxa" w:w="1234"/>
          </w:tcPr>
          <w:p>
            <w:r/>
          </w:p>
        </w:tc>
        <w:tc>
          <w:tcPr>
            <w:tcW w:type="dxa" w:w="1234"/>
          </w:tcPr>
          <w:p>
            <w:r/>
          </w:p>
        </w:tc>
        <w:tc>
          <w:tcPr>
            <w:tcW w:type="dxa" w:w="1234"/>
          </w:tcPr>
          <w:p>
            <w:r>
              <w:t>Cancer treatment</w:t>
            </w:r>
          </w:p>
        </w:tc>
        <w:tc>
          <w:tcPr>
            <w:tcW w:type="dxa" w:w="1234"/>
          </w:tcPr>
          <w:p>
            <w:r/>
          </w:p>
        </w:tc>
        <w:tc>
          <w:tcPr>
            <w:tcW w:type="dxa" w:w="1234"/>
          </w:tcPr>
          <w:p>
            <w:r>
              <w:t>Roche</w:t>
            </w:r>
          </w:p>
        </w:tc>
        <w:tc>
          <w:tcPr>
            <w:tcW w:type="dxa" w:w="1234"/>
          </w:tcPr>
          <w:p>
            <w:r/>
          </w:p>
        </w:tc>
        <w:tc>
          <w:tcPr>
            <w:tcW w:type="dxa" w:w="1234"/>
          </w:tcPr>
          <w:p>
            <w:r>
              <w:t>AI aggregates patient data from disparate IT systems, speeding collaboration among specialists.</w:t>
            </w:r>
          </w:p>
        </w:tc>
      </w:tr>
      <w:tr>
        <w:tc>
          <w:tcPr>
            <w:tcW w:type="dxa" w:w="1234"/>
          </w:tcPr>
          <w:p>
            <w:r/>
          </w:p>
        </w:tc>
        <w:tc>
          <w:tcPr>
            <w:tcW w:type="dxa" w:w="1234"/>
          </w:tcPr>
          <w:p>
            <w:r/>
          </w:p>
        </w:tc>
        <w:tc>
          <w:tcPr>
            <w:tcW w:type="dxa" w:w="1234"/>
          </w:tcPr>
          <w:p>
            <w:r>
              <w:t>Public safety</w:t>
            </w:r>
          </w:p>
        </w:tc>
        <w:tc>
          <w:tcPr>
            <w:tcW w:type="dxa" w:w="1234"/>
          </w:tcPr>
          <w:p>
            <w:r/>
          </w:p>
        </w:tc>
        <w:tc>
          <w:tcPr>
            <w:tcW w:type="dxa" w:w="1234"/>
          </w:tcPr>
          <w:p>
            <w:r>
              <w:t>Singapore government</w:t>
            </w:r>
          </w:p>
        </w:tc>
        <w:tc>
          <w:tcPr>
            <w:tcW w:type="dxa" w:w="1234"/>
          </w:tcPr>
          <w:p>
            <w:r/>
          </w:p>
        </w:tc>
        <w:tc>
          <w:tcPr>
            <w:tcW w:type="dxa" w:w="1234"/>
          </w:tcPr>
          <w:p>
            <w:r>
              <w:t>Video analytics during public events predicts crowd behavior, helping responders address security incidents rapidly.</w:t>
            </w:r>
          </w:p>
        </w:tc>
      </w:tr>
      <w:tr>
        <w:tc>
          <w:tcPr>
            <w:tcW w:type="dxa" w:w="1234"/>
          </w:tcPr>
          <w:p>
            <w:r>
              <w:t>Scale</w:t>
            </w:r>
          </w:p>
        </w:tc>
        <w:tc>
          <w:tcPr>
            <w:tcW w:type="dxa" w:w="1234"/>
          </w:tcPr>
          <w:p>
            <w:r/>
          </w:p>
        </w:tc>
        <w:tc>
          <w:tcPr>
            <w:tcW w:type="dxa" w:w="1234"/>
          </w:tcPr>
          <w:p>
            <w:r>
              <w:t>Recruiting</w:t>
            </w:r>
          </w:p>
        </w:tc>
        <w:tc>
          <w:tcPr>
            <w:tcW w:type="dxa" w:w="1234"/>
          </w:tcPr>
          <w:p>
            <w:r/>
          </w:p>
        </w:tc>
        <w:tc>
          <w:tcPr>
            <w:tcW w:type="dxa" w:w="1234"/>
          </w:tcPr>
          <w:p>
            <w:r>
              <w:t>Unilever</w:t>
            </w:r>
          </w:p>
        </w:tc>
        <w:tc>
          <w:tcPr>
            <w:tcW w:type="dxa" w:w="1234"/>
          </w:tcPr>
          <w:p>
            <w:r/>
          </w:p>
        </w:tc>
        <w:tc>
          <w:tcPr>
            <w:tcW w:type="dxa" w:w="1234"/>
          </w:tcPr>
          <w:p>
            <w:r>
              <w:t>Automated applicant screening dramatically expands the pool of qualified candidates for hiring managers to evaluate.</w:t>
            </w:r>
          </w:p>
        </w:tc>
      </w:tr>
      <w:tr>
        <w:tc>
          <w:tcPr>
            <w:tcW w:type="dxa" w:w="1234"/>
          </w:tcPr>
          <w:p>
            <w:r/>
          </w:p>
        </w:tc>
        <w:tc>
          <w:tcPr>
            <w:tcW w:type="dxa" w:w="1234"/>
          </w:tcPr>
          <w:p>
            <w:r/>
          </w:p>
        </w:tc>
        <w:tc>
          <w:tcPr>
            <w:tcW w:type="dxa" w:w="1234"/>
          </w:tcPr>
          <w:p>
            <w:r>
              <w:t>Customer service</w:t>
            </w:r>
          </w:p>
        </w:tc>
        <w:tc>
          <w:tcPr>
            <w:tcW w:type="dxa" w:w="1234"/>
          </w:tcPr>
          <w:p>
            <w:r/>
          </w:p>
        </w:tc>
        <w:tc>
          <w:tcPr>
            <w:tcW w:type="dxa" w:w="1234"/>
          </w:tcPr>
          <w:p>
            <w:r>
              <w:t>Virgin Trains</w:t>
            </w:r>
          </w:p>
        </w:tc>
        <w:tc>
          <w:tcPr>
            <w:tcW w:type="dxa" w:w="1234"/>
          </w:tcPr>
          <w:p>
            <w:r/>
          </w:p>
        </w:tc>
        <w:tc>
          <w:tcPr>
            <w:tcW w:type="dxa" w:w="1234"/>
          </w:tcPr>
          <w:p>
            <w:r>
              <w:t>Bot responds to basic customer requests, doubling the volume handled and freeing humans to address more-complex issues.</w:t>
            </w:r>
          </w:p>
        </w:tc>
      </w:tr>
      <w:tr>
        <w:tc>
          <w:tcPr>
            <w:tcW w:type="dxa" w:w="1234"/>
          </w:tcPr>
          <w:p>
            <w:r/>
          </w:p>
        </w:tc>
        <w:tc>
          <w:tcPr>
            <w:tcW w:type="dxa" w:w="1234"/>
          </w:tcPr>
          <w:p>
            <w:r/>
          </w:p>
        </w:tc>
        <w:tc>
          <w:tcPr>
            <w:tcW w:type="dxa" w:w="1234"/>
          </w:tcPr>
          <w:p>
            <w:r>
              <w:t>Casino management</w:t>
            </w:r>
          </w:p>
        </w:tc>
        <w:tc>
          <w:tcPr>
            <w:tcW w:type="dxa" w:w="1234"/>
          </w:tcPr>
          <w:p>
            <w:r/>
          </w:p>
        </w:tc>
        <w:tc>
          <w:tcPr>
            <w:tcW w:type="dxa" w:w="1234"/>
          </w:tcPr>
          <w:p>
            <w:r>
              <w:t>GGH Morowitz</w:t>
            </w:r>
          </w:p>
        </w:tc>
        <w:tc>
          <w:tcPr>
            <w:tcW w:type="dxa" w:w="1234"/>
          </w:tcPr>
          <w:p>
            <w:r/>
          </w:p>
        </w:tc>
        <w:tc>
          <w:tcPr>
            <w:tcW w:type="dxa" w:w="1234"/>
          </w:tcPr>
          <w:p>
            <w:r>
              <w:t>Computer-vision system helps humans continuously monitor every gaming table in a casino.</w:t>
            </w:r>
          </w:p>
        </w:tc>
      </w:tr>
      <w:tr>
        <w:tc>
          <w:tcPr>
            <w:tcW w:type="dxa" w:w="1234"/>
          </w:tcPr>
          <w:p>
            <w:r>
              <w:t>Decision making</w:t>
            </w:r>
          </w:p>
        </w:tc>
        <w:tc>
          <w:tcPr>
            <w:tcW w:type="dxa" w:w="1234"/>
          </w:tcPr>
          <w:p>
            <w:r/>
          </w:p>
        </w:tc>
        <w:tc>
          <w:tcPr>
            <w:tcW w:type="dxa" w:w="1234"/>
          </w:tcPr>
          <w:p>
            <w:r>
              <w:t>Equipment maintenance</w:t>
            </w:r>
          </w:p>
        </w:tc>
        <w:tc>
          <w:tcPr>
            <w:tcW w:type="dxa" w:w="1234"/>
          </w:tcPr>
          <w:p>
            <w:r/>
          </w:p>
        </w:tc>
        <w:tc>
          <w:tcPr>
            <w:tcW w:type="dxa" w:w="1234"/>
          </w:tcPr>
          <w:p>
            <w:r>
              <w:t>General Electric</w:t>
            </w:r>
          </w:p>
        </w:tc>
        <w:tc>
          <w:tcPr>
            <w:tcW w:type="dxa" w:w="1234"/>
          </w:tcPr>
          <w:p>
            <w:r/>
          </w:p>
        </w:tc>
        <w:tc>
          <w:tcPr>
            <w:tcW w:type="dxa" w:w="1234"/>
          </w:tcPr>
          <w:p>
            <w:r>
              <w:t>“Digital twins” and Predix diagnostic application provide techs with tailored recommendations for machine maintenance.</w:t>
            </w:r>
          </w:p>
        </w:tc>
      </w:tr>
      <w:tr>
        <w:tc>
          <w:tcPr>
            <w:tcW w:type="dxa" w:w="1234"/>
          </w:tcPr>
          <w:p>
            <w:r/>
          </w:p>
        </w:tc>
        <w:tc>
          <w:tcPr>
            <w:tcW w:type="dxa" w:w="1234"/>
          </w:tcPr>
          <w:p>
            <w:r/>
          </w:p>
        </w:tc>
        <w:tc>
          <w:tcPr>
            <w:tcW w:type="dxa" w:w="1234"/>
          </w:tcPr>
          <w:p>
            <w:r>
              <w:t>Financial services</w:t>
            </w:r>
          </w:p>
        </w:tc>
        <w:tc>
          <w:tcPr>
            <w:tcW w:type="dxa" w:w="1234"/>
          </w:tcPr>
          <w:p>
            <w:r/>
          </w:p>
        </w:tc>
        <w:tc>
          <w:tcPr>
            <w:tcW w:type="dxa" w:w="1234"/>
          </w:tcPr>
          <w:p>
            <w:r>
              <w:t>Morgan Stanley</w:t>
            </w:r>
          </w:p>
        </w:tc>
        <w:tc>
          <w:tcPr>
            <w:tcW w:type="dxa" w:w="1234"/>
          </w:tcPr>
          <w:p>
            <w:r/>
          </w:p>
        </w:tc>
        <w:tc>
          <w:tcPr>
            <w:tcW w:type="dxa" w:w="1234"/>
          </w:tcPr>
          <w:p>
            <w:r>
              <w:t>Robo-advisers offer clients a range of investment options based on real-time market information.</w:t>
            </w:r>
          </w:p>
        </w:tc>
      </w:tr>
      <w:tr>
        <w:tc>
          <w:tcPr>
            <w:tcW w:type="dxa" w:w="1234"/>
          </w:tcPr>
          <w:p>
            <w:r/>
          </w:p>
        </w:tc>
        <w:tc>
          <w:tcPr>
            <w:tcW w:type="dxa" w:w="1234"/>
          </w:tcPr>
          <w:p>
            <w:r/>
          </w:p>
        </w:tc>
        <w:tc>
          <w:tcPr>
            <w:tcW w:type="dxa" w:w="1234"/>
          </w:tcPr>
          <w:p>
            <w:r>
              <w:t>Disease prediction</w:t>
            </w:r>
          </w:p>
        </w:tc>
        <w:tc>
          <w:tcPr>
            <w:tcW w:type="dxa" w:w="1234"/>
          </w:tcPr>
          <w:p>
            <w:r/>
          </w:p>
        </w:tc>
        <w:tc>
          <w:tcPr>
            <w:tcW w:type="dxa" w:w="1234"/>
          </w:tcPr>
          <w:p>
            <w:r>
              <w:t>Icahn School of Medicine at Mount Sinai</w:t>
            </w:r>
          </w:p>
        </w:tc>
        <w:tc>
          <w:tcPr>
            <w:tcW w:type="dxa" w:w="1234"/>
          </w:tcPr>
          <w:p>
            <w:r/>
          </w:p>
        </w:tc>
        <w:tc>
          <w:tcPr>
            <w:tcW w:type="dxa" w:w="1234"/>
          </w:tcPr>
          <w:p>
            <w:r>
              <w:t>Deep Patient system helps doctors predict patients’ risk of specific disease, allowing preventive intervention.</w:t>
            </w:r>
          </w:p>
        </w:tc>
      </w:tr>
      <w:tr>
        <w:tc>
          <w:tcPr>
            <w:tcW w:type="dxa" w:w="1234"/>
          </w:tcPr>
          <w:p>
            <w:r>
              <w:t>Personalization</w:t>
            </w:r>
          </w:p>
        </w:tc>
        <w:tc>
          <w:tcPr>
            <w:tcW w:type="dxa" w:w="1234"/>
          </w:tcPr>
          <w:p>
            <w:r/>
          </w:p>
        </w:tc>
        <w:tc>
          <w:tcPr>
            <w:tcW w:type="dxa" w:w="1234"/>
          </w:tcPr>
          <w:p>
            <w:r>
              <w:t>Guest experience</w:t>
            </w:r>
          </w:p>
        </w:tc>
        <w:tc>
          <w:tcPr>
            <w:tcW w:type="dxa" w:w="1234"/>
          </w:tcPr>
          <w:p>
            <w:r/>
          </w:p>
        </w:tc>
        <w:tc>
          <w:tcPr>
            <w:tcW w:type="dxa" w:w="1234"/>
          </w:tcPr>
          <w:p>
            <w:r>
              <w:t>Carnival Corporation</w:t>
            </w:r>
          </w:p>
        </w:tc>
        <w:tc>
          <w:tcPr>
            <w:tcW w:type="dxa" w:w="1234"/>
          </w:tcPr>
          <w:p>
            <w:r/>
          </w:p>
        </w:tc>
        <w:tc>
          <w:tcPr>
            <w:tcW w:type="dxa" w:w="1234"/>
          </w:tcPr>
          <w:p>
            <w:r>
              <w:t>Wearable AI device streamlines the logistics of cruise-ship activities and anticipates guest preferences, facilitating tailored staff support.</w:t>
            </w:r>
          </w:p>
        </w:tc>
      </w:tr>
      <w:tr>
        <w:tc>
          <w:tcPr>
            <w:tcW w:type="dxa" w:w="1234"/>
          </w:tcPr>
          <w:p>
            <w:r/>
          </w:p>
        </w:tc>
        <w:tc>
          <w:tcPr>
            <w:tcW w:type="dxa" w:w="1234"/>
          </w:tcPr>
          <w:p>
            <w:r/>
          </w:p>
        </w:tc>
        <w:tc>
          <w:tcPr>
            <w:tcW w:type="dxa" w:w="1234"/>
          </w:tcPr>
          <w:p>
            <w:r>
              <w:t>Health care</w:t>
            </w:r>
          </w:p>
        </w:tc>
        <w:tc>
          <w:tcPr>
            <w:tcW w:type="dxa" w:w="1234"/>
          </w:tcPr>
          <w:p>
            <w:r/>
          </w:p>
        </w:tc>
        <w:tc>
          <w:tcPr>
            <w:tcW w:type="dxa" w:w="1234"/>
          </w:tcPr>
          <w:p>
            <w:r>
              <w:t>Pfizer</w:t>
            </w:r>
          </w:p>
        </w:tc>
        <w:tc>
          <w:tcPr>
            <w:tcW w:type="dxa" w:w="1234"/>
          </w:tcPr>
          <w:p>
            <w:r/>
          </w:p>
        </w:tc>
        <w:tc>
          <w:tcPr>
            <w:tcW w:type="dxa" w:w="1234"/>
          </w:tcPr>
          <w:p>
            <w:r>
              <w:t>Wearable sensors for Parkinson’s patients track symptoms 24/7, allowing customized treatment.</w:t>
            </w:r>
          </w:p>
        </w:tc>
      </w:tr>
      <w:tr>
        <w:tc>
          <w:tcPr>
            <w:tcW w:type="dxa" w:w="1234"/>
          </w:tcPr>
          <w:p>
            <w:r/>
          </w:p>
        </w:tc>
        <w:tc>
          <w:tcPr>
            <w:tcW w:type="dxa" w:w="1234"/>
          </w:tcPr>
          <w:p>
            <w:r/>
          </w:p>
        </w:tc>
        <w:tc>
          <w:tcPr>
            <w:tcW w:type="dxa" w:w="1234"/>
          </w:tcPr>
          <w:p>
            <w:r>
              <w:t>Retail fashion</w:t>
            </w:r>
          </w:p>
        </w:tc>
        <w:tc>
          <w:tcPr>
            <w:tcW w:type="dxa" w:w="1234"/>
          </w:tcPr>
          <w:p>
            <w:r/>
          </w:p>
        </w:tc>
        <w:tc>
          <w:tcPr>
            <w:tcW w:type="dxa" w:w="1234"/>
          </w:tcPr>
          <w:p>
            <w:r>
              <w:t>Stitch Fix</w:t>
            </w:r>
          </w:p>
        </w:tc>
        <w:tc>
          <w:tcPr>
            <w:tcW w:type="dxa" w:w="1234"/>
          </w:tcPr>
          <w:p>
            <w:r/>
          </w:p>
        </w:tc>
        <w:tc>
          <w:tcPr>
            <w:tcW w:type="dxa" w:w="1234"/>
          </w:tcPr>
          <w:p>
            <w:r>
              <w:t>AI analyzes customer data to advise human stylists, who give customers individualized clothing and styling recommendations.</w:t>
            </w:r>
          </w:p>
        </w:tc>
      </w:tr>
    </w:tbl>
    <w:p>
      <w:r>
        <w:rPr>
          <w:b w:val="0"/>
          <w:i w:val="0"/>
        </w:rPr>
        <w:t>The fight against financial fraud is like an arms race: Better detection leads to more-devious criminals, which leads to better detection, which continues the cycle. Thus, the algorithms and scoring models for combating fraud have a very short shelf life and require continual updating. In addition, different countries and regions use different models. For these reasons, legions of data analysts, IT professionals, and experts in financial fraud are needed at the interface between humans and machines to keep the software a step ahead of the criminals.</w:t>
      </w:r>
    </w:p>
    <w:p>
      <w:pPr>
        <w:pStyle w:val="Heading3"/>
      </w:pPr>
      <w:r>
        <w:rPr>
          <w:b w:val="0"/>
          <w:i w:val="0"/>
        </w:rPr>
        <w:t>Scale</w:t>
      </w:r>
    </w:p>
    <w:p>
      <w:r>
        <w:rPr>
          <w:b w:val="0"/>
          <w:i w:val="0"/>
        </w:rPr>
        <w:t>For many business processes, poor scalability is the primary obstacle to improvement. That’s particularly true of processes that depend on intensive human labor with minimal machine assistance. Consider, for instance, the employee recruitment process at Unilever. The consumer goods giant was looking for a way to diversify its 170,000-person workforce. HR determined that it needed to focus on entry-level hires and then fast-track the best into management. But the company’s existing processes weren’t able to evaluate potential recruits in sufficient numbers—while giving each applicant individual attention—to ensure a diverse population of exceptional talent.</w:t>
      </w:r>
    </w:p>
    <w:p>
      <w:r>
        <w:rPr>
          <w:b w:val="0"/>
          <w:i w:val="0"/>
        </w:rPr>
        <w:t>Here’s how Unilever combined human and AI capabilities to scale individualized hiring: In the first round of the application process, candidates are asked to play online games that help assess traits such as risk aversion. These games have no right or wrong answers, but they help Unilever’s AI figure out which individuals might be best suited for a particular position. In the next round, applicants are asked to submit a video in which they answer questions designed for the specific position they’re interested in. Their responses are analyzed by an AI system that considers not just what they say but also their body language and tone. The best candidates from that round, as judged by the AI, are then invited to Unilever for in-person interviews, after which humans make the final hiring decisions.</w:t>
      </w:r>
    </w:p>
    <w:p>
      <w:r>
        <w:rPr>
          <w:b w:val="0"/>
          <w:i w:val="0"/>
        </w:rPr>
        <w:t>It’s too early to tell whether the new recruiting process has resulted in better employees. The company has been closely tracking the success of those hires, but more data is still needed. It is clear, however, that the new system has greatly broadened the scale of Unilever’s recruiting. In part because job seekers can easily access the system by smartphone, the number of applicants doubled to 30,000 within a year, the number of universities represented surged from 840 to 2,600, and the socioeconomic diversity of new hires increased. Furthermore, the average time from application to hiring decision has dropped from four months to just four weeks, while the time that recruiters spend reviewing applications has fallen by 75%.</w:t>
      </w:r>
    </w:p>
    <w:p>
      <w:pPr>
        <w:pStyle w:val="Heading3"/>
      </w:pPr>
      <w:r>
        <w:rPr>
          <w:b w:val="0"/>
          <w:i w:val="0"/>
        </w:rPr>
        <w:t>Decision making</w:t>
      </w:r>
    </w:p>
    <w:p>
      <w:r>
        <w:rPr>
          <w:b w:val="0"/>
          <w:i w:val="0"/>
        </w:rPr>
        <w:t>By providing employees with tailored information and guidance, AI can help them reach better decisions. This can be especially valuable for workers in the trenches, where making the right call can have a huge impact on the bottom line.</w:t>
      </w:r>
    </w:p>
    <w:p>
      <w:r>
        <w:rPr>
          <w:b w:val="0"/>
          <w:i w:val="0"/>
        </w:rPr>
        <w:t>Consider the way in which equipment maintenance is being improved with the use of “digital twins”—virtual models of physical equipment. General Electric builds such software models of its turbines and other industrial products and continually updates them with operating data streaming from the equipment. By collecting readings from large numbers of machines in the field, GE has amassed a wealth of information on normal and aberrant performance. Its Predix application, which uses machine learning algorithms, can now predict when a specific part in an individual machine might fail.</w:t>
      </w:r>
    </w:p>
    <w:p>
      <w:r>
        <w:rPr>
          <w:b w:val="0"/>
          <w:i w:val="0"/>
        </w:rPr>
        <w:t>This technology has fundamentally changed the decision-intensive process of maintaining industrial equipment. Predix might, for example, identify some unexpected rotor wear and tear in a turbine, check the turbine’s operational history, report that the damage has increased fourfold over the past few months, and warn that if nothing is done, the rotor will lose an estimated 70% of its useful life. The system can then suggest appropriate actions, taking into account the machine’s current condition, the operating environment, and aggregated data about similar damage and repairs to other machines. Along with its recommendations, Predix can generate information about their costs and financial benefits and provide a confidence level (say, 95%) for the assumptions used in its analysis.</w:t>
      </w:r>
    </w:p>
    <w:p>
      <w:r>
        <w:rPr>
          <w:b w:val="0"/>
          <w:i w:val="0"/>
        </w:rPr>
        <w:t>Without Predix, workers would be lucky to catch the rotor damage on a routine maintenance check. It’s possible that it would go undetected until the rotor failed, resulting in a costly shutdown. With Predix, maintenance workers are alerted to potential problems before they become serious, and they have the needed information at their fingertips to make good decisions—ones that can sometimes save GE millions of dollars.</w:t>
      </w:r>
    </w:p>
    <w:p>
      <w:pPr>
        <w:pStyle w:val="Heading3"/>
      </w:pPr>
      <w:r>
        <w:rPr>
          <w:b w:val="0"/>
          <w:i w:val="0"/>
        </w:rPr>
        <w:t>Personalization</w:t>
      </w:r>
    </w:p>
    <w:p>
      <w:r>
        <w:rPr>
          <w:b w:val="0"/>
          <w:i w:val="0"/>
        </w:rPr>
        <w:t>Providing customers with individually tailored brand experiences is the holy grail of marketing. With AI, such personalization can now be achieved with previously unimaginable precision and at vast scale. Think of the way the music streaming service Pandora uses AI algorithms to generate personalized playlists for each of its millions of users according to their preferences in songs, artists, and genres. Or consider Starbucks, which, with customers’ permission, uses AI to recognize their mobile devices and call up their ordering history to help baristas make serving recommendations. The AI technology does what it does best, sifting through and processing copious amounts of data to recommend certain offerings or actions, and humans do what they do best, exercising their intuition and judgment to make a recommendation or select the best fit from a set of choices.</w:t>
      </w:r>
    </w:p>
    <w:p>
      <w:r>
        <w:rPr>
          <w:b w:val="0"/>
          <w:i w:val="0"/>
        </w:rPr>
        <w:t>The Carnival Corporation is applying AI to personalize the cruise experience for millions of vacationers through a wearable device called the Ocean Medallion and a network that allows smart devices to connect. Machine learning dynamically processes the data flowing from the medallion and from sensors and systems throughout the ship to help guests get the most out of their vacations. The medallion streamlines the boarding and debarking processes, tracks the guests’ activities, simplifies purchasing by connecting their credit cards to the device, and acts as a room key. It also connects to a system that anticipates guests’ preferences, helping crew members deliver personalized service to each guest by suggesting tailored itineraries of activities and dining experiences.</w:t>
      </w:r>
    </w:p>
    <w:p>
      <w:pPr>
        <w:pStyle w:val="Heading2"/>
      </w:pPr>
      <w:r>
        <w:rPr>
          <w:b/>
          <w:i w:val="0"/>
        </w:rPr>
        <w:t>The Need for New Roles and Talent</w:t>
      </w:r>
    </w:p>
    <w:p>
      <w:r>
        <w:rPr>
          <w:b w:val="0"/>
          <w:i w:val="0"/>
        </w:rPr>
        <w:t>Reimagining a business process involves more than the implementation of AI technology; it also requires a significant commitment to developing employees with what we call “fusion skills”—those that enable them to work effectively at the human-machine interface. To start, people must learn to delegate tasks to the new technology, as when physicians trust computers to help read X-rays and MRIs. Employees should also know how to combine their distinctive human skills with those of a smart machine to get a better outcome than either could achieve alone, as in robot-assisted surgery. Workers must be able to teach intelligent agents new skills and undergo training to work well within AI-enhanced processes. For example, they must know how best to put questions to an AI agent to get the information they need. And there must be employees, like those on Apple’s differential privacy team, who ensure that their companies’ AI systems are used responsibly and not for illegal or unethical purposes.</w:t>
      </w:r>
    </w:p>
    <w:p>
      <w:r>
        <w:rPr>
          <w:b w:val="0"/>
          <w:i w:val="0"/>
        </w:rPr>
        <w:t>We expect that in the future, company roles will be redesigned around the desired outcomes of reimagined processes, and corporations will increasingly be organized around different types of skills rather than around rigid job titles. AT&amp;T has already begun that transition as it shifts from landline telephone services to mobile networks and starts to retrain 100,000 employees for new positions. As part of that effort, the company has completely overhauled its organizational chart: Approximately 2,000 job titles have been streamlined into a much smaller number of broad categories encompassing similar skills. Some of those skills are what one might expect (for example, proficiency in data science and data wrangling), while others are less obvious (for instance, the ability to use simple machine learning tools to cross-sell services).</w:t>
      </w:r>
    </w:p>
    <w:p>
      <w:pPr>
        <w:pStyle w:val="Heading2"/>
      </w:pPr>
      <w:r>
        <w:rPr>
          <w:b/>
          <w:i w:val="0"/>
        </w:rPr>
        <w:t>Conclusion</w:t>
      </w:r>
    </w:p>
    <w:p>
      <w:r>
        <w:rPr>
          <w:b w:val="0"/>
          <w:i w:val="0"/>
        </w:rPr>
        <w:t xml:space="preserve">Most activities at the human-machine interface require people to </w:t>
      </w:r>
      <w:r>
        <w:rPr>
          <w:b w:val="0"/>
          <w:i/>
        </w:rPr>
        <w:t>do new and different things</w:t>
      </w:r>
      <w:r>
        <w:rPr>
          <w:b w:val="0"/>
          <w:i w:val="0"/>
        </w:rPr>
        <w:t xml:space="preserve"> (such as train a chatbot) and to </w:t>
      </w:r>
      <w:r>
        <w:rPr>
          <w:b w:val="0"/>
          <w:i/>
        </w:rPr>
        <w:t>do things differently</w:t>
      </w:r>
      <w:r>
        <w:rPr>
          <w:b w:val="0"/>
          <w:i w:val="0"/>
        </w:rPr>
        <w:t xml:space="preserve"> (use that chatbot to provide better customer service). So far, however, only a small number of the companies we’ve surveyed have begun to reimagine their business processes to optimize collaborative intelligence. But the lesson is clear: Organizations that use machines merely to displace workers through automation will miss the full potential of AI. Such a strategy is misguided from the get-go. Tomorrow’s leaders will instead be those that embrace collaborative intelligence, transforming their operations, their markets, their industries, and—no less important—their workforces.</w:t>
      </w:r>
    </w:p>
    <w:p>
      <w:r>
        <w:rPr>
          <w:b/>
          <w:i w:val="0"/>
        </w:rPr>
        <w:t>TAKEAWAYS</w:t>
      </w:r>
    </w:p>
    <w:p>
      <w:r>
        <w:rPr>
          <w:b w:val="0"/>
          <w:i w:val="0"/>
        </w:rPr>
        <w:t>AI is having the most significant impact—and companies are seeing the biggest performance gains—when it augments human workers instead of replacing them. To take full advantage, companies must understand how humans and machines can work together, and how to redesign business processes to support the partnership.</w:t>
      </w:r>
    </w:p>
    <w:p>
      <w:pPr>
        <w:pStyle w:val="ListBullet"/>
      </w:pPr>
      <w:r>
        <w:rPr>
          <w:b w:val="0"/>
          <w:i w:val="0"/>
        </w:rPr>
        <w:t xml:space="preserve">Humans need to perform three crucial roles to help augment machines: </w:t>
      </w:r>
      <w:r>
        <w:rPr>
          <w:b w:val="0"/>
          <w:i/>
        </w:rPr>
        <w:t>train</w:t>
      </w:r>
      <w:r>
        <w:rPr>
          <w:b w:val="0"/>
          <w:i w:val="0"/>
        </w:rPr>
        <w:t xml:space="preserve"> machines to perform certain tasks, </w:t>
      </w:r>
      <w:r>
        <w:rPr>
          <w:b w:val="0"/>
          <w:i/>
        </w:rPr>
        <w:t>explain</w:t>
      </w:r>
      <w:r>
        <w:rPr>
          <w:b w:val="0"/>
          <w:i w:val="0"/>
        </w:rPr>
        <w:t xml:space="preserve"> the outcomes of those tasks, and </w:t>
      </w:r>
      <w:r>
        <w:rPr>
          <w:b w:val="0"/>
          <w:i/>
        </w:rPr>
        <w:t>sustain</w:t>
      </w:r>
      <w:r>
        <w:rPr>
          <w:b w:val="0"/>
          <w:i w:val="0"/>
        </w:rPr>
        <w:t xml:space="preserve"> the responsible use of machines.</w:t>
      </w:r>
    </w:p>
    <w:p>
      <w:pPr>
        <w:pStyle w:val="ListBullet"/>
      </w:pPr>
      <w:r>
        <w:rPr>
          <w:b w:val="0"/>
          <w:i w:val="0"/>
        </w:rPr>
        <w:t xml:space="preserve">Smart machines are helping humans enhance their abilities by </w:t>
      </w:r>
      <w:r>
        <w:rPr>
          <w:b w:val="0"/>
          <w:i/>
        </w:rPr>
        <w:t>amplifying</w:t>
      </w:r>
      <w:r>
        <w:rPr>
          <w:b w:val="0"/>
          <w:i w:val="0"/>
        </w:rPr>
        <w:t xml:space="preserve"> our cognitive strengths; </w:t>
      </w:r>
      <w:r>
        <w:rPr>
          <w:b w:val="0"/>
          <w:i/>
        </w:rPr>
        <w:t>interacting</w:t>
      </w:r>
      <w:r>
        <w:rPr>
          <w:b w:val="0"/>
          <w:i w:val="0"/>
        </w:rPr>
        <w:t xml:space="preserve"> with customers and employees to free us for higher-level tasks; and </w:t>
      </w:r>
      <w:r>
        <w:rPr>
          <w:b w:val="0"/>
          <w:i/>
        </w:rPr>
        <w:t>embodying</w:t>
      </w:r>
      <w:r>
        <w:rPr>
          <w:b w:val="0"/>
          <w:i w:val="0"/>
        </w:rPr>
        <w:t xml:space="preserve"> human skills to extend our physical capabilities.</w:t>
      </w:r>
    </w:p>
    <w:p>
      <w:pPr>
        <w:pStyle w:val="ListBullet"/>
      </w:pPr>
      <w:r>
        <w:rPr>
          <w:b w:val="0"/>
          <w:i w:val="0"/>
        </w:rPr>
        <w:t>Companies should reimagine their business processes, focusing on using AI to achieve more operational flexibility or speed, greater scale, better decision making, or increased personalization of products and services. Determine which characteristic is central to the desired transformation, how to harness intelligent collaboration to address it, and what alignments and trade-offs with other process characteristics will be necessary.</w:t>
      </w:r>
    </w:p>
    <w:p>
      <w:r>
        <w:rPr>
          <w:b w:val="0"/>
          <w:i/>
        </w:rPr>
        <w:t>Adapted from an article in</w:t>
      </w:r>
      <w:r>
        <w:rPr>
          <w:b w:val="0"/>
          <w:i w:val="0"/>
        </w:rPr>
        <w:t xml:space="preserve"> Harvard Business Review</w:t>
      </w:r>
      <w:r>
        <w:rPr>
          <w:b w:val="0"/>
          <w:i/>
        </w:rPr>
        <w:t>, July–August 2018 (product #R1804J).</w:t>
      </w:r>
    </w:p>
    <w:p>
      <w:pPr>
        <w:pStyle w:val="Heading1"/>
      </w:pPr>
      <w:r>
        <w:rPr>
          <w:b/>
          <w:i w:val="0"/>
        </w:rPr>
        <w:t>Section 4</w:t>
      </w:r>
    </w:p>
    <w:p>
      <w:pPr>
        <w:pStyle w:val="Heading1"/>
      </w:pPr>
      <w:r>
        <w:rPr>
          <w:b/>
          <w:i w:val="0"/>
        </w:rPr>
        <w:t>THE FUTURE OF AI</w:t>
      </w:r>
    </w:p>
    <w:p>
      <w:pPr>
        <w:pStyle w:val="Heading1"/>
      </w:pPr>
      <w:r>
        <w:rPr>
          <w:b/>
          <w:i w:val="0"/>
        </w:rPr>
        <w:t>10</w:t>
      </w:r>
    </w:p>
    <w:p>
      <w:pPr>
        <w:pStyle w:val="Heading1"/>
      </w:pPr>
      <w:r>
        <w:rPr>
          <w:b/>
          <w:i w:val="0"/>
        </w:rPr>
        <w:t>THREE WAYS AI IS GETTING MORE EMOTIONAL</w:t>
      </w:r>
    </w:p>
    <w:p>
      <w:r>
        <w:rPr>
          <w:b w:val="0"/>
          <w:i w:val="0"/>
        </w:rPr>
        <w:t>by Sophie Kleber</w:t>
      </w:r>
    </w:p>
    <w:p>
      <w:r>
        <w:rPr>
          <w:b w:val="0"/>
          <w:i w:val="0"/>
        </w:rPr>
        <w:t>In January 2018, Annette Zimmermann, vice president of research at Gartner, proclaimed: “By 2022, your personal device will know more about your emotional state than your own family.” Just two months later, a landmark study from the University of Ohio claimed that its algorithm was now better at detecting emotions than people are.1</w:t>
      </w:r>
    </w:p>
    <w:p>
      <w:r>
        <w:rPr>
          <w:b w:val="0"/>
          <w:i w:val="0"/>
        </w:rPr>
        <w:t>AI systems and devices will soon recognize, interpret, process, and simulate human emotions. A combination of facial analysis, voice pattern analysis, and deep learning can already decode human emotions for market research and political polling purposes. With companies like Affectiva, Beyond Verbal, and Sensay providing plug-and-play sentiment analysis software, the affective computing market is estimated to grow to $41 billion by 2022, as firms like Amazon, Google, Facebook, and Apple race to decode their users’ emotions.</w:t>
      </w:r>
    </w:p>
    <w:p>
      <w:r>
        <w:rPr>
          <w:b w:val="0"/>
          <w:i w:val="0"/>
        </w:rPr>
        <w:t>Emotional inputs will create a shift from data-driven IQ-heavy interactions to deep EQ-guided experiences, giving brands the opportunity to connect to customers on a much deeper, more personal level. But reading people’s emotions is a delicate business. Emotions are highly personal, and users will have concerns about privacy invasion and manipulation. Before companies dive in, leaders should consider questions like:</w:t>
      </w:r>
    </w:p>
    <w:p>
      <w:pPr>
        <w:pStyle w:val="ListNumber"/>
      </w:pPr>
      <w:r>
        <w:rPr>
          <w:b w:val="0"/>
          <w:i w:val="0"/>
        </w:rPr>
        <w:t>What are you offering? Does your value proposition naturally lend itself to the involvement of emotions? And can you credibly justify the inclusion of emotional clues for the betterment of the user experience?</w:t>
      </w:r>
    </w:p>
    <w:p>
      <w:pPr>
        <w:pStyle w:val="ListNumber"/>
      </w:pPr>
      <w:r>
        <w:rPr>
          <w:b w:val="0"/>
          <w:i w:val="0"/>
        </w:rPr>
        <w:t>What are your customers’ emotional intentions when interacting with your brand? What is the nature of the interaction?</w:t>
      </w:r>
    </w:p>
    <w:p>
      <w:pPr>
        <w:pStyle w:val="ListNumber"/>
      </w:pPr>
      <w:r>
        <w:rPr>
          <w:b w:val="0"/>
          <w:i w:val="0"/>
        </w:rPr>
        <w:t>Has the user given you explicit permission to analyze their emotions? Does the user stay in control of their data, and can they revoke their permission at any given time?</w:t>
      </w:r>
    </w:p>
    <w:p>
      <w:pPr>
        <w:pStyle w:val="ListNumber"/>
      </w:pPr>
      <w:r>
        <w:rPr>
          <w:b w:val="0"/>
          <w:i w:val="0"/>
        </w:rPr>
        <w:t>Is your system smart enough to accurately read and react to a user’s emotions?</w:t>
      </w:r>
    </w:p>
    <w:p>
      <w:pPr>
        <w:pStyle w:val="ListNumber"/>
      </w:pPr>
      <w:r>
        <w:rPr>
          <w:b w:val="0"/>
          <w:i w:val="0"/>
        </w:rPr>
        <w:t>What is the danger in any given situation if the system should fail—danger for the user, and/or danger for the brand?</w:t>
      </w:r>
    </w:p>
    <w:p>
      <w:r>
        <w:rPr>
          <w:b w:val="0"/>
          <w:i w:val="0"/>
        </w:rPr>
        <w:t>Keeping those concerns in mind, business leaders should be aware of current applications for emotional AI. These fall roughly into three categories.</w:t>
      </w:r>
    </w:p>
    <w:p>
      <w:pPr>
        <w:pStyle w:val="Heading2"/>
      </w:pPr>
      <w:r>
        <w:rPr>
          <w:b/>
          <w:i w:val="0"/>
        </w:rPr>
        <w:t>Systems that use emotional analysis to adjust their response</w:t>
      </w:r>
    </w:p>
    <w:p>
      <w:r>
        <w:rPr>
          <w:b w:val="0"/>
          <w:i w:val="0"/>
        </w:rPr>
        <w:t>In this application, the AI service acknowledges emotions and factors them into its decision-making process. However, the service’s output is completely emotion-free.</w:t>
      </w:r>
    </w:p>
    <w:p>
      <w:r>
        <w:rPr>
          <w:b w:val="0"/>
          <w:i w:val="0"/>
        </w:rPr>
        <w:t>Conversational interactive voice responses (IVRs) and chatbots promise to route customers to the right service flow faster and more accurately when factoring in emotions. For example, when the system detects a user to be angry, it routs the user to a different escalation flow or to a human.</w:t>
      </w:r>
    </w:p>
    <w:p>
      <w:r>
        <w:rPr>
          <w:b w:val="0"/>
          <w:i w:val="0"/>
        </w:rPr>
        <w:t>AutoEmotive, Affectiva’s Automotive AI, and Ford are racing to get emotional car software market-ready to detect human emotions such as anger or lack of attention, and then take over control or stop the vehicle, preventing accidents or acts of road rage.</w:t>
      </w:r>
    </w:p>
    <w:p>
      <w:r>
        <w:rPr>
          <w:b w:val="0"/>
          <w:i w:val="0"/>
        </w:rPr>
        <w:t>The security sector also dabbles in emotional AI to detect stressed or angry people. The British government, for instance, monitors its citizens’ sentiments on certain topics over social media.</w:t>
      </w:r>
    </w:p>
    <w:p>
      <w:r>
        <w:rPr>
          <w:b w:val="0"/>
          <w:i w:val="0"/>
        </w:rPr>
        <w:t>In this category, emotions play a part in the machine’s decision-making process. However, the machine still reacts like a machine—essentially, as a giant switchboard routing people in the right direction.</w:t>
      </w:r>
    </w:p>
    <w:p>
      <w:pPr>
        <w:pStyle w:val="Heading2"/>
      </w:pPr>
      <w:r>
        <w:rPr>
          <w:b/>
          <w:i w:val="0"/>
        </w:rPr>
        <w:t>Systems that provide a targeted emotional analysis for learning purposes</w:t>
      </w:r>
    </w:p>
    <w:p>
      <w:r>
        <w:rPr>
          <w:b w:val="0"/>
          <w:i w:val="0"/>
        </w:rPr>
        <w:t>In 2009, Philips teamed up with a Dutch bank to develop the idea of a “rationalizer” bracelet to stop traders from making irrational decisions by monitoring their stress levels, which it measures by monitoring the wearer’s pulse. Making traders aware of their heightened emotional states made them pause and think before making impulse decisions.</w:t>
      </w:r>
    </w:p>
    <w:p>
      <w:r>
        <w:rPr>
          <w:b w:val="0"/>
          <w:i w:val="0"/>
        </w:rPr>
        <w:t>Brain Power’s smart glasses help people with autism better understand emotions and social cues. The wearer of this Google Glass–type device sees and hears special feedback geared to the situation—for example, coaching on facial expressions of emotions, when to look at people, and even feedback on the user’s own emotional state.</w:t>
      </w:r>
    </w:p>
    <w:p>
      <w:r>
        <w:rPr>
          <w:b w:val="0"/>
          <w:i w:val="0"/>
        </w:rPr>
        <w:t>These targeted emotional analysis systems acknowledge and interpret emotions. The insights are communicated to the user for learning purposes. On a personal level, these targeted applications will act like a Fitbit for the heart and mind, aiding in mindfulness, self-awareness, and ultimately self-improvement, while maintaining a machine-person relationship that keeps the user in charge.</w:t>
      </w:r>
    </w:p>
    <w:p>
      <w:r>
        <w:rPr>
          <w:b w:val="0"/>
          <w:i w:val="0"/>
        </w:rPr>
        <w:t>Targeted emotional learning systems are also being tested for group settings, such as by analyzing the emotions of students for teachers, or workers for managers. Scaling to group settings can have an Orwellian feeling: Concerns about privacy, creativity, and individuality have these experiments playing on the edge of ethical acceptance. More importantly, adequate psychological training for the people in power is required to interpret the emotional results and to make adequate adjustments.</w:t>
      </w:r>
    </w:p>
    <w:p>
      <w:pPr>
        <w:pStyle w:val="Heading2"/>
      </w:pPr>
      <w:r>
        <w:rPr>
          <w:b/>
          <w:i w:val="0"/>
        </w:rPr>
        <w:t>Systems that mimic and ultimately replace human-to-human interactions</w:t>
      </w:r>
    </w:p>
    <w:p>
      <w:r>
        <w:rPr>
          <w:b w:val="0"/>
          <w:i w:val="0"/>
        </w:rPr>
        <w:t>When smart speakers entered the American living room in 2014, we started to get used to hearing computers refer to themselves as “I.” Call it a human error or an evolutionary shortcut, but when machines talk, people assume relationships.</w:t>
      </w:r>
    </w:p>
    <w:p>
      <w:r>
        <w:rPr>
          <w:b w:val="0"/>
          <w:i w:val="0"/>
        </w:rPr>
        <w:t>There are now products and services that use conversational user interfaces and the concept of “computers as social actors” to try to alleviate mental-health concerns. These applications aim to coach users through crises using techniques from behavioral therapy. Ellie helps treat soldiers with PTSD. Karim helps Syrian refugees overcome trauma. Digital assistants are even tasked with helping alleviate loneliness among the elderly.</w:t>
      </w:r>
    </w:p>
    <w:p>
      <w:r>
        <w:rPr>
          <w:b w:val="0"/>
          <w:i w:val="0"/>
        </w:rPr>
        <w:t>Casual applications like Microsoft’s XiaoIce, Google Assistant, or Amazon’s Alexa use social and emotional cues for a less altruistic purpose—their aim is to secure users’ loyalty by acting like new AI BFFs. Futurist Richard van Hooijdonk quips: “If a marketer can get you to cry, he can get you to buy.”</w:t>
      </w:r>
    </w:p>
    <w:p>
      <w:r>
        <w:rPr>
          <w:b w:val="0"/>
          <w:i w:val="0"/>
        </w:rPr>
        <w:t>The discussion around addictive technology is starting to examine the intentions behind voice assistants. What does it mean for users if personal assistants are hooked up to advertisers? In a leaked Facebook memo, for example, the social media company boasted to advertisers that it could detect, and subsequently target, teens’ feelings of “worthlessness” and “insecurity,” among other emotions.</w:t>
      </w:r>
    </w:p>
    <w:p>
      <w:r>
        <w:rPr>
          <w:b w:val="0"/>
          <w:i w:val="0"/>
        </w:rPr>
        <w:t>Judith Masthoff of the University of Aberdeen says, “I would like people to have their own guardian angel that could support them emotionally throughout the day.” But in order to get to that ideal, a series of (collectively agreed upon) experiments will need to guide designers and brands toward the appropriate level of intimacy, and a series of failures will determine the rules for maintaining trust, privacy, and emotional boundaries.</w:t>
      </w:r>
    </w:p>
    <w:p>
      <w:r>
        <w:rPr>
          <w:b w:val="0"/>
          <w:i w:val="0"/>
        </w:rPr>
        <w:t>The biggest hurdle to finding the right balance might not be achieving more effective forms of emotional AI but finding emotionally intelligent humans to build them.</w:t>
      </w:r>
    </w:p>
    <w:p>
      <w:r>
        <w:rPr>
          <w:b/>
          <w:i w:val="0"/>
        </w:rPr>
        <w:t>TAKEAWAYS</w:t>
      </w:r>
    </w:p>
    <w:p>
      <w:r>
        <w:rPr>
          <w:b w:val="0"/>
          <w:i w:val="0"/>
        </w:rPr>
        <w:t>AI will soon recognize, interpret, process, and simulate human emotions. Users whose emotions are analyzed will have concerns about privacy invasion and manipulation.</w:t>
      </w:r>
    </w:p>
    <w:p>
      <w:pPr>
        <w:pStyle w:val="ListBullet"/>
      </w:pPr>
      <w:r>
        <w:rPr>
          <w:b w:val="0"/>
          <w:i w:val="0"/>
        </w:rPr>
        <w:t>Before companies dive into emotional AI, leaders should consider questions ranging from whether the value proposition lends itself to involving emotions, to whether customers have given permission to analyze their emotions, to what the dangers are if the system fails.</w:t>
      </w:r>
    </w:p>
    <w:p>
      <w:pPr>
        <w:pStyle w:val="ListBullet"/>
      </w:pPr>
      <w:r>
        <w:rPr>
          <w:b w:val="0"/>
          <w:i w:val="0"/>
        </w:rPr>
        <w:t>Keeping those concerns in mind, leaders should be aware of the three categories of current applications for emotional AI:</w:t>
      </w:r>
    </w:p>
    <w:p>
      <w:pPr>
        <w:pStyle w:val="ListBullet"/>
      </w:pPr>
      <w:r>
        <w:rPr>
          <w:b w:val="0"/>
          <w:i w:val="0"/>
        </w:rPr>
        <w:t>Systems that use emotional analysis to adjust their response</w:t>
      </w:r>
    </w:p>
    <w:p>
      <w:pPr>
        <w:pStyle w:val="ListBullet"/>
      </w:pPr>
      <w:r>
        <w:rPr>
          <w:b w:val="0"/>
          <w:i w:val="0"/>
        </w:rPr>
        <w:t>Systems that provide a targeted emotional analysis for learning purposes</w:t>
      </w:r>
    </w:p>
    <w:p>
      <w:pPr>
        <w:pStyle w:val="ListBullet"/>
      </w:pPr>
      <w:r>
        <w:rPr>
          <w:b w:val="0"/>
          <w:i w:val="0"/>
        </w:rPr>
        <w:t>Systems that mimic and ultimately replace human-to-human interactions</w:t>
      </w:r>
    </w:p>
    <w:p>
      <w:pPr>
        <w:pStyle w:val="ListBullet"/>
      </w:pPr>
      <w:r>
        <w:rPr>
          <w:b w:val="0"/>
          <w:i w:val="0"/>
        </w:rPr>
        <w:t>Companies that navigate these challenges effectively will shift from data</w:t>
      </w:r>
      <w:r>
        <w:rPr>
          <w:b/>
          <w:i w:val="0"/>
        </w:rPr>
        <w:t>-</w:t>
      </w:r>
      <w:r>
        <w:rPr>
          <w:b w:val="0"/>
          <w:i w:val="0"/>
        </w:rPr>
        <w:t>driven IQ-heavy interactions to deep EQ-guided experiences, giving brands the opportunity to connect to customers on deeper, more personal levels.</w:t>
      </w:r>
    </w:p>
    <w:p>
      <w:pPr>
        <w:pStyle w:val="Heading3"/>
      </w:pPr>
      <w:r>
        <w:rPr>
          <w:b/>
          <w:i w:val="0"/>
        </w:rPr>
        <w:t>NOTE</w:t>
      </w:r>
    </w:p>
    <w:p>
      <w:r>
        <w:rPr>
          <w:b w:val="0"/>
          <w:i w:val="0"/>
        </w:rPr>
        <w:t xml:space="preserve">1.  Carolos F. Benitez-Quiroz, Ramprakash Srinivasan, and Aleix M. Martinez, “Facial Color Is an Efficient Mechanism to Visually Transmit Emotion,” </w:t>
      </w:r>
      <w:r>
        <w:rPr>
          <w:b w:val="0"/>
          <w:i/>
        </w:rPr>
        <w:t>PNAS</w:t>
      </w:r>
      <w:r>
        <w:rPr>
          <w:b w:val="0"/>
          <w:i w:val="0"/>
        </w:rPr>
        <w:t xml:space="preserve"> 115, no. 14 (April 3, 2018): 3581–3586, https://www.pnas.org/content/115/14/3581.</w:t>
      </w:r>
    </w:p>
    <w:p>
      <w:r>
        <w:rPr>
          <w:b w:val="0"/>
          <w:i/>
        </w:rPr>
        <w:t>Adapted from content posted on hbr.org, July 31, 2018 (product #H04GCW).</w:t>
      </w:r>
    </w:p>
    <w:p>
      <w:pPr>
        <w:pStyle w:val="Heading1"/>
      </w:pPr>
      <w:r>
        <w:rPr>
          <w:b/>
          <w:i w:val="0"/>
        </w:rPr>
        <w:t>11</w:t>
      </w:r>
    </w:p>
    <w:p>
      <w:pPr>
        <w:pStyle w:val="Heading1"/>
      </w:pPr>
      <w:r>
        <w:rPr>
          <w:b/>
          <w:i w:val="0"/>
        </w:rPr>
        <w:t>HOW AI WILL CHANGE STRATEGY</w:t>
      </w:r>
    </w:p>
    <w:p>
      <w:pPr>
        <w:pStyle w:val="Heading2"/>
      </w:pPr>
      <w:r>
        <w:rPr>
          <w:b/>
          <w:i w:val="0"/>
        </w:rPr>
        <w:t>A Thought Experiment</w:t>
      </w:r>
    </w:p>
    <w:p>
      <w:r>
        <w:rPr>
          <w:b w:val="0"/>
          <w:i w:val="0"/>
        </w:rPr>
        <w:t>by Ajay Agrawal, Joshua Gans, and Avi Goldfarb</w:t>
      </w:r>
    </w:p>
    <w:p>
      <w:r>
        <w:rPr>
          <w:b w:val="0"/>
          <w:i w:val="0"/>
        </w:rPr>
        <w:t>How will AI change strategy? That’s the single most common question the three of us are asked by corporate executives, and it’s not trivial to answer. AI is fundamentally a prediction technology. As advances in AI make prediction cheaper, economic theory dictates that we’ll use prediction more frequently and widely, and the value of complements to prediction—like human judgment—will rise. But what does all this mean for strategy?</w:t>
      </w:r>
    </w:p>
    <w:p>
      <w:r>
        <w:rPr>
          <w:b w:val="0"/>
          <w:i w:val="0"/>
        </w:rPr>
        <w:t>Here’s a thought experiment we’ve been using to answer that question. Most people are familiar with shopping at Amazon. As with most online retailers, you visit its website, shop for items, place them in your basket, pay for them, and then Amazon ships them to you. Right now, Amazon’s business model is shopping-then-shipping.</w:t>
      </w:r>
    </w:p>
    <w:p>
      <w:r>
        <w:rPr>
          <w:b w:val="0"/>
          <w:i w:val="0"/>
        </w:rPr>
        <w:t>Most shoppers have noticed Amazon’s recommendation engine while they shop—it offers suggestions of items that its AI predicts you will want to buy. At present, Amazon’s AI does a reasonable job, considering the millions of items on offer. However, it is far from perfect. In our case, the AI accurately predicts what we want to buy about 5% of the time. In other words, we actually purchase about 1 out of every 20 items it recommends. Not bad!</w:t>
      </w:r>
    </w:p>
    <w:p>
      <w:r>
        <w:rPr>
          <w:b w:val="0"/>
          <w:i w:val="0"/>
        </w:rPr>
        <w:t>Now for the thought experiment. Imagine the Amazon AI collects more information about us: In addition to our searching and purchasing behavior on its website, it also collects other data it finds online, including social media, as well as offline, such as our shopping behavior at Whole Foods. It knows not only what we buy, but also what time we go to the store, which location we shop at, how we pay, and more.</w:t>
      </w:r>
    </w:p>
    <w:p>
      <w:r>
        <w:rPr>
          <w:b w:val="0"/>
          <w:i w:val="0"/>
        </w:rPr>
        <w:t>Now, imagine the AI uses that data to improve its predictions. We think of this sort of improvement as akin to turning up the volume knob on a speaker dial. But rather than volume, you’re turning up the AI’s prediction accuracy. What happens to Amazon’s strategy as its data scientists, engineers, and machine learning experts work tirelessly to dial up the accuracy on the prediction machine?</w:t>
      </w:r>
    </w:p>
    <w:p>
      <w:r>
        <w:rPr>
          <w:b w:val="0"/>
          <w:i w:val="0"/>
        </w:rPr>
        <w:t>At some point, as they turn the knob, the AI’s prediction accuracy crosses a threshold, such that it becomes in Amazon’s interest to change its business model. The prediction becomes sufficiently accurate that it becomes more profitable for Amazon to ship you the goods that it predicts you will want rather than wait for you to order them. Every week, Amazon ships you boxes of items it predicts you will want, and then you shop in the comfort and convenience of your own home by choosing the items you wish to keep from the boxes it delivered.</w:t>
      </w:r>
    </w:p>
    <w:p>
      <w:r>
        <w:rPr>
          <w:b w:val="0"/>
          <w:i w:val="0"/>
        </w:rPr>
        <w:t>This approach offers two benefits to Amazon. First, the convenience of predictive shipping makes it much less likely that you purchase the items from a competing retailer, as the products are conveniently delivered to your home before you buy them elsewhere. Second, predictive shipping nudges you to buy items that you were considering purchasing but might not have gotten around to. In both cases, Amazon gains a higher share-of-wallet. Turning the prediction dial up far enough changes Amazon’s business model from shopping-then-shipping to shipping-then-shopping.</w:t>
      </w:r>
    </w:p>
    <w:p>
      <w:r>
        <w:rPr>
          <w:b w:val="0"/>
          <w:i w:val="0"/>
        </w:rPr>
        <w:t>Of course, shoppers would not want to deal with the hassle of returning all the items they don’t want. So, Amazon would invest in infrastructure for the product returns—perhaps a fleet of delivery-style trucks that do pickups once a week, conveniently collecting items that customers don’t want.</w:t>
      </w:r>
    </w:p>
    <w:p>
      <w:r>
        <w:rPr>
          <w:b w:val="0"/>
          <w:i w:val="0"/>
        </w:rPr>
        <w:t>If this is a better business model, then why hasn’t Amazon done it already? Well, it may be working on it. But if it implemented the model today, the cost of collecting and handling returned items would outweigh the increase in revenue from a greater share-of-wallet. For example, today we would return 95% of the items it ships to us. That is annoying for us and costly for Amazon. The prediction isn’t good enough for Amazon to adopt the new model.</w:t>
      </w:r>
    </w:p>
    <w:p>
      <w:r>
        <w:rPr>
          <w:b w:val="0"/>
          <w:i w:val="0"/>
        </w:rPr>
        <w:t xml:space="preserve">That said, one can imagine a scenario where Amazon adopts the new strategy even </w:t>
      </w:r>
      <w:r>
        <w:rPr>
          <w:b w:val="0"/>
          <w:i/>
        </w:rPr>
        <w:t>before</w:t>
      </w:r>
      <w:r>
        <w:rPr>
          <w:b w:val="0"/>
          <w:i w:val="0"/>
        </w:rPr>
        <w:t xml:space="preserve"> the prediction accuracy is good enough to make it profitable because the company </w:t>
      </w:r>
      <w:r>
        <w:rPr>
          <w:b w:val="0"/>
          <w:i/>
        </w:rPr>
        <w:t>anticipates</w:t>
      </w:r>
      <w:r>
        <w:rPr>
          <w:b w:val="0"/>
          <w:i w:val="0"/>
        </w:rPr>
        <w:t xml:space="preserve"> that at some point it will be profitable. By launching sooner, Amazon’s AI will get more data sooner, and improve faster. Amazon realizes that the sooner it gets started, the harder it will be for competitors to catch up. Better predictions will attract more shoppers, more shoppers will generate more data to train the AI, more data will lead to better predictions, and so on, creating a virtuous circle. In other words, there are increasing returns to AI, and thus the timing of adopting this kind of strategy matters. Adopting too early could be costly but adopting too late could be fatal.</w:t>
      </w:r>
    </w:p>
    <w:p>
      <w:r>
        <w:rPr>
          <w:b w:val="0"/>
          <w:i w:val="0"/>
        </w:rPr>
        <w:t>The key insight here is that turning the dial on the prediction machine has a significant impact on strategy. In this example, it shifts Amazon’s business model from shopping-then-shipping to shipping-then-shopping, generates the incentive to vertically integrate into operating a product-returns service (including a fleet of trucks), and accelerates the timing of investment due to first-mover advantage from increasing returns. All this is due to the single act of turning the dial on the prediction machine.</w:t>
      </w:r>
    </w:p>
    <w:p>
      <w:r>
        <w:rPr>
          <w:b w:val="0"/>
          <w:i w:val="0"/>
        </w:rPr>
        <w:t>Most readers will be familiar with the outcome of companies like Blockbuster and Borders that underestimated how quickly the online consumer behavior dial would turn in the context of online shopping and the digital distribution of goods and services. Perhaps they were lulled into complacency by the initially slow adoption rate of this technology in the early days of the commercial internet (1995–1998).</w:t>
      </w:r>
    </w:p>
    <w:p>
      <w:r>
        <w:rPr>
          <w:b w:val="0"/>
          <w:i w:val="0"/>
        </w:rPr>
        <w:t>Today, in the case of AI, some companies are making early bets anticipating that the dial on the prediction machine will start turning faster once it gains momentum. Most people are familiar with Google’s 2014 acquisition of DeepMind—over $500 million for a company that had generated negligible revenue, but had developed an AI that learned to play certain Atari games at a superhuman performance level. Perhaps fewer readers are aware that more traditional companies are also making bets on the pace at which the dial will turn. In 2016, GM paid over $1 billion to acquire AI startup Cruise Automation, and in 2017, Ford invested $1 billion in AI startup Argo AI, and John Deere paid over $300 million to acquire AI startup Blue River Technology—all three startups had generated negligible revenue relative to the price at the time of purchase. GM, Ford, and John Deere are each betting on an exponential speedup of AI performance and, at those prices, anticipating a significant impact on their business strategies.</w:t>
      </w:r>
    </w:p>
    <w:p>
      <w:r>
        <w:rPr>
          <w:b w:val="0"/>
          <w:i w:val="0"/>
        </w:rPr>
        <w:t>Strategists face two challenges in light of all of this. First, they must invest in developing a better understanding of how fast and how far the dial on their prediction machines will turn for their sector and applications. Second, they must invest in developing a thesis about the strategy options created by the shifting economics of their business that result from turning the dial, similar to the thought experiment we considered for Amazon.</w:t>
      </w:r>
    </w:p>
    <w:p>
      <w:r>
        <w:rPr>
          <w:b w:val="0"/>
          <w:i w:val="0"/>
        </w:rPr>
        <w:t>So, what is the overarching theme for initiating an AI strategy? Close your eyes, imagine putting your fingers on the dial of your prediction machine, and, in the immortal words of Spinal Tap, turn it to eleven.</w:t>
      </w:r>
    </w:p>
    <w:p>
      <w:r>
        <w:rPr>
          <w:b/>
          <w:i w:val="0"/>
        </w:rPr>
        <w:t>TAKEAWAYS</w:t>
      </w:r>
    </w:p>
    <w:p>
      <w:r>
        <w:rPr>
          <w:b w:val="0"/>
          <w:i w:val="0"/>
        </w:rPr>
        <w:t>AI will make prediction cheaper, faster, and more accurate. When the accuracy of predictions passes a certain threshold, it will have a profound impact on strategy.</w:t>
      </w:r>
    </w:p>
    <w:p>
      <w:pPr>
        <w:pStyle w:val="ListBullet"/>
      </w:pPr>
      <w:r>
        <w:rPr>
          <w:b w:val="0"/>
          <w:i w:val="0"/>
        </w:rPr>
        <w:t>Strategists must first invest in determining how fast and how much better predictions will become for their sectors and applications. Then they must try to imagine what new strategic options these predictions will create.</w:t>
      </w:r>
    </w:p>
    <w:p>
      <w:pPr>
        <w:pStyle w:val="ListBullet"/>
      </w:pPr>
      <w:r>
        <w:rPr>
          <w:b w:val="0"/>
          <w:i w:val="0"/>
        </w:rPr>
        <w:t>Better predictions will enable novel business models that will reshape the strategic playing field in many industries. Industrywide business model reinvention would bring with it strategic concerns such as seizing first-mover advantage and investing in different kinds of capabilities.</w:t>
      </w:r>
    </w:p>
    <w:p>
      <w:pPr>
        <w:pStyle w:val="ListBullet"/>
      </w:pPr>
      <w:r>
        <w:rPr>
          <w:b w:val="0"/>
          <w:i w:val="0"/>
        </w:rPr>
        <w:t>For example, an online retailer like Amazon could implement a prediction-based “ship-then-shop” model in which it delivers products to customers before they have selected them. Amazon might begin executing this model before it is profitable to be the first mover, and it might invest further in shipping and logistics infrastructure in order to accommodate the increase in customer returns such a model would generate.</w:t>
      </w:r>
    </w:p>
    <w:p>
      <w:r>
        <w:rPr>
          <w:b w:val="0"/>
          <w:i/>
        </w:rPr>
        <w:t>Adapted from content posted on hbr.org, October 3, 2017 (product #H03XDI).</w:t>
      </w:r>
    </w:p>
    <w:p>
      <w:r>
        <w:rPr>
          <w:b w:val="0"/>
          <w:i/>
        </w:rPr>
        <w:t>The ideas here are adapted from our book</w:t>
      </w:r>
      <w:r>
        <w:rPr>
          <w:b w:val="0"/>
          <w:i w:val="0"/>
        </w:rPr>
        <w:t xml:space="preserve"> Prediction Machines: The Simple Economics of Artificial Intelligence </w:t>
      </w:r>
      <w:r>
        <w:rPr>
          <w:b w:val="0"/>
          <w:i/>
        </w:rPr>
        <w:t>(Harvard Business Review Press, 2018).</w:t>
      </w:r>
    </w:p>
    <w:p>
      <w:pPr>
        <w:pStyle w:val="Heading1"/>
      </w:pPr>
      <w:r>
        <w:rPr>
          <w:b/>
          <w:i w:val="0"/>
        </w:rPr>
        <w:t>12</w:t>
      </w:r>
    </w:p>
    <w:p>
      <w:pPr>
        <w:pStyle w:val="Heading1"/>
      </w:pPr>
      <w:r>
        <w:rPr>
          <w:b/>
          <w:i w:val="0"/>
        </w:rPr>
        <w:t>THE FUTURE OF AI WILL BE ABOUT LESS DATA, NOT MORE</w:t>
      </w:r>
    </w:p>
    <w:p>
      <w:r>
        <w:rPr>
          <w:b w:val="0"/>
          <w:i w:val="0"/>
        </w:rPr>
        <w:t>by H. James Wilson, Paul Daugherty, and Chase Davenport</w:t>
      </w:r>
    </w:p>
    <w:p>
      <w:r>
        <w:rPr>
          <w:b w:val="0"/>
          <w:i w:val="0"/>
        </w:rPr>
        <w:t>Companies considering how to invest in AI capabilities should first understand that over the coming five years applications and machines will become less artificial and more intelligent. They will rely less on bottom-up big data and more on top-down reasoning that more closely resembles the way humans approach problems and tasks. This general reasoning ability will enable AI to be more broadly applied than ever, creating opportunities for early adopters even in businesses and activities to which it previously seemed unsuited.</w:t>
      </w:r>
    </w:p>
    <w:p>
      <w:r>
        <w:rPr>
          <w:b w:val="0"/>
          <w:i w:val="0"/>
        </w:rPr>
        <w:t>In the recent past, AI advanced through deep learning and machine learning, building up systems from the bottom by training them on mountains of data. For instance, driverless vehicles are trained on as many traffic situations as possible. But these data-hungry neural networks, as they are called, have serious limitations. They especially have trouble handling “edge” cases—situations where little data exists. A driverless car that can handle crosswalks, pedestrians, and traffic has trouble processing anomalies like children dressed in unusual Halloween costumes, weaving across the street after dusk.</w:t>
      </w:r>
    </w:p>
    <w:p>
      <w:r>
        <w:rPr>
          <w:b w:val="0"/>
          <w:i w:val="0"/>
        </w:rPr>
        <w:t>Many systems are also easily stumped. The iPhone X’s facial recognition system doesn’t recognize “morning faces”—a user’s puffy, haggard look on first awakening. Neural networks have beaten chess champions and triumphed at the ancient Japanese game of Go but turn an image upside down or slightly alter it and the network may misidentify it. Or it may provide “high confidence” identifications of unrecognizable objects.</w:t>
      </w:r>
    </w:p>
    <w:p>
      <w:r>
        <w:rPr>
          <w:b w:val="0"/>
          <w:i w:val="0"/>
        </w:rPr>
        <w:t>Data-hungry systems also face business and ethical constraints. Not every company has the volume of data necessary to build unique capabilities using neural networks. Using huge amounts of citizens’ data also raises privacy issues likely to lead to more government action like the European Union’s General Data Protection Regulation (GDPR), which imposes stringent requirements on the use of individuals’ personal data. Further, these systems are black boxes—it’s not clear how they use input data to arrive at outputs like actions or decisions. This leaves them open to manipulation by bad actors (like the Russians in the 2016 U.S. presidential election), and when something goes embarrassingly wrong, organizations are hard put to explain why.</w:t>
      </w:r>
    </w:p>
    <w:p>
      <w:r>
        <w:rPr>
          <w:b w:val="0"/>
          <w:i w:val="0"/>
        </w:rPr>
        <w:t>In the future, however, we will have top-down systems that don’t require as much data and are faster, more flexible, and, like humans, more innately intelligent. A number of companies and organizations are already putting these more natural systems to work. To craft a vision of where AI is heading in the next several years, and then plan investments and tests accordingly, companies should look for developments in four areas.</w:t>
      </w:r>
    </w:p>
    <w:p>
      <w:pPr>
        <w:pStyle w:val="Heading2"/>
      </w:pPr>
      <w:r>
        <w:rPr>
          <w:b/>
          <w:i w:val="0"/>
        </w:rPr>
        <w:t>More-Efficient Robot Reasoning</w:t>
      </w:r>
    </w:p>
    <w:p>
      <w:r>
        <w:rPr>
          <w:b w:val="0"/>
          <w:i w:val="0"/>
        </w:rPr>
        <w:t>When robots have a conceptual understanding of the world, as humans do, it is easier to teach them things, using far less data. Vicarious, a Union City, California, startup whose investors include Mark Zuckerberg, Jeff Bezos, and Marc Benioff, is working to develop artificial general intelligence for robots, enabling them to generalize from few examples.</w:t>
      </w:r>
    </w:p>
    <w:p>
      <w:r>
        <w:rPr>
          <w:b w:val="0"/>
          <w:i w:val="0"/>
        </w:rPr>
        <w:t xml:space="preserve">Consider those jumbles of letters and numerals that websites use to determine whether you’re a human or a robot. Called </w:t>
      </w:r>
      <w:r>
        <w:rPr>
          <w:b w:val="0"/>
          <w:i/>
        </w:rPr>
        <w:t>CAPTCHAs</w:t>
      </w:r>
      <w:r>
        <w:rPr>
          <w:b w:val="0"/>
          <w:i w:val="0"/>
        </w:rPr>
        <w:t xml:space="preserve"> (Completely Automated Public Turing tests to tell Computers and Humans Apart), they are easy for humans to solve and hard for computers. Drawing on computational neuroscience, researchers at Vicarious have developed a model that can break through CAPTCHAs at a far higher rate than deep neural networks and with 300-fold more data efficiency. To parse CAPTCHAs with almost 67% accuracy, the Vicarious model required only five training examples per character, while a state-of-the-art deep neural network required a 50,000-fold larger training set of actual CAPTCHA strings. Such models, with their ability to train faster and generalize more broadly than AI approaches commonly used today, are putting us on a path toward robots that have a human-like conceptual understanding of the world.</w:t>
      </w:r>
    </w:p>
    <w:p>
      <w:pPr>
        <w:pStyle w:val="Heading2"/>
      </w:pPr>
      <w:r>
        <w:rPr>
          <w:b/>
          <w:i w:val="0"/>
        </w:rPr>
        <w:t>Ready Expertise</w:t>
      </w:r>
    </w:p>
    <w:p>
      <w:r>
        <w:rPr>
          <w:b w:val="0"/>
          <w:i w:val="0"/>
        </w:rPr>
        <w:t>Modeling what a human expert would do in the face of high uncertainty and little data, top-down artificial intelligence can beat data-hungry approaches for designing and controlling many varieties of factory equipment. Siemens is using top-down AI to control the highly complex combustion process in gas turbines, where air and gas flow into a chamber, ignite, and burn at temperatures as high as 1,600 degrees Celsius. The volume of emissions created and ultimately how long the turbine will continue to operate depend on the interplay of numerous factors, from the quality of the gas to air flow and internal and external temperature.</w:t>
      </w:r>
    </w:p>
    <w:p>
      <w:r>
        <w:rPr>
          <w:b w:val="0"/>
          <w:i w:val="0"/>
        </w:rPr>
        <w:t>Using bottom-up machine learning methods, the gas turbine would have to run for a century before producing enough data to begin training. Instead, Siemens researchers Volar Sterzing and Steffen Udluft used methods that required little data in the learning phase for the machines. The monitoring system that resulted makes fine adjustments that optimize how the turbines run in terms of emissions and wear, continuously seeking the best solution in real time, much like an expert knowledgeably twirling multiple knobs in concert.</w:t>
      </w:r>
    </w:p>
    <w:p>
      <w:pPr>
        <w:pStyle w:val="Heading2"/>
      </w:pPr>
      <w:r>
        <w:rPr>
          <w:b/>
          <w:i w:val="0"/>
        </w:rPr>
        <w:t>Common Sense</w:t>
      </w:r>
    </w:p>
    <w:p>
      <w:r>
        <w:rPr>
          <w:b w:val="0"/>
          <w:i w:val="0"/>
        </w:rPr>
        <w:t>A variety of organizations are working to teach machines to navigate the world using common sense—to understand everyday objects and actions, communicate naturally, handle unforeseen situations, and learn from experiences. But what comes naturally to humans, without explicit training or data, is fiendishly difficult for machines. Says Oren Etzioni, the CEO of the Allen Institute for Artificial Intelligence (AI2), “No AI system currently deployed can reliably answer a broad range of simple questions, such as, ‘If I put my socks in a drawer, will they still be in there tomorrow?’ or ‘How can you tell if a milk carton is full?’ ”</w:t>
      </w:r>
    </w:p>
    <w:p>
      <w:r>
        <w:rPr>
          <w:b w:val="0"/>
          <w:i w:val="0"/>
        </w:rPr>
        <w:t xml:space="preserve">To help define what it means for machines to have common sense, AI2 is developing a portfolio of tasks against which progress can be measured. DARPA is investing $2 billion in AI research. In its Machine Common Sense (MCS) program, researchers will create models that mimic core domains of human cognition, including “the domains of </w:t>
      </w:r>
      <w:r>
        <w:rPr>
          <w:b w:val="0"/>
          <w:i/>
        </w:rPr>
        <w:t>objects</w:t>
      </w:r>
      <w:r>
        <w:rPr>
          <w:b w:val="0"/>
          <w:i w:val="0"/>
        </w:rPr>
        <w:t xml:space="preserve"> (intuitive physics), </w:t>
      </w:r>
      <w:r>
        <w:rPr>
          <w:b w:val="0"/>
          <w:i/>
        </w:rPr>
        <w:t>places</w:t>
      </w:r>
      <w:r>
        <w:rPr>
          <w:b w:val="0"/>
          <w:i w:val="0"/>
        </w:rPr>
        <w:t xml:space="preserve"> (spatial navigation), and </w:t>
      </w:r>
      <w:r>
        <w:rPr>
          <w:b w:val="0"/>
          <w:i/>
        </w:rPr>
        <w:t>agents</w:t>
      </w:r>
      <w:r>
        <w:rPr>
          <w:b w:val="0"/>
          <w:i w:val="0"/>
        </w:rPr>
        <w:t xml:space="preserve"> (intentional actors).” Researchers at Microsoft and McGill University have jointly developed a system that has shown great promise for untangling ambiguities in natural language, a problem that requires diverse forms of inference and knowledge.</w:t>
      </w:r>
    </w:p>
    <w:p>
      <w:pPr>
        <w:pStyle w:val="Heading2"/>
      </w:pPr>
      <w:r>
        <w:rPr>
          <w:b/>
          <w:i w:val="0"/>
        </w:rPr>
        <w:t>Making Better Bets</w:t>
      </w:r>
    </w:p>
    <w:p>
      <w:r>
        <w:rPr>
          <w:b w:val="0"/>
          <w:i w:val="0"/>
        </w:rPr>
        <w:t>Humans routinely, and often effortlessly, sort through probabilities and act on the likeliest, even with relatively little prior experience. Machines are now being taught to mimic such reasoning through the application of Gaussian processes—probabilistic models that can deal with extensive uncertainty, act on sparse data, and learn from experience. Alphabet, Google’s parent company, launched Project Loon, designed to provide internet service to underserved regions of the world through a system of giant balloons hovering in the stratosphere. Their navigational systems employ Gaussian processes to predict where in the stratified and highly variable winds aloft the balloons need to go. The balloons then move into a layer of wind blowing in the right direction, arranging themselves to form one large communication network. The balloons can not only make reasonably accurate predictions by analyzing past flight data but also analyze data during a flight and adjust their predictions accordingly.</w:t>
      </w:r>
    </w:p>
    <w:p>
      <w:r>
        <w:rPr>
          <w:b w:val="0"/>
          <w:i w:val="0"/>
        </w:rPr>
        <w:t>Such Gaussian processes hold great promise. They don’t require massive amounts of data to recognize patterns; the computations required for inference and learning are relativity easy, and if something goes wrong, its cause can be traced, unlike the black boxes of neural networks.</w:t>
      </w:r>
    </w:p>
    <w:p>
      <w:r>
        <w:rPr>
          <w:b w:val="0"/>
          <w:i w:val="0"/>
        </w:rPr>
        <w:t>Though all of these advances are relatively recent, they hark back to the very beginnings of AI in the 1950s, when a number of researchers began to pursue top-down models for mimicking human intelligence. But when progress proved elusive and the rich potential for bottom-up machine learning methods became apparent, the top-down approach was largely abandoned. Today, however, through powerful new research and computational techniques, top-down AI has been reborn. As its great promise begins to be fulfilled, smart companies will put their money where the mind is.</w:t>
      </w:r>
    </w:p>
    <w:p>
      <w:r>
        <w:rPr>
          <w:b/>
          <w:i w:val="0"/>
        </w:rPr>
        <w:t>TAKEAWAYS</w:t>
      </w:r>
    </w:p>
    <w:p>
      <w:r>
        <w:rPr>
          <w:b w:val="0"/>
          <w:i w:val="0"/>
        </w:rPr>
        <w:t>As AI develops, it will rely less on bottom-up big data and more on top-down reasoning that resembles the way humans approach problems and tasks. This will enable us to apply AI more broadly than ever, creating opportunities for early adopters even in businesses and activities to which AI previously seemed unsuited.</w:t>
      </w:r>
    </w:p>
    <w:p>
      <w:pPr>
        <w:pStyle w:val="ListBullet"/>
      </w:pPr>
      <w:r>
        <w:rPr>
          <w:b w:val="0"/>
          <w:i w:val="0"/>
        </w:rPr>
        <w:t>Until recently, most AI advanced through deep learning and machine learning, building up systems by training them on mountains of data. But these data-hungry networks have serious limitations and difficulty handling situations where little data exists.</w:t>
      </w:r>
    </w:p>
    <w:p>
      <w:pPr>
        <w:pStyle w:val="ListBullet"/>
      </w:pPr>
      <w:r>
        <w:rPr>
          <w:b w:val="0"/>
          <w:i w:val="0"/>
        </w:rPr>
        <w:t>To craft a vision of where AI is heading in the next several years, and plan investments and tests accordingly, companies should look for the following developments:</w:t>
      </w:r>
    </w:p>
    <w:p>
      <w:pPr>
        <w:pStyle w:val="ListBullet"/>
      </w:pPr>
      <w:r>
        <w:rPr>
          <w:b w:val="0"/>
          <w:i w:val="0"/>
        </w:rPr>
        <w:t>More-efficient robot reasoning. When machines have a conceptual understanding of the world, as humans do, it is easier to teach them using far less data.</w:t>
      </w:r>
    </w:p>
    <w:p>
      <w:pPr>
        <w:pStyle w:val="ListBullet"/>
      </w:pPr>
      <w:r>
        <w:rPr>
          <w:b w:val="0"/>
          <w:i w:val="0"/>
        </w:rPr>
        <w:t>Ready expertise. Modeling what a human expert would do in the face of high uncertainty and little data, top-down AI can beat data-hungry approaches for designing and controlling many varieties of equipment.</w:t>
      </w:r>
    </w:p>
    <w:p>
      <w:pPr>
        <w:pStyle w:val="ListBullet"/>
      </w:pPr>
      <w:r>
        <w:rPr>
          <w:b w:val="0"/>
          <w:i w:val="0"/>
        </w:rPr>
        <w:t>Common sense. Top-down AI will allow machines to navigate the world by understanding everyday objects and actions, handling unforeseen situations, and learning from experiences.</w:t>
      </w:r>
    </w:p>
    <w:p>
      <w:pPr>
        <w:pStyle w:val="ListBullet"/>
      </w:pPr>
      <w:r>
        <w:rPr>
          <w:b w:val="0"/>
          <w:i w:val="0"/>
        </w:rPr>
        <w:t>Making better bets. Humans routinely sort through probabilities and act on the likeliest, even with relatively little prior experience. Machines are now learning to mimic such reasoning.</w:t>
      </w:r>
    </w:p>
    <w:p>
      <w:r>
        <w:rPr>
          <w:b w:val="0"/>
          <w:i/>
        </w:rPr>
        <w:t>Adapted from content posted on hbr.org, January 14, 2019 (product #H04QN6).</w:t>
      </w:r>
    </w:p>
    <w:p>
      <w:pPr>
        <w:pStyle w:val="Heading1"/>
      </w:pPr>
      <w:r>
        <w:rPr>
          <w:b/>
          <w:i w:val="0"/>
        </w:rPr>
        <w:t>About the Contributors</w:t>
      </w:r>
    </w:p>
    <w:p>
      <w:r>
        <w:rPr>
          <w:b/>
          <w:i w:val="0"/>
        </w:rPr>
        <w:t>AJAY AGRAWAL</w:t>
      </w:r>
      <w:r>
        <w:rPr>
          <w:b w:val="0"/>
          <w:i w:val="0"/>
        </w:rPr>
        <w:t xml:space="preserve"> is the Peter Munk Professor of Entrepreneurship at the University of Toronto’s Rotman School of Management and research associate at the National Bureau of Economic Research in Cambridge, Massachusetts. He is founder of the Creative Destruction Lab, cofounder of The Next AI, and cofounder of Kindred. He is the coauthor of </w:t>
      </w:r>
      <w:r>
        <w:rPr>
          <w:b w:val="0"/>
          <w:i/>
        </w:rPr>
        <w:t>Prediction Machines: The Simple Economics of Artificial Intelligence</w:t>
      </w:r>
      <w:r>
        <w:rPr>
          <w:b w:val="0"/>
          <w:i w:val="0"/>
        </w:rPr>
        <w:t xml:space="preserve"> (Harvard Business Review Press, 2018).</w:t>
      </w:r>
    </w:p>
    <w:p>
      <w:r>
        <w:rPr>
          <w:b/>
          <w:i w:val="0"/>
        </w:rPr>
        <w:t>SCOTT BERINATO</w:t>
      </w:r>
      <w:r>
        <w:rPr>
          <w:b w:val="0"/>
          <w:i w:val="0"/>
        </w:rPr>
        <w:t xml:space="preserve"> is a senior editor at </w:t>
      </w:r>
      <w:r>
        <w:rPr>
          <w:b w:val="0"/>
          <w:i/>
        </w:rPr>
        <w:t>Harvard Business Review</w:t>
      </w:r>
      <w:r>
        <w:rPr>
          <w:b w:val="0"/>
          <w:i w:val="0"/>
        </w:rPr>
        <w:t xml:space="preserve"> and the author of </w:t>
      </w:r>
      <w:r>
        <w:rPr>
          <w:b w:val="0"/>
          <w:i/>
        </w:rPr>
        <w:t>Good Charts: The HBR Guide to Making Smarter, More Persuasive Data Visualizations</w:t>
      </w:r>
      <w:r>
        <w:rPr>
          <w:b w:val="0"/>
          <w:i w:val="0"/>
        </w:rPr>
        <w:t xml:space="preserve"> (Harvard Business Review Press, 2016) and </w:t>
      </w:r>
      <w:r>
        <w:rPr>
          <w:b w:val="0"/>
          <w:i/>
        </w:rPr>
        <w:t>Good Charts Workbook: Tips, Tools, and Exercises for Making Better Data Visualizations</w:t>
      </w:r>
      <w:r>
        <w:rPr>
          <w:b w:val="0"/>
          <w:i w:val="0"/>
        </w:rPr>
        <w:t xml:space="preserve"> (Harvard Business Review Press, 2019).</w:t>
      </w:r>
    </w:p>
    <w:p>
      <w:r>
        <w:rPr>
          <w:b/>
          <w:i w:val="0"/>
        </w:rPr>
        <w:t>ERIK BRYNJOLFSSON</w:t>
      </w:r>
      <w:r>
        <w:rPr>
          <w:b w:val="0"/>
          <w:i w:val="0"/>
        </w:rPr>
        <w:t xml:space="preserve"> is the director of MIT’s Initiative on the Digital Economy, the Schussel Family Professor of Management Science at the MIT Sloan School of Management, and a research associate at NBER. He is the author of several books, including, with Andrew McAfee, </w:t>
      </w:r>
      <w:r>
        <w:rPr>
          <w:b w:val="0"/>
          <w:i/>
        </w:rPr>
        <w:t>Machine, Platform, Crowd: Harnessing Our Digital Future</w:t>
      </w:r>
      <w:r>
        <w:rPr>
          <w:b w:val="0"/>
          <w:i w:val="0"/>
        </w:rPr>
        <w:t xml:space="preserve"> (2017) and the </w:t>
      </w:r>
      <w:r>
        <w:rPr>
          <w:b w:val="0"/>
          <w:i/>
        </w:rPr>
        <w:t>New York Times</w:t>
      </w:r>
      <w:r>
        <w:rPr>
          <w:b w:val="0"/>
          <w:i w:val="0"/>
        </w:rPr>
        <w:t xml:space="preserve"> bestseller </w:t>
      </w:r>
      <w:r>
        <w:rPr>
          <w:b w:val="0"/>
          <w:i/>
        </w:rPr>
        <w:t>The Second Machine Age: Work, Progress, and Prosperity in a Time of Brilliant Technologies</w:t>
      </w:r>
      <w:r>
        <w:rPr>
          <w:b w:val="0"/>
          <w:i w:val="0"/>
        </w:rPr>
        <w:t xml:space="preserve"> (2014). Follow him on Twitter @erikbryn.</w:t>
      </w:r>
    </w:p>
    <w:p>
      <w:r>
        <w:rPr>
          <w:b/>
          <w:i w:val="0"/>
        </w:rPr>
        <w:t>JOAQUIN CANDELA</w:t>
      </w:r>
      <w:r>
        <w:rPr>
          <w:b w:val="0"/>
          <w:i w:val="0"/>
        </w:rPr>
        <w:t xml:space="preserve"> is director of Applied Machine Learning at Facebook.</w:t>
      </w:r>
    </w:p>
    <w:p>
      <w:r>
        <w:rPr>
          <w:b/>
          <w:i w:val="0"/>
        </w:rPr>
        <w:t>PAUL DAUGHERTY</w:t>
      </w:r>
      <w:r>
        <w:rPr>
          <w:b w:val="0"/>
          <w:i w:val="0"/>
        </w:rPr>
        <w:t xml:space="preserve"> is Accenture’s chief technology and innovation officer. He is a coauthor, with H. James Wilson, of </w:t>
      </w:r>
      <w:r>
        <w:rPr>
          <w:b w:val="0"/>
          <w:i/>
        </w:rPr>
        <w:t>Human</w:t>
      </w:r>
      <w:r>
        <w:rPr>
          <w:b w:val="0"/>
          <w:i w:val="0"/>
        </w:rPr>
        <w:t xml:space="preserve"> + </w:t>
      </w:r>
      <w:r>
        <w:rPr>
          <w:b w:val="0"/>
          <w:i/>
        </w:rPr>
        <w:t>Machine: Reimagining Work in the Age of AI</w:t>
      </w:r>
      <w:r>
        <w:rPr>
          <w:b w:val="0"/>
          <w:i w:val="0"/>
        </w:rPr>
        <w:t xml:space="preserve"> (Harvard Business Review Press, 2018).</w:t>
      </w:r>
    </w:p>
    <w:p>
      <w:r>
        <w:rPr>
          <w:b/>
          <w:i w:val="0"/>
        </w:rPr>
        <w:t>CHASE DAVENPORT</w:t>
      </w:r>
      <w:r>
        <w:rPr>
          <w:b w:val="0"/>
          <w:i w:val="0"/>
        </w:rPr>
        <w:t xml:space="preserve"> is a San Francisco–based technology researcher.</w:t>
      </w:r>
    </w:p>
    <w:p>
      <w:r>
        <w:rPr>
          <w:b/>
          <w:i w:val="0"/>
        </w:rPr>
        <w:t>THOMAS H. DAVENPORT</w:t>
      </w:r>
      <w:r>
        <w:rPr>
          <w:b w:val="0"/>
          <w:i w:val="0"/>
        </w:rPr>
        <w:t xml:space="preserve"> is the President’s Distinguished Professor in Management and Information Technology at Babson College, a research fellow at the MIT Initiative on the Digital Economy, and a senior adviser at Deloitte Analytics. He is the author of over a dozen management books, most recently </w:t>
      </w:r>
      <w:r>
        <w:rPr>
          <w:b w:val="0"/>
          <w:i/>
        </w:rPr>
        <w:t>Only Humans Need Apply: Winners and Losers in the Age of Smart Machines</w:t>
      </w:r>
      <w:r>
        <w:rPr>
          <w:b w:val="0"/>
          <w:i w:val="0"/>
        </w:rPr>
        <w:t xml:space="preserve"> (2016) and </w:t>
      </w:r>
      <w:r>
        <w:rPr>
          <w:b w:val="0"/>
          <w:i/>
        </w:rPr>
        <w:t>The AI Advantage</w:t>
      </w:r>
      <w:r>
        <w:rPr>
          <w:b w:val="0"/>
          <w:i w:val="0"/>
        </w:rPr>
        <w:t xml:space="preserve"> (2018).</w:t>
      </w:r>
    </w:p>
    <w:p>
      <w:r>
        <w:rPr>
          <w:b/>
          <w:i w:val="0"/>
        </w:rPr>
        <w:t>JOSHUA GANS</w:t>
      </w:r>
      <w:r>
        <w:rPr>
          <w:b w:val="0"/>
          <w:i w:val="0"/>
        </w:rPr>
        <w:t xml:space="preserve"> is the Jeffrey S. Skoll Chair of Technical Innovation and Entrepreneurship at the University of Toronto’s Rotman School of Management and serves as chief economist in the Creative Destruction Lab. He is the coauthor of </w:t>
      </w:r>
      <w:r>
        <w:rPr>
          <w:b w:val="0"/>
          <w:i/>
        </w:rPr>
        <w:t>Prediction Machines: The Simple Economics of Artificial Intelligence</w:t>
      </w:r>
      <w:r>
        <w:rPr>
          <w:b w:val="0"/>
          <w:i w:val="0"/>
        </w:rPr>
        <w:t xml:space="preserve"> (Harvard Business Review Press, 2018) and the author of </w:t>
      </w:r>
      <w:r>
        <w:rPr>
          <w:b w:val="0"/>
          <w:i/>
        </w:rPr>
        <w:t>The Disruption Dilemma</w:t>
      </w:r>
      <w:r>
        <w:rPr>
          <w:b w:val="0"/>
          <w:i w:val="0"/>
        </w:rPr>
        <w:t xml:space="preserve"> (2016).</w:t>
      </w:r>
    </w:p>
    <w:p>
      <w:r>
        <w:rPr>
          <w:b/>
          <w:i w:val="0"/>
        </w:rPr>
        <w:t>AVI GOLDFARB</w:t>
      </w:r>
      <w:r>
        <w:rPr>
          <w:b w:val="0"/>
          <w:i w:val="0"/>
        </w:rPr>
        <w:t xml:space="preserve"> is the Ellison Professor of Marketing at the Rotman School of Management, University of Toronto. He is also a research associate at the National Bureau of Economic Research, chief data scientist at the Creative Destruction Lab, and senior editor at </w:t>
      </w:r>
      <w:r>
        <w:rPr>
          <w:b w:val="0"/>
          <w:i/>
        </w:rPr>
        <w:t>Marketing Science</w:t>
      </w:r>
      <w:r>
        <w:rPr>
          <w:b w:val="0"/>
          <w:i w:val="0"/>
        </w:rPr>
        <w:t xml:space="preserve">. He is a coauthor of </w:t>
      </w:r>
      <w:r>
        <w:rPr>
          <w:b w:val="0"/>
          <w:i/>
        </w:rPr>
        <w:t>Prediction Machines: The Simple Economics of Artificial Intelligence</w:t>
      </w:r>
      <w:r>
        <w:rPr>
          <w:b w:val="0"/>
          <w:i w:val="0"/>
        </w:rPr>
        <w:t xml:space="preserve"> (Harvard Business Review Press, 2018).</w:t>
      </w:r>
    </w:p>
    <w:p>
      <w:r>
        <w:rPr>
          <w:b/>
          <w:i w:val="0"/>
        </w:rPr>
        <w:t>SOPHIE KLEBER</w:t>
      </w:r>
      <w:r>
        <w:rPr>
          <w:b w:val="0"/>
          <w:i w:val="0"/>
        </w:rPr>
        <w:t xml:space="preserve"> is the executive creative director at Huge, where she creates future-forward user experiences to help transform businesses and shape the way we use technology. She is a thought leader in the future of design, has written on behalf of TED, and speaks regularly at SXSW.</w:t>
      </w:r>
    </w:p>
    <w:p>
      <w:r>
        <w:rPr>
          <w:b/>
          <w:i w:val="0"/>
        </w:rPr>
        <w:t>MARK KNICKREHM</w:t>
      </w:r>
      <w:r>
        <w:rPr>
          <w:b w:val="0"/>
          <w:i w:val="0"/>
        </w:rPr>
        <w:t xml:space="preserve"> is group chief executive for Accenture Strategy.</w:t>
      </w:r>
    </w:p>
    <w:p>
      <w:r>
        <w:rPr>
          <w:b/>
          <w:i w:val="0"/>
        </w:rPr>
        <w:t>VIKRAM MAHIDHAR</w:t>
      </w:r>
      <w:r>
        <w:rPr>
          <w:b w:val="0"/>
          <w:i w:val="0"/>
        </w:rPr>
        <w:t xml:space="preserve"> is the leader of artificial intelligence business at Genpact. He was an entrepreneur and built the AI solutions business at Rage Framework (acquired by Genpact).</w:t>
      </w:r>
    </w:p>
    <w:p>
      <w:r>
        <w:rPr>
          <w:b/>
          <w:i w:val="0"/>
        </w:rPr>
        <w:t>EMMA MARTINHO-TRUSWELL</w:t>
      </w:r>
      <w:r>
        <w:rPr>
          <w:b w:val="0"/>
          <w:i w:val="0"/>
        </w:rPr>
        <w:t xml:space="preserve"> is the cofounder and chief operating officer of Oxford Insights, which advises organizations on the strategic, cultural, and leadership opportunities from digital transformation and artificial intelligence.</w:t>
      </w:r>
    </w:p>
    <w:p>
      <w:r>
        <w:rPr>
          <w:b/>
          <w:i w:val="0"/>
        </w:rPr>
        <w:t>ANDREW MCAFEE</w:t>
      </w:r>
      <w:r>
        <w:rPr>
          <w:b w:val="0"/>
          <w:i w:val="0"/>
        </w:rPr>
        <w:t xml:space="preserve">, a principal research scientist at MIT, studies how digital technologies are changing business, the economy, and society. With Erik Brynjolfsson, he coauthored </w:t>
      </w:r>
      <w:r>
        <w:rPr>
          <w:b w:val="0"/>
          <w:i/>
        </w:rPr>
        <w:t>Machine, Platform, Crowd: Harnessing Our Digital Future</w:t>
      </w:r>
      <w:r>
        <w:rPr>
          <w:b w:val="0"/>
          <w:i w:val="0"/>
        </w:rPr>
        <w:t xml:space="preserve"> (2017) and </w:t>
      </w:r>
      <w:r>
        <w:rPr>
          <w:b w:val="0"/>
          <w:i/>
        </w:rPr>
        <w:t>The Second Machine Age: Work, Progress, and Prosperity in a Time of Brilliant Technologies</w:t>
      </w:r>
      <w:r>
        <w:rPr>
          <w:b w:val="0"/>
          <w:i w:val="0"/>
        </w:rPr>
        <w:t xml:space="preserve"> (2014), which was a </w:t>
      </w:r>
      <w:r>
        <w:rPr>
          <w:b w:val="0"/>
          <w:i/>
        </w:rPr>
        <w:t>New York Times</w:t>
      </w:r>
      <w:r>
        <w:rPr>
          <w:b w:val="0"/>
          <w:i w:val="0"/>
        </w:rPr>
        <w:t xml:space="preserve"> bestseller and was shortlisted for the </w:t>
      </w:r>
      <w:r>
        <w:rPr>
          <w:b w:val="0"/>
          <w:i/>
        </w:rPr>
        <w:t>Financial Times</w:t>
      </w:r>
      <w:r>
        <w:rPr>
          <w:b w:val="0"/>
          <w:i w:val="0"/>
        </w:rPr>
        <w:t>/McKinsey Business Book of the Year Award. Follow him on Twitter @amcafee.</w:t>
      </w:r>
    </w:p>
    <w:p>
      <w:r>
        <w:rPr>
          <w:b/>
          <w:i w:val="0"/>
        </w:rPr>
        <w:t>ANDREW NG</w:t>
      </w:r>
      <w:r>
        <w:rPr>
          <w:b w:val="0"/>
          <w:i w:val="0"/>
        </w:rPr>
        <w:t xml:space="preserve"> is the founder and CEO of Landing AI, the former VP and chief scientist of Baidu, cochairman and cofounder of Coursera, the founder and former lead of Google Brain, and an adjunct professor at Stanford University.</w:t>
      </w:r>
    </w:p>
    <w:p>
      <w:r>
        <w:rPr>
          <w:b/>
          <w:i w:val="0"/>
        </w:rPr>
        <w:t>H. JAMES WILSON</w:t>
      </w:r>
      <w:r>
        <w:rPr>
          <w:b w:val="0"/>
          <w:i w:val="0"/>
        </w:rPr>
        <w:t xml:space="preserve"> is a managing director of information technology and business research at Accenture Research. Follow him on Twitter @hjameswilson. He is a coauthor, with Paul Daugherty, of </w:t>
      </w:r>
      <w:r>
        <w:rPr>
          <w:b w:val="0"/>
          <w:i/>
        </w:rPr>
        <w:t>Human</w:t>
      </w:r>
      <w:r>
        <w:rPr>
          <w:b w:val="0"/>
          <w:i w:val="0"/>
        </w:rPr>
        <w:t xml:space="preserve"> + </w:t>
      </w:r>
      <w:r>
        <w:rPr>
          <w:b w:val="0"/>
          <w:i/>
        </w:rPr>
        <w:t>Machine: Reimagining Work in the Age of AI</w:t>
      </w:r>
      <w:r>
        <w:rPr>
          <w:b w:val="0"/>
          <w:i w:val="0"/>
        </w:rPr>
        <w:t xml:space="preserve"> (Harvard Business Review Press, 2018).</w:t>
      </w:r>
    </w:p>
    <w:p>
      <w:r>
        <w:rPr>
          <w:b/>
          <w:i w:val="0"/>
        </w:rPr>
        <w:t>ROMAN V. YAMPOLSKIY</w:t>
      </w:r>
      <w:r>
        <w:rPr>
          <w:b w:val="0"/>
          <w:i w:val="0"/>
        </w:rPr>
        <w:t xml:space="preserve"> is a tenured associate professor in the department of computer engineering and computer science at the Speed School of Engineering, University of Louisville. He is the founding and current director of the university’s cybersecurity lab and an author of many books, including </w:t>
      </w:r>
      <w:r>
        <w:rPr>
          <w:b w:val="0"/>
          <w:i/>
        </w:rPr>
        <w:t>Artificial Superintelligence: A Futuristic Approach</w:t>
      </w:r>
      <w:r>
        <w:rPr>
          <w:b w:val="0"/>
          <w:i w:val="0"/>
        </w:rPr>
        <w:t xml:space="preserve"> (2015). Follow him on Twitter @romanyam.</w:t>
      </w:r>
    </w:p>
    <w:p>
      <w:pPr>
        <w:pStyle w:val="Heading1"/>
      </w:pPr>
      <w:r>
        <w:rPr>
          <w:b/>
          <w:i w:val="0"/>
        </w:rPr>
        <w:t>Index</w:t>
      </w:r>
    </w:p>
    <w:p>
      <w:pPr>
        <w:pStyle w:val="ListBullet"/>
      </w:pPr>
      <w:r>
        <w:rPr>
          <w:b w:val="0"/>
          <w:i w:val="0"/>
        </w:rPr>
        <w:t>accidents, 90</w:t>
      </w:r>
    </w:p>
    <w:p>
      <w:pPr>
        <w:pStyle w:val="ListBullet"/>
      </w:pPr>
      <w:r>
        <w:rPr>
          <w:b w:val="0"/>
          <w:i w:val="0"/>
        </w:rPr>
        <w:t>adaptive robots, 104</w:t>
      </w:r>
    </w:p>
    <w:p>
      <w:pPr>
        <w:pStyle w:val="ListBullet"/>
      </w:pPr>
      <w:r>
        <w:rPr>
          <w:b w:val="0"/>
          <w:i w:val="0"/>
        </w:rPr>
        <w:t>addictive technology, 142</w:t>
      </w:r>
    </w:p>
    <w:p>
      <w:pPr>
        <w:pStyle w:val="ListBullet"/>
      </w:pPr>
      <w:r>
        <w:rPr>
          <w:b w:val="0"/>
          <w:i w:val="0"/>
        </w:rPr>
        <w:t>Affectiva, 10, 23, 138, 139–140</w:t>
      </w:r>
    </w:p>
    <w:p>
      <w:pPr>
        <w:pStyle w:val="ListBullet"/>
      </w:pPr>
      <w:r>
        <w:rPr>
          <w:b w:val="0"/>
          <w:i w:val="0"/>
        </w:rPr>
        <w:t>Agrawal, Ajay, 73–78, 145–152</w:t>
      </w:r>
    </w:p>
    <w:p>
      <w:pPr>
        <w:pStyle w:val="ListBullet"/>
      </w:pPr>
      <w:r>
        <w:rPr>
          <w:b w:val="0"/>
          <w:i w:val="0"/>
        </w:rPr>
        <w:t xml:space="preserve">AI. </w:t>
      </w:r>
      <w:r>
        <w:rPr>
          <w:b w:val="0"/>
          <w:i/>
        </w:rPr>
        <w:t>See</w:t>
      </w:r>
      <w:r>
        <w:rPr>
          <w:b w:val="0"/>
          <w:i w:val="0"/>
        </w:rPr>
        <w:t xml:space="preserve"> artificial intelligence</w:t>
      </w:r>
    </w:p>
    <w:p>
      <w:pPr>
        <w:pStyle w:val="ListBullet"/>
      </w:pPr>
      <w:r>
        <w:rPr>
          <w:b w:val="0"/>
          <w:i w:val="0"/>
        </w:rPr>
        <w:t>AI assistants, 112–113, 117–118, 142</w:t>
      </w:r>
    </w:p>
    <w:p>
      <w:pPr>
        <w:pStyle w:val="ListBullet"/>
      </w:pPr>
      <w:r>
        <w:rPr>
          <w:b w:val="0"/>
          <w:i w:val="0"/>
        </w:rPr>
        <w:t>Aida, 117–118, 121</w:t>
      </w:r>
    </w:p>
    <w:p>
      <w:pPr>
        <w:pStyle w:val="ListBullet"/>
      </w:pPr>
      <w:r>
        <w:rPr>
          <w:b w:val="0"/>
          <w:i w:val="0"/>
        </w:rPr>
        <w:t xml:space="preserve">Alexa, 113, 142. </w:t>
      </w:r>
      <w:r>
        <w:rPr>
          <w:b w:val="0"/>
          <w:i/>
        </w:rPr>
        <w:t>See also</w:t>
      </w:r>
      <w:r>
        <w:rPr>
          <w:b w:val="0"/>
          <w:i w:val="0"/>
        </w:rPr>
        <w:t xml:space="preserve"> AI assistants</w:t>
      </w:r>
    </w:p>
    <w:p>
      <w:pPr>
        <w:pStyle w:val="ListBullet"/>
      </w:pPr>
      <w:r>
        <w:rPr>
          <w:b w:val="0"/>
          <w:i w:val="0"/>
        </w:rPr>
        <w:t>algorithms</w:t>
      </w:r>
    </w:p>
    <w:p>
      <w:pPr>
        <w:pStyle w:val="ListBullet"/>
      </w:pPr>
      <w:r>
        <w:rPr>
          <w:b w:val="0"/>
          <w:i w:val="0"/>
        </w:rPr>
        <w:t>biases in, xv, 21–22, 58</w:t>
      </w:r>
    </w:p>
    <w:p>
      <w:pPr>
        <w:pStyle w:val="ListBullet"/>
      </w:pPr>
      <w:r>
        <w:rPr>
          <w:b w:val="0"/>
          <w:i w:val="0"/>
        </w:rPr>
        <w:t>deep learning, 13–14</w:t>
      </w:r>
    </w:p>
    <w:p>
      <w:pPr>
        <w:pStyle w:val="ListBullet"/>
      </w:pPr>
      <w:r>
        <w:rPr>
          <w:b w:val="0"/>
          <w:i w:val="0"/>
        </w:rPr>
        <w:t>efficiency of, 57–58</w:t>
      </w:r>
    </w:p>
    <w:p>
      <w:pPr>
        <w:pStyle w:val="ListBullet"/>
      </w:pPr>
      <w:r>
        <w:rPr>
          <w:b w:val="0"/>
          <w:i w:val="0"/>
        </w:rPr>
        <w:t>machine learning, 30–31, 33–35, 57–58, 68–69, 112–113</w:t>
      </w:r>
    </w:p>
    <w:p>
      <w:pPr>
        <w:pStyle w:val="ListBullet"/>
      </w:pPr>
      <w:r>
        <w:rPr>
          <w:b w:val="0"/>
          <w:i w:val="0"/>
        </w:rPr>
        <w:t>performance failures, 89–95</w:t>
      </w:r>
    </w:p>
    <w:p>
      <w:pPr>
        <w:pStyle w:val="ListBullet"/>
      </w:pPr>
      <w:r>
        <w:rPr>
          <w:b w:val="0"/>
          <w:i w:val="0"/>
        </w:rPr>
        <w:t>training, 47–48, 75, 112–113</w:t>
      </w:r>
    </w:p>
    <w:p>
      <w:pPr>
        <w:pStyle w:val="ListBullet"/>
      </w:pPr>
      <w:r>
        <w:rPr>
          <w:b w:val="0"/>
          <w:i w:val="0"/>
        </w:rPr>
        <w:t>translation, 38–39</w:t>
      </w:r>
    </w:p>
    <w:p>
      <w:pPr>
        <w:pStyle w:val="ListBullet"/>
      </w:pPr>
      <w:r>
        <w:rPr>
          <w:b w:val="0"/>
          <w:i w:val="0"/>
        </w:rPr>
        <w:t>Allen Institute for Artificial Intelligence (AI2), 158</w:t>
      </w:r>
    </w:p>
    <w:p>
      <w:pPr>
        <w:pStyle w:val="ListBullet"/>
      </w:pPr>
      <w:r>
        <w:rPr>
          <w:b w:val="0"/>
          <w:i w:val="0"/>
        </w:rPr>
        <w:t>Alphabet, 59, 159</w:t>
      </w:r>
    </w:p>
    <w:p>
      <w:pPr>
        <w:pStyle w:val="ListBullet"/>
      </w:pPr>
      <w:r>
        <w:rPr>
          <w:b w:val="0"/>
          <w:i w:val="0"/>
        </w:rPr>
        <w:t>Amazon, xv, 9, 14, 17, 19, 113, 138, 146–149, 152</w:t>
      </w:r>
    </w:p>
    <w:p>
      <w:pPr>
        <w:pStyle w:val="ListBullet"/>
      </w:pPr>
      <w:r>
        <w:rPr>
          <w:b w:val="0"/>
          <w:i w:val="0"/>
        </w:rPr>
        <w:t>amplification, of human abilities, 116–117</w:t>
      </w:r>
    </w:p>
    <w:p>
      <w:pPr>
        <w:pStyle w:val="ListBullet"/>
      </w:pPr>
      <w:r>
        <w:rPr>
          <w:b w:val="0"/>
          <w:i w:val="0"/>
        </w:rPr>
        <w:t>Apple, 113, 115, 132, 138</w:t>
      </w:r>
    </w:p>
    <w:p>
      <w:pPr>
        <w:pStyle w:val="ListBullet"/>
      </w:pPr>
      <w:r>
        <w:rPr>
          <w:b w:val="0"/>
          <w:i w:val="0"/>
        </w:rPr>
        <w:t>Applied Machine Learning (AML), 29–52</w:t>
      </w:r>
    </w:p>
    <w:p>
      <w:pPr>
        <w:pStyle w:val="ListBullet"/>
      </w:pPr>
      <w:r>
        <w:rPr>
          <w:b w:val="0"/>
          <w:i w:val="0"/>
        </w:rPr>
        <w:t>Aptonomy, 10</w:t>
      </w:r>
    </w:p>
    <w:p>
      <w:pPr>
        <w:pStyle w:val="ListBullet"/>
      </w:pPr>
      <w:r>
        <w:rPr>
          <w:b w:val="0"/>
          <w:i w:val="0"/>
        </w:rPr>
        <w:t>Argo AI, 150</w:t>
      </w:r>
    </w:p>
    <w:p>
      <w:pPr>
        <w:pStyle w:val="ListBullet"/>
      </w:pPr>
      <w:r>
        <w:rPr>
          <w:b w:val="0"/>
          <w:i w:val="0"/>
        </w:rPr>
        <w:t>artificial intelligence (AI)</w:t>
      </w:r>
    </w:p>
    <w:p>
      <w:pPr>
        <w:pStyle w:val="ListBullet"/>
      </w:pPr>
      <w:r>
        <w:rPr>
          <w:b w:val="0"/>
          <w:i w:val="0"/>
        </w:rPr>
        <w:t>adoption of, 53–61</w:t>
      </w:r>
    </w:p>
    <w:p>
      <w:pPr>
        <w:pStyle w:val="ListBullet"/>
      </w:pPr>
      <w:r>
        <w:rPr>
          <w:b w:val="0"/>
          <w:i w:val="0"/>
        </w:rPr>
        <w:t>business use of, xi–xvi, 3–28</w:t>
      </w:r>
    </w:p>
    <w:p>
      <w:pPr>
        <w:pStyle w:val="ListBullet"/>
      </w:pPr>
      <w:r>
        <w:rPr>
          <w:b w:val="0"/>
          <w:i w:val="0"/>
        </w:rPr>
        <w:t>capabilities of, 6–11</w:t>
      </w:r>
    </w:p>
    <w:p>
      <w:pPr>
        <w:pStyle w:val="ListBullet"/>
      </w:pPr>
      <w:r>
        <w:rPr>
          <w:b w:val="0"/>
          <w:i w:val="0"/>
        </w:rPr>
        <w:t>collaboration between humans and, 109–134</w:t>
      </w:r>
    </w:p>
    <w:p>
      <w:pPr>
        <w:pStyle w:val="ListBullet"/>
      </w:pPr>
      <w:r>
        <w:rPr>
          <w:b w:val="0"/>
          <w:i w:val="0"/>
        </w:rPr>
        <w:t>data and, 73–78</w:t>
      </w:r>
    </w:p>
    <w:p>
      <w:pPr>
        <w:pStyle w:val="ListBullet"/>
      </w:pPr>
      <w:r>
        <w:rPr>
          <w:b w:val="0"/>
          <w:i w:val="0"/>
        </w:rPr>
        <w:t>emotional analysis by, 137–144</w:t>
      </w:r>
    </w:p>
    <w:p>
      <w:pPr>
        <w:pStyle w:val="ListBullet"/>
      </w:pPr>
      <w:r>
        <w:rPr>
          <w:b w:val="0"/>
          <w:i w:val="0"/>
        </w:rPr>
        <w:t>employment impact of, xv, 114</w:t>
      </w:r>
    </w:p>
    <w:p>
      <w:pPr>
        <w:pStyle w:val="ListBullet"/>
      </w:pPr>
      <w:r>
        <w:rPr>
          <w:b w:val="0"/>
          <w:i w:val="0"/>
        </w:rPr>
        <w:t>ethical issues of, xv, 70, 115</w:t>
      </w:r>
    </w:p>
    <w:p>
      <w:pPr>
        <w:pStyle w:val="ListBullet"/>
      </w:pPr>
      <w:r>
        <w:rPr>
          <w:b w:val="0"/>
          <w:i w:val="0"/>
        </w:rPr>
        <w:t>evolution of, 154</w:t>
      </w:r>
    </w:p>
    <w:p>
      <w:pPr>
        <w:pStyle w:val="ListBullet"/>
      </w:pPr>
      <w:r>
        <w:rPr>
          <w:b w:val="0"/>
          <w:i w:val="0"/>
        </w:rPr>
        <w:t>expectations for, 5</w:t>
      </w:r>
    </w:p>
    <w:p>
      <w:pPr>
        <w:pStyle w:val="ListBullet"/>
      </w:pPr>
      <w:r>
        <w:rPr>
          <w:b w:val="0"/>
          <w:i w:val="0"/>
        </w:rPr>
        <w:t>at Facebook, 29–52</w:t>
      </w:r>
    </w:p>
    <w:p>
      <w:pPr>
        <w:pStyle w:val="ListBullet"/>
      </w:pPr>
      <w:r>
        <w:rPr>
          <w:b w:val="0"/>
          <w:i w:val="0"/>
        </w:rPr>
        <w:t>future of, 153–162</w:t>
      </w:r>
    </w:p>
    <w:p>
      <w:pPr>
        <w:pStyle w:val="ListBullet"/>
      </w:pPr>
      <w:r>
        <w:rPr>
          <w:b w:val="0"/>
          <w:i w:val="0"/>
        </w:rPr>
        <w:t>governance time for, 57–58</w:t>
      </w:r>
    </w:p>
    <w:p>
      <w:pPr>
        <w:pStyle w:val="ListBullet"/>
      </w:pPr>
      <w:r>
        <w:rPr>
          <w:b w:val="0"/>
          <w:i w:val="0"/>
        </w:rPr>
        <w:t>human interactions with, 56–57</w:t>
      </w:r>
    </w:p>
    <w:p>
      <w:pPr>
        <w:pStyle w:val="ListBullet"/>
      </w:pPr>
      <w:r>
        <w:rPr>
          <w:b w:val="0"/>
          <w:i w:val="0"/>
        </w:rPr>
        <w:t>versus human performance, 9–10</w:t>
      </w:r>
    </w:p>
    <w:p>
      <w:pPr>
        <w:pStyle w:val="ListBullet"/>
      </w:pPr>
      <w:r>
        <w:rPr>
          <w:b w:val="0"/>
          <w:i w:val="0"/>
        </w:rPr>
        <w:t>impact of, 5, 25–26</w:t>
      </w:r>
    </w:p>
    <w:p>
      <w:pPr>
        <w:pStyle w:val="ListBullet"/>
      </w:pPr>
      <w:r>
        <w:rPr>
          <w:b w:val="0"/>
          <w:i w:val="0"/>
        </w:rPr>
        <w:t>integration time for, 55–56</w:t>
      </w:r>
    </w:p>
    <w:p>
      <w:pPr>
        <w:pStyle w:val="ListBullet"/>
      </w:pPr>
      <w:r>
        <w:rPr>
          <w:b w:val="0"/>
          <w:i w:val="0"/>
        </w:rPr>
        <w:t>investment in, 100, 150</w:t>
      </w:r>
    </w:p>
    <w:p>
      <w:pPr>
        <w:pStyle w:val="ListBullet"/>
      </w:pPr>
      <w:r>
        <w:rPr>
          <w:b w:val="0"/>
          <w:i w:val="0"/>
        </w:rPr>
        <w:t>limitations of, 23–24, 49–50, 70–71</w:t>
      </w:r>
    </w:p>
    <w:p>
      <w:pPr>
        <w:pStyle w:val="ListBullet"/>
      </w:pPr>
      <w:r>
        <w:rPr>
          <w:b w:val="0"/>
          <w:i w:val="0"/>
        </w:rPr>
        <w:t>nontechnical employees and, 65–72</w:t>
      </w:r>
    </w:p>
    <w:p>
      <w:pPr>
        <w:pStyle w:val="ListBullet"/>
      </w:pPr>
      <w:r>
        <w:rPr>
          <w:b w:val="0"/>
          <w:i w:val="0"/>
        </w:rPr>
        <w:t>performance failures, 89–95</w:t>
      </w:r>
    </w:p>
    <w:p>
      <w:pPr>
        <w:pStyle w:val="ListBullet"/>
      </w:pPr>
      <w:r>
        <w:rPr>
          <w:b w:val="0"/>
          <w:i w:val="0"/>
        </w:rPr>
        <w:t>pilot projects, 79–88</w:t>
      </w:r>
    </w:p>
    <w:p>
      <w:pPr>
        <w:pStyle w:val="ListBullet"/>
      </w:pPr>
      <w:r>
        <w:rPr>
          <w:b w:val="0"/>
          <w:i w:val="0"/>
        </w:rPr>
        <w:t>product development and, 36–38</w:t>
      </w:r>
    </w:p>
    <w:p>
      <w:pPr>
        <w:pStyle w:val="ListBullet"/>
      </w:pPr>
      <w:r>
        <w:rPr>
          <w:b w:val="0"/>
          <w:i w:val="0"/>
        </w:rPr>
        <w:t>risks of, 21–23</w:t>
      </w:r>
    </w:p>
    <w:p>
      <w:pPr>
        <w:pStyle w:val="ListBullet"/>
      </w:pPr>
      <w:r>
        <w:rPr>
          <w:b w:val="0"/>
          <w:i w:val="0"/>
        </w:rPr>
        <w:t>scaling, 58–60, 121</w:t>
      </w:r>
    </w:p>
    <w:p>
      <w:pPr>
        <w:pStyle w:val="ListBullet"/>
      </w:pPr>
      <w:r>
        <w:rPr>
          <w:b w:val="0"/>
          <w:i w:val="0"/>
        </w:rPr>
        <w:t>strategy for, 79–88, 145–152</w:t>
      </w:r>
    </w:p>
    <w:p>
      <w:pPr>
        <w:pStyle w:val="ListBullet"/>
      </w:pPr>
      <w:r>
        <w:rPr>
          <w:b w:val="0"/>
          <w:i w:val="0"/>
        </w:rPr>
        <w:t>system development time for, 54–55</w:t>
      </w:r>
    </w:p>
    <w:p>
      <w:pPr>
        <w:pStyle w:val="ListBullet"/>
      </w:pPr>
      <w:r>
        <w:rPr>
          <w:b w:val="0"/>
          <w:i w:val="0"/>
        </w:rPr>
        <w:t>understanding, 68–71</w:t>
      </w:r>
    </w:p>
    <w:p>
      <w:pPr>
        <w:pStyle w:val="ListBullet"/>
      </w:pPr>
      <w:r>
        <w:rPr>
          <w:b w:val="0"/>
          <w:i w:val="0"/>
        </w:rPr>
        <w:t>uses of, 65–66, 69–70</w:t>
      </w:r>
    </w:p>
    <w:p>
      <w:pPr>
        <w:pStyle w:val="ListBullet"/>
      </w:pPr>
      <w:r>
        <w:rPr>
          <w:b w:val="0"/>
          <w:i w:val="0"/>
        </w:rPr>
        <w:t>varieties of, xii–xiii</w:t>
      </w:r>
    </w:p>
    <w:p>
      <w:pPr>
        <w:pStyle w:val="ListBullet"/>
      </w:pPr>
      <w:r>
        <w:rPr>
          <w:b w:val="0"/>
          <w:i/>
        </w:rPr>
        <w:t>See also</w:t>
      </w:r>
      <w:r>
        <w:rPr>
          <w:b w:val="0"/>
          <w:i w:val="0"/>
        </w:rPr>
        <w:t xml:space="preserve"> machine learning</w:t>
      </w:r>
    </w:p>
    <w:p>
      <w:pPr>
        <w:pStyle w:val="ListBullet"/>
      </w:pPr>
      <w:r>
        <w:rPr>
          <w:b w:val="0"/>
          <w:i w:val="0"/>
        </w:rPr>
        <w:t>AT&amp;T, 132</w:t>
      </w:r>
    </w:p>
    <w:p>
      <w:pPr>
        <w:pStyle w:val="ListBullet"/>
      </w:pPr>
      <w:r>
        <w:rPr>
          <w:b w:val="0"/>
          <w:i w:val="0"/>
        </w:rPr>
        <w:t>Autodesk, 124</w:t>
      </w:r>
    </w:p>
    <w:p>
      <w:pPr>
        <w:pStyle w:val="ListBullet"/>
      </w:pPr>
      <w:r>
        <w:rPr>
          <w:b w:val="0"/>
          <w:i w:val="0"/>
        </w:rPr>
        <w:t>AutoEmotive, 139–140</w:t>
      </w:r>
    </w:p>
    <w:p>
      <w:pPr>
        <w:pStyle w:val="ListBullet"/>
      </w:pPr>
      <w:r>
        <w:rPr>
          <w:b w:val="0"/>
          <w:i w:val="0"/>
        </w:rPr>
        <w:t>auto manufacturing, 122–124</w:t>
      </w:r>
    </w:p>
    <w:p>
      <w:pPr>
        <w:pStyle w:val="ListBullet"/>
      </w:pPr>
      <w:r>
        <w:rPr>
          <w:b w:val="0"/>
          <w:i w:val="0"/>
        </w:rPr>
        <w:t>automation, 84</w:t>
      </w:r>
    </w:p>
    <w:p>
      <w:pPr>
        <w:pStyle w:val="ListBullet"/>
      </w:pPr>
      <w:r>
        <w:rPr>
          <w:b w:val="0"/>
          <w:i w:val="0"/>
        </w:rPr>
        <w:t>autonomous cars, 7, 114, 115, 154</w:t>
      </w:r>
    </w:p>
    <w:p>
      <w:pPr>
        <w:pStyle w:val="ListBullet"/>
      </w:pPr>
      <w:r>
        <w:rPr>
          <w:b w:val="0"/>
          <w:i w:val="0"/>
        </w:rPr>
        <w:t>Baidu, 86</w:t>
      </w:r>
    </w:p>
    <w:p>
      <w:pPr>
        <w:pStyle w:val="ListBullet"/>
      </w:pPr>
      <w:r>
        <w:rPr>
          <w:b w:val="0"/>
          <w:i w:val="0"/>
        </w:rPr>
        <w:t>Berinato, Scott, 29–52</w:t>
      </w:r>
    </w:p>
    <w:p>
      <w:pPr>
        <w:pStyle w:val="ListBullet"/>
      </w:pPr>
      <w:r>
        <w:rPr>
          <w:b w:val="0"/>
          <w:i w:val="0"/>
        </w:rPr>
        <w:t>Beyond Verbal, 138</w:t>
      </w:r>
    </w:p>
    <w:p>
      <w:pPr>
        <w:pStyle w:val="ListBullet"/>
      </w:pPr>
      <w:r>
        <w:rPr>
          <w:b w:val="0"/>
          <w:i w:val="0"/>
        </w:rPr>
        <w:t>Bezos, Jeff, xv</w:t>
      </w:r>
    </w:p>
    <w:p>
      <w:pPr>
        <w:pStyle w:val="ListBullet"/>
      </w:pPr>
      <w:r>
        <w:rPr>
          <w:b w:val="0"/>
          <w:i w:val="0"/>
        </w:rPr>
        <w:t>biases, xv, 21–22, 58, 70</w:t>
      </w:r>
    </w:p>
    <w:p>
      <w:pPr>
        <w:pStyle w:val="ListBullet"/>
      </w:pPr>
      <w:r>
        <w:rPr>
          <w:b w:val="0"/>
          <w:i w:val="0"/>
        </w:rPr>
        <w:t>big data, 83, 153</w:t>
      </w:r>
    </w:p>
    <w:p>
      <w:pPr>
        <w:pStyle w:val="ListBullet"/>
      </w:pPr>
      <w:r>
        <w:rPr>
          <w:b w:val="0"/>
          <w:i w:val="0"/>
        </w:rPr>
        <w:t>black-box problems, 113–114</w:t>
      </w:r>
    </w:p>
    <w:p>
      <w:pPr>
        <w:pStyle w:val="ListBullet"/>
      </w:pPr>
      <w:r>
        <w:rPr>
          <w:b w:val="0"/>
          <w:i w:val="0"/>
        </w:rPr>
        <w:t>Blue River Technology, 150</w:t>
      </w:r>
    </w:p>
    <w:p>
      <w:pPr>
        <w:pStyle w:val="ListBullet"/>
      </w:pPr>
      <w:r>
        <w:rPr>
          <w:b w:val="0"/>
          <w:i w:val="0"/>
        </w:rPr>
        <w:t>BMW, 104</w:t>
      </w:r>
    </w:p>
    <w:p>
      <w:pPr>
        <w:pStyle w:val="ListBullet"/>
      </w:pPr>
      <w:r>
        <w:rPr>
          <w:b w:val="0"/>
          <w:i w:val="0"/>
        </w:rPr>
        <w:t>Brain Power, 140–141</w:t>
      </w:r>
    </w:p>
    <w:p>
      <w:pPr>
        <w:pStyle w:val="ListBullet"/>
      </w:pPr>
      <w:r>
        <w:rPr>
          <w:b w:val="0"/>
          <w:i w:val="0"/>
        </w:rPr>
        <w:t>Brynjolfsson, Erik, 3–28</w:t>
      </w:r>
    </w:p>
    <w:p>
      <w:pPr>
        <w:pStyle w:val="ListBullet"/>
      </w:pPr>
      <w:r>
        <w:rPr>
          <w:b w:val="0"/>
          <w:i w:val="0"/>
        </w:rPr>
        <w:t>business</w:t>
      </w:r>
    </w:p>
    <w:p>
      <w:pPr>
        <w:pStyle w:val="ListBullet"/>
      </w:pPr>
      <w:r>
        <w:rPr>
          <w:b w:val="0"/>
          <w:i w:val="0"/>
        </w:rPr>
        <w:t>adoption of AI by, 53–61</w:t>
      </w:r>
    </w:p>
    <w:p>
      <w:pPr>
        <w:pStyle w:val="ListBullet"/>
      </w:pPr>
      <w:r>
        <w:rPr>
          <w:b w:val="0"/>
          <w:i w:val="0"/>
        </w:rPr>
        <w:t>data, 73–78</w:t>
      </w:r>
    </w:p>
    <w:p>
      <w:pPr>
        <w:pStyle w:val="ListBullet"/>
      </w:pPr>
      <w:r>
        <w:rPr>
          <w:b w:val="0"/>
          <w:i w:val="0"/>
        </w:rPr>
        <w:t>redesigning, 119–131</w:t>
      </w:r>
    </w:p>
    <w:p>
      <w:pPr>
        <w:pStyle w:val="ListBullet"/>
      </w:pPr>
      <w:r>
        <w:rPr>
          <w:b w:val="0"/>
          <w:i w:val="0"/>
        </w:rPr>
        <w:t>use of AI in, xi–xvi, 3–28</w:t>
      </w:r>
    </w:p>
    <w:p>
      <w:pPr>
        <w:pStyle w:val="ListBullet"/>
      </w:pPr>
      <w:r>
        <w:rPr>
          <w:b w:val="0"/>
          <w:i/>
        </w:rPr>
        <w:t>See also</w:t>
      </w:r>
      <w:r>
        <w:rPr>
          <w:b w:val="0"/>
          <w:i w:val="0"/>
        </w:rPr>
        <w:t xml:space="preserve"> companies</w:t>
      </w:r>
    </w:p>
    <w:p>
      <w:pPr>
        <w:pStyle w:val="ListBullet"/>
      </w:pPr>
      <w:r>
        <w:rPr>
          <w:b w:val="0"/>
          <w:i w:val="0"/>
        </w:rPr>
        <w:t>business models, 19–20, 148</w:t>
      </w:r>
    </w:p>
    <w:p>
      <w:pPr>
        <w:pStyle w:val="ListBullet"/>
      </w:pPr>
      <w:r>
        <w:rPr>
          <w:b w:val="0"/>
          <w:i w:val="0"/>
        </w:rPr>
        <w:t>business processes, 19, 121–131</w:t>
      </w:r>
    </w:p>
    <w:p>
      <w:pPr>
        <w:pStyle w:val="ListBullet"/>
      </w:pPr>
      <w:r>
        <w:rPr>
          <w:b w:val="0"/>
          <w:i w:val="0"/>
        </w:rPr>
        <w:t>business strategy, 145–152</w:t>
      </w:r>
    </w:p>
    <w:p>
      <w:pPr>
        <w:pStyle w:val="ListBullet"/>
      </w:pPr>
      <w:r>
        <w:rPr>
          <w:b w:val="0"/>
          <w:i w:val="0"/>
        </w:rPr>
        <w:t>cancer</w:t>
      </w:r>
    </w:p>
    <w:p>
      <w:pPr>
        <w:pStyle w:val="ListBullet"/>
      </w:pPr>
      <w:r>
        <w:rPr>
          <w:b w:val="0"/>
          <w:i w:val="0"/>
        </w:rPr>
        <w:t>diagnosis, 10, 15, 19</w:t>
      </w:r>
    </w:p>
    <w:p>
      <w:pPr>
        <w:pStyle w:val="ListBullet"/>
      </w:pPr>
      <w:r>
        <w:rPr>
          <w:b w:val="0"/>
          <w:i w:val="0"/>
        </w:rPr>
        <w:t>treatment, xv, 55, 124</w:t>
      </w:r>
    </w:p>
    <w:p>
      <w:pPr>
        <w:pStyle w:val="ListBullet"/>
      </w:pPr>
      <w:r>
        <w:rPr>
          <w:b w:val="0"/>
          <w:i w:val="0"/>
        </w:rPr>
        <w:t>Candela, Joaquin, 29–50</w:t>
      </w:r>
    </w:p>
    <w:p>
      <w:pPr>
        <w:pStyle w:val="ListBullet"/>
      </w:pPr>
      <w:r>
        <w:rPr>
          <w:b w:val="0"/>
          <w:i w:val="0"/>
        </w:rPr>
        <w:t>CAPTCHAs, 156</w:t>
      </w:r>
    </w:p>
    <w:p>
      <w:pPr>
        <w:pStyle w:val="ListBullet"/>
      </w:pPr>
      <w:r>
        <w:rPr>
          <w:b w:val="0"/>
          <w:i w:val="0"/>
        </w:rPr>
        <w:t>car manufacturing, 122–124</w:t>
      </w:r>
    </w:p>
    <w:p>
      <w:pPr>
        <w:pStyle w:val="ListBullet"/>
      </w:pPr>
      <w:r>
        <w:rPr>
          <w:b w:val="0"/>
          <w:i w:val="0"/>
        </w:rPr>
        <w:t>Carnival Corporation, 125, 130–131</w:t>
      </w:r>
    </w:p>
    <w:p>
      <w:pPr>
        <w:pStyle w:val="ListBullet"/>
      </w:pPr>
      <w:r>
        <w:rPr>
          <w:b w:val="0"/>
          <w:i w:val="0"/>
        </w:rPr>
        <w:t>casino management, 125</w:t>
      </w:r>
    </w:p>
    <w:p>
      <w:pPr>
        <w:pStyle w:val="ListBullet"/>
      </w:pPr>
      <w:r>
        <w:rPr>
          <w:b w:val="0"/>
          <w:i w:val="0"/>
        </w:rPr>
        <w:t>causal links, 120</w:t>
      </w:r>
    </w:p>
    <w:p>
      <w:pPr>
        <w:pStyle w:val="ListBullet"/>
      </w:pPr>
      <w:r>
        <w:rPr>
          <w:b w:val="0"/>
          <w:i w:val="0"/>
        </w:rPr>
        <w:t>chatbots, 117–118, 139–140</w:t>
      </w:r>
    </w:p>
    <w:p>
      <w:pPr>
        <w:pStyle w:val="ListBullet"/>
      </w:pPr>
      <w:r>
        <w:rPr>
          <w:b w:val="0"/>
          <w:i w:val="0"/>
        </w:rPr>
        <w:t>cloud computing, 17</w:t>
      </w:r>
    </w:p>
    <w:p>
      <w:pPr>
        <w:pStyle w:val="ListBullet"/>
      </w:pPr>
      <w:r>
        <w:rPr>
          <w:b w:val="0"/>
          <w:i w:val="0"/>
        </w:rPr>
        <w:t>CLUE, 44</w:t>
      </w:r>
    </w:p>
    <w:p>
      <w:pPr>
        <w:pStyle w:val="ListBullet"/>
      </w:pPr>
      <w:r>
        <w:rPr>
          <w:b w:val="0"/>
          <w:i w:val="0"/>
        </w:rPr>
        <w:t>cobots, 118–119, 122</w:t>
      </w:r>
    </w:p>
    <w:p>
      <w:pPr>
        <w:pStyle w:val="ListBullet"/>
      </w:pPr>
      <w:r>
        <w:rPr>
          <w:b w:val="0"/>
          <w:i w:val="0"/>
        </w:rPr>
        <w:t>co-creation, 119–121</w:t>
      </w:r>
    </w:p>
    <w:p>
      <w:pPr>
        <w:pStyle w:val="ListBullet"/>
      </w:pPr>
      <w:r>
        <w:rPr>
          <w:b w:val="0"/>
          <w:i w:val="0"/>
        </w:rPr>
        <w:t>coding, 11</w:t>
      </w:r>
    </w:p>
    <w:p>
      <w:pPr>
        <w:pStyle w:val="ListBullet"/>
      </w:pPr>
      <w:r>
        <w:rPr>
          <w:b w:val="0"/>
          <w:i w:val="0"/>
        </w:rPr>
        <w:t>cognition, 6, 8–10, 23, 158</w:t>
      </w:r>
    </w:p>
    <w:p>
      <w:pPr>
        <w:pStyle w:val="ListBullet"/>
      </w:pPr>
      <w:r>
        <w:rPr>
          <w:b w:val="0"/>
          <w:i w:val="0"/>
        </w:rPr>
        <w:t>collaborative intelligence, 109–134</w:t>
      </w:r>
    </w:p>
    <w:p>
      <w:pPr>
        <w:pStyle w:val="ListBullet"/>
      </w:pPr>
      <w:r>
        <w:rPr>
          <w:b w:val="0"/>
          <w:i w:val="0"/>
        </w:rPr>
        <w:t>common sense, 157–158</w:t>
      </w:r>
    </w:p>
    <w:p>
      <w:pPr>
        <w:pStyle w:val="ListBullet"/>
      </w:pPr>
      <w:r>
        <w:rPr>
          <w:b w:val="0"/>
          <w:i w:val="0"/>
        </w:rPr>
        <w:t>communication, 86</w:t>
      </w:r>
    </w:p>
    <w:p>
      <w:pPr>
        <w:pStyle w:val="ListBullet"/>
      </w:pPr>
      <w:r>
        <w:rPr>
          <w:b w:val="0"/>
          <w:i w:val="0"/>
        </w:rPr>
        <w:t>companies</w:t>
      </w:r>
    </w:p>
    <w:p>
      <w:pPr>
        <w:pStyle w:val="ListBullet"/>
      </w:pPr>
      <w:r>
        <w:rPr>
          <w:b w:val="0"/>
          <w:i w:val="0"/>
        </w:rPr>
        <w:t>adoption of AI by, 53–61</w:t>
      </w:r>
    </w:p>
    <w:p>
      <w:pPr>
        <w:pStyle w:val="ListBullet"/>
      </w:pPr>
      <w:r>
        <w:rPr>
          <w:b w:val="0"/>
          <w:i w:val="0"/>
        </w:rPr>
        <w:t>data of, 73–78</w:t>
      </w:r>
    </w:p>
    <w:p>
      <w:pPr>
        <w:pStyle w:val="ListBullet"/>
      </w:pPr>
      <w:r>
        <w:rPr>
          <w:b w:val="0"/>
          <w:i w:val="0"/>
        </w:rPr>
        <w:t>investment in AI by, 100, 150</w:t>
      </w:r>
    </w:p>
    <w:p>
      <w:pPr>
        <w:pStyle w:val="ListBullet"/>
      </w:pPr>
      <w:r>
        <w:rPr>
          <w:b w:val="0"/>
          <w:i w:val="0"/>
        </w:rPr>
        <w:t>pilot projects for, 79–88</w:t>
      </w:r>
    </w:p>
    <w:p>
      <w:pPr>
        <w:pStyle w:val="ListBullet"/>
      </w:pPr>
      <w:r>
        <w:rPr>
          <w:b w:val="0"/>
          <w:i/>
        </w:rPr>
        <w:t>See also</w:t>
      </w:r>
      <w:r>
        <w:rPr>
          <w:b w:val="0"/>
          <w:i w:val="0"/>
        </w:rPr>
        <w:t xml:space="preserve"> business</w:t>
      </w:r>
    </w:p>
    <w:p>
      <w:pPr>
        <w:pStyle w:val="ListBullet"/>
      </w:pPr>
      <w:r>
        <w:rPr>
          <w:b w:val="0"/>
          <w:i w:val="0"/>
        </w:rPr>
        <w:t>competitive advantage, 59, 100</w:t>
      </w:r>
    </w:p>
    <w:p>
      <w:pPr>
        <w:pStyle w:val="ListBullet"/>
      </w:pPr>
      <w:r>
        <w:rPr>
          <w:b w:val="0"/>
          <w:i w:val="0"/>
        </w:rPr>
        <w:t>conversational user interfaces, 142</w:t>
      </w:r>
    </w:p>
    <w:p>
      <w:pPr>
        <w:pStyle w:val="ListBullet"/>
      </w:pPr>
      <w:r>
        <w:rPr>
          <w:b w:val="0"/>
          <w:i w:val="0"/>
        </w:rPr>
        <w:t>Cortana, 112–113, 117, 118</w:t>
      </w:r>
    </w:p>
    <w:p>
      <w:pPr>
        <w:pStyle w:val="ListBullet"/>
      </w:pPr>
      <w:r>
        <w:rPr>
          <w:b w:val="0"/>
          <w:i w:val="0"/>
        </w:rPr>
        <w:t>Coursera, 17</w:t>
      </w:r>
    </w:p>
    <w:p>
      <w:pPr>
        <w:pStyle w:val="ListBullet"/>
      </w:pPr>
      <w:r>
        <w:rPr>
          <w:b w:val="0"/>
          <w:i w:val="0"/>
        </w:rPr>
        <w:t>creativity, 116–117</w:t>
      </w:r>
    </w:p>
    <w:p>
      <w:pPr>
        <w:pStyle w:val="ListBullet"/>
      </w:pPr>
      <w:r>
        <w:rPr>
          <w:b w:val="0"/>
          <w:i w:val="0"/>
        </w:rPr>
        <w:t>credit card fraud, 123, 124, 126</w:t>
      </w:r>
    </w:p>
    <w:p>
      <w:pPr>
        <w:pStyle w:val="ListBullet"/>
      </w:pPr>
      <w:r>
        <w:rPr>
          <w:b w:val="0"/>
          <w:i w:val="0"/>
        </w:rPr>
        <w:t>credit decisions, 9, 115</w:t>
      </w:r>
    </w:p>
    <w:p>
      <w:pPr>
        <w:pStyle w:val="ListBullet"/>
      </w:pPr>
      <w:r>
        <w:rPr>
          <w:b w:val="0"/>
          <w:i w:val="0"/>
        </w:rPr>
        <w:t>Cruise Automation, 150</w:t>
      </w:r>
    </w:p>
    <w:p>
      <w:pPr>
        <w:pStyle w:val="ListBullet"/>
      </w:pPr>
      <w:r>
        <w:rPr>
          <w:b w:val="0"/>
          <w:i w:val="0"/>
        </w:rPr>
        <w:t>customer service, 117–118, 125</w:t>
      </w:r>
    </w:p>
    <w:p>
      <w:pPr>
        <w:pStyle w:val="ListBullet"/>
      </w:pPr>
      <w:r>
        <w:rPr>
          <w:b w:val="0"/>
          <w:i w:val="0"/>
        </w:rPr>
        <w:t>Danske Bank, 123, 126</w:t>
      </w:r>
    </w:p>
    <w:p>
      <w:pPr>
        <w:pStyle w:val="ListBullet"/>
      </w:pPr>
      <w:r>
        <w:rPr>
          <w:b w:val="0"/>
          <w:i w:val="0"/>
        </w:rPr>
        <w:t>DARPA, 158</w:t>
      </w:r>
    </w:p>
    <w:p>
      <w:pPr>
        <w:pStyle w:val="ListBullet"/>
      </w:pPr>
      <w:r>
        <w:rPr>
          <w:b w:val="0"/>
          <w:i w:val="0"/>
        </w:rPr>
        <w:t>data</w:t>
      </w:r>
    </w:p>
    <w:p>
      <w:pPr>
        <w:pStyle w:val="ListBullet"/>
      </w:pPr>
      <w:r>
        <w:rPr>
          <w:b w:val="0"/>
          <w:i w:val="0"/>
        </w:rPr>
        <w:t>AI and, 153–162</w:t>
      </w:r>
    </w:p>
    <w:p>
      <w:pPr>
        <w:pStyle w:val="ListBullet"/>
      </w:pPr>
      <w:r>
        <w:rPr>
          <w:b w:val="0"/>
          <w:i w:val="0"/>
        </w:rPr>
        <w:t>big, 83, 153</w:t>
      </w:r>
    </w:p>
    <w:p>
      <w:pPr>
        <w:pStyle w:val="ListBullet"/>
      </w:pPr>
      <w:r>
        <w:rPr>
          <w:b w:val="0"/>
          <w:i w:val="0"/>
        </w:rPr>
        <w:t>privacy issues, 154–155</w:t>
      </w:r>
    </w:p>
    <w:p>
      <w:pPr>
        <w:pStyle w:val="ListBullet"/>
      </w:pPr>
      <w:r>
        <w:rPr>
          <w:b w:val="0"/>
          <w:i w:val="0"/>
        </w:rPr>
        <w:t>protection, 114, 115, 155</w:t>
      </w:r>
    </w:p>
    <w:p>
      <w:pPr>
        <w:pStyle w:val="ListBullet"/>
      </w:pPr>
      <w:r>
        <w:rPr>
          <w:b w:val="0"/>
          <w:i w:val="0"/>
        </w:rPr>
        <w:t>training, 75–77</w:t>
      </w:r>
    </w:p>
    <w:p>
      <w:pPr>
        <w:pStyle w:val="ListBullet"/>
      </w:pPr>
      <w:r>
        <w:rPr>
          <w:b w:val="0"/>
          <w:i w:val="0"/>
        </w:rPr>
        <w:t>value of, 73–78</w:t>
      </w:r>
    </w:p>
    <w:p>
      <w:pPr>
        <w:pStyle w:val="ListBullet"/>
      </w:pPr>
      <w:r>
        <w:rPr>
          <w:b w:val="0"/>
          <w:i w:val="0"/>
        </w:rPr>
        <w:t>data compliance officers, 115</w:t>
      </w:r>
    </w:p>
    <w:p>
      <w:pPr>
        <w:pStyle w:val="ListBullet"/>
      </w:pPr>
      <w:r>
        <w:rPr>
          <w:b w:val="0"/>
          <w:i w:val="0"/>
        </w:rPr>
        <w:t>Daugherty, Paul, 109–134, 153–162</w:t>
      </w:r>
    </w:p>
    <w:p>
      <w:pPr>
        <w:pStyle w:val="ListBullet"/>
      </w:pPr>
      <w:r>
        <w:rPr>
          <w:b w:val="0"/>
          <w:i w:val="0"/>
        </w:rPr>
        <w:t>Davenport, Chase, 153–162</w:t>
      </w:r>
    </w:p>
    <w:p>
      <w:pPr>
        <w:pStyle w:val="ListBullet"/>
      </w:pPr>
      <w:r>
        <w:rPr>
          <w:b w:val="0"/>
          <w:i w:val="0"/>
        </w:rPr>
        <w:t>Davenport, Thomas H., xi–xvi, 53–61</w:t>
      </w:r>
    </w:p>
    <w:p>
      <w:pPr>
        <w:pStyle w:val="ListBullet"/>
      </w:pPr>
      <w:r>
        <w:rPr>
          <w:b w:val="0"/>
          <w:i w:val="0"/>
        </w:rPr>
        <w:t>decision making, 125, 128–129</w:t>
      </w:r>
    </w:p>
    <w:p>
      <w:pPr>
        <w:pStyle w:val="ListBullet"/>
      </w:pPr>
      <w:r>
        <w:rPr>
          <w:b w:val="0"/>
          <w:i w:val="0"/>
        </w:rPr>
        <w:t>emotional analysis and, 139–140</w:t>
      </w:r>
    </w:p>
    <w:p>
      <w:pPr>
        <w:pStyle w:val="ListBullet"/>
      </w:pPr>
      <w:r>
        <w:rPr>
          <w:b w:val="0"/>
          <w:i w:val="0"/>
        </w:rPr>
        <w:t>by machines, 21–22</w:t>
      </w:r>
    </w:p>
    <w:p>
      <w:pPr>
        <w:pStyle w:val="ListBullet"/>
      </w:pPr>
      <w:r>
        <w:rPr>
          <w:b w:val="0"/>
          <w:i w:val="0"/>
        </w:rPr>
        <w:t>Deep Instinct, 9</w:t>
      </w:r>
    </w:p>
    <w:p>
      <w:pPr>
        <w:pStyle w:val="ListBullet"/>
      </w:pPr>
      <w:r>
        <w:rPr>
          <w:b w:val="0"/>
          <w:i w:val="0"/>
        </w:rPr>
        <w:t>deep learning, xiii, 13–14, 54, 81</w:t>
      </w:r>
    </w:p>
    <w:p>
      <w:pPr>
        <w:pStyle w:val="ListBullet"/>
      </w:pPr>
      <w:r>
        <w:rPr>
          <w:b w:val="0"/>
          <w:i w:val="0"/>
        </w:rPr>
        <w:t>DeepMind, 8–9, 150</w:t>
      </w:r>
    </w:p>
    <w:p>
      <w:pPr>
        <w:pStyle w:val="ListBullet"/>
      </w:pPr>
      <w:r>
        <w:rPr>
          <w:b w:val="0"/>
          <w:i w:val="0"/>
        </w:rPr>
        <w:t>deep neural nets, 7–8, 14, 21</w:t>
      </w:r>
    </w:p>
    <w:p>
      <w:pPr>
        <w:pStyle w:val="ListBullet"/>
      </w:pPr>
      <w:r>
        <w:rPr>
          <w:b w:val="0"/>
          <w:i w:val="0"/>
        </w:rPr>
        <w:t>discrimination, 115</w:t>
      </w:r>
    </w:p>
    <w:p>
      <w:pPr>
        <w:pStyle w:val="ListBullet"/>
      </w:pPr>
      <w:r>
        <w:rPr>
          <w:b w:val="0"/>
          <w:i w:val="0"/>
        </w:rPr>
        <w:t>disease prediction, 125</w:t>
      </w:r>
    </w:p>
    <w:p>
      <w:pPr>
        <w:pStyle w:val="ListBullet"/>
      </w:pPr>
      <w:r>
        <w:rPr>
          <w:b w:val="0"/>
          <w:i w:val="0"/>
        </w:rPr>
        <w:t>Dreamcatcher, 116–117</w:t>
      </w:r>
    </w:p>
    <w:p>
      <w:pPr>
        <w:pStyle w:val="ListBullet"/>
      </w:pPr>
      <w:r>
        <w:rPr>
          <w:b w:val="0"/>
          <w:i w:val="0"/>
        </w:rPr>
        <w:t>drones, 10</w:t>
      </w:r>
    </w:p>
    <w:p>
      <w:pPr>
        <w:pStyle w:val="ListBullet"/>
      </w:pPr>
      <w:r>
        <w:rPr>
          <w:b w:val="0"/>
          <w:i w:val="0"/>
        </w:rPr>
        <w:t>dystopian view, 101, 107</w:t>
      </w:r>
    </w:p>
    <w:p>
      <w:pPr>
        <w:pStyle w:val="ListBullet"/>
      </w:pPr>
      <w:r>
        <w:rPr>
          <w:b w:val="0"/>
          <w:i w:val="0"/>
        </w:rPr>
        <w:t>early adopters, 53, 58–59, 154</w:t>
      </w:r>
    </w:p>
    <w:p>
      <w:pPr>
        <w:pStyle w:val="ListBullet"/>
      </w:pPr>
      <w:r>
        <w:rPr>
          <w:b w:val="0"/>
          <w:i w:val="0"/>
        </w:rPr>
        <w:t>economic growth</w:t>
      </w:r>
    </w:p>
    <w:p>
      <w:pPr>
        <w:pStyle w:val="ListBullet"/>
      </w:pPr>
      <w:r>
        <w:rPr>
          <w:b w:val="0"/>
          <w:i w:val="0"/>
        </w:rPr>
        <w:t>drivers of, 3–4</w:t>
      </w:r>
    </w:p>
    <w:p>
      <w:pPr>
        <w:pStyle w:val="ListBullet"/>
      </w:pPr>
      <w:r>
        <w:rPr>
          <w:b w:val="0"/>
          <w:i w:val="0"/>
        </w:rPr>
        <w:t>lack of, 102–103</w:t>
      </w:r>
    </w:p>
    <w:p>
      <w:pPr>
        <w:pStyle w:val="ListBullet"/>
      </w:pPr>
      <w:r>
        <w:rPr>
          <w:b w:val="0"/>
          <w:i w:val="0"/>
        </w:rPr>
        <w:t>edge cases, 154</w:t>
      </w:r>
    </w:p>
    <w:p>
      <w:pPr>
        <w:pStyle w:val="ListBullet"/>
      </w:pPr>
      <w:r>
        <w:rPr>
          <w:b w:val="0"/>
          <w:i w:val="0"/>
        </w:rPr>
        <w:t xml:space="preserve">Ellie, 142. </w:t>
      </w:r>
      <w:r>
        <w:rPr>
          <w:b w:val="0"/>
          <w:i/>
        </w:rPr>
        <w:t>See also</w:t>
      </w:r>
      <w:r>
        <w:rPr>
          <w:b w:val="0"/>
          <w:i w:val="0"/>
        </w:rPr>
        <w:t xml:space="preserve"> AI assistants</w:t>
      </w:r>
    </w:p>
    <w:p>
      <w:pPr>
        <w:pStyle w:val="ListBullet"/>
      </w:pPr>
      <w:r>
        <w:rPr>
          <w:b w:val="0"/>
          <w:i w:val="0"/>
        </w:rPr>
        <w:t>emotions, 137–144</w:t>
      </w:r>
    </w:p>
    <w:p>
      <w:pPr>
        <w:pStyle w:val="ListBullet"/>
      </w:pPr>
      <w:r>
        <w:rPr>
          <w:b w:val="0"/>
          <w:i w:val="0"/>
        </w:rPr>
        <w:t>employees</w:t>
      </w:r>
    </w:p>
    <w:p>
      <w:pPr>
        <w:pStyle w:val="ListBullet"/>
      </w:pPr>
      <w:r>
        <w:rPr>
          <w:b w:val="0"/>
          <w:i w:val="0"/>
        </w:rPr>
        <w:t>nontechnical, 65–72</w:t>
      </w:r>
    </w:p>
    <w:p>
      <w:pPr>
        <w:pStyle w:val="ListBullet"/>
      </w:pPr>
      <w:r>
        <w:rPr>
          <w:b w:val="0"/>
          <w:i w:val="0"/>
        </w:rPr>
        <w:t>as partners, 106–107</w:t>
      </w:r>
    </w:p>
    <w:p>
      <w:pPr>
        <w:pStyle w:val="ListBullet"/>
      </w:pPr>
      <w:r>
        <w:rPr>
          <w:b w:val="0"/>
          <w:i w:val="0"/>
        </w:rPr>
        <w:t>recruitment of, 124, 126–128</w:t>
      </w:r>
    </w:p>
    <w:p>
      <w:pPr>
        <w:pStyle w:val="ListBullet"/>
      </w:pPr>
      <w:r>
        <w:rPr>
          <w:b w:val="0"/>
          <w:i w:val="0"/>
        </w:rPr>
        <w:t>skills needed by, 131–132</w:t>
      </w:r>
    </w:p>
    <w:p>
      <w:pPr>
        <w:pStyle w:val="ListBullet"/>
      </w:pPr>
      <w:r>
        <w:rPr>
          <w:b w:val="0"/>
          <w:i w:val="0"/>
        </w:rPr>
        <w:t>technical, 66–67</w:t>
      </w:r>
    </w:p>
    <w:p>
      <w:pPr>
        <w:pStyle w:val="ListBullet"/>
      </w:pPr>
      <w:r>
        <w:rPr>
          <w:b w:val="0"/>
          <w:i w:val="0"/>
        </w:rPr>
        <w:t>training, 106</w:t>
      </w:r>
    </w:p>
    <w:p>
      <w:pPr>
        <w:pStyle w:val="ListBullet"/>
      </w:pPr>
      <w:r>
        <w:rPr>
          <w:b w:val="0"/>
          <w:i w:val="0"/>
        </w:rPr>
        <w:t>employment</w:t>
      </w:r>
    </w:p>
    <w:p>
      <w:pPr>
        <w:pStyle w:val="ListBullet"/>
      </w:pPr>
      <w:r>
        <w:rPr>
          <w:b w:val="0"/>
          <w:i w:val="0"/>
        </w:rPr>
        <w:t>impact of AI on, xv, 99–110, 114</w:t>
      </w:r>
    </w:p>
    <w:p>
      <w:pPr>
        <w:pStyle w:val="ListBullet"/>
      </w:pPr>
      <w:r>
        <w:rPr>
          <w:b w:val="0"/>
          <w:i w:val="0"/>
        </w:rPr>
        <w:t>redefining, 105</w:t>
      </w:r>
    </w:p>
    <w:p>
      <w:pPr>
        <w:pStyle w:val="ListBullet"/>
      </w:pPr>
      <w:r>
        <w:rPr>
          <w:b w:val="0"/>
          <w:i w:val="0"/>
        </w:rPr>
        <w:t>Enam, Zayd, 18</w:t>
      </w:r>
    </w:p>
    <w:p>
      <w:pPr>
        <w:pStyle w:val="ListBullet"/>
      </w:pPr>
      <w:r>
        <w:rPr>
          <w:b w:val="0"/>
          <w:i w:val="0"/>
        </w:rPr>
        <w:t>Enlitic, 10</w:t>
      </w:r>
    </w:p>
    <w:p>
      <w:pPr>
        <w:pStyle w:val="ListBullet"/>
      </w:pPr>
      <w:r>
        <w:rPr>
          <w:b w:val="0"/>
          <w:i w:val="0"/>
        </w:rPr>
        <w:t>entrepreneurs, 21, 24</w:t>
      </w:r>
    </w:p>
    <w:p>
      <w:pPr>
        <w:pStyle w:val="ListBullet"/>
      </w:pPr>
      <w:r>
        <w:rPr>
          <w:b w:val="0"/>
          <w:i w:val="0"/>
        </w:rPr>
        <w:t>equipment maintenance, 125, 128–129</w:t>
      </w:r>
    </w:p>
    <w:p>
      <w:pPr>
        <w:pStyle w:val="ListBullet"/>
      </w:pPr>
      <w:r>
        <w:rPr>
          <w:b w:val="0"/>
          <w:i w:val="0"/>
        </w:rPr>
        <w:t>errors, 9, 22, 89–95</w:t>
      </w:r>
    </w:p>
    <w:p>
      <w:pPr>
        <w:pStyle w:val="ListBullet"/>
      </w:pPr>
      <w:r>
        <w:rPr>
          <w:b w:val="0"/>
          <w:i w:val="0"/>
        </w:rPr>
        <w:t>ethical issues, xv, 70, 115, 154–155</w:t>
      </w:r>
    </w:p>
    <w:p>
      <w:pPr>
        <w:pStyle w:val="ListBullet"/>
      </w:pPr>
      <w:r>
        <w:rPr>
          <w:b w:val="0"/>
          <w:i w:val="0"/>
        </w:rPr>
        <w:t>Etzioni, Oren, 158</w:t>
      </w:r>
    </w:p>
    <w:p>
      <w:pPr>
        <w:pStyle w:val="ListBullet"/>
      </w:pPr>
      <w:r>
        <w:rPr>
          <w:b w:val="0"/>
          <w:i w:val="0"/>
        </w:rPr>
        <w:t>expertise, 156–157</w:t>
      </w:r>
    </w:p>
    <w:p>
      <w:pPr>
        <w:pStyle w:val="ListBullet"/>
      </w:pPr>
      <w:r>
        <w:rPr>
          <w:b w:val="0"/>
          <w:i w:val="0"/>
        </w:rPr>
        <w:t>explainers, 113–114</w:t>
      </w:r>
    </w:p>
    <w:p>
      <w:pPr>
        <w:pStyle w:val="ListBullet"/>
      </w:pPr>
      <w:r>
        <w:rPr>
          <w:b w:val="0"/>
          <w:i w:val="0"/>
        </w:rPr>
        <w:t>external partners, 82–83</w:t>
      </w:r>
    </w:p>
    <w:p>
      <w:pPr>
        <w:pStyle w:val="ListBullet"/>
      </w:pPr>
      <w:r>
        <w:rPr>
          <w:b w:val="0"/>
          <w:i w:val="0"/>
        </w:rPr>
        <w:t>Facebook, 7, 15, 29–52, 138</w:t>
      </w:r>
    </w:p>
    <w:p>
      <w:pPr>
        <w:pStyle w:val="ListBullet"/>
      </w:pPr>
      <w:r>
        <w:rPr>
          <w:b w:val="0"/>
          <w:i w:val="0"/>
        </w:rPr>
        <w:t>Messenger, 42, 44</w:t>
      </w:r>
    </w:p>
    <w:p>
      <w:pPr>
        <w:pStyle w:val="ListBullet"/>
      </w:pPr>
      <w:r>
        <w:rPr>
          <w:b w:val="0"/>
          <w:i w:val="0"/>
        </w:rPr>
        <w:t>facial recognition, 154</w:t>
      </w:r>
    </w:p>
    <w:p>
      <w:pPr>
        <w:pStyle w:val="ListBullet"/>
      </w:pPr>
      <w:r>
        <w:rPr>
          <w:b w:val="0"/>
          <w:i w:val="0"/>
        </w:rPr>
        <w:t>fast.ai, 17</w:t>
      </w:r>
    </w:p>
    <w:p>
      <w:pPr>
        <w:pStyle w:val="ListBullet"/>
      </w:pPr>
      <w:r>
        <w:rPr>
          <w:b w:val="0"/>
          <w:i w:val="0"/>
        </w:rPr>
        <w:t>fast follower strategy, 53–61</w:t>
      </w:r>
    </w:p>
    <w:p>
      <w:pPr>
        <w:pStyle w:val="ListBullet"/>
      </w:pPr>
      <w:r>
        <w:rPr>
          <w:b w:val="0"/>
          <w:i w:val="0"/>
        </w:rPr>
        <w:t>FBLearner Flow, 40</w:t>
      </w:r>
    </w:p>
    <w:p>
      <w:pPr>
        <w:pStyle w:val="ListBullet"/>
      </w:pPr>
      <w:r>
        <w:rPr>
          <w:b w:val="0"/>
          <w:i w:val="0"/>
        </w:rPr>
        <w:t>Fidler, Devin, 106</w:t>
      </w:r>
    </w:p>
    <w:p>
      <w:pPr>
        <w:pStyle w:val="ListBullet"/>
      </w:pPr>
      <w:r>
        <w:rPr>
          <w:b w:val="0"/>
          <w:i w:val="0"/>
        </w:rPr>
        <w:t>financial services, 125</w:t>
      </w:r>
    </w:p>
    <w:p>
      <w:pPr>
        <w:pStyle w:val="ListBullet"/>
      </w:pPr>
      <w:r>
        <w:rPr>
          <w:b w:val="0"/>
          <w:i w:val="0"/>
        </w:rPr>
        <w:t>flexibility, 122–123, 124</w:t>
      </w:r>
    </w:p>
    <w:p>
      <w:pPr>
        <w:pStyle w:val="ListBullet"/>
      </w:pPr>
      <w:r>
        <w:rPr>
          <w:b w:val="0"/>
          <w:i w:val="0"/>
        </w:rPr>
        <w:t>Ford Motor, 150</w:t>
      </w:r>
    </w:p>
    <w:p>
      <w:pPr>
        <w:pStyle w:val="ListBullet"/>
      </w:pPr>
      <w:r>
        <w:rPr>
          <w:b w:val="0"/>
          <w:i w:val="0"/>
        </w:rPr>
        <w:t>fraud</w:t>
      </w:r>
    </w:p>
    <w:p>
      <w:pPr>
        <w:pStyle w:val="ListBullet"/>
      </w:pPr>
      <w:r>
        <w:rPr>
          <w:b w:val="0"/>
          <w:i w:val="0"/>
        </w:rPr>
        <w:t>credit card, 123, 124, 126</w:t>
      </w:r>
    </w:p>
    <w:p>
      <w:pPr>
        <w:pStyle w:val="ListBullet"/>
      </w:pPr>
      <w:r>
        <w:rPr>
          <w:b w:val="0"/>
          <w:i w:val="0"/>
        </w:rPr>
        <w:t>customer, 58</w:t>
      </w:r>
    </w:p>
    <w:p>
      <w:pPr>
        <w:pStyle w:val="ListBullet"/>
      </w:pPr>
      <w:r>
        <w:rPr>
          <w:b w:val="0"/>
          <w:i w:val="0"/>
        </w:rPr>
        <w:t>detection, 123, 124, 126</w:t>
      </w:r>
    </w:p>
    <w:p>
      <w:pPr>
        <w:pStyle w:val="ListBullet"/>
      </w:pPr>
      <w:r>
        <w:rPr>
          <w:b w:val="0"/>
          <w:i w:val="0"/>
        </w:rPr>
        <w:t>financial, 123, 124, 126</w:t>
      </w:r>
    </w:p>
    <w:p>
      <w:pPr>
        <w:pStyle w:val="ListBullet"/>
      </w:pPr>
      <w:r>
        <w:rPr>
          <w:b w:val="0"/>
          <w:i w:val="0"/>
        </w:rPr>
        <w:t>fusion skills, 131–132</w:t>
      </w:r>
    </w:p>
    <w:p>
      <w:pPr>
        <w:pStyle w:val="ListBullet"/>
      </w:pPr>
      <w:r>
        <w:rPr>
          <w:b w:val="0"/>
          <w:i w:val="0"/>
        </w:rPr>
        <w:t>Gans, Joshua, 73–78, 145–152</w:t>
      </w:r>
    </w:p>
    <w:p>
      <w:pPr>
        <w:pStyle w:val="ListBullet"/>
      </w:pPr>
      <w:r>
        <w:rPr>
          <w:b w:val="0"/>
          <w:i w:val="0"/>
        </w:rPr>
        <w:t>Gaussian processes, 159–160</w:t>
      </w:r>
    </w:p>
    <w:p>
      <w:pPr>
        <w:pStyle w:val="ListBullet"/>
      </w:pPr>
      <w:r>
        <w:rPr>
          <w:b w:val="0"/>
          <w:i w:val="0"/>
        </w:rPr>
        <w:t>General Data Protection Regulation (GDPR), 114, 115, 155</w:t>
      </w:r>
    </w:p>
    <w:p>
      <w:pPr>
        <w:pStyle w:val="ListBullet"/>
      </w:pPr>
      <w:r>
        <w:rPr>
          <w:b w:val="0"/>
          <w:i w:val="0"/>
        </w:rPr>
        <w:t>General Electric, 125, 128–129</w:t>
      </w:r>
    </w:p>
    <w:p>
      <w:pPr>
        <w:pStyle w:val="ListBullet"/>
      </w:pPr>
      <w:r>
        <w:rPr>
          <w:b w:val="0"/>
          <w:i w:val="0"/>
        </w:rPr>
        <w:t>General Motors, 150</w:t>
      </w:r>
    </w:p>
    <w:p>
      <w:pPr>
        <w:pStyle w:val="ListBullet"/>
      </w:pPr>
      <w:r>
        <w:rPr>
          <w:b w:val="0"/>
          <w:i w:val="0"/>
        </w:rPr>
        <w:t>general-purpose technologies, 3–4, 25</w:t>
      </w:r>
    </w:p>
    <w:p>
      <w:pPr>
        <w:pStyle w:val="ListBullet"/>
      </w:pPr>
      <w:r>
        <w:rPr>
          <w:b w:val="0"/>
          <w:i w:val="0"/>
        </w:rPr>
        <w:t>GGH Morowitz, 125</w:t>
      </w:r>
    </w:p>
    <w:p>
      <w:pPr>
        <w:pStyle w:val="ListBullet"/>
      </w:pPr>
      <w:r>
        <w:rPr>
          <w:b w:val="0"/>
          <w:i w:val="0"/>
        </w:rPr>
        <w:t>Gigster, 124</w:t>
      </w:r>
    </w:p>
    <w:p>
      <w:pPr>
        <w:pStyle w:val="ListBullet"/>
      </w:pPr>
      <w:r>
        <w:rPr>
          <w:b w:val="0"/>
          <w:i w:val="0"/>
        </w:rPr>
        <w:t>GNS Healthcare, 120</w:t>
      </w:r>
    </w:p>
    <w:p>
      <w:pPr>
        <w:pStyle w:val="ListBullet"/>
      </w:pPr>
      <w:r>
        <w:rPr>
          <w:b w:val="0"/>
          <w:i w:val="0"/>
        </w:rPr>
        <w:t>Goldfarb, Avi, 73–78, 145–152</w:t>
      </w:r>
    </w:p>
    <w:p>
      <w:pPr>
        <w:pStyle w:val="ListBullet"/>
      </w:pPr>
      <w:r>
        <w:rPr>
          <w:b w:val="0"/>
          <w:i w:val="0"/>
        </w:rPr>
        <w:t>Google, 17, 81, 138, 150</w:t>
      </w:r>
    </w:p>
    <w:p>
      <w:pPr>
        <w:pStyle w:val="ListBullet"/>
      </w:pPr>
      <w:r>
        <w:rPr>
          <w:b w:val="0"/>
          <w:i w:val="0"/>
        </w:rPr>
        <w:t>Google Assistant, 142</w:t>
      </w:r>
    </w:p>
    <w:p>
      <w:pPr>
        <w:pStyle w:val="ListBullet"/>
      </w:pPr>
      <w:r>
        <w:rPr>
          <w:b w:val="0"/>
          <w:i w:val="0"/>
        </w:rPr>
        <w:t>Google Brain, 81, 86</w:t>
      </w:r>
    </w:p>
    <w:p>
      <w:pPr>
        <w:pStyle w:val="ListBullet"/>
      </w:pPr>
      <w:r>
        <w:rPr>
          <w:b w:val="0"/>
          <w:i w:val="0"/>
        </w:rPr>
        <w:t>Google Maps, 81</w:t>
      </w:r>
    </w:p>
    <w:p>
      <w:pPr>
        <w:pStyle w:val="ListBullet"/>
      </w:pPr>
      <w:r>
        <w:rPr>
          <w:b w:val="0"/>
          <w:i w:val="0"/>
        </w:rPr>
        <w:t>governance, 57–58</w:t>
      </w:r>
    </w:p>
    <w:p>
      <w:pPr>
        <w:pStyle w:val="ListBullet"/>
      </w:pPr>
      <w:r>
        <w:rPr>
          <w:b w:val="0"/>
          <w:i w:val="0"/>
        </w:rPr>
        <w:t>guest experience, 125</w:t>
      </w:r>
    </w:p>
    <w:p>
      <w:pPr>
        <w:pStyle w:val="ListBullet"/>
      </w:pPr>
      <w:r>
        <w:rPr>
          <w:b w:val="0"/>
          <w:i w:val="0"/>
        </w:rPr>
        <w:t>health care, 125</w:t>
      </w:r>
    </w:p>
    <w:p>
      <w:pPr>
        <w:pStyle w:val="ListBullet"/>
      </w:pPr>
      <w:r>
        <w:rPr>
          <w:b w:val="0"/>
          <w:i w:val="0"/>
        </w:rPr>
        <w:t>Hill, Colin, 120</w:t>
      </w:r>
    </w:p>
    <w:p>
      <w:pPr>
        <w:pStyle w:val="ListBullet"/>
      </w:pPr>
      <w:r>
        <w:rPr>
          <w:b w:val="0"/>
          <w:i w:val="0"/>
        </w:rPr>
        <w:t>hiring process, 126–128</w:t>
      </w:r>
    </w:p>
    <w:p>
      <w:pPr>
        <w:pStyle w:val="ListBullet"/>
      </w:pPr>
      <w:r>
        <w:rPr>
          <w:b w:val="0"/>
          <w:i w:val="0"/>
        </w:rPr>
        <w:t>HSBC, 123, 124</w:t>
      </w:r>
    </w:p>
    <w:p>
      <w:pPr>
        <w:pStyle w:val="ListBullet"/>
      </w:pPr>
      <w:r>
        <w:rPr>
          <w:b w:val="0"/>
          <w:i w:val="0"/>
        </w:rPr>
        <w:t>human brains, 101–102</w:t>
      </w:r>
    </w:p>
    <w:p>
      <w:pPr>
        <w:pStyle w:val="ListBullet"/>
      </w:pPr>
      <w:r>
        <w:rPr>
          <w:b w:val="0"/>
          <w:i w:val="0"/>
        </w:rPr>
        <w:t xml:space="preserve">human labor, 20. </w:t>
      </w:r>
      <w:r>
        <w:rPr>
          <w:b w:val="0"/>
          <w:i/>
        </w:rPr>
        <w:t>See also</w:t>
      </w:r>
      <w:r>
        <w:rPr>
          <w:b w:val="0"/>
          <w:i w:val="0"/>
        </w:rPr>
        <w:t xml:space="preserve"> employment</w:t>
      </w:r>
    </w:p>
    <w:p>
      <w:pPr>
        <w:pStyle w:val="ListBullet"/>
      </w:pPr>
      <w:r>
        <w:rPr>
          <w:b w:val="0"/>
          <w:i w:val="0"/>
        </w:rPr>
        <w:t>human-machine collaboration, 109–134</w:t>
      </w:r>
    </w:p>
    <w:p>
      <w:pPr>
        <w:pStyle w:val="ListBullet"/>
      </w:pPr>
      <w:r>
        <w:rPr>
          <w:b w:val="0"/>
          <w:i w:val="0"/>
        </w:rPr>
        <w:t>humans</w:t>
      </w:r>
    </w:p>
    <w:p>
      <w:pPr>
        <w:pStyle w:val="ListBullet"/>
      </w:pPr>
      <w:r>
        <w:rPr>
          <w:b w:val="0"/>
          <w:i w:val="0"/>
        </w:rPr>
        <w:t>as explainers, 113–114</w:t>
      </w:r>
    </w:p>
    <w:p>
      <w:pPr>
        <w:pStyle w:val="ListBullet"/>
      </w:pPr>
      <w:r>
        <w:rPr>
          <w:b w:val="0"/>
          <w:i w:val="0"/>
        </w:rPr>
        <w:t>interactions between AI and, 56–57, 117–118</w:t>
      </w:r>
    </w:p>
    <w:p>
      <w:pPr>
        <w:pStyle w:val="ListBullet"/>
      </w:pPr>
      <w:r>
        <w:rPr>
          <w:b w:val="0"/>
          <w:i w:val="0"/>
        </w:rPr>
        <w:t>machines assisting, 116–119</w:t>
      </w:r>
    </w:p>
    <w:p>
      <w:pPr>
        <w:pStyle w:val="ListBullet"/>
      </w:pPr>
      <w:r>
        <w:rPr>
          <w:b w:val="0"/>
          <w:i w:val="0"/>
        </w:rPr>
        <w:t>roles of, 112–116</w:t>
      </w:r>
    </w:p>
    <w:p>
      <w:pPr>
        <w:pStyle w:val="ListBullet"/>
      </w:pPr>
      <w:r>
        <w:rPr>
          <w:b w:val="0"/>
          <w:i w:val="0"/>
        </w:rPr>
        <w:t>as sustainers, 114–115</w:t>
      </w:r>
    </w:p>
    <w:p>
      <w:pPr>
        <w:pStyle w:val="ListBullet"/>
      </w:pPr>
      <w:r>
        <w:rPr>
          <w:b w:val="0"/>
          <w:i w:val="0"/>
        </w:rPr>
        <w:t>as trainers, 112–113</w:t>
      </w:r>
    </w:p>
    <w:p>
      <w:pPr>
        <w:pStyle w:val="ListBullet"/>
      </w:pPr>
      <w:r>
        <w:rPr>
          <w:b w:val="0"/>
          <w:i w:val="0"/>
        </w:rPr>
        <w:t>Hyundai, 119</w:t>
      </w:r>
    </w:p>
    <w:p>
      <w:pPr>
        <w:pStyle w:val="ListBullet"/>
      </w:pPr>
      <w:r>
        <w:rPr>
          <w:b w:val="0"/>
          <w:i w:val="0"/>
        </w:rPr>
        <w:t>IBM, 9</w:t>
      </w:r>
    </w:p>
    <w:p>
      <w:pPr>
        <w:pStyle w:val="ListBullet"/>
      </w:pPr>
      <w:r>
        <w:rPr>
          <w:b w:val="0"/>
          <w:i w:val="0"/>
        </w:rPr>
        <w:t>Icahn School of Medicine, 125</w:t>
      </w:r>
    </w:p>
    <w:p>
      <w:pPr>
        <w:pStyle w:val="ListBullet"/>
      </w:pPr>
      <w:r>
        <w:rPr>
          <w:b w:val="0"/>
          <w:i w:val="0"/>
        </w:rPr>
        <w:t>ImageNet, 7, 9, 10</w:t>
      </w:r>
    </w:p>
    <w:p>
      <w:pPr>
        <w:pStyle w:val="ListBullet"/>
      </w:pPr>
      <w:r>
        <w:rPr>
          <w:b w:val="0"/>
          <w:i w:val="0"/>
        </w:rPr>
        <w:t>image recognition, 7–9, 45–48</w:t>
      </w:r>
    </w:p>
    <w:p>
      <w:pPr>
        <w:pStyle w:val="ListBullet"/>
      </w:pPr>
      <w:r>
        <w:rPr>
          <w:b w:val="0"/>
          <w:i w:val="0"/>
        </w:rPr>
        <w:t>Infinite Analytics, 9</w:t>
      </w:r>
    </w:p>
    <w:p>
      <w:pPr>
        <w:pStyle w:val="ListBullet"/>
      </w:pPr>
      <w:r>
        <w:rPr>
          <w:b w:val="0"/>
          <w:i w:val="0"/>
        </w:rPr>
        <w:t>insurance claims processing, 9</w:t>
      </w:r>
    </w:p>
    <w:p>
      <w:pPr>
        <w:pStyle w:val="ListBullet"/>
      </w:pPr>
      <w:r>
        <w:rPr>
          <w:b w:val="0"/>
          <w:i w:val="0"/>
        </w:rPr>
        <w:t>integration time, 55–56</w:t>
      </w:r>
    </w:p>
    <w:p>
      <w:pPr>
        <w:pStyle w:val="ListBullet"/>
      </w:pPr>
      <w:r>
        <w:rPr>
          <w:b w:val="0"/>
          <w:i w:val="0"/>
        </w:rPr>
        <w:t>intelligent agents, 9</w:t>
      </w:r>
    </w:p>
    <w:p>
      <w:pPr>
        <w:pStyle w:val="ListBullet"/>
      </w:pPr>
      <w:r>
        <w:rPr>
          <w:b w:val="0"/>
          <w:i w:val="0"/>
        </w:rPr>
        <w:t>intelligent enterprises, 100, 103, 105–107</w:t>
      </w:r>
    </w:p>
    <w:p>
      <w:pPr>
        <w:pStyle w:val="ListBullet"/>
      </w:pPr>
      <w:r>
        <w:rPr>
          <w:b w:val="0"/>
          <w:i w:val="0"/>
        </w:rPr>
        <w:t>interaction learning, 57</w:t>
      </w:r>
    </w:p>
    <w:p>
      <w:pPr>
        <w:pStyle w:val="ListBullet"/>
      </w:pPr>
      <w:r>
        <w:rPr>
          <w:b w:val="0"/>
          <w:i w:val="0"/>
        </w:rPr>
        <w:t>interactions, between humans and machines, 56–57, 117–118</w:t>
      </w:r>
    </w:p>
    <w:p>
      <w:pPr>
        <w:pStyle w:val="ListBullet"/>
      </w:pPr>
      <w:r>
        <w:rPr>
          <w:b w:val="0"/>
          <w:i w:val="0"/>
        </w:rPr>
        <w:t>interactive voice responses (IVRs), 139–140</w:t>
      </w:r>
    </w:p>
    <w:p>
      <w:pPr>
        <w:pStyle w:val="ListBullet"/>
      </w:pPr>
      <w:r>
        <w:rPr>
          <w:b w:val="0"/>
          <w:i w:val="0"/>
        </w:rPr>
        <w:t>internal combustion engine, 3–4</w:t>
      </w:r>
    </w:p>
    <w:p>
      <w:pPr>
        <w:pStyle w:val="ListBullet"/>
      </w:pPr>
      <w:r>
        <w:rPr>
          <w:b w:val="0"/>
          <w:i w:val="0"/>
        </w:rPr>
        <w:t>interpretability, 21, 27</w:t>
      </w:r>
    </w:p>
    <w:p>
      <w:pPr>
        <w:pStyle w:val="ListBullet"/>
      </w:pPr>
      <w:r>
        <w:rPr>
          <w:b w:val="0"/>
          <w:i w:val="0"/>
        </w:rPr>
        <w:t>investment advice, 56–57</w:t>
      </w:r>
    </w:p>
    <w:p>
      <w:pPr>
        <w:pStyle w:val="ListBullet"/>
      </w:pPr>
      <w:r>
        <w:rPr>
          <w:b w:val="0"/>
          <w:i w:val="0"/>
        </w:rPr>
        <w:t>invisible problems, 120</w:t>
      </w:r>
    </w:p>
    <w:p>
      <w:pPr>
        <w:pStyle w:val="ListBullet"/>
      </w:pPr>
      <w:r>
        <w:rPr>
          <w:b w:val="0"/>
          <w:i w:val="0"/>
        </w:rPr>
        <w:t>irrational decisions, 140</w:t>
      </w:r>
    </w:p>
    <w:p>
      <w:pPr>
        <w:pStyle w:val="ListBullet"/>
      </w:pPr>
      <w:r>
        <w:rPr>
          <w:b w:val="0"/>
          <w:i w:val="0"/>
        </w:rPr>
        <w:t>jobs</w:t>
      </w:r>
    </w:p>
    <w:p>
      <w:pPr>
        <w:pStyle w:val="ListBullet"/>
      </w:pPr>
      <w:r>
        <w:rPr>
          <w:b w:val="0"/>
          <w:i w:val="0"/>
        </w:rPr>
        <w:t>impact of AI on, xv, 99–110, 114</w:t>
      </w:r>
    </w:p>
    <w:p>
      <w:pPr>
        <w:pStyle w:val="ListBullet"/>
      </w:pPr>
      <w:r>
        <w:rPr>
          <w:b w:val="0"/>
          <w:i w:val="0"/>
        </w:rPr>
        <w:t>loss of, 65, 101, 109</w:t>
      </w:r>
    </w:p>
    <w:p>
      <w:pPr>
        <w:pStyle w:val="ListBullet"/>
      </w:pPr>
      <w:r>
        <w:rPr>
          <w:b w:val="0"/>
          <w:i w:val="0"/>
        </w:rPr>
        <w:t>redefining, 105</w:t>
      </w:r>
    </w:p>
    <w:p>
      <w:pPr>
        <w:pStyle w:val="ListBullet"/>
      </w:pPr>
      <w:r>
        <w:rPr>
          <w:b w:val="0"/>
          <w:i w:val="0"/>
        </w:rPr>
        <w:t>John Deere, 150</w:t>
      </w:r>
    </w:p>
    <w:p>
      <w:pPr>
        <w:pStyle w:val="ListBullet"/>
      </w:pPr>
      <w:r>
        <w:rPr>
          <w:b w:val="0"/>
          <w:i w:val="0"/>
        </w:rPr>
        <w:t>JPMorgan Chase, 14–15</w:t>
      </w:r>
    </w:p>
    <w:p>
      <w:pPr>
        <w:pStyle w:val="ListBullet"/>
      </w:pPr>
      <w:r>
        <w:rPr>
          <w:b w:val="0"/>
          <w:i w:val="0"/>
        </w:rPr>
        <w:t xml:space="preserve">Karim, 142. </w:t>
      </w:r>
      <w:r>
        <w:rPr>
          <w:b w:val="0"/>
          <w:i/>
        </w:rPr>
        <w:t>See also</w:t>
      </w:r>
      <w:r>
        <w:rPr>
          <w:b w:val="0"/>
          <w:i w:val="0"/>
        </w:rPr>
        <w:t xml:space="preserve"> AI assistants</w:t>
      </w:r>
    </w:p>
    <w:p>
      <w:pPr>
        <w:pStyle w:val="ListBullet"/>
      </w:pPr>
      <w:r>
        <w:rPr>
          <w:b w:val="0"/>
          <w:i w:val="0"/>
        </w:rPr>
        <w:t>Kindred, 16</w:t>
      </w:r>
    </w:p>
    <w:p>
      <w:pPr>
        <w:pStyle w:val="ListBullet"/>
      </w:pPr>
      <w:r>
        <w:rPr>
          <w:b w:val="0"/>
          <w:i w:val="0"/>
        </w:rPr>
        <w:t>Kleber, Sophie, 137–144</w:t>
      </w:r>
    </w:p>
    <w:p>
      <w:pPr>
        <w:pStyle w:val="ListBullet"/>
      </w:pPr>
      <w:r>
        <w:rPr>
          <w:b w:val="0"/>
          <w:i w:val="0"/>
        </w:rPr>
        <w:t>Knickrehm, Mark, 99–108</w:t>
      </w:r>
    </w:p>
    <w:p>
      <w:pPr>
        <w:pStyle w:val="ListBullet"/>
      </w:pPr>
      <w:r>
        <w:rPr>
          <w:b w:val="0"/>
          <w:i w:val="0"/>
        </w:rPr>
        <w:t>knowledge</w:t>
      </w:r>
    </w:p>
    <w:p>
      <w:pPr>
        <w:pStyle w:val="ListBullet"/>
      </w:pPr>
      <w:r>
        <w:rPr>
          <w:b w:val="0"/>
          <w:i w:val="0"/>
        </w:rPr>
        <w:t>codifying, 11, 55</w:t>
      </w:r>
    </w:p>
    <w:p>
      <w:pPr>
        <w:pStyle w:val="ListBullet"/>
      </w:pPr>
      <w:r>
        <w:rPr>
          <w:b w:val="0"/>
          <w:i w:val="0"/>
        </w:rPr>
        <w:t>engineering, 54</w:t>
      </w:r>
    </w:p>
    <w:p>
      <w:pPr>
        <w:pStyle w:val="ListBullet"/>
      </w:pPr>
      <w:r>
        <w:rPr>
          <w:b w:val="0"/>
          <w:i w:val="0"/>
        </w:rPr>
        <w:t>tacit, 11–12</w:t>
      </w:r>
    </w:p>
    <w:p>
      <w:pPr>
        <w:pStyle w:val="ListBullet"/>
      </w:pPr>
      <w:r>
        <w:rPr>
          <w:b w:val="0"/>
          <w:i w:val="0"/>
        </w:rPr>
        <w:t>Koko, 113</w:t>
      </w:r>
    </w:p>
    <w:p>
      <w:pPr>
        <w:pStyle w:val="ListBullet"/>
      </w:pPr>
      <w:r>
        <w:rPr>
          <w:b w:val="0"/>
          <w:i w:val="0"/>
        </w:rPr>
        <w:t>labor</w:t>
      </w:r>
    </w:p>
    <w:p>
      <w:pPr>
        <w:pStyle w:val="ListBullet"/>
      </w:pPr>
      <w:r>
        <w:rPr>
          <w:b w:val="0"/>
          <w:i w:val="0"/>
        </w:rPr>
        <w:t>augmentation, 104</w:t>
      </w:r>
    </w:p>
    <w:p>
      <w:pPr>
        <w:pStyle w:val="ListBullet"/>
      </w:pPr>
      <w:r>
        <w:rPr>
          <w:b w:val="0"/>
          <w:i w:val="0"/>
        </w:rPr>
        <w:t>division of, 20</w:t>
      </w:r>
    </w:p>
    <w:p>
      <w:pPr>
        <w:pStyle w:val="ListBullet"/>
      </w:pPr>
      <w:r>
        <w:rPr>
          <w:b w:val="0"/>
          <w:i w:val="0"/>
        </w:rPr>
        <w:t>human, 20</w:t>
      </w:r>
    </w:p>
    <w:p>
      <w:pPr>
        <w:pStyle w:val="ListBullet"/>
      </w:pPr>
      <w:r>
        <w:rPr>
          <w:b w:val="0"/>
          <w:i w:val="0"/>
        </w:rPr>
        <w:t>impact of AI on, 99–108</w:t>
      </w:r>
    </w:p>
    <w:p>
      <w:pPr>
        <w:pStyle w:val="ListBullet"/>
      </w:pPr>
      <w:r>
        <w:rPr>
          <w:b w:val="0"/>
          <w:i/>
        </w:rPr>
        <w:t>See also</w:t>
      </w:r>
      <w:r>
        <w:rPr>
          <w:b w:val="0"/>
          <w:i w:val="0"/>
        </w:rPr>
        <w:t xml:space="preserve"> employment; jobs</w:t>
      </w:r>
    </w:p>
    <w:p>
      <w:pPr>
        <w:pStyle w:val="ListBullet"/>
      </w:pPr>
      <w:r>
        <w:rPr>
          <w:b w:val="0"/>
          <w:i w:val="0"/>
        </w:rPr>
        <w:t>Landay, James, 7</w:t>
      </w:r>
    </w:p>
    <w:p>
      <w:pPr>
        <w:pStyle w:val="ListBullet"/>
      </w:pPr>
      <w:r>
        <w:rPr>
          <w:b w:val="0"/>
          <w:i w:val="0"/>
        </w:rPr>
        <w:t>late adopters, 53–54, 58–61</w:t>
      </w:r>
    </w:p>
    <w:p>
      <w:pPr>
        <w:pStyle w:val="ListBullet"/>
      </w:pPr>
      <w:r>
        <w:rPr>
          <w:b w:val="0"/>
          <w:i w:val="0"/>
        </w:rPr>
        <w:t>leadership, 24, 25, 84–85</w:t>
      </w:r>
    </w:p>
    <w:p>
      <w:pPr>
        <w:pStyle w:val="ListBullet"/>
      </w:pPr>
      <w:r>
        <w:rPr>
          <w:b w:val="0"/>
          <w:i w:val="0"/>
        </w:rPr>
        <w:t>LeCun, Yann, 15</w:t>
      </w:r>
    </w:p>
    <w:p>
      <w:pPr>
        <w:pStyle w:val="ListBullet"/>
      </w:pPr>
      <w:r>
        <w:rPr>
          <w:b w:val="0"/>
          <w:i w:val="0"/>
        </w:rPr>
        <w:t>life-or-death decisions, 22</w:t>
      </w:r>
    </w:p>
    <w:p>
      <w:pPr>
        <w:pStyle w:val="ListBullet"/>
      </w:pPr>
      <w:r>
        <w:rPr>
          <w:b w:val="0"/>
          <w:i w:val="0"/>
        </w:rPr>
        <w:t>Lumidatum, 9</w:t>
      </w:r>
    </w:p>
    <w:p>
      <w:pPr>
        <w:pStyle w:val="ListBullet"/>
      </w:pPr>
      <w:r>
        <w:rPr>
          <w:b w:val="0"/>
          <w:i w:val="0"/>
        </w:rPr>
        <w:t>Lumos, 45–48</w:t>
      </w:r>
    </w:p>
    <w:p>
      <w:pPr>
        <w:pStyle w:val="ListBullet"/>
      </w:pPr>
      <w:r>
        <w:rPr>
          <w:b w:val="0"/>
          <w:i w:val="0"/>
        </w:rPr>
        <w:t>Machine Common Sense (MCS) program, 158</w:t>
      </w:r>
    </w:p>
    <w:p>
      <w:pPr>
        <w:pStyle w:val="ListBullet"/>
      </w:pPr>
      <w:r>
        <w:rPr>
          <w:b w:val="0"/>
          <w:i w:val="0"/>
        </w:rPr>
        <w:t>machine learning, xii–xiii</w:t>
      </w:r>
    </w:p>
    <w:p>
      <w:pPr>
        <w:pStyle w:val="ListBullet"/>
      </w:pPr>
      <w:r>
        <w:rPr>
          <w:b w:val="0"/>
          <w:i w:val="0"/>
        </w:rPr>
        <w:t>about, 66–67</w:t>
      </w:r>
    </w:p>
    <w:p>
      <w:pPr>
        <w:pStyle w:val="ListBullet"/>
      </w:pPr>
      <w:r>
        <w:rPr>
          <w:b w:val="0"/>
          <w:i w:val="0"/>
        </w:rPr>
        <w:t>algorithms, 30–31, 33–35, 57–58, 68–69, 112–113</w:t>
      </w:r>
    </w:p>
    <w:p>
      <w:pPr>
        <w:pStyle w:val="ListBullet"/>
      </w:pPr>
      <w:r>
        <w:rPr>
          <w:b w:val="0"/>
          <w:i w:val="0"/>
        </w:rPr>
        <w:t>applied, 29–52</w:t>
      </w:r>
    </w:p>
    <w:p>
      <w:pPr>
        <w:pStyle w:val="ListBullet"/>
      </w:pPr>
      <w:r>
        <w:rPr>
          <w:b w:val="0"/>
          <w:i w:val="0"/>
        </w:rPr>
        <w:t>as change driver, 19–21</w:t>
      </w:r>
    </w:p>
    <w:p>
      <w:pPr>
        <w:pStyle w:val="ListBullet"/>
      </w:pPr>
      <w:r>
        <w:rPr>
          <w:b w:val="0"/>
          <w:i w:val="0"/>
        </w:rPr>
        <w:t>cognition and, 8–10</w:t>
      </w:r>
    </w:p>
    <w:p>
      <w:pPr>
        <w:pStyle w:val="ListBullet"/>
      </w:pPr>
      <w:r>
        <w:rPr>
          <w:b w:val="0"/>
          <w:i w:val="0"/>
        </w:rPr>
        <w:t>data for, 17–18</w:t>
      </w:r>
    </w:p>
    <w:p>
      <w:pPr>
        <w:pStyle w:val="ListBullet"/>
      </w:pPr>
      <w:r>
        <w:rPr>
          <w:b w:val="0"/>
          <w:i w:val="0"/>
        </w:rPr>
        <w:t>at Facebook, 29–52</w:t>
      </w:r>
    </w:p>
    <w:p>
      <w:pPr>
        <w:pStyle w:val="ListBullet"/>
      </w:pPr>
      <w:r>
        <w:rPr>
          <w:b w:val="0"/>
          <w:i w:val="0"/>
        </w:rPr>
        <w:t>importance of, 4</w:t>
      </w:r>
    </w:p>
    <w:p>
      <w:pPr>
        <w:pStyle w:val="ListBullet"/>
      </w:pPr>
      <w:r>
        <w:rPr>
          <w:b w:val="0"/>
          <w:i w:val="0"/>
        </w:rPr>
        <w:t>infrastructure, 17</w:t>
      </w:r>
    </w:p>
    <w:p>
      <w:pPr>
        <w:pStyle w:val="ListBullet"/>
      </w:pPr>
      <w:r>
        <w:rPr>
          <w:b w:val="0"/>
          <w:i w:val="0"/>
        </w:rPr>
        <w:t>limitations of, 10–11, 23–24, 70–71</w:t>
      </w:r>
    </w:p>
    <w:p>
      <w:pPr>
        <w:pStyle w:val="ListBullet"/>
      </w:pPr>
      <w:r>
        <w:rPr>
          <w:b w:val="0"/>
          <w:i w:val="0"/>
        </w:rPr>
        <w:t>natural language, 42, 44</w:t>
      </w:r>
    </w:p>
    <w:p>
      <w:pPr>
        <w:pStyle w:val="ListBullet"/>
      </w:pPr>
      <w:r>
        <w:rPr>
          <w:b w:val="0"/>
          <w:i w:val="0"/>
        </w:rPr>
        <w:t>nontechnical employees and, 66–72</w:t>
      </w:r>
    </w:p>
    <w:p>
      <w:pPr>
        <w:pStyle w:val="ListBullet"/>
      </w:pPr>
      <w:r>
        <w:rPr>
          <w:b w:val="0"/>
          <w:i w:val="0"/>
        </w:rPr>
        <w:t>risks of, 21–23, 27–28</w:t>
      </w:r>
    </w:p>
    <w:p>
      <w:pPr>
        <w:pStyle w:val="ListBullet"/>
      </w:pPr>
      <w:r>
        <w:rPr>
          <w:b w:val="0"/>
          <w:i w:val="0"/>
        </w:rPr>
        <w:t>types of, 12–16</w:t>
      </w:r>
    </w:p>
    <w:p>
      <w:pPr>
        <w:pStyle w:val="ListBullet"/>
      </w:pPr>
      <w:r>
        <w:rPr>
          <w:b w:val="0"/>
          <w:i w:val="0"/>
        </w:rPr>
        <w:t>understanding, 11–12, 68–71</w:t>
      </w:r>
    </w:p>
    <w:p>
      <w:pPr>
        <w:pStyle w:val="ListBullet"/>
      </w:pPr>
      <w:r>
        <w:rPr>
          <w:b w:val="0"/>
          <w:i w:val="0"/>
        </w:rPr>
        <w:t>uses of, 9, 17–21, 69–70</w:t>
      </w:r>
    </w:p>
    <w:p>
      <w:pPr>
        <w:pStyle w:val="ListBullet"/>
      </w:pPr>
      <w:r>
        <w:rPr>
          <w:b w:val="0"/>
          <w:i/>
        </w:rPr>
        <w:t>See also</w:t>
      </w:r>
      <w:r>
        <w:rPr>
          <w:b w:val="0"/>
          <w:i w:val="0"/>
        </w:rPr>
        <w:t xml:space="preserve"> artificial intelligence (AI)</w:t>
      </w:r>
    </w:p>
    <w:p>
      <w:pPr>
        <w:pStyle w:val="ListBullet"/>
      </w:pPr>
      <w:r>
        <w:rPr>
          <w:b w:val="0"/>
          <w:i w:val="0"/>
        </w:rPr>
        <w:t>Mahidhar, Vikram, 53–61</w:t>
      </w:r>
    </w:p>
    <w:p>
      <w:pPr>
        <w:pStyle w:val="ListBullet"/>
      </w:pPr>
      <w:r>
        <w:rPr>
          <w:b w:val="0"/>
          <w:i w:val="0"/>
        </w:rPr>
        <w:t>malware detection, 9</w:t>
      </w:r>
    </w:p>
    <w:p>
      <w:pPr>
        <w:pStyle w:val="ListBullet"/>
      </w:pPr>
      <w:r>
        <w:rPr>
          <w:b w:val="0"/>
          <w:i w:val="0"/>
        </w:rPr>
        <w:t>Martinho-Truswell, Emma, 65–72</w:t>
      </w:r>
    </w:p>
    <w:p>
      <w:pPr>
        <w:pStyle w:val="ListBullet"/>
      </w:pPr>
      <w:r>
        <w:rPr>
          <w:b w:val="0"/>
          <w:i w:val="0"/>
        </w:rPr>
        <w:t>Masthoff, Judith, 142–143</w:t>
      </w:r>
    </w:p>
    <w:p>
      <w:pPr>
        <w:pStyle w:val="ListBullet"/>
      </w:pPr>
      <w:r>
        <w:rPr>
          <w:b w:val="0"/>
          <w:i w:val="0"/>
        </w:rPr>
        <w:t>McAfee, Andrew, 3–28</w:t>
      </w:r>
    </w:p>
    <w:p>
      <w:pPr>
        <w:pStyle w:val="ListBullet"/>
      </w:pPr>
      <w:r>
        <w:rPr>
          <w:b w:val="0"/>
          <w:i w:val="0"/>
        </w:rPr>
        <w:t>McCarthy, John, 6</w:t>
      </w:r>
    </w:p>
    <w:p>
      <w:pPr>
        <w:pStyle w:val="ListBullet"/>
      </w:pPr>
      <w:r>
        <w:rPr>
          <w:b w:val="0"/>
          <w:i w:val="0"/>
        </w:rPr>
        <w:t>medical images, 10</w:t>
      </w:r>
    </w:p>
    <w:p>
      <w:pPr>
        <w:pStyle w:val="ListBullet"/>
      </w:pPr>
      <w:r>
        <w:rPr>
          <w:b w:val="0"/>
          <w:i w:val="0"/>
        </w:rPr>
        <w:t>Mercedes-Benz, 122–123, 124</w:t>
      </w:r>
    </w:p>
    <w:p>
      <w:pPr>
        <w:pStyle w:val="ListBullet"/>
      </w:pPr>
      <w:r>
        <w:rPr>
          <w:b w:val="0"/>
          <w:i w:val="0"/>
        </w:rPr>
        <w:t>Microsoft, 16, 17, 89–90, 112–113, 158</w:t>
      </w:r>
    </w:p>
    <w:p>
      <w:pPr>
        <w:pStyle w:val="ListBullet"/>
      </w:pPr>
      <w:r>
        <w:rPr>
          <w:b w:val="0"/>
          <w:i w:val="0"/>
        </w:rPr>
        <w:t>Minsky, Marvin, 6</w:t>
      </w:r>
    </w:p>
    <w:p>
      <w:pPr>
        <w:pStyle w:val="ListBullet"/>
      </w:pPr>
      <w:r>
        <w:rPr>
          <w:b w:val="0"/>
          <w:i w:val="0"/>
        </w:rPr>
        <w:t>mistakes, 89–95</w:t>
      </w:r>
    </w:p>
    <w:p>
      <w:pPr>
        <w:pStyle w:val="ListBullet"/>
      </w:pPr>
      <w:r>
        <w:rPr>
          <w:b w:val="0"/>
          <w:i w:val="0"/>
        </w:rPr>
        <w:t>money laundering, 9</w:t>
      </w:r>
    </w:p>
    <w:p>
      <w:pPr>
        <w:pStyle w:val="ListBullet"/>
      </w:pPr>
      <w:r>
        <w:rPr>
          <w:b w:val="0"/>
          <w:i w:val="0"/>
        </w:rPr>
        <w:t>Morgan Stanley, 125</w:t>
      </w:r>
    </w:p>
    <w:p>
      <w:pPr>
        <w:pStyle w:val="ListBullet"/>
      </w:pPr>
      <w:r>
        <w:rPr>
          <w:b w:val="0"/>
          <w:i w:val="0"/>
        </w:rPr>
        <w:t>M Suggestions, 44–45</w:t>
      </w:r>
    </w:p>
    <w:p>
      <w:pPr>
        <w:pStyle w:val="ListBullet"/>
      </w:pPr>
      <w:r>
        <w:rPr>
          <w:b w:val="0"/>
          <w:i w:val="0"/>
        </w:rPr>
        <w:t>natural language processing, 42, 44, 48–49, 54</w:t>
      </w:r>
    </w:p>
    <w:p>
      <w:pPr>
        <w:pStyle w:val="ListBullet"/>
      </w:pPr>
      <w:r>
        <w:rPr>
          <w:b w:val="0"/>
          <w:i w:val="0"/>
        </w:rPr>
        <w:t>neural nets, 7–8, 14, 21, 154</w:t>
      </w:r>
    </w:p>
    <w:p>
      <w:pPr>
        <w:pStyle w:val="ListBullet"/>
      </w:pPr>
      <w:r>
        <w:rPr>
          <w:b w:val="0"/>
          <w:i w:val="0"/>
        </w:rPr>
        <w:t>Ng, Andrew, 14, 79–88</w:t>
      </w:r>
    </w:p>
    <w:p>
      <w:pPr>
        <w:pStyle w:val="ListBullet"/>
      </w:pPr>
      <w:r>
        <w:rPr>
          <w:b w:val="0"/>
          <w:i w:val="0"/>
        </w:rPr>
        <w:t>nontechnical employees, 65–72</w:t>
      </w:r>
    </w:p>
    <w:p>
      <w:pPr>
        <w:pStyle w:val="ListBullet"/>
      </w:pPr>
      <w:r>
        <w:rPr>
          <w:b w:val="0"/>
          <w:i w:val="0"/>
        </w:rPr>
        <w:t>occupation redesign, 19</w:t>
      </w:r>
    </w:p>
    <w:p>
      <w:pPr>
        <w:pStyle w:val="ListBullet"/>
      </w:pPr>
      <w:r>
        <w:rPr>
          <w:b w:val="0"/>
          <w:i w:val="0"/>
        </w:rPr>
        <w:t>online educational resources, 17</w:t>
      </w:r>
    </w:p>
    <w:p>
      <w:pPr>
        <w:pStyle w:val="ListBullet"/>
      </w:pPr>
      <w:r>
        <w:rPr>
          <w:b w:val="0"/>
          <w:i w:val="0"/>
        </w:rPr>
        <w:t>operating models, 104</w:t>
      </w:r>
    </w:p>
    <w:p>
      <w:pPr>
        <w:pStyle w:val="ListBullet"/>
      </w:pPr>
      <w:r>
        <w:rPr>
          <w:b w:val="0"/>
          <w:i w:val="0"/>
        </w:rPr>
        <w:t>optimistic realists, 103, 108</w:t>
      </w:r>
    </w:p>
    <w:p>
      <w:pPr>
        <w:pStyle w:val="ListBullet"/>
      </w:pPr>
      <w:r>
        <w:rPr>
          <w:b w:val="0"/>
          <w:i w:val="0"/>
        </w:rPr>
        <w:t>organizational design, 105</w:t>
      </w:r>
    </w:p>
    <w:p>
      <w:pPr>
        <w:pStyle w:val="ListBullet"/>
      </w:pPr>
      <w:r>
        <w:rPr>
          <w:b w:val="0"/>
          <w:i w:val="0"/>
        </w:rPr>
        <w:t>Pandora, 130</w:t>
      </w:r>
    </w:p>
    <w:p>
      <w:pPr>
        <w:pStyle w:val="ListBullet"/>
      </w:pPr>
      <w:r>
        <w:rPr>
          <w:b w:val="0"/>
          <w:i w:val="0"/>
        </w:rPr>
        <w:t>partnerships</w:t>
      </w:r>
    </w:p>
    <w:p>
      <w:pPr>
        <w:pStyle w:val="ListBullet"/>
      </w:pPr>
      <w:r>
        <w:rPr>
          <w:b w:val="0"/>
          <w:i w:val="0"/>
        </w:rPr>
        <w:t>with employees, 106–107</w:t>
      </w:r>
    </w:p>
    <w:p>
      <w:pPr>
        <w:pStyle w:val="ListBullet"/>
      </w:pPr>
      <w:r>
        <w:rPr>
          <w:b w:val="0"/>
          <w:i w:val="0"/>
        </w:rPr>
        <w:t>external, 82–83</w:t>
      </w:r>
    </w:p>
    <w:p>
      <w:pPr>
        <w:pStyle w:val="ListBullet"/>
      </w:pPr>
      <w:r>
        <w:rPr>
          <w:b w:val="0"/>
          <w:i w:val="0"/>
        </w:rPr>
        <w:t>pattern recognition, 15, 57, 67–68, 123, 159–160</w:t>
      </w:r>
    </w:p>
    <w:p>
      <w:pPr>
        <w:pStyle w:val="ListBullet"/>
      </w:pPr>
      <w:r>
        <w:rPr>
          <w:b w:val="0"/>
          <w:i w:val="0"/>
        </w:rPr>
        <w:t>PayPal, 9</w:t>
      </w:r>
    </w:p>
    <w:p>
      <w:pPr>
        <w:pStyle w:val="ListBullet"/>
      </w:pPr>
      <w:r>
        <w:rPr>
          <w:b w:val="0"/>
          <w:i w:val="0"/>
        </w:rPr>
        <w:t>perception, 6–10, 23</w:t>
      </w:r>
    </w:p>
    <w:p>
      <w:pPr>
        <w:pStyle w:val="ListBullet"/>
      </w:pPr>
      <w:r>
        <w:rPr>
          <w:b w:val="0"/>
          <w:i w:val="0"/>
        </w:rPr>
        <w:t>performance failures, 89–95</w:t>
      </w:r>
    </w:p>
    <w:p>
      <w:pPr>
        <w:pStyle w:val="ListBullet"/>
      </w:pPr>
      <w:r>
        <w:rPr>
          <w:b w:val="0"/>
          <w:i w:val="0"/>
        </w:rPr>
        <w:t>personal information, 115</w:t>
      </w:r>
    </w:p>
    <w:p>
      <w:pPr>
        <w:pStyle w:val="ListBullet"/>
      </w:pPr>
      <w:r>
        <w:rPr>
          <w:b w:val="0"/>
          <w:i w:val="0"/>
        </w:rPr>
        <w:t>personalization, 125, 130–131</w:t>
      </w:r>
    </w:p>
    <w:p>
      <w:pPr>
        <w:pStyle w:val="ListBullet"/>
      </w:pPr>
      <w:r>
        <w:rPr>
          <w:b w:val="0"/>
          <w:i w:val="0"/>
        </w:rPr>
        <w:t>Pfizer, 59, 125</w:t>
      </w:r>
    </w:p>
    <w:p>
      <w:pPr>
        <w:pStyle w:val="ListBullet"/>
      </w:pPr>
      <w:r>
        <w:rPr>
          <w:b w:val="0"/>
          <w:i w:val="0"/>
        </w:rPr>
        <w:t>Picasso, Pablo, 23–24</w:t>
      </w:r>
    </w:p>
    <w:p>
      <w:pPr>
        <w:pStyle w:val="ListBullet"/>
      </w:pPr>
      <w:r>
        <w:rPr>
          <w:b w:val="0"/>
          <w:i w:val="0"/>
        </w:rPr>
        <w:t>pilot projects, 79–88</w:t>
      </w:r>
    </w:p>
    <w:p>
      <w:pPr>
        <w:pStyle w:val="ListBullet"/>
      </w:pPr>
      <w:r>
        <w:rPr>
          <w:b w:val="0"/>
          <w:i w:val="0"/>
        </w:rPr>
        <w:t>Polanyi’s Paradox, 12, 21</w:t>
      </w:r>
    </w:p>
    <w:p>
      <w:pPr>
        <w:pStyle w:val="ListBullet"/>
      </w:pPr>
      <w:r>
        <w:rPr>
          <w:b w:val="0"/>
          <w:i w:val="0"/>
        </w:rPr>
        <w:t>Pratt, Gil, 26</w:t>
      </w:r>
    </w:p>
    <w:p>
      <w:pPr>
        <w:pStyle w:val="ListBullet"/>
      </w:pPr>
      <w:r>
        <w:rPr>
          <w:b w:val="0"/>
          <w:i w:val="0"/>
        </w:rPr>
        <w:t>predictions, 145–152</w:t>
      </w:r>
    </w:p>
    <w:p>
      <w:pPr>
        <w:pStyle w:val="ListBullet"/>
      </w:pPr>
      <w:r>
        <w:rPr>
          <w:b w:val="0"/>
          <w:i w:val="0"/>
        </w:rPr>
        <w:t>Predix, 128–129</w:t>
      </w:r>
    </w:p>
    <w:p>
      <w:pPr>
        <w:pStyle w:val="ListBullet"/>
      </w:pPr>
      <w:r>
        <w:rPr>
          <w:b w:val="0"/>
          <w:i w:val="0"/>
        </w:rPr>
        <w:t>privacy issues, 115, 154–155</w:t>
      </w:r>
    </w:p>
    <w:p>
      <w:pPr>
        <w:pStyle w:val="ListBullet"/>
      </w:pPr>
      <w:r>
        <w:rPr>
          <w:b w:val="0"/>
          <w:i w:val="0"/>
        </w:rPr>
        <w:t>probabilities, 159–160</w:t>
      </w:r>
    </w:p>
    <w:p>
      <w:pPr>
        <w:pStyle w:val="ListBullet"/>
      </w:pPr>
      <w:r>
        <w:rPr>
          <w:b w:val="0"/>
          <w:i w:val="0"/>
        </w:rPr>
        <w:t>problem solving, 8–10</w:t>
      </w:r>
    </w:p>
    <w:p>
      <w:pPr>
        <w:pStyle w:val="ListBullet"/>
      </w:pPr>
      <w:r>
        <w:rPr>
          <w:b w:val="0"/>
          <w:i w:val="0"/>
        </w:rPr>
        <w:t>product design, 124</w:t>
      </w:r>
    </w:p>
    <w:p>
      <w:pPr>
        <w:pStyle w:val="ListBullet"/>
      </w:pPr>
      <w:r>
        <w:rPr>
          <w:b w:val="0"/>
          <w:i w:val="0"/>
        </w:rPr>
        <w:t>productivity, 102–103, 110, 121</w:t>
      </w:r>
    </w:p>
    <w:p>
      <w:pPr>
        <w:pStyle w:val="ListBullet"/>
      </w:pPr>
      <w:r>
        <w:rPr>
          <w:b w:val="0"/>
          <w:i w:val="0"/>
        </w:rPr>
        <w:t>productivity skeptics, 102–103, 108</w:t>
      </w:r>
    </w:p>
    <w:p>
      <w:pPr>
        <w:pStyle w:val="ListBullet"/>
      </w:pPr>
      <w:r>
        <w:rPr>
          <w:b w:val="0"/>
          <w:i w:val="0"/>
        </w:rPr>
        <w:t>Project Loon, 159</w:t>
      </w:r>
    </w:p>
    <w:p>
      <w:pPr>
        <w:pStyle w:val="ListBullet"/>
      </w:pPr>
      <w:r>
        <w:rPr>
          <w:b w:val="0"/>
          <w:i w:val="0"/>
        </w:rPr>
        <w:t>public safety, 124</w:t>
      </w:r>
    </w:p>
    <w:p>
      <w:pPr>
        <w:pStyle w:val="ListBullet"/>
      </w:pPr>
      <w:r>
        <w:rPr>
          <w:b w:val="0"/>
          <w:i w:val="0"/>
        </w:rPr>
        <w:t>reasoning, 155–156</w:t>
      </w:r>
    </w:p>
    <w:p>
      <w:pPr>
        <w:pStyle w:val="ListBullet"/>
      </w:pPr>
      <w:r>
        <w:rPr>
          <w:b w:val="0"/>
          <w:i w:val="0"/>
        </w:rPr>
        <w:t>recruitment, 124, 126–128</w:t>
      </w:r>
    </w:p>
    <w:p>
      <w:pPr>
        <w:pStyle w:val="ListBullet"/>
      </w:pPr>
      <w:r>
        <w:rPr>
          <w:b w:val="0"/>
          <w:i w:val="0"/>
        </w:rPr>
        <w:t>reinforcement learning, 15–16</w:t>
      </w:r>
    </w:p>
    <w:p>
      <w:pPr>
        <w:pStyle w:val="ListBullet"/>
      </w:pPr>
      <w:r>
        <w:rPr>
          <w:b w:val="0"/>
          <w:i w:val="0"/>
        </w:rPr>
        <w:t>retail fashion, 125</w:t>
      </w:r>
    </w:p>
    <w:p>
      <w:pPr>
        <w:pStyle w:val="ListBullet"/>
      </w:pPr>
      <w:r>
        <w:rPr>
          <w:b w:val="0"/>
          <w:i w:val="0"/>
        </w:rPr>
        <w:t>robots, 10, 16, 90, 104, 115, 118–119, 122, 155–156</w:t>
      </w:r>
    </w:p>
    <w:p>
      <w:pPr>
        <w:pStyle w:val="ListBullet"/>
      </w:pPr>
      <w:r>
        <w:rPr>
          <w:b w:val="0"/>
          <w:i w:val="0"/>
        </w:rPr>
        <w:t>Roche, 124</w:t>
      </w:r>
    </w:p>
    <w:p>
      <w:pPr>
        <w:pStyle w:val="ListBullet"/>
      </w:pPr>
      <w:r>
        <w:rPr>
          <w:b w:val="0"/>
          <w:i w:val="0"/>
        </w:rPr>
        <w:t>Rumsfeld, Donald, 120</w:t>
      </w:r>
    </w:p>
    <w:p>
      <w:pPr>
        <w:pStyle w:val="ListBullet"/>
      </w:pPr>
      <w:r>
        <w:rPr>
          <w:b w:val="0"/>
          <w:i w:val="0"/>
        </w:rPr>
        <w:t>safety engineers, 115</w:t>
      </w:r>
    </w:p>
    <w:p>
      <w:pPr>
        <w:pStyle w:val="ListBullet"/>
      </w:pPr>
      <w:r>
        <w:rPr>
          <w:b w:val="0"/>
          <w:i w:val="0"/>
        </w:rPr>
        <w:t>Salesforce, 17, 55</w:t>
      </w:r>
    </w:p>
    <w:p>
      <w:pPr>
        <w:pStyle w:val="ListBullet"/>
      </w:pPr>
      <w:r>
        <w:rPr>
          <w:b w:val="0"/>
          <w:i w:val="0"/>
        </w:rPr>
        <w:t>Sanbot, 10</w:t>
      </w:r>
    </w:p>
    <w:p>
      <w:pPr>
        <w:pStyle w:val="ListBullet"/>
      </w:pPr>
      <w:r>
        <w:rPr>
          <w:b w:val="0"/>
          <w:i w:val="0"/>
        </w:rPr>
        <w:t>scale, 124–125, 126–128</w:t>
      </w:r>
    </w:p>
    <w:p>
      <w:pPr>
        <w:pStyle w:val="ListBullet"/>
      </w:pPr>
      <w:r>
        <w:rPr>
          <w:b w:val="0"/>
          <w:i w:val="0"/>
        </w:rPr>
        <w:t>SEB, 117–118, 121</w:t>
      </w:r>
    </w:p>
    <w:p>
      <w:pPr>
        <w:pStyle w:val="ListBullet"/>
      </w:pPr>
      <w:r>
        <w:rPr>
          <w:b w:val="0"/>
          <w:i w:val="0"/>
        </w:rPr>
        <w:t>security guards, 10</w:t>
      </w:r>
    </w:p>
    <w:p>
      <w:pPr>
        <w:pStyle w:val="ListBullet"/>
      </w:pPr>
      <w:r>
        <w:rPr>
          <w:b w:val="0"/>
          <w:i w:val="0"/>
        </w:rPr>
        <w:t>self-driving cars, 7, 114, 115, 154</w:t>
      </w:r>
    </w:p>
    <w:p>
      <w:pPr>
        <w:pStyle w:val="ListBullet"/>
      </w:pPr>
      <w:r>
        <w:rPr>
          <w:b w:val="0"/>
          <w:i w:val="0"/>
        </w:rPr>
        <w:t>Sensay, 138</w:t>
      </w:r>
    </w:p>
    <w:p>
      <w:pPr>
        <w:pStyle w:val="ListBullet"/>
      </w:pPr>
      <w:r>
        <w:rPr>
          <w:b w:val="0"/>
          <w:i w:val="0"/>
        </w:rPr>
        <w:t>Siemens, 157</w:t>
      </w:r>
    </w:p>
    <w:p>
      <w:pPr>
        <w:pStyle w:val="ListBullet"/>
      </w:pPr>
      <w:r>
        <w:rPr>
          <w:b w:val="0"/>
          <w:i w:val="0"/>
        </w:rPr>
        <w:t>Simon, Herbert, 6</w:t>
      </w:r>
    </w:p>
    <w:p>
      <w:pPr>
        <w:pStyle w:val="ListBullet"/>
      </w:pPr>
      <w:r>
        <w:rPr>
          <w:b w:val="0"/>
          <w:i w:val="0"/>
        </w:rPr>
        <w:t>Singapore, 124</w:t>
      </w:r>
    </w:p>
    <w:p>
      <w:pPr>
        <w:pStyle w:val="ListBullet"/>
      </w:pPr>
      <w:r>
        <w:rPr>
          <w:b w:val="0"/>
          <w:i w:val="0"/>
        </w:rPr>
        <w:t>singularity, 101–102</w:t>
      </w:r>
    </w:p>
    <w:p>
      <w:pPr>
        <w:pStyle w:val="ListBullet"/>
      </w:pPr>
      <w:r>
        <w:rPr>
          <w:b w:val="0"/>
          <w:i w:val="0"/>
        </w:rPr>
        <w:t xml:space="preserve">Siri, 113. </w:t>
      </w:r>
      <w:r>
        <w:rPr>
          <w:b w:val="0"/>
          <w:i/>
        </w:rPr>
        <w:t>See also</w:t>
      </w:r>
      <w:r>
        <w:rPr>
          <w:b w:val="0"/>
          <w:i w:val="0"/>
        </w:rPr>
        <w:t xml:space="preserve"> AI assistants</w:t>
      </w:r>
    </w:p>
    <w:p>
      <w:pPr>
        <w:pStyle w:val="ListBullet"/>
      </w:pPr>
      <w:r>
        <w:rPr>
          <w:b w:val="0"/>
          <w:i w:val="0"/>
        </w:rPr>
        <w:t>smart glasses, 140–141</w:t>
      </w:r>
    </w:p>
    <w:p>
      <w:pPr>
        <w:pStyle w:val="ListBullet"/>
      </w:pPr>
      <w:r>
        <w:rPr>
          <w:b w:val="0"/>
          <w:i w:val="0"/>
        </w:rPr>
        <w:t>smart speakers, 141–142</w:t>
      </w:r>
    </w:p>
    <w:p>
      <w:pPr>
        <w:pStyle w:val="ListBullet"/>
      </w:pPr>
      <w:r>
        <w:rPr>
          <w:b w:val="0"/>
          <w:i w:val="0"/>
        </w:rPr>
        <w:t>social recommendations (social rex), 44–45</w:t>
      </w:r>
    </w:p>
    <w:p>
      <w:pPr>
        <w:pStyle w:val="ListBullet"/>
      </w:pPr>
      <w:r>
        <w:rPr>
          <w:b w:val="0"/>
          <w:i w:val="0"/>
        </w:rPr>
        <w:t>software development, 124</w:t>
      </w:r>
    </w:p>
    <w:p>
      <w:pPr>
        <w:pStyle w:val="ListBullet"/>
      </w:pPr>
      <w:r>
        <w:rPr>
          <w:b w:val="0"/>
          <w:i w:val="0"/>
        </w:rPr>
        <w:t>Soyuz, 33, 36</w:t>
      </w:r>
    </w:p>
    <w:p>
      <w:pPr>
        <w:pStyle w:val="ListBullet"/>
      </w:pPr>
      <w:r>
        <w:rPr>
          <w:b w:val="0"/>
          <w:i w:val="0"/>
        </w:rPr>
        <w:t>speech recognition, 6–7, 9–10, 81</w:t>
      </w:r>
    </w:p>
    <w:p>
      <w:pPr>
        <w:pStyle w:val="ListBullet"/>
      </w:pPr>
      <w:r>
        <w:rPr>
          <w:b w:val="0"/>
          <w:i w:val="0"/>
        </w:rPr>
        <w:t>speed, 123, 124, 126</w:t>
      </w:r>
    </w:p>
    <w:p>
      <w:pPr>
        <w:pStyle w:val="ListBullet"/>
      </w:pPr>
      <w:r>
        <w:rPr>
          <w:b w:val="0"/>
          <w:i w:val="0"/>
        </w:rPr>
        <w:t>Starbucks, 130</w:t>
      </w:r>
    </w:p>
    <w:p>
      <w:pPr>
        <w:pStyle w:val="ListBullet"/>
      </w:pPr>
      <w:r>
        <w:rPr>
          <w:b w:val="0"/>
          <w:i w:val="0"/>
        </w:rPr>
        <w:t>statistical truths, 22</w:t>
      </w:r>
    </w:p>
    <w:p>
      <w:pPr>
        <w:pStyle w:val="ListBullet"/>
      </w:pPr>
      <w:r>
        <w:rPr>
          <w:b w:val="0"/>
          <w:i w:val="0"/>
        </w:rPr>
        <w:t>Stitch Fix, 105, 125</w:t>
      </w:r>
    </w:p>
    <w:p>
      <w:pPr>
        <w:pStyle w:val="ListBullet"/>
      </w:pPr>
      <w:r>
        <w:rPr>
          <w:b w:val="0"/>
          <w:i w:val="0"/>
        </w:rPr>
        <w:t>stock trading, 9</w:t>
      </w:r>
    </w:p>
    <w:p>
      <w:pPr>
        <w:pStyle w:val="ListBullet"/>
      </w:pPr>
      <w:r>
        <w:rPr>
          <w:b w:val="0"/>
          <w:i w:val="0"/>
        </w:rPr>
        <w:t>strategy</w:t>
      </w:r>
    </w:p>
    <w:p>
      <w:pPr>
        <w:pStyle w:val="ListBullet"/>
      </w:pPr>
      <w:r>
        <w:rPr>
          <w:b w:val="0"/>
          <w:i w:val="0"/>
        </w:rPr>
        <w:t>for AI, 79–88</w:t>
      </w:r>
    </w:p>
    <w:p>
      <w:pPr>
        <w:pStyle w:val="ListBullet"/>
      </w:pPr>
      <w:r>
        <w:rPr>
          <w:b w:val="0"/>
          <w:i w:val="0"/>
        </w:rPr>
        <w:t>business, 145–152</w:t>
      </w:r>
    </w:p>
    <w:p>
      <w:pPr>
        <w:pStyle w:val="ListBullet"/>
      </w:pPr>
      <w:r>
        <w:rPr>
          <w:b w:val="0"/>
          <w:i w:val="0"/>
        </w:rPr>
        <w:t>supervised learning systems, 12–15</w:t>
      </w:r>
    </w:p>
    <w:p>
      <w:pPr>
        <w:pStyle w:val="ListBullet"/>
      </w:pPr>
      <w:r>
        <w:rPr>
          <w:b w:val="0"/>
          <w:i w:val="0"/>
        </w:rPr>
        <w:t>sustainers, 114–115</w:t>
      </w:r>
    </w:p>
    <w:p>
      <w:pPr>
        <w:pStyle w:val="ListBullet"/>
      </w:pPr>
      <w:r>
        <w:rPr>
          <w:b w:val="0"/>
          <w:i w:val="0"/>
        </w:rPr>
        <w:t>system development, 54–55</w:t>
      </w:r>
    </w:p>
    <w:p>
      <w:pPr>
        <w:pStyle w:val="ListBullet"/>
      </w:pPr>
      <w:r>
        <w:rPr>
          <w:b w:val="0"/>
          <w:i w:val="0"/>
        </w:rPr>
        <w:t>tacit knowledge, 11–12</w:t>
      </w:r>
    </w:p>
    <w:p>
      <w:pPr>
        <w:pStyle w:val="ListBullet"/>
      </w:pPr>
      <w:r>
        <w:rPr>
          <w:b w:val="0"/>
          <w:i w:val="0"/>
        </w:rPr>
        <w:t>task redesign, 19</w:t>
      </w:r>
    </w:p>
    <w:p>
      <w:pPr>
        <w:pStyle w:val="ListBullet"/>
      </w:pPr>
      <w:r>
        <w:rPr>
          <w:b w:val="0"/>
          <w:i w:val="0"/>
        </w:rPr>
        <w:t>Tay chatbot, 89–90</w:t>
      </w:r>
    </w:p>
    <w:p>
      <w:pPr>
        <w:pStyle w:val="ListBullet"/>
      </w:pPr>
      <w:r>
        <w:rPr>
          <w:b w:val="0"/>
          <w:i w:val="0"/>
        </w:rPr>
        <w:t>teams, 85–86</w:t>
      </w:r>
    </w:p>
    <w:p>
      <w:pPr>
        <w:pStyle w:val="ListBullet"/>
      </w:pPr>
      <w:r>
        <w:rPr>
          <w:b w:val="0"/>
          <w:i w:val="0"/>
        </w:rPr>
        <w:t>technical diligence, 85</w:t>
      </w:r>
    </w:p>
    <w:p>
      <w:pPr>
        <w:pStyle w:val="ListBullet"/>
      </w:pPr>
      <w:r>
        <w:rPr>
          <w:b w:val="0"/>
          <w:i w:val="0"/>
        </w:rPr>
        <w:t>technical employees, 66–67</w:t>
      </w:r>
    </w:p>
    <w:p>
      <w:pPr>
        <w:pStyle w:val="ListBullet"/>
      </w:pPr>
      <w:r>
        <w:rPr>
          <w:b w:val="0"/>
          <w:i w:val="0"/>
        </w:rPr>
        <w:t>technological innovations, 3–4, 25</w:t>
      </w:r>
    </w:p>
    <w:p>
      <w:pPr>
        <w:pStyle w:val="ListBullet"/>
      </w:pPr>
      <w:r>
        <w:rPr>
          <w:b w:val="0"/>
          <w:i w:val="0"/>
        </w:rPr>
        <w:t>technology optimists, 102, 107</w:t>
      </w:r>
    </w:p>
    <w:p>
      <w:pPr>
        <w:pStyle w:val="ListBullet"/>
      </w:pPr>
      <w:r>
        <w:rPr>
          <w:b w:val="0"/>
          <w:i w:val="0"/>
        </w:rPr>
        <w:t>Thrun, Sebastian, 18</w:t>
      </w:r>
    </w:p>
    <w:p>
      <w:pPr>
        <w:pStyle w:val="ListBullet"/>
      </w:pPr>
      <w:r>
        <w:rPr>
          <w:b w:val="0"/>
          <w:i w:val="0"/>
        </w:rPr>
        <w:t>Toyota Research Institute, 26</w:t>
      </w:r>
    </w:p>
    <w:p>
      <w:pPr>
        <w:pStyle w:val="ListBullet"/>
      </w:pPr>
      <w:r>
        <w:rPr>
          <w:b w:val="0"/>
          <w:i w:val="0"/>
        </w:rPr>
        <w:t>training data, 75–77</w:t>
      </w:r>
    </w:p>
    <w:p>
      <w:pPr>
        <w:pStyle w:val="ListBullet"/>
      </w:pPr>
      <w:r>
        <w:rPr>
          <w:b w:val="0"/>
          <w:i w:val="0"/>
        </w:rPr>
        <w:t>translation algorithms, 38–39</w:t>
      </w:r>
    </w:p>
    <w:p>
      <w:pPr>
        <w:pStyle w:val="ListBullet"/>
      </w:pPr>
      <w:r>
        <w:rPr>
          <w:b w:val="0"/>
          <w:i w:val="0"/>
        </w:rPr>
        <w:t>transparency, lack of, xv</w:t>
      </w:r>
    </w:p>
    <w:p>
      <w:pPr>
        <w:pStyle w:val="ListBullet"/>
      </w:pPr>
      <w:r>
        <w:rPr>
          <w:b w:val="0"/>
          <w:i w:val="0"/>
        </w:rPr>
        <w:t>Udacity, 17, 18, 20</w:t>
      </w:r>
    </w:p>
    <w:p>
      <w:pPr>
        <w:pStyle w:val="ListBullet"/>
      </w:pPr>
      <w:r>
        <w:rPr>
          <w:b w:val="0"/>
          <w:i w:val="0"/>
        </w:rPr>
        <w:t>unemployment, 101</w:t>
      </w:r>
    </w:p>
    <w:p>
      <w:pPr>
        <w:pStyle w:val="ListBullet"/>
      </w:pPr>
      <w:r>
        <w:rPr>
          <w:b w:val="0"/>
          <w:i w:val="0"/>
        </w:rPr>
        <w:t>Unilever, 124, 126–128</w:t>
      </w:r>
    </w:p>
    <w:p>
      <w:pPr>
        <w:pStyle w:val="ListBullet"/>
      </w:pPr>
      <w:r>
        <w:rPr>
          <w:b w:val="0"/>
          <w:i w:val="0"/>
        </w:rPr>
        <w:t>unknown unknowns, 120</w:t>
      </w:r>
    </w:p>
    <w:p>
      <w:pPr>
        <w:pStyle w:val="ListBullet"/>
      </w:pPr>
      <w:r>
        <w:rPr>
          <w:b w:val="0"/>
          <w:i w:val="0"/>
        </w:rPr>
        <w:t>unsupervised learning systems, 15</w:t>
      </w:r>
    </w:p>
    <w:p>
      <w:pPr>
        <w:pStyle w:val="ListBullet"/>
      </w:pPr>
      <w:r>
        <w:rPr>
          <w:b w:val="0"/>
          <w:i w:val="0"/>
        </w:rPr>
        <w:t>utopian view, 101–102, 107</w:t>
      </w:r>
    </w:p>
    <w:p>
      <w:pPr>
        <w:pStyle w:val="ListBullet"/>
      </w:pPr>
      <w:r>
        <w:rPr>
          <w:b w:val="0"/>
          <w:i w:val="0"/>
        </w:rPr>
        <w:t>value creation, 83, 85</w:t>
      </w:r>
    </w:p>
    <w:p>
      <w:pPr>
        <w:pStyle w:val="ListBullet"/>
      </w:pPr>
      <w:r>
        <w:rPr>
          <w:b w:val="0"/>
          <w:i w:val="0"/>
        </w:rPr>
        <w:t>verifiability, lack of, 22</w:t>
      </w:r>
    </w:p>
    <w:p>
      <w:pPr>
        <w:pStyle w:val="ListBullet"/>
      </w:pPr>
      <w:r>
        <w:rPr>
          <w:b w:val="0"/>
          <w:i w:val="0"/>
        </w:rPr>
        <w:t>Vicarious, 155–156</w:t>
      </w:r>
    </w:p>
    <w:p>
      <w:pPr>
        <w:pStyle w:val="ListBullet"/>
      </w:pPr>
      <w:r>
        <w:rPr>
          <w:b w:val="0"/>
          <w:i w:val="0"/>
        </w:rPr>
        <w:t>Virgin Trains, 125</w:t>
      </w:r>
    </w:p>
    <w:p>
      <w:pPr>
        <w:pStyle w:val="ListBullet"/>
      </w:pPr>
      <w:r>
        <w:rPr>
          <w:b w:val="0"/>
          <w:i w:val="0"/>
        </w:rPr>
        <w:t>voice recognition, 6–7, 9–10</w:t>
      </w:r>
    </w:p>
    <w:p>
      <w:pPr>
        <w:pStyle w:val="ListBullet"/>
      </w:pPr>
      <w:r>
        <w:rPr>
          <w:b w:val="0"/>
          <w:i w:val="0"/>
        </w:rPr>
        <w:t>Wilke, Jeff, 14</w:t>
      </w:r>
    </w:p>
    <w:p>
      <w:pPr>
        <w:pStyle w:val="ListBullet"/>
      </w:pPr>
      <w:r>
        <w:rPr>
          <w:b w:val="0"/>
          <w:i w:val="0"/>
        </w:rPr>
        <w:t>Wilson, H. James, 109–134, 153–162</w:t>
      </w:r>
    </w:p>
    <w:p>
      <w:pPr>
        <w:pStyle w:val="ListBullet"/>
      </w:pPr>
      <w:r>
        <w:rPr>
          <w:b w:val="0"/>
          <w:i w:val="0"/>
        </w:rPr>
        <w:t xml:space="preserve">workers. </w:t>
      </w:r>
      <w:r>
        <w:rPr>
          <w:b w:val="0"/>
          <w:i/>
        </w:rPr>
        <w:t>See</w:t>
      </w:r>
      <w:r>
        <w:rPr>
          <w:b w:val="0"/>
          <w:i w:val="0"/>
        </w:rPr>
        <w:t xml:space="preserve"> employees</w:t>
      </w:r>
    </w:p>
    <w:p>
      <w:pPr>
        <w:pStyle w:val="ListBullet"/>
      </w:pPr>
      <w:r>
        <w:rPr>
          <w:b w:val="0"/>
          <w:i w:val="0"/>
        </w:rPr>
        <w:t>workforce</w:t>
      </w:r>
    </w:p>
    <w:p>
      <w:pPr>
        <w:pStyle w:val="ListBullet"/>
      </w:pPr>
      <w:r>
        <w:rPr>
          <w:b w:val="0"/>
          <w:i w:val="0"/>
        </w:rPr>
        <w:t>impact of AI on, 99–108</w:t>
      </w:r>
    </w:p>
    <w:p>
      <w:pPr>
        <w:pStyle w:val="ListBullet"/>
      </w:pPr>
      <w:r>
        <w:rPr>
          <w:b w:val="0"/>
          <w:i/>
        </w:rPr>
        <w:t>See also</w:t>
      </w:r>
      <w:r>
        <w:rPr>
          <w:b w:val="0"/>
          <w:i w:val="0"/>
        </w:rPr>
        <w:t xml:space="preserve"> employees</w:t>
      </w:r>
    </w:p>
    <w:p>
      <w:pPr>
        <w:pStyle w:val="ListBullet"/>
      </w:pPr>
      <w:r>
        <w:rPr>
          <w:b w:val="0"/>
          <w:i w:val="0"/>
        </w:rPr>
        <w:t>WorkFusion, 18–19</w:t>
      </w:r>
    </w:p>
    <w:p>
      <w:pPr>
        <w:pStyle w:val="ListBullet"/>
      </w:pPr>
      <w:r>
        <w:rPr>
          <w:b w:val="0"/>
          <w:i w:val="0"/>
        </w:rPr>
        <w:t xml:space="preserve">XiaoIce, 142. </w:t>
      </w:r>
      <w:r>
        <w:rPr>
          <w:b w:val="0"/>
          <w:i/>
        </w:rPr>
        <w:t>See also</w:t>
      </w:r>
      <w:r>
        <w:rPr>
          <w:b w:val="0"/>
          <w:i w:val="0"/>
        </w:rPr>
        <w:t xml:space="preserve"> AI assistants</w:t>
      </w:r>
    </w:p>
    <w:p>
      <w:pPr>
        <w:pStyle w:val="ListBullet"/>
      </w:pPr>
      <w:r>
        <w:rPr>
          <w:b w:val="0"/>
          <w:i w:val="0"/>
        </w:rPr>
        <w:t>Yampolskiy, Roman V., 89–95</w:t>
      </w:r>
    </w:p>
    <w:p>
      <w:pPr>
        <w:pStyle w:val="ListBullet"/>
      </w:pPr>
      <w:r>
        <w:rPr>
          <w:b w:val="0"/>
          <w:i w:val="0"/>
        </w:rPr>
        <w:t>Zimmermann, Annette, 137</w:t>
      </w:r>
    </w:p>
    <w:p>
      <w:pPr>
        <w:jc w:val="center"/>
      </w:pPr>
      <w:r>
        <w:drawing>
          <wp:inline xmlns:a="http://schemas.openxmlformats.org/drawingml/2006/main" xmlns:pic="http://schemas.openxmlformats.org/drawingml/2006/picture">
            <wp:extent cx="5753100" cy="8890000"/>
            <wp:docPr id="39" name="Picture 39"/>
            <wp:cNvGraphicFramePr>
              <a:graphicFrameLocks noChangeAspect="1"/>
            </wp:cNvGraphicFramePr>
            <a:graphic>
              <a:graphicData uri="http://schemas.openxmlformats.org/drawingml/2006/picture">
                <pic:pic>
                  <pic:nvPicPr>
                    <pic:cNvPr id="0" name="epub_img_6275797335303709484.jpg"/>
                    <pic:cNvPicPr/>
                  </pic:nvPicPr>
                  <pic:blipFill>
                    <a:blip r:embed="rId25"/>
                    <a:stretch>
                      <a:fillRect/>
                    </a:stretch>
                  </pic:blipFill>
                  <pic:spPr>
                    <a:xfrm>
                      <a:off x="0" y="0"/>
                      <a:ext cx="5753100" cy="8890000"/>
                    </a:xfrm>
                    <a:prstGeom prst="rect"/>
                  </pic:spPr>
                </pic:pic>
              </a:graphicData>
            </a:graphic>
          </wp:inline>
        </w:drawing>
      </w:r>
    </w:p>
    <w:p>
      <w:pPr>
        <w:jc w:val="center"/>
      </w:pPr>
      <w:r>
        <w:drawing>
          <wp:inline xmlns:a="http://schemas.openxmlformats.org/drawingml/2006/main" xmlns:pic="http://schemas.openxmlformats.org/drawingml/2006/picture">
            <wp:extent cx="6210300" cy="8890000"/>
            <wp:docPr id="40" name="Picture 40"/>
            <wp:cNvGraphicFramePr>
              <a:graphicFrameLocks noChangeAspect="1"/>
            </wp:cNvGraphicFramePr>
            <a:graphic>
              <a:graphicData uri="http://schemas.openxmlformats.org/drawingml/2006/picture">
                <pic:pic>
                  <pic:nvPicPr>
                    <pic:cNvPr id="0" name="epub_img_3977244183331434133.jpg"/>
                    <pic:cNvPicPr/>
                  </pic:nvPicPr>
                  <pic:blipFill>
                    <a:blip r:embed="rId34"/>
                    <a:stretch>
                      <a:fillRect/>
                    </a:stretch>
                  </pic:blipFill>
                  <pic:spPr>
                    <a:xfrm>
                      <a:off x="0" y="0"/>
                      <a:ext cx="62103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41" name="Picture 41"/>
            <wp:cNvGraphicFramePr>
              <a:graphicFrameLocks noChangeAspect="1"/>
            </wp:cNvGraphicFramePr>
            <a:graphic>
              <a:graphicData uri="http://schemas.openxmlformats.org/drawingml/2006/picture">
                <pic:pic>
                  <pic:nvPicPr>
                    <pic:cNvPr id="0" name="epub_img_156663637727816735.jpg"/>
                    <pic:cNvPicPr/>
                  </pic:nvPicPr>
                  <pic:blipFill>
                    <a:blip r:embed="rId35"/>
                    <a:stretch>
                      <a:fillRect/>
                    </a:stretch>
                  </pic:blipFill>
                  <pic:spPr>
                    <a:xfrm>
                      <a:off x="0" y="0"/>
                      <a:ext cx="5930900" cy="8890000"/>
                    </a:xfrm>
                    <a:prstGeom prst="rect"/>
                  </pic:spPr>
                </pic:pic>
              </a:graphicData>
            </a:graphic>
          </wp:inline>
        </w:drawing>
      </w:r>
    </w:p>
    <w:p>
      <w:r>
        <w:rPr>
          <w:b/>
          <w:i w:val="0"/>
        </w:rPr>
        <w:t>Insights You Need from Harvard Business Review</w:t>
      </w:r>
    </w:p>
    <w:p>
      <w:r>
        <w:rPr>
          <w:b w:val="0"/>
          <w:i w:val="0"/>
        </w:rPr>
        <w:t>Business is changing. Will you adapt or be left behind?</w:t>
      </w:r>
    </w:p>
    <w:p>
      <w:r>
        <w:rPr>
          <w:b w:val="0"/>
          <w:i w:val="0"/>
        </w:rPr>
        <w:t xml:space="preserve">Get up to speed and deepen your understanding of the topics that are shaping your company’s future with the </w:t>
      </w:r>
      <w:r>
        <w:rPr>
          <w:b/>
          <w:i w:val="0"/>
        </w:rPr>
        <w:t>Insights You Need from Harvard Business Review</w:t>
      </w:r>
      <w:r>
        <w:rPr>
          <w:b w:val="0"/>
          <w:i w:val="0"/>
        </w:rPr>
        <w:t xml:space="preserve"> series. Featuring HBR’s smartest thinking on fast-moving issues—blockchain, cybersecurity, AI, and more—each book provides the foundational introduction and practical case studies your organization needs to compete today and collects the best research, interviews, and analysis to get it ready for tomorrow.</w:t>
      </w:r>
    </w:p>
    <w:p>
      <w:r>
        <w:rPr>
          <w:b w:val="0"/>
          <w:i w:val="0"/>
        </w:rPr>
        <w:t>You can’t afford to ignore how these issues will transform the landscape of business and society. The Insights You Need series will help you grasp these critical ideas—and prepare you and your company for the future.</w:t>
      </w:r>
    </w:p>
    <w:p>
      <w:r>
        <w:rPr>
          <w:b w:val="0"/>
          <w:i w:val="0"/>
        </w:rPr>
        <w:t>Books in the series include:</w:t>
      </w:r>
    </w:p>
    <w:p>
      <w:r>
        <w:rPr>
          <w:b w:val="0"/>
          <w:i/>
        </w:rPr>
        <w:t>Agile</w:t>
      </w:r>
    </w:p>
    <w:p>
      <w:r>
        <w:rPr>
          <w:b w:val="0"/>
          <w:i/>
        </w:rPr>
        <w:t>Artificial Intelligence</w:t>
      </w:r>
    </w:p>
    <w:p>
      <w:r>
        <w:rPr>
          <w:b w:val="0"/>
          <w:i/>
        </w:rPr>
        <w:t>Blockchain</w:t>
      </w:r>
    </w:p>
    <w:p>
      <w:r>
        <w:rPr>
          <w:b w:val="0"/>
          <w:i/>
        </w:rPr>
        <w:t>Cybersecurity</w:t>
      </w:r>
    </w:p>
    <w:p>
      <w:r>
        <w:rPr>
          <w:b w:val="0"/>
          <w:i/>
        </w:rPr>
        <w:t>Monopolies and Tech Giants</w:t>
      </w:r>
    </w:p>
    <w:p>
      <w:r>
        <w:rPr>
          <w:b w:val="0"/>
          <w:i/>
        </w:rPr>
        <w:t>Strategic Analytics</w:t>
      </w:r>
    </w:p>
    <w:p>
      <w:pPr>
        <w:jc w:val="center"/>
      </w:pPr>
      <w:r>
        <w:drawing>
          <wp:inline xmlns:a="http://schemas.openxmlformats.org/drawingml/2006/main" xmlns:pic="http://schemas.openxmlformats.org/drawingml/2006/picture">
            <wp:extent cx="6680200" cy="6680200"/>
            <wp:docPr id="42" name="Picture 42"/>
            <wp:cNvGraphicFramePr>
              <a:graphicFrameLocks noChangeAspect="1"/>
            </wp:cNvGraphicFramePr>
            <a:graphic>
              <a:graphicData uri="http://schemas.openxmlformats.org/drawingml/2006/picture">
                <pic:pic>
                  <pic:nvPicPr>
                    <pic:cNvPr id="0" name="epub_img_4056547328113056456.jpg"/>
                    <pic:cNvPicPr/>
                  </pic:nvPicPr>
                  <pic:blipFill>
                    <a:blip r:embed="rId28"/>
                    <a:stretch>
                      <a:fillRect/>
                    </a:stretch>
                  </pic:blipFill>
                  <pic:spPr>
                    <a:xfrm>
                      <a:off x="0" y="0"/>
                      <a:ext cx="6680200" cy="6680200"/>
                    </a:xfrm>
                    <a:prstGeom prst="rect"/>
                  </pic:spPr>
                </pic:pic>
              </a:graphicData>
            </a:graphic>
          </wp:inline>
        </w:drawing>
      </w:r>
    </w:p>
    <w:p>
      <w:r>
        <w:rPr>
          <w:b/>
          <w:i w:val="0"/>
        </w:rPr>
        <w:t>CYBERSECURITY</w:t>
      </w:r>
    </w:p>
    <w:p>
      <w:r>
        <w:rPr>
          <w:b w:val="0"/>
          <w:i w:val="0"/>
        </w:rPr>
        <w:t>Harvard Business Review Press</w:t>
      </w:r>
    </w:p>
    <w:p>
      <w:r>
        <w:rPr>
          <w:b w:val="0"/>
          <w:i w:val="0"/>
        </w:rPr>
        <w:t>Boston, Massachusetts</w:t>
      </w:r>
    </w:p>
    <w:p>
      <w:r>
        <w:rPr>
          <w:b/>
          <w:i w:val="0"/>
        </w:rPr>
        <w:t>HBR Press Quantity Sales Discounts</w:t>
      </w:r>
    </w:p>
    <w:p>
      <w:r>
        <w:rPr>
          <w:b w:val="0"/>
          <w:i w:val="0"/>
        </w:rPr>
        <w:t>Harvard Business Review Press titles are available at significant quantity discounts when purchased in bulk for client gifts, sales promotions, and premiums. Special editions, including books with corporate logos, customized covers, and letters from the company or CEO printed in the front matter, as well as excerpts of existing books, can also be created in large quantities for special needs.</w:t>
      </w:r>
    </w:p>
    <w:p>
      <w:r>
        <w:rPr>
          <w:b w:val="0"/>
          <w:i w:val="0"/>
        </w:rPr>
        <w:t>For details and discount information for both print andebook formats, contact booksales@harvardbusiness.org,tel. 800-988-0886, or www.hbr.org/bulksales.</w:t>
      </w:r>
    </w:p>
    <w:p>
      <w:r>
        <w:rPr>
          <w:b w:val="0"/>
          <w:i w:val="0"/>
        </w:rPr>
        <w:t>Copyright 2019 Harvard Business School Publishing Corporation</w:t>
      </w:r>
    </w:p>
    <w:p>
      <w:r>
        <w:rPr>
          <w:b w:val="0"/>
          <w:i w:val="0"/>
        </w:rPr>
        <w:t>All rights reserved</w:t>
      </w:r>
    </w:p>
    <w:p>
      <w:r>
        <w:rPr>
          <w:b w:val="0"/>
          <w:i w:val="0"/>
        </w:rPr>
        <w:t>No part of this publication may be reproduced, stored in or introduced into a retrieval system, or transmitted, in any form, or by any means (electronic, mechanical, photocopying, recording, or otherwise), without the prior permission of the publisher. Requests for permission should be directed to permissions@harvardbusiness.org, or mailed to Permissions, Harvard Business School Publishing, 60 Harvard Way, Boston, Massachusetts 02163.</w:t>
      </w:r>
    </w:p>
    <w:p>
      <w:r>
        <w:rPr>
          <w:b w:val="0"/>
          <w:i w:val="0"/>
        </w:rPr>
        <w:t>The web addresses referenced in this book were live and correct at the time of the book’s publication but may be subject to change.</w:t>
      </w:r>
    </w:p>
    <w:p>
      <w:r>
        <w:rPr>
          <w:b w:val="0"/>
          <w:i w:val="0"/>
        </w:rPr>
        <w:t>Library of Congress Cataloging-in-Publication Data</w:t>
      </w:r>
    </w:p>
    <w:p>
      <w:r>
        <w:rPr>
          <w:b w:val="0"/>
          <w:i w:val="0"/>
        </w:rPr>
        <w:t>Title: Cybersecurity : the insights you need from Harvard Business Review.</w:t>
      </w:r>
    </w:p>
    <w:p>
      <w:r>
        <w:rPr>
          <w:b w:val="0"/>
          <w:i w:val="0"/>
        </w:rPr>
        <w:t>Other titles: Cybersecurity (Harvard Business Review Press) | Insights you need from Harvard Business Review.</w:t>
      </w:r>
    </w:p>
    <w:p>
      <w:r>
        <w:rPr>
          <w:b w:val="0"/>
          <w:i w:val="0"/>
        </w:rPr>
        <w:t>Description: Boston, Massachusetts : Harvard Business Review Press, [2019] | Series: Insights you need from Harvard Business Review | Includes bibliographical references and index.</w:t>
      </w:r>
    </w:p>
    <w:p>
      <w:r>
        <w:rPr>
          <w:b w:val="0"/>
          <w:i w:val="0"/>
        </w:rPr>
        <w:t>Identifiers: LCCN 2019013638 | ISBN 9781633697874 (pbk.)</w:t>
      </w:r>
    </w:p>
    <w:p>
      <w:r>
        <w:rPr>
          <w:b w:val="0"/>
          <w:i w:val="0"/>
        </w:rPr>
        <w:t>Subjects: LCSH: Computer security. | Business enterprises—Security measures.</w:t>
      </w:r>
    </w:p>
    <w:p>
      <w:r>
        <w:rPr>
          <w:b w:val="0"/>
          <w:i w:val="0"/>
        </w:rPr>
        <w:t>Classification: LCC QA76.9.A25 C924 2019 | DDC 005.8—dc23LC record available at https://lccn.loc.gov/2019013638</w:t>
      </w:r>
    </w:p>
    <w:p>
      <w:r>
        <w:rPr>
          <w:b w:val="0"/>
          <w:i w:val="0"/>
        </w:rPr>
        <w:t>ISBN: 978-1-63369-787-4</w:t>
      </w:r>
    </w:p>
    <w:p>
      <w:r>
        <w:rPr>
          <w:b w:val="0"/>
          <w:i w:val="0"/>
        </w:rPr>
        <w:t>eISBN: 978-1-63369-788-1</w:t>
      </w:r>
    </w:p>
    <w:p>
      <w:pPr>
        <w:pStyle w:val="Heading1"/>
      </w:pPr>
      <w:r>
        <w:rPr>
          <w:b/>
          <w:i w:val="0"/>
        </w:rPr>
        <w:t>Contents</w:t>
      </w:r>
    </w:p>
    <w:p>
      <w:pPr>
        <w:pStyle w:val="ListNumber"/>
      </w:pPr>
      <w:r>
        <w:rPr>
          <w:b/>
          <w:i w:val="0"/>
        </w:rPr>
        <w:t>Introduction</w:t>
      </w:r>
    </w:p>
    <w:p>
      <w:pPr>
        <w:pStyle w:val="ListNumber"/>
      </w:pPr>
      <w:r>
        <w:rPr>
          <w:b/>
          <w:i w:val="0"/>
        </w:rPr>
        <w:t>We’re All in This Now</w:t>
      </w:r>
    </w:p>
    <w:p>
      <w:pPr>
        <w:pStyle w:val="ListNumber"/>
      </w:pPr>
      <w:r>
        <w:rPr>
          <w:b w:val="0"/>
          <w:i/>
        </w:rPr>
        <w:t>Cybersecurity isn’t just for techno-futurists.</w:t>
      </w:r>
    </w:p>
    <w:p>
      <w:pPr>
        <w:pStyle w:val="ListNumber"/>
      </w:pPr>
      <w:r>
        <w:rPr>
          <w:b w:val="0"/>
          <w:i w:val="0"/>
        </w:rPr>
        <w:t>by Alex Blau</w:t>
      </w:r>
    </w:p>
    <w:p>
      <w:pPr>
        <w:pStyle w:val="ListNumber"/>
      </w:pPr>
      <w:r>
        <w:rPr>
          <w:b/>
          <w:i w:val="0"/>
        </w:rPr>
        <w:t>1.  Internet Insecurity</w:t>
      </w:r>
    </w:p>
    <w:p>
      <w:pPr>
        <w:pStyle w:val="ListNumber"/>
      </w:pPr>
      <w:r>
        <w:rPr>
          <w:b w:val="0"/>
          <w:i/>
        </w:rPr>
        <w:t>If your mission-critical systems are digital and connected, they can never be made fully safe.</w:t>
      </w:r>
    </w:p>
    <w:p>
      <w:pPr>
        <w:pStyle w:val="ListNumber"/>
      </w:pPr>
      <w:r>
        <w:rPr>
          <w:b w:val="0"/>
          <w:i w:val="0"/>
        </w:rPr>
        <w:t>by Andy Bochman</w:t>
      </w:r>
    </w:p>
    <w:p>
      <w:pPr>
        <w:pStyle w:val="ListNumber"/>
      </w:pPr>
      <w:r>
        <w:rPr>
          <w:b/>
          <w:i w:val="0"/>
        </w:rPr>
        <w:t>2.  Security Trends by the Numbers</w:t>
      </w:r>
    </w:p>
    <w:p>
      <w:pPr>
        <w:pStyle w:val="ListNumber"/>
      </w:pPr>
      <w:r>
        <w:rPr>
          <w:b w:val="0"/>
          <w:i/>
        </w:rPr>
        <w:t>The good news is that companies are stopping more attacks than ever. You can probably guess the bad news.</w:t>
      </w:r>
    </w:p>
    <w:p>
      <w:pPr>
        <w:pStyle w:val="ListNumber"/>
      </w:pPr>
      <w:r>
        <w:rPr>
          <w:b w:val="0"/>
          <w:i w:val="0"/>
        </w:rPr>
        <w:t>by Scott Berinato and Matt Perry</w:t>
      </w:r>
    </w:p>
    <w:p>
      <w:pPr>
        <w:pStyle w:val="ListNumber"/>
      </w:pPr>
      <w:r>
        <w:rPr>
          <w:b/>
          <w:i w:val="0"/>
        </w:rPr>
        <w:t>3.  Why Boards Aren’t Dealing with Cyberthreats</w:t>
      </w:r>
    </w:p>
    <w:p>
      <w:pPr>
        <w:pStyle w:val="ListNumber"/>
      </w:pPr>
      <w:r>
        <w:rPr>
          <w:b w:val="0"/>
          <w:i/>
        </w:rPr>
        <w:t>Because they’re too busy focusing on areas they have expertise in, such as retaining talent and monitoring the regulatory environment.</w:t>
      </w:r>
    </w:p>
    <w:p>
      <w:pPr>
        <w:pStyle w:val="ListNumber"/>
      </w:pPr>
      <w:r>
        <w:rPr>
          <w:b w:val="0"/>
          <w:i w:val="0"/>
        </w:rPr>
        <w:t>by J. Yo-Jud Cheng and Boris Groysberg</w:t>
      </w:r>
    </w:p>
    <w:p>
      <w:pPr>
        <w:pStyle w:val="ListNumber"/>
      </w:pPr>
      <w:r>
        <w:rPr>
          <w:b/>
          <w:i w:val="0"/>
        </w:rPr>
        <w:t>4.  The Behavioral Economics of Why Executives Underinvest in Cybersecurity</w:t>
      </w:r>
    </w:p>
    <w:p>
      <w:pPr>
        <w:pStyle w:val="ListNumber"/>
      </w:pPr>
      <w:r>
        <w:rPr>
          <w:b w:val="0"/>
          <w:i/>
        </w:rPr>
        <w:t>Leaders need to stop thinking about cybersecurity as a problem that can be solved.</w:t>
      </w:r>
    </w:p>
    <w:p>
      <w:pPr>
        <w:pStyle w:val="ListNumber"/>
      </w:pPr>
      <w:r>
        <w:rPr>
          <w:b w:val="0"/>
          <w:i w:val="0"/>
        </w:rPr>
        <w:t>by Alex Blau</w:t>
      </w:r>
    </w:p>
    <w:p>
      <w:pPr>
        <w:pStyle w:val="ListNumber"/>
      </w:pPr>
      <w:r>
        <w:rPr>
          <w:b/>
          <w:i w:val="0"/>
        </w:rPr>
        <w:t>5.  Why the Entire C-Suite Needs to Use the Same Metrics for Cyber Risk</w:t>
      </w:r>
    </w:p>
    <w:p>
      <w:pPr>
        <w:pStyle w:val="ListNumber"/>
      </w:pPr>
      <w:r>
        <w:rPr>
          <w:b w:val="0"/>
          <w:i/>
        </w:rPr>
        <w:t>But before that, leaders must create a common language around cybersecurity.</w:t>
      </w:r>
    </w:p>
    <w:p>
      <w:pPr>
        <w:pStyle w:val="ListNumber"/>
      </w:pPr>
      <w:r>
        <w:rPr>
          <w:b w:val="0"/>
          <w:i w:val="0"/>
        </w:rPr>
        <w:t>by Jason J. Hogg</w:t>
      </w:r>
    </w:p>
    <w:p>
      <w:pPr>
        <w:pStyle w:val="ListNumber"/>
      </w:pPr>
      <w:r>
        <w:rPr>
          <w:b/>
          <w:i w:val="0"/>
        </w:rPr>
        <w:t>6.  The Best Cybersecurity Investment You Can Make Is Better Training</w:t>
      </w:r>
    </w:p>
    <w:p>
      <w:pPr>
        <w:pStyle w:val="ListNumber"/>
      </w:pPr>
      <w:r>
        <w:rPr>
          <w:b w:val="0"/>
          <w:i/>
        </w:rPr>
        <w:t>Your first and last line of defense is prepared leaders and employees.</w:t>
      </w:r>
    </w:p>
    <w:p>
      <w:pPr>
        <w:pStyle w:val="ListNumber"/>
      </w:pPr>
      <w:r>
        <w:rPr>
          <w:b w:val="0"/>
          <w:i w:val="0"/>
        </w:rPr>
        <w:t>by Dante Disparte and Chris Furlow</w:t>
      </w:r>
    </w:p>
    <w:p>
      <w:pPr>
        <w:pStyle w:val="ListNumber"/>
      </w:pPr>
      <w:r>
        <w:rPr>
          <w:b/>
          <w:i w:val="0"/>
        </w:rPr>
        <w:t>7.  Better Cybersecurity Starts with Fixing Your Employees’ Bad Habits</w:t>
      </w:r>
    </w:p>
    <w:p>
      <w:pPr>
        <w:pStyle w:val="ListNumber"/>
      </w:pPr>
      <w:r>
        <w:rPr>
          <w:b w:val="0"/>
          <w:i/>
        </w:rPr>
        <w:t>Four ways to neutralize predictably poor user behavior.</w:t>
      </w:r>
    </w:p>
    <w:p>
      <w:pPr>
        <w:pStyle w:val="ListNumber"/>
      </w:pPr>
      <w:r>
        <w:rPr>
          <w:b w:val="0"/>
          <w:i w:val="0"/>
        </w:rPr>
        <w:t>by Alex Blau</w:t>
      </w:r>
    </w:p>
    <w:p>
      <w:pPr>
        <w:pStyle w:val="ListNumber"/>
      </w:pPr>
      <w:r>
        <w:rPr>
          <w:b/>
          <w:i w:val="0"/>
        </w:rPr>
        <w:t>8.  The Key to Better Cybersecurity: Keep Employee</w:t>
      </w:r>
      <w:r>
        <w:rPr>
          <w:b w:val="0"/>
          <w:i w:val="0"/>
        </w:rPr>
        <w:t xml:space="preserve"> </w:t>
      </w:r>
      <w:r>
        <w:rPr>
          <w:b/>
          <w:i w:val="0"/>
        </w:rPr>
        <w:t>Rules Simple</w:t>
      </w:r>
    </w:p>
    <w:p>
      <w:pPr>
        <w:pStyle w:val="ListNumber"/>
      </w:pPr>
      <w:r>
        <w:rPr>
          <w:b w:val="0"/>
          <w:i/>
        </w:rPr>
        <w:t>People look for workarounds when policies are too complicated.</w:t>
      </w:r>
    </w:p>
    <w:p>
      <w:pPr>
        <w:pStyle w:val="ListNumber"/>
      </w:pPr>
      <w:r>
        <w:rPr>
          <w:b w:val="0"/>
          <w:i w:val="0"/>
        </w:rPr>
        <w:t>by Maarten Van Horenbeeck</w:t>
      </w:r>
    </w:p>
    <w:p>
      <w:pPr>
        <w:pStyle w:val="ListNumber"/>
      </w:pPr>
      <w:r>
        <w:rPr>
          <w:b/>
          <w:i w:val="0"/>
        </w:rPr>
        <w:t>9.  The Avoidable Mistakes Executives Continue to Make After a Data Breach</w:t>
      </w:r>
    </w:p>
    <w:p>
      <w:pPr>
        <w:pStyle w:val="ListNumber"/>
      </w:pPr>
      <w:r>
        <w:rPr>
          <w:b w:val="0"/>
          <w:i/>
        </w:rPr>
        <w:t>You will get hacked. Here’s what not to do when it happens.</w:t>
      </w:r>
    </w:p>
    <w:p>
      <w:pPr>
        <w:pStyle w:val="ListNumber"/>
      </w:pPr>
      <w:r>
        <w:rPr>
          <w:b w:val="0"/>
          <w:i w:val="0"/>
        </w:rPr>
        <w:t>by Bill Bourdon</w:t>
      </w:r>
    </w:p>
    <w:p>
      <w:pPr>
        <w:pStyle w:val="ListNumber"/>
      </w:pPr>
      <w:r>
        <w:rPr>
          <w:b/>
          <w:i w:val="0"/>
        </w:rPr>
        <w:t>10.  Active Defense and “Hacking Back”: A Primer</w:t>
      </w:r>
    </w:p>
    <w:p>
      <w:pPr>
        <w:pStyle w:val="ListNumber"/>
      </w:pPr>
      <w:r>
        <w:rPr>
          <w:b w:val="0"/>
          <w:i/>
        </w:rPr>
        <w:t>Passive monitoring isn’t your only choice.</w:t>
      </w:r>
    </w:p>
    <w:p>
      <w:pPr>
        <w:pStyle w:val="ListNumber"/>
      </w:pPr>
      <w:r>
        <w:rPr>
          <w:b w:val="0"/>
          <w:i w:val="0"/>
        </w:rPr>
        <w:t>by Scott Berinato</w:t>
      </w:r>
    </w:p>
    <w:p>
      <w:pPr>
        <w:pStyle w:val="ListNumber"/>
      </w:pPr>
      <w:r>
        <w:rPr>
          <w:b/>
          <w:i w:val="0"/>
        </w:rPr>
        <w:t>11.  Cybersecurity Is Putting Customer Trust at the Center of Competition</w:t>
      </w:r>
    </w:p>
    <w:p>
      <w:pPr>
        <w:pStyle w:val="ListNumber"/>
      </w:pPr>
      <w:r>
        <w:rPr>
          <w:b w:val="0"/>
          <w:i w:val="0"/>
        </w:rPr>
        <w:t>Don’t just protect customer data—</w:t>
      </w:r>
      <w:r>
        <w:rPr>
          <w:b w:val="0"/>
          <w:i/>
        </w:rPr>
        <w:t>demonstrate</w:t>
      </w:r>
      <w:r>
        <w:rPr>
          <w:b w:val="0"/>
          <w:i w:val="0"/>
        </w:rPr>
        <w:t xml:space="preserve"> that you’re doing everything in your power to minimize breaches.</w:t>
      </w:r>
    </w:p>
    <w:p>
      <w:pPr>
        <w:pStyle w:val="ListNumber"/>
      </w:pPr>
      <w:r>
        <w:rPr>
          <w:b w:val="0"/>
          <w:i w:val="0"/>
        </w:rPr>
        <w:t>by Andrew Burt</w:t>
      </w:r>
    </w:p>
    <w:p>
      <w:pPr>
        <w:pStyle w:val="ListNumber"/>
      </w:pPr>
      <w:r>
        <w:rPr>
          <w:b/>
          <w:i w:val="0"/>
        </w:rPr>
        <w:t>12.  Privacy and Cybersecurity Are Converging. Here’s</w:t>
      </w:r>
      <w:r>
        <w:rPr>
          <w:b w:val="0"/>
          <w:i w:val="0"/>
        </w:rPr>
        <w:t xml:space="preserve"> </w:t>
      </w:r>
      <w:r>
        <w:rPr>
          <w:b/>
          <w:i w:val="0"/>
        </w:rPr>
        <w:t>Why That Matters for People and for Companies</w:t>
      </w:r>
    </w:p>
    <w:p>
      <w:pPr>
        <w:pStyle w:val="ListNumber"/>
      </w:pPr>
      <w:r>
        <w:rPr>
          <w:b w:val="0"/>
          <w:i/>
        </w:rPr>
        <w:t>Big data and machine learning could kill the notion of consent.</w:t>
      </w:r>
    </w:p>
    <w:p>
      <w:pPr>
        <w:pStyle w:val="ListNumber"/>
      </w:pPr>
      <w:r>
        <w:rPr>
          <w:b w:val="0"/>
          <w:i w:val="0"/>
        </w:rPr>
        <w:t>by Andrew Burt</w:t>
      </w:r>
    </w:p>
    <w:p>
      <w:pPr>
        <w:pStyle w:val="ListNumber"/>
      </w:pPr>
      <w:r>
        <w:rPr>
          <w:b/>
          <w:i w:val="0"/>
        </w:rPr>
        <w:t>13.  What Countries and Companies Can Do When Trade and Cybersecurity Overlap</w:t>
      </w:r>
    </w:p>
    <w:p>
      <w:pPr>
        <w:pStyle w:val="ListNumber"/>
      </w:pPr>
      <w:r>
        <w:rPr>
          <w:b w:val="0"/>
          <w:i/>
        </w:rPr>
        <w:t>A framework for understanding and categorizing cybersecurity concerns involved in trade.</w:t>
      </w:r>
    </w:p>
    <w:p>
      <w:pPr>
        <w:pStyle w:val="ListNumber"/>
      </w:pPr>
      <w:r>
        <w:rPr>
          <w:b w:val="0"/>
          <w:i w:val="0"/>
        </w:rPr>
        <w:t>by Stuart Madnick, Simon Johnson, and Keman Huang</w:t>
      </w:r>
    </w:p>
    <w:p>
      <w:pPr>
        <w:pStyle w:val="ListNumber"/>
      </w:pPr>
      <w:r>
        <w:rPr>
          <w:b/>
          <w:i w:val="0"/>
        </w:rPr>
        <w:t>14.  AI Is the Future of Cybersecurity, for Better and for Worse</w:t>
      </w:r>
    </w:p>
    <w:p>
      <w:pPr>
        <w:pStyle w:val="ListNumber"/>
      </w:pPr>
      <w:r>
        <w:rPr>
          <w:b w:val="0"/>
          <w:i/>
        </w:rPr>
        <w:t>It will become both the problem and the solution.</w:t>
      </w:r>
    </w:p>
    <w:p>
      <w:pPr>
        <w:pStyle w:val="ListNumber"/>
      </w:pPr>
      <w:r>
        <w:rPr>
          <w:b w:val="0"/>
          <w:i w:val="0"/>
        </w:rPr>
        <w:t>by Roman V. Yampolskiy</w:t>
      </w:r>
    </w:p>
    <w:p>
      <w:pPr>
        <w:pStyle w:val="ListNumber"/>
      </w:pPr>
      <w:r>
        <w:rPr>
          <w:b w:val="0"/>
          <w:i w:val="0"/>
        </w:rPr>
        <w:t>About the Contributors</w:t>
      </w:r>
    </w:p>
    <w:p>
      <w:pPr>
        <w:pStyle w:val="ListNumber"/>
      </w:pPr>
      <w:r>
        <w:rPr>
          <w:b w:val="0"/>
          <w:i w:val="0"/>
        </w:rPr>
        <w:t>Index</w:t>
      </w:r>
    </w:p>
    <w:p>
      <w:pPr>
        <w:pStyle w:val="Heading1"/>
      </w:pPr>
      <w:r>
        <w:rPr>
          <w:b/>
          <w:i w:val="0"/>
        </w:rPr>
        <w:t>Introduction</w:t>
      </w:r>
    </w:p>
    <w:p>
      <w:r>
        <w:rPr>
          <w:b/>
          <w:i w:val="0"/>
        </w:rPr>
        <w:t>WE’RE ALL</w:t>
      </w:r>
      <w:r>
        <w:rPr>
          <w:b w:val="0"/>
          <w:i w:val="0"/>
        </w:rPr>
        <w:t xml:space="preserve"> </w:t>
      </w:r>
      <w:r>
        <w:rPr>
          <w:b/>
          <w:i w:val="0"/>
        </w:rPr>
        <w:t>IN THIS NOW</w:t>
      </w:r>
    </w:p>
    <w:p>
      <w:r>
        <w:rPr>
          <w:b w:val="0"/>
          <w:i w:val="0"/>
        </w:rPr>
        <w:t>by Alex Blau</w:t>
      </w:r>
    </w:p>
    <w:p>
      <w:r>
        <w:rPr>
          <w:b w:val="0"/>
          <w:i w:val="0"/>
        </w:rPr>
        <w:t>The internet was once just an idea in someone’s head. A seemingly unfathomable future where everything and everyone would be connected, and where uninhibited flows of data and information would enable unprecedented advancements in communication, health care, transportation, automation, and commerce. And there would be robots, of course. The world in which we live today is not that far off from the imaginings of those futurists, and because of these technologies the ways in which firms and governments operate have fundamentally changed. Embedded in these cyberpunk dreams were prescient warnings about the potential risks inherent to our interconnected world. Hackers, advanced artificial intelligence, and bad actors in the form of governments and megacorporations posed significant threats to the goings-on of everyday life. Even the most shining cyber utopia can have a sinister underworld.</w:t>
      </w:r>
    </w:p>
    <w:p>
      <w:r>
        <w:rPr>
          <w:b w:val="0"/>
          <w:i w:val="0"/>
        </w:rPr>
        <w:t>Today, in our real world, the same technologies that brought so much good have created new and ever-shifting cybersecurity consequences for individuals, firms, and governments. These consequences range from the annoying task of coming up with new and complicated passwords following yet another data breach, to the uncomfortably real risks of a foreign adversary turning off streetlights, shutting down water treatment plants, or even taking over military infrastructure.</w:t>
      </w:r>
    </w:p>
    <w:p>
      <w:r>
        <w:rPr>
          <w:b w:val="0"/>
          <w:i w:val="0"/>
        </w:rPr>
        <w:t xml:space="preserve">While managing risk has historically been assigned to experts and technicians, cybersecurity can no longer be delegated to a small set (or even a large team) of IT professionals. Instead, all of us leaders across all aspects of business operations and government need to understand how cybersecurity plays into our roles and responsibilities, and to keep up with the fluid nature of cybersecurity risks. </w:t>
      </w:r>
      <w:r>
        <w:rPr>
          <w:b w:val="0"/>
          <w:i/>
        </w:rPr>
        <w:t>Cybersecurity</w:t>
      </w:r>
      <w:r>
        <w:rPr>
          <w:b w:val="0"/>
          <w:i w:val="0"/>
        </w:rPr>
        <w:t xml:space="preserve"> will help non-experts quickly gain a foundational understanding of the cybersecurity domain. This book covers a number of critical topics that will aid any reader in becoming conversant in current and future cybersecurity issues relevant to your role, organization, and industry, and in understanding how you are both part of your organization’s security problem as well as a key player in identifying and managing solutions.</w:t>
      </w:r>
    </w:p>
    <w:p>
      <w:r>
        <w:rPr>
          <w:b w:val="0"/>
          <w:i w:val="0"/>
        </w:rPr>
        <w:t>In more and more industries, the gathering of data and digital information on nearly everything, especially customers, is at the center of business operations and strategy. But while petabytes of data can improve operational efficiency and open new opportunities, those larger amounts of data also expose individuals and firms to potential losses. Cyberattacks and data breaches are commonplace, increasing in volume, and becoming costlier by the year. Despite our growing capabilities to thwart most attacks through improvements to security technology and cyber hygiene, targeted breaches have not declined. We need to revise our expectations about our ability to mitigate these risks and accept that breaches are all but inevitable. As customer data becomes more valuable to hackers, and as governments enact regulations that penalize firms for customer data breaches and loss, nearly all firms that have an internet presence and collect information from their customers face increased risks—it’s not just about banks and financial service organizations anymore.</w:t>
      </w:r>
    </w:p>
    <w:p>
      <w:r>
        <w:rPr>
          <w:b w:val="0"/>
          <w:i w:val="0"/>
        </w:rPr>
        <w:t xml:space="preserve">This new paradigm requires a different way of thinking, and this book is designed to help non-technical leaders, including executives, board members, and managers in roles ranging from design and marketing, to human resources and accounting, get up to speed on the current state of the field. </w:t>
      </w:r>
      <w:r>
        <w:rPr>
          <w:b w:val="0"/>
          <w:i/>
        </w:rPr>
        <w:t>Cybersecurity</w:t>
      </w:r>
      <w:r>
        <w:rPr>
          <w:b w:val="0"/>
          <w:i w:val="0"/>
        </w:rPr>
        <w:t xml:space="preserve"> introduces the basics while going deeper into a set of topics including board and executive involvement, investment and decision making in cybersecurity; the importance of addressing human factors in cybersecurity and why all team members need to play a role; communications and response best practices in the wake of data breaches; active defense and the ethics of “hacking back”; the emerging value of privacy in cybersecurity; cybersecurity considerations for international trade; and the future of artificial intelligence in cybersecurity. These selected articles will help you understand who to consult on critical issues, keep up with your competitors and colleagues, recognize the potential impact for your team, organization, and industry, and think through how your organization will need to evolve to keep up with cybersecurity trends in the future.</w:t>
      </w:r>
    </w:p>
    <w:p>
      <w:r>
        <w:rPr>
          <w:b w:val="0"/>
          <w:i w:val="0"/>
        </w:rPr>
        <w:t>This book represents just the beginning. Cybersecurity is still a relatively new field, and one that will continue to shift dynamically with changes to the nascent regulatory environment and as new technologies are developed and advancements occur. Some of these changes will be for the benefit of society at large. For instance, regulations such as the European Union’s General Data Protection Regulation (GDPR) have already begun to incentivize firms to take greater precautions and care with customer data, and disincentivize business models that rely on the sale of such data to third parties. However, other changes, such as advancements in artificial intelligence and quantum computing, will pose new and potentially existential threats to businesses and governments that could make our current and best cybersecurity efforts obsolete. Understanding these new risks and opportunities will be critical to the success of firms in the future, as well as the protection of people and society broadly.</w:t>
      </w:r>
    </w:p>
    <w:p>
      <w:r>
        <w:rPr>
          <w:b w:val="0"/>
          <w:i w:val="0"/>
        </w:rPr>
        <w:t>The field of cybersecurity isn’t just for techno-futurists and digital natives. We’ve all been brought into this futuristic present whether we like it or not. If we, the global community, have any hope of avoiding a techno-catastrophe and ultimately realizing the great potential of what we’ve created, each and every one of us needs to recognize that we’re all in this together now. We all have a part to play.</w:t>
      </w:r>
    </w:p>
    <w:p>
      <w:r>
        <w:rPr>
          <w:b/>
          <w:i w:val="0"/>
        </w:rPr>
        <w:t>Further Reading</w:t>
      </w:r>
    </w:p>
    <w:p>
      <w:r>
        <w:rPr>
          <w:b w:val="0"/>
          <w:i w:val="0"/>
        </w:rPr>
        <w:t>If after reading this book you want to dig deeper, I highly recommend the following titles:</w:t>
      </w:r>
    </w:p>
    <w:p>
      <w:r>
        <w:rPr>
          <w:b w:val="0"/>
          <w:i w:val="0"/>
        </w:rPr>
        <w:t>LikeWar: The Weaponization of Social Media, by Peter W. Singer and Emerson T. Brooking (Houghton Mifflin Harcourt, 2018)</w:t>
      </w:r>
    </w:p>
    <w:p>
      <w:r>
        <w:rPr>
          <w:b w:val="0"/>
          <w:i w:val="0"/>
        </w:rPr>
        <w:t>Cybersecurity and Cyberwar: What Everyone Needs to Know, by Peter W. Singer and Allan Friedman (Oxford University Press, 2014)</w:t>
      </w:r>
    </w:p>
    <w:p>
      <w:r>
        <w:rPr>
          <w:b w:val="0"/>
          <w:i w:val="0"/>
        </w:rPr>
        <w:t>Countdown to Zero Day: Stuxnet and the Launch of the World’s First Digital Weapon, by Kim Zetter (Crown, 2014)</w:t>
      </w:r>
    </w:p>
    <w:p>
      <w:r>
        <w:rPr>
          <w:b w:val="0"/>
          <w:i w:val="0"/>
        </w:rPr>
        <w:t>The Art of Deception: Controlling the Human Element of Security, by Kevin D. Mitnik and William L. Simon (Wiley, 2002)</w:t>
      </w:r>
    </w:p>
    <w:p>
      <w:r>
        <w:rPr>
          <w:b w:val="0"/>
          <w:i w:val="0"/>
        </w:rPr>
        <w:t>Move Fast and Break Things: How Facebook, Google, and Amazon Cornered Culture and Undermined Democracy, by Jonathan Taplin (Little, Brown, 2017)</w:t>
      </w:r>
    </w:p>
    <w:p>
      <w:r>
        <w:rPr>
          <w:b w:val="0"/>
          <w:i w:val="0"/>
        </w:rPr>
        <w:t>Cyber War: The Next Threat to National Security and What to Do About It, by Richard A. Clarke and Robert Knake (Ecco, 2010)</w:t>
      </w:r>
    </w:p>
    <w:p>
      <w:r>
        <w:rPr>
          <w:b w:val="0"/>
          <w:i w:val="0"/>
        </w:rPr>
        <w:t>Future Crimes: Everything Is Connected, Everyone Is Vulnerable and What We Can Do About It, by Marc Goodman (Doubleday, 2015)</w:t>
      </w:r>
    </w:p>
    <w:p>
      <w:pPr>
        <w:pStyle w:val="Heading1"/>
      </w:pPr>
      <w:r>
        <w:rPr>
          <w:b/>
          <w:i w:val="0"/>
        </w:rPr>
        <w:t>1</w:t>
      </w:r>
    </w:p>
    <w:p>
      <w:pPr>
        <w:pStyle w:val="Heading1"/>
      </w:pPr>
      <w:r>
        <w:rPr>
          <w:b/>
          <w:i w:val="0"/>
        </w:rPr>
        <w:t>INTERNET INSECURITY</w:t>
      </w:r>
    </w:p>
    <w:p>
      <w:r>
        <w:rPr>
          <w:b w:val="0"/>
          <w:i w:val="0"/>
        </w:rPr>
        <w:t>by Andy Bochman</w:t>
      </w:r>
    </w:p>
    <w:p>
      <w:r>
        <w:rPr>
          <w:b w:val="0"/>
          <w:i w:val="0"/>
        </w:rPr>
        <w:t>Here’s the brutal truth: It doesn’t matter how much your organization spends on the latest cybersecurity hardware, software, training, and staff or whether it has segregated its most essential systems from the rest. If your mission-critical systems are digital and connected in some form or fashion to the internet (even if you think they aren’t, it’s highly likely they are), they can never be made fully safe. Period.</w:t>
      </w:r>
    </w:p>
    <w:p>
      <w:r>
        <w:rPr>
          <w:b w:val="0"/>
          <w:i w:val="0"/>
        </w:rPr>
        <w:t>This matters because digital, connected systems now permeate virtually every sector of the U.S. economy, and the sophistication and activity of adversaries—most notably nation-states, criminal syndicates, and terrorist groups—have increased enormously in recent years. Witness the attacks in the United States on Atlanta’s municipal government and on a data network shared by four operators of natural-gas pipelines, the theft of data from Equifax, and the global WannaCry and NotPetya malware attacks. In many of the most notorious incidents of recent years, the breached companies thought they had strong cyber defenses.</w:t>
      </w:r>
    </w:p>
    <w:p>
      <w:r>
        <w:rPr>
          <w:b w:val="0"/>
          <w:i w:val="0"/>
        </w:rPr>
        <w:t>I am a member of a team at the Idaho National Lab (INL) that has been studying how organizations critical to the U.S. economy and national security can best protect themselves against cyberattacks. We’ve focused on those that rely on industrial control systems—such as the ones that regulate heat and pressure in electric utilities and oil refineries—and have come up with a solution that flies in the face of all conventional remedies: Identify the functions whose failure would jeopardize your business, isolate them from the internet to the greatest extent possible, reduce their reliance on digital technologies to an absolute minimum, and backstop their monitoring and control with analog devices and trusted human beings. Although our methodology is still in the pilot stage, organizations can apply many elements of the approach now.</w:t>
      </w:r>
    </w:p>
    <w:p>
      <w:r>
        <w:rPr>
          <w:b w:val="0"/>
          <w:i w:val="0"/>
        </w:rPr>
        <w:t>Admittedly, this strategy—which isn’t feasible for purely information-based businesses—may raise operating costs and reduce efficiency in some cases. But it’s the only way to ensure that mission-critical systems can’t be successfully attacked by digital means. In this chapter I will share the lab’s methodology for identifying such systems. It invariably turns up vulnerable functions or processes that leaders never realized were so vital that their compromise could put the organization out of business. We’ve applied elements of the methodology at companies and in the U.S. military for the past several years and conducted a highly successful yearlong pilot of the entire approach at Florida Power &amp; Light, one of the largest electric utilities in the United States. A second pilot in one of the U.S. military services is now under way. INL is also exploring ways to take the process mainstream. This will most likely mean partnering with selected engineering services firms and getting them licensed and trained to apply the methodology.</w:t>
      </w:r>
    </w:p>
    <w:p>
      <w:pPr>
        <w:pStyle w:val="Heading2"/>
      </w:pPr>
      <w:r>
        <w:rPr>
          <w:b/>
          <w:i w:val="0"/>
        </w:rPr>
        <w:t>The Existing Threat</w:t>
      </w:r>
    </w:p>
    <w:p>
      <w:r>
        <w:rPr>
          <w:b w:val="0"/>
          <w:i w:val="0"/>
        </w:rPr>
        <w:t>In the old days, mechanical pumps, compressors, valves, relays, and actuators did the work in industrial companies. Situational awareness came from analog gauges, and skilled and trusted engineers communicated with headquarters via landline telephone circuits. Other than tampering with the supply chain or co-opting an employee, the only way a saboteur could disrupt operations was to go to the plant and bypass the three physical pillars of security: gates, guards, and guns.</w:t>
      </w:r>
    </w:p>
    <w:p>
      <w:r>
        <w:rPr>
          <w:b w:val="0"/>
          <w:i w:val="0"/>
        </w:rPr>
        <w:t>Today operations in 12 of the 16 infrastructure sectors that the U.S. Department of Homeland Security has deemed critical—because their “assets, systems, and networks, whether physical or virtual, are considered so vital to the United States that their incapacitation or destruction would have a debilitating effect on security, national economic security, national public health or safety, or any combination thereof”—depend partially or fully on digital control and safety systems. Although digital technologies bring wonderful new capabilities and efficiencies, they have proved to be highly susceptible to cyberattacks. The systems of large corporations, government agencies, and academic institutions are constantly being prodded for weaknesses by automated probes that are readily available on the dark web; many are free, and others cost hundreds or thousands of dollars (the more expensive ones even come with technical support). They can often be thwarted by cybersecurity best practices, but in reality it is virtually impossible to defend against well-planned, targeted attacks—meticulously conducted over months if not years.</w:t>
      </w:r>
    </w:p>
    <w:p>
      <w:r>
        <w:rPr>
          <w:b w:val="0"/>
          <w:i w:val="0"/>
        </w:rPr>
        <w:t>The financial impact of cyberattacks is soaring. Just two in 2017, the ones involving WannaCry and NotPetya, caused damage worth more than $4 billion and $850 million, respectively. The WannaCry attack, which the United States and the United Kingdom accused North Korea of carrying out, reportedly used tools stolen from the National Security Agency. Exploiting an opening in Windows machines that hadn’t installed a Microsoft security patch, it encrypted data; crippled hundreds of thousands of computers in hospitals, schools, businesses, and homes in 150 countries; and demanded a ransom. The NotPetya attack, which Russia is believed to have carried out as part of its campaign to destabilize Ukraine, was conducted through an update to a Ukrainian accounting company’s software. It began with an assault on Ukrainian government and computer systems and spread to other parts of the world, with corporate victims including the Danish shipping company Maersk, the pharma firm Merck, the chocolate manufacturer Cadbury, and the advertising behemoth WPP, among many others.</w:t>
      </w:r>
    </w:p>
    <w:p>
      <w:pPr>
        <w:pStyle w:val="Heading2"/>
      </w:pPr>
      <w:r>
        <w:rPr>
          <w:b/>
          <w:i w:val="0"/>
        </w:rPr>
        <w:t>A Growing Vulnerability</w:t>
      </w:r>
    </w:p>
    <w:p>
      <w:r>
        <w:rPr>
          <w:b w:val="0"/>
          <w:i w:val="0"/>
        </w:rPr>
        <w:t>The pace of digital transformation continues to accelerate with the growth of automation, the internet of things, cloud processing and storage, and artificial intelligence and machine learning. The propagation of and growing dependency on complex, internet-connected, software-intensive digital technologies carries a serious cybersecurity downside. In a 2014 article published by the Center for a New American Security, Richard J. Danzig, a former secretary of the navy and now a board director at the center, spelled out the paradox posed by digital technologies:</w:t>
      </w:r>
    </w:p>
    <w:p>
      <w:pPr>
        <w:pStyle w:val="Quote"/>
      </w:pPr>
      <w:r>
        <w:rPr>
          <w:b w:val="0"/>
          <w:i w:val="0"/>
        </w:rPr>
        <w:br/>
      </w:r>
      <w:r>
        <w:rPr>
          <w:b w:val="0"/>
          <w:i/>
        </w:rPr>
        <w:t>Even as they grant unprecedented powers, they also make users less secure. Their communicative capabilities enable collaboration and networking, but in so doing they open doors to intrusion. Their concentration of data and manipulative power vastly improves the efficiency and scale of operations, but this concentration in turn exponentially increases the amount that can be stolen or subverted by a successful attack. The complexity of their hardware and software creates great capability, but this complexity spawns vulnerabilities and lowers the visibility of intrusions … In sum, cyber systems nourish us, but at the same time they weaken and poison us.</w:t>
      </w:r>
      <w:r>
        <w:rPr>
          <w:b w:val="0"/>
          <w:i w:val="0"/>
        </w:rPr>
        <w:br/>
      </w:r>
    </w:p>
    <w:p>
      <w:r>
        <w:rPr>
          <w:b w:val="0"/>
          <w:i w:val="0"/>
        </w:rPr>
        <w:t>The fact is that these technologies are so mind-bogglingly complex that even the vendors who create and know them best don’t fully understand their vulnerabilities. Vendors typically sell automation as a way to remove risks posed by fault-prone humans, but it just replaces those risks with others. Information systems now are so complicated that U.S. companies need more than 200 days, on average, just to detect that they have been breached, according to the Ponemon Institute, a center that conducts independent research on privacy, data protection, and information security policy. And most often they don’t find the breach themselves; they are notified by third parties.</w:t>
      </w:r>
    </w:p>
    <w:p>
      <w:r>
        <w:rPr>
          <w:b w:val="0"/>
          <w:i w:val="0"/>
        </w:rPr>
        <w:t>Despite the ever-expanding number of damaging, high-profile cyberattacks throughout the world, on companies such as Target, Sony Pictures, Equifax, Home Depot, Maersk, Merck, and Saudi Aramco, business leaders have been unable to resist the allure of digital technologies and the many benefits they provide: greater efficiency, lower head counts, the reduction or elimination of human error, quality improvements, opportunities to glean much more information about customers, and the ability to create new offerings. Leaders spend more and more every year on new security solutions and high-priced consultants, continuing with conventional approaches to cybersecurity and hoping for the best. That is wishful thinking.</w:t>
      </w:r>
    </w:p>
    <w:p>
      <w:pPr>
        <w:pStyle w:val="Heading2"/>
      </w:pPr>
      <w:r>
        <w:rPr>
          <w:b/>
          <w:i w:val="0"/>
        </w:rPr>
        <w:t>The Limitations of “Cyber Hygiene”</w:t>
      </w:r>
    </w:p>
    <w:p>
      <w:r>
        <w:rPr>
          <w:b w:val="0"/>
          <w:i w:val="0"/>
        </w:rPr>
        <w:t>These conventional approaches—or “hygiene” in the cybersecurity trade—include:</w:t>
      </w:r>
    </w:p>
    <w:p>
      <w:pPr>
        <w:pStyle w:val="ListBullet"/>
      </w:pPr>
      <w:r>
        <w:rPr>
          <w:b w:val="0"/>
          <w:i w:val="0"/>
        </w:rPr>
        <w:t>Creating comprehensive inventories of a company’s hardware and software assets</w:t>
      </w:r>
    </w:p>
    <w:p>
      <w:pPr>
        <w:pStyle w:val="ListBullet"/>
      </w:pPr>
      <w:r>
        <w:rPr>
          <w:b w:val="0"/>
          <w:i w:val="0"/>
        </w:rPr>
        <w:t>Buying and deploying the latest defensive hardware and software tools, including endpoint security, firewalls, and intrusion-detection systems</w:t>
      </w:r>
    </w:p>
    <w:p>
      <w:pPr>
        <w:pStyle w:val="ListBullet"/>
      </w:pPr>
      <w:r>
        <w:rPr>
          <w:b w:val="0"/>
          <w:i w:val="0"/>
        </w:rPr>
        <w:t>Regularly training employees to recognize and avoid phishing emails</w:t>
      </w:r>
    </w:p>
    <w:p>
      <w:pPr>
        <w:pStyle w:val="ListBullet"/>
      </w:pPr>
      <w:r>
        <w:rPr>
          <w:b w:val="0"/>
          <w:i w:val="0"/>
        </w:rPr>
        <w:t>Creating “air gaps”—in theory, separating important systems from other networks and the internet—though in practice, there are no true air gaps</w:t>
      </w:r>
    </w:p>
    <w:p>
      <w:pPr>
        <w:pStyle w:val="ListBullet"/>
      </w:pPr>
      <w:r>
        <w:rPr>
          <w:b w:val="0"/>
          <w:i w:val="0"/>
        </w:rPr>
        <w:t>Building a large cybersecurity staff supplemented with various services and service providers to do all of the above</w:t>
      </w:r>
    </w:p>
    <w:p>
      <w:r>
        <w:rPr>
          <w:b w:val="0"/>
          <w:i w:val="0"/>
        </w:rPr>
        <w:t>Many organizations adhere to best-practices frameworks such as the National Institute of Standards and Technology’s (NIST) cybersecurity framework and the SANS Institute’s top 20 security controls. These entail continuously performing hundreds of activities without error. They include mandating that employees use complex passwords and change them frequently, encrypting data in transit, segmenting networks by placing firewalls between them, immediately installing new security patches, limiting the number of people who have access to sensitive systems, vetting suppliers, and so on.</w:t>
      </w:r>
    </w:p>
    <w:p>
      <w:r>
        <w:rPr>
          <w:b w:val="0"/>
          <w:i w:val="0"/>
        </w:rPr>
        <w:t>Many CEOs seem to believe that by hewing to cyber-hygiene best practices, they can protect their organizations from grievous harm. The numerous high-profile breaches amply demonstrate the error of this presumption. All the companies previously mentioned had large cybersecurity staffs and were spending significant sums on cybersecurity when they were breached. Cyber hygiene is effective against run-of-the-mill automated probes and amateurish hackers, but not so in addressing the growing number of targeted and persistent threats to critical assets posed by sophisticated adversaries.</w:t>
      </w:r>
    </w:p>
    <w:p>
      <w:r>
        <w:rPr>
          <w:b w:val="0"/>
          <w:i w:val="0"/>
        </w:rPr>
        <w:t>In asset-intensive industries such as energy, transportation, and heavy manufacturing, no amount of talent or money can accomplish all the prescribed best practices without error. In fact, most organizations fail at the first of the recommended practices: creating comprehensive inventories of the company’s hardware and software assets. That is a huge shortcoming, because you can’t secure what you don’t even know you have.</w:t>
      </w:r>
    </w:p>
    <w:p>
      <w:r>
        <w:rPr>
          <w:b w:val="0"/>
          <w:i w:val="0"/>
        </w:rPr>
        <w:t>Then there are the trade-offs inherent in the best practices. Security upgrades usually require that systems be shut down for installation, but that’s not always feasible. For example, utilities, chemical companies, and others that put a premium on the availability and reliability of their industrial processes or systems can’t stop them every time a software company issues a new security patch. So they tend to install the patches periodically, in batches, during scheduled downtime, often many months after a patch is released. Another issue is protecting widely dispersed assets. Larger utilities, for example, operate thousands of substations, which often are spread out over thousands of square miles. Refreshing them presents a quandary: If you can access the software via a network to implement updates, a talented adversary may just as easily tap into the network to access the software for nefarious purposes. But if your own employees physically update the software at all those plants, the effort can be prohibitively expensive. And if you subcontract that work to independent outfits, you can’t hope to sufficiently vet them all.</w:t>
      </w:r>
    </w:p>
    <w:p>
      <w:r>
        <w:rPr>
          <w:b w:val="0"/>
          <w:i w:val="0"/>
        </w:rPr>
        <w:t>Even if the best practices could be implemented perfectly, they would be no match for sophisticated hackers, who are well funded, patient, constantly evolving, and can always find plenty of open doors to walk through. No matter how good your company’s hygiene is, a targeted attack will penetrate your networks and systems. It may take the hackers weeks or months, but they will get in.</w:t>
      </w:r>
    </w:p>
    <w:p>
      <w:r>
        <w:rPr>
          <w:b w:val="0"/>
          <w:i w:val="0"/>
        </w:rPr>
        <w:t xml:space="preserve">That’s not just my view. Michael Assante, a former chief security officer of American Electric Power and now a leader at the SANS Institute, told me, “Cyber hygiene is helpful for warding off online ankle biters” and “if done perfectly in a utopian world, might thwart 95% of attackers.” But in the real world, he said, it registers as “barely a speed bump for sophisticated attackers aiming at a particular target.” And in an interview last year with the </w:t>
      </w:r>
      <w:r>
        <w:rPr>
          <w:b w:val="0"/>
          <w:i/>
        </w:rPr>
        <w:t>Wall Street Journal</w:t>
      </w:r>
      <w:r>
        <w:rPr>
          <w:b w:val="0"/>
          <w:i w:val="0"/>
        </w:rPr>
        <w:t>, Bob Lord, the former head of security for Yahoo and Twitter, said, “When I talk to corporate security officers, I see a little bit of this fatalism, which is ‘I can’t defend against the most sophisticated nation-state attack. Therefore, it is a lost game. So I’m not really going to start to think deeply about the problem.’ ”</w:t>
      </w:r>
    </w:p>
    <w:p>
      <w:r>
        <w:rPr>
          <w:b w:val="0"/>
          <w:i w:val="0"/>
        </w:rPr>
        <w:t xml:space="preserve">One case in point is the 2012 Shamoon virus attack on Saudi Aramco, which had good defenses in place. The attack, which U.S. officials suspect was carried out by Iran, erased data on three-quarters of the oil company’s corporate PCs. A more recent attack, in March 2018, was designed to trigger a blast at a Saudi petrochemical plant by interfering with safety controllers. It might have succeeded had the attacker’s code not contained an error, according to the </w:t>
      </w:r>
      <w:r>
        <w:rPr>
          <w:b w:val="0"/>
          <w:i/>
        </w:rPr>
        <w:t>New York Times</w:t>
      </w:r>
      <w:r>
        <w:rPr>
          <w:b w:val="0"/>
          <w:i w:val="0"/>
        </w:rPr>
        <w:t xml:space="preserve">. “The attackers not only had to figure out how to get into that system, they had to understand its design well enough to know the layout of the facility—what pipes went where and which valves to turn in order to trigger an explosion,” the </w:t>
      </w:r>
      <w:r>
        <w:rPr>
          <w:b w:val="0"/>
          <w:i/>
        </w:rPr>
        <w:t>Times</w:t>
      </w:r>
      <w:r>
        <w:rPr>
          <w:b w:val="0"/>
          <w:i w:val="0"/>
        </w:rPr>
        <w:t xml:space="preserve"> wrote.</w:t>
      </w:r>
    </w:p>
    <w:p>
      <w:pPr>
        <w:pStyle w:val="Heading2"/>
      </w:pPr>
      <w:r>
        <w:rPr>
          <w:b/>
          <w:i w:val="0"/>
        </w:rPr>
        <w:t>INL’s Radical Idea</w:t>
      </w:r>
    </w:p>
    <w:p>
      <w:r>
        <w:rPr>
          <w:b w:val="0"/>
          <w:i w:val="0"/>
        </w:rPr>
        <w:t>It’s time to embrace a drastically different approach: a highly selective shift away from full reliance on digital complexity and connectivity. This can be done by identifying the most essential processes and functions and then reducing or eliminating the digital pathways attackers could use to reach them.</w:t>
      </w:r>
    </w:p>
    <w:p>
      <w:r>
        <w:rPr>
          <w:b w:val="0"/>
          <w:i w:val="0"/>
        </w:rPr>
        <w:t>The Idaho National Lab has developed a step-by-step approach: its consequence-driven, cyber-informed engineering (CCE) methodology. The objective of CCE is not a one-time risk assessment; rather, it is to permanently change how senior leaders think about and weigh strategic cyber risks to their companies. Although it is still in the pilot stage, we’ve seen great results. We plan to have CCE fully ramped up in 2019 and to have several services firms licensed to implement the methodology by 2020. But even today, the core precepts of the CCE approach can be adapted by any organization. (The lab has also developed a companion framework: cyber-informed engineering [CIE], which, while similar to CCE in many respects, describes methods for integrating cyber risk mitigations across the entire engineering life cycle.)</w:t>
      </w:r>
    </w:p>
    <w:p>
      <w:r>
        <w:rPr>
          <w:b w:val="0"/>
          <w:i w:val="0"/>
        </w:rPr>
        <w:t>The methodology comprises four steps that should be performed in a highly collaborative fashion by the following:</w:t>
      </w:r>
    </w:p>
    <w:p>
      <w:pPr>
        <w:pStyle w:val="ListBullet"/>
      </w:pPr>
      <w:r>
        <w:rPr>
          <w:b w:val="0"/>
          <w:i w:val="0"/>
        </w:rPr>
        <w:t>A CCE master—now someone from the INL, but in the future people at engineering-services firms trained by the INL</w:t>
      </w:r>
    </w:p>
    <w:p>
      <w:pPr>
        <w:pStyle w:val="ListBullet"/>
      </w:pPr>
      <w:r>
        <w:rPr>
          <w:b w:val="0"/>
          <w:i w:val="0"/>
        </w:rPr>
        <w:t>All the leaders responsible for regulatory compliance, litigation, and mitigating risks: the CEO, the chief operating officer, the chief financial officer, the chief risk officer, the general counsel, and the chief security officer (CSO)</w:t>
      </w:r>
    </w:p>
    <w:p>
      <w:pPr>
        <w:pStyle w:val="ListBullet"/>
      </w:pPr>
      <w:r>
        <w:rPr>
          <w:b w:val="0"/>
          <w:i w:val="0"/>
        </w:rPr>
        <w:t>The people who oversee core operational functions</w:t>
      </w:r>
    </w:p>
    <w:p>
      <w:pPr>
        <w:pStyle w:val="ListBullet"/>
      </w:pPr>
      <w:r>
        <w:rPr>
          <w:b w:val="0"/>
          <w:i w:val="0"/>
        </w:rPr>
        <w:t>Safety system experts and the operators and engineers most familiar with the processes on which the company most depends</w:t>
      </w:r>
    </w:p>
    <w:p>
      <w:pPr>
        <w:pStyle w:val="ListBullet"/>
      </w:pPr>
      <w:r>
        <w:rPr>
          <w:b w:val="0"/>
          <w:i w:val="0"/>
        </w:rPr>
        <w:t>Cyber experts and process engineers who know how systems and equipment can be misused</w:t>
      </w:r>
    </w:p>
    <w:p>
      <w:r>
        <w:rPr>
          <w:b w:val="0"/>
          <w:i w:val="0"/>
        </w:rPr>
        <w:t>For a number of these people, the process will be stressful. For example, the exposure of heretofore unknown enterprise-level risks is bound to initially make the CSO squirm. But often that is not fair. No CSO can hope to fully prepare a company for an attack by a highly resourced adversary.</w:t>
      </w:r>
    </w:p>
    <w:p>
      <w:pPr>
        <w:pStyle w:val="Heading3"/>
      </w:pPr>
      <w:r>
        <w:rPr>
          <w:b w:val="0"/>
          <w:i w:val="0"/>
        </w:rPr>
        <w:t>1. Identify “crown jewel” processes</w:t>
      </w:r>
    </w:p>
    <w:p>
      <w:r>
        <w:rPr>
          <w:b w:val="0"/>
          <w:i w:val="0"/>
        </w:rPr>
        <w:t xml:space="preserve">The work begins with what the INL calls </w:t>
      </w:r>
      <w:r>
        <w:rPr>
          <w:b w:val="0"/>
          <w:i/>
        </w:rPr>
        <w:t>consequence prioritization</w:t>
      </w:r>
      <w:r>
        <w:rPr>
          <w:b w:val="0"/>
          <w:i w:val="0"/>
        </w:rPr>
        <w:t>: the generation of possible catastrophic scenarios, or high-consequence events. This involves identifying functions or processes whose failure would be so damaging that it would threaten the company’s very survival. Examples include an attack on transformers that would stop an electric utility from distributing electricity—or on compressor stations that would prevent a natural gas distribution company from delivering to its customers—for a month. Other examples include a targeted attack on the safety systems in a chemical plant or an oil refinery that would cause pressure to exceed limits, leading to an explosion that could kill or injure hundreds or thousands of people, generate lawsuits seeking ruinous damages, wreak havoc with the company’s market cap, and cost its leaders their jobs.</w:t>
      </w:r>
    </w:p>
    <w:p>
      <w:r>
        <w:rPr>
          <w:b w:val="0"/>
          <w:i w:val="0"/>
        </w:rPr>
        <w:t xml:space="preserve">Analysts familiar with how sophisticated cyber adversaries act help the team envision what prospective attackers’ end goals might be. By answering questions such as “What would </w:t>
      </w:r>
      <w:r>
        <w:rPr>
          <w:b w:val="0"/>
          <w:i/>
        </w:rPr>
        <w:t>you</w:t>
      </w:r>
      <w:r>
        <w:rPr>
          <w:b w:val="0"/>
          <w:i w:val="0"/>
        </w:rPr>
        <w:t xml:space="preserve"> do if you wanted to disrupt your processes or ruin your company?” and “What are the first facilities </w:t>
      </w:r>
      <w:r>
        <w:rPr>
          <w:b w:val="0"/>
          <w:i/>
        </w:rPr>
        <w:t>you</w:t>
      </w:r>
      <w:r>
        <w:rPr>
          <w:b w:val="0"/>
          <w:i w:val="0"/>
        </w:rPr>
        <w:t xml:space="preserve"> would go after the hardest?” the team can identify the targets whose disruption would be the most destructive and the most feasible and develop scenarios involving them for discussion by the C-suite. Depending on the size of the company, this step may take a few weeks to a few months.</w:t>
      </w:r>
    </w:p>
    <w:p>
      <w:pPr>
        <w:pStyle w:val="Heading3"/>
      </w:pPr>
      <w:r>
        <w:rPr>
          <w:b w:val="0"/>
          <w:i w:val="0"/>
        </w:rPr>
        <w:t>2. Map the digital terrain</w:t>
      </w:r>
    </w:p>
    <w:p>
      <w:r>
        <w:rPr>
          <w:b w:val="0"/>
          <w:i w:val="0"/>
        </w:rPr>
        <w:t>The next task, which typically takes a full week but may take longer, is mapping all the hardware, software, and communications technologies and the supporting people and processes (including third-party suppliers and services) in the company-ending scenarios. It entails laying out the steps of production, documenting in robust detail all the places where control and automation systems are employed, and capturing all the necessary physical or data inputs into the function or process. These connections are potential pathways for attackers, and companies often are not aware of all of them.</w:t>
      </w:r>
    </w:p>
    <w:p>
      <w:r>
        <w:rPr>
          <w:b w:val="0"/>
          <w:i w:val="0"/>
        </w:rPr>
        <w:t>Existing maps of these elements never fully match the reality. Questions such as “Who touches your equipment?” and “How does information move through your networks and how do you protect it?” will always turn up surprises. For example, the team may discover from a network architect or the control engineer that a vital system is connected not just to the operational systems network but to the business network that deals with accounts payable and receivable, payment systems, customer-information systems, and—by extension—the internet. By asking the person responsible for managing vendors, the team might learn that the supplier of this system maintains a direct wireless connection to it in order to perform remote analysis and diagnostics. A safety-system supplier may say that it can’t directly communicate with the equipment, but a careful examination of the mechanics and update processes may reveal that it can. Any such discovery is an aha moment for the team.</w:t>
      </w:r>
    </w:p>
    <w:p>
      <w:pPr>
        <w:pStyle w:val="Heading3"/>
      </w:pPr>
      <w:r>
        <w:rPr>
          <w:b w:val="0"/>
          <w:i w:val="0"/>
        </w:rPr>
        <w:t>3. Illuminate the likely attack paths</w:t>
      </w:r>
    </w:p>
    <w:p>
      <w:r>
        <w:rPr>
          <w:b w:val="0"/>
          <w:i w:val="0"/>
        </w:rPr>
        <w:t>Then, using a variant of a methodology developed by Lockheed Martin, the team identifies the shortest, most likely paths attackers would take to reach the targets identified in step 1.1 These paths are ranked by their degree of difficulty. The CCE master and other outside experts, including people with access to sensitive information about attackers and their methods, play the lead roles in this phase. They share information gleaned from government sources about attacks on similar systems around the world. Additional company input regarding safety systems, the firm’s capabilities and procedures for responding to cyberthreats, and so on help the team finalize a list of attack paths, which is used in step 4 to prioritize remediation actions for senior leaders to consider.</w:t>
      </w:r>
    </w:p>
    <w:p>
      <w:pPr>
        <w:pStyle w:val="Heading3"/>
      </w:pPr>
      <w:r>
        <w:rPr>
          <w:b w:val="0"/>
          <w:i w:val="0"/>
        </w:rPr>
        <w:t>4. Generate options for mitigation and protection</w:t>
      </w:r>
    </w:p>
    <w:p>
      <w:r>
        <w:rPr>
          <w:b w:val="0"/>
          <w:i w:val="0"/>
        </w:rPr>
        <w:t>Now it’s time to come up with options for engineering out highest-consequence cyber risks. If there are 10 pathways to a target but they all pass through one particular node, that’s obviously a great place to install a tripwire—a closely monitored sensor that would alert a fast-response team of defenders at the first sign of trouble.</w:t>
      </w:r>
    </w:p>
    <w:p>
      <w:r>
        <w:rPr>
          <w:b w:val="0"/>
          <w:i w:val="0"/>
        </w:rPr>
        <w:t>Some remedies are surprisingly easy and inexpensive to implement: for example, a software-free, hardwired vibration sensor that will slow down or trip a unit that has been given malicious digital instructions that might cause it to damage or destroy itself. Others take more time and money, such as keeping a redundant but not identical backup system ready to continue a crucial function, even if in a somewhat degraded state. Although many remedies will have no negative impact on operational efficiency and business opportunities, others might. So a company’s leaders will ultimately have to decide how to proceed on the basis of what risks they can accept, must avoid, can transfer, or should try to mitigate.</w:t>
      </w:r>
    </w:p>
    <w:p>
      <w:r>
        <w:rPr>
          <w:b w:val="0"/>
          <w:i w:val="0"/>
        </w:rPr>
        <w:t>If a selected process simply must have a digital channel for monitoring or sending control signals, the goal should be to keep the number of digital pathways to and from the critical process at an absolute minimum to make spotting abnormal traffic easier. In addition, a company might add a device to protect a system should it receive digital commands that would cause a catastrophic event—a mechanical valve or switch, for example, that would prevent the pressure or the temperature from exceeding specified parameters. And sometimes a company might want to reinsert trusted people into the activity—to monitor a mechanical thermometer or pressure gauge, for instance, to ensure that the digital devices are telling the true story. If your company has not suffered a serious cyber incident, the notion of disconnecting as much as possible, installing old-fashioned mechanical devices, and inserting humans in automated functions might sound like a regressive business decision. Instead it should be reframed as a proactive risk-management decision. It may decrease efficiency, but if the somewhat higher cost radically reduces the likelihood of a disaster that your current methods can’t protect against, it is the smart move.</w:t>
      </w:r>
    </w:p>
    <w:p>
      <w:r>
        <w:rPr>
          <w:b w:val="0"/>
          <w:i w:val="0"/>
        </w:rPr>
        <w:t>It’s not hard to imagine CEOs and COOs reading through this process with skepticism. In any change-management project, moving hearts and minds from ideas they’ve hewn to for decades is a massive challenge. Anticipate resistance, especially early on. Divulging so much information about your company and admitting to weaknesses you either didn’t know about or didn’t want to think about will be psychologically taxing. Later phases will challenge engineers’ fortitude as their systems and practices are pored over for weaknesses. Make sure team members feel safe during even the hardest evaluations of your systems. In the end, the detailed information about adversaries’ approaches and what they could achieve—showing how it could happen to you—will be a revelation. Even the most resistant team members should climb on board when they recognize the risks and the best way to mitigate them.</w:t>
      </w:r>
    </w:p>
    <w:p>
      <w:pPr>
        <w:pStyle w:val="Heading2"/>
      </w:pPr>
      <w:r>
        <w:rPr>
          <w:b/>
          <w:i w:val="0"/>
        </w:rPr>
        <w:t>What You Can Do Today</w:t>
      </w:r>
    </w:p>
    <w:p>
      <w:r>
        <w:rPr>
          <w:b w:val="0"/>
          <w:i w:val="0"/>
        </w:rPr>
        <w:t>Learn to think like your adversaries. You might go as far as to build an internal team charged with continually assessing the strength of your defenses by trying to reach critical targets. The team should include experts in the processes in question, control and safety systems, and operational networks.</w:t>
      </w:r>
    </w:p>
    <w:p>
      <w:r>
        <w:rPr>
          <w:b w:val="0"/>
          <w:i w:val="0"/>
        </w:rPr>
        <w:t>Even if you can maintain consistently high levels of cyber hygiene, you must prepare for a breach. The best way to do that is to create a cyber safety culture similar to those that exist at elite chemical factories and nuclear power plants. Every employee, from the most senior to the most junior, should be aware of the importance of reacting quickly when a computer system or a machine in their care starts acting abnormally: It might be an equipment malfunction, but it might also indicate a cyberattack.</w:t>
      </w:r>
    </w:p>
    <w:p>
      <w:r>
        <w:rPr>
          <w:b w:val="0"/>
          <w:i w:val="0"/>
        </w:rPr>
        <w:t>Finally, a Plan B should be ready for implementation if and when you and your team lose confidence in systems that support your most critical functions. It should be designed to allow your company to continue essential operations, even if at a reduced level. Ideally, the backup system should not rely on digital technologies and should not be connected to a network—particularly the internet. But at a minimum, it should not exactly replicate the one in question, for an obvious reason: If attackers were able to breach the original, they’ll be able to easily invade one identical to it.</w:t>
      </w:r>
    </w:p>
    <w:p>
      <w:r>
        <w:rPr>
          <w:b w:val="0"/>
          <w:i w:val="0"/>
        </w:rPr>
        <w:t>Every organization that depends on digital technologies and the internet is vulnerable to a devastating cyberattack. Not even the best cyber hygiene will stop Russia, North Korea, and highly skilled, well-resourced criminal and terrorist groups. The only way to protect your business is to take, where you can, what may look like a technological step backward but in reality is a smart engineering step forward. The goal is to reduce, if not eliminate, the dependency of critical functions on digital technologies and their connections to the internet. The sometimes-higher cost will be a bargain when compared with the potentially devastating price of business as usual.</w:t>
      </w:r>
    </w:p>
    <w:p>
      <w:r>
        <w:rPr>
          <w:b/>
          <w:i w:val="0"/>
        </w:rPr>
        <w:t>TAKEAWAYS</w:t>
      </w:r>
    </w:p>
    <w:p>
      <w:r>
        <w:rPr>
          <w:b w:val="0"/>
          <w:i w:val="0"/>
        </w:rPr>
        <w:t>While digital technologies bring new capabilities and efficiencies to modern industry, they also bring new security challenges. It doesn’t matter how much your company invests in traditional cybersecurity defenses such as hardware, software, and training: If your company’s critical systems are digital and connected to the internet, they can never be fully secured.</w:t>
      </w:r>
    </w:p>
    <w:p>
      <w:pPr>
        <w:pStyle w:val="ListBullet"/>
      </w:pPr>
      <w:r>
        <w:rPr>
          <w:b w:val="0"/>
          <w:i w:val="0"/>
        </w:rPr>
        <w:t>Even if best practices are perfectly implemented, hackers are sophisticated, well-funded, patient, evolving, and crafty enough to find ways in.</w:t>
      </w:r>
    </w:p>
    <w:p>
      <w:pPr>
        <w:pStyle w:val="ListBullet"/>
      </w:pPr>
      <w:r>
        <w:rPr>
          <w:b w:val="0"/>
          <w:i w:val="0"/>
        </w:rPr>
        <w:t>Identify the processes or functions where a breach could jeopardize your business and isolate them from the internet as much as possible, minimize their reliance on digital technology, and monitor and control them with analog devices or trusted humans.</w:t>
      </w:r>
    </w:p>
    <w:p>
      <w:pPr>
        <w:pStyle w:val="ListBullet"/>
      </w:pPr>
      <w:r>
        <w:rPr>
          <w:b w:val="0"/>
          <w:i w:val="0"/>
        </w:rPr>
        <w:t>Extensively inventory all the hardware, software, and communications technologies, along with the processes and people that support them, in that jeopardy scenario.</w:t>
      </w:r>
    </w:p>
    <w:p>
      <w:pPr>
        <w:pStyle w:val="ListBullet"/>
      </w:pPr>
      <w:r>
        <w:rPr>
          <w:b w:val="0"/>
          <w:i w:val="0"/>
        </w:rPr>
        <w:t>Learn to think like your adversaries and identify the likely paths attackers would follow to reach their targets.</w:t>
      </w:r>
    </w:p>
    <w:p>
      <w:pPr>
        <w:pStyle w:val="ListBullet"/>
      </w:pPr>
      <w:r>
        <w:rPr>
          <w:b w:val="0"/>
          <w:i w:val="0"/>
        </w:rPr>
        <w:t>Create a culture where every employee is on watch for abnormal behavior from computer systems or machines and knows to react quickly.</w:t>
      </w:r>
    </w:p>
    <w:p>
      <w:pPr>
        <w:pStyle w:val="Heading3"/>
      </w:pPr>
      <w:r>
        <w:rPr>
          <w:b/>
          <w:i w:val="0"/>
        </w:rPr>
        <w:t>NOTE</w:t>
      </w:r>
    </w:p>
    <w:p>
      <w:r>
        <w:rPr>
          <w:b w:val="0"/>
          <w:i w:val="0"/>
        </w:rPr>
        <w:t>1. Michael J. Assante and Robert M. Lee, “The Industrial Control System Cyber Kill Chain,” SANS Institute paper, October 2105, https://www.sans.org/reading-room/whitepapers/ICS/paper/36297; and Lockheed Martin website, “The Cyber Kill Chain,” https://www.lockheedmartin.com/en-us/capabilities/cyber/cyber-kill-chain.html.</w:t>
      </w:r>
    </w:p>
    <w:p>
      <w:r>
        <w:rPr>
          <w:b w:val="0"/>
          <w:i/>
        </w:rPr>
        <w:t>Adapted from content posted on hbr.org, May 15, 2018 (product #BG1803).</w:t>
      </w:r>
    </w:p>
    <w:p>
      <w:pPr>
        <w:pStyle w:val="Heading1"/>
      </w:pPr>
      <w:r>
        <w:rPr>
          <w:b/>
          <w:i w:val="0"/>
        </w:rPr>
        <w:t>2</w:t>
      </w:r>
    </w:p>
    <w:p>
      <w:pPr>
        <w:pStyle w:val="Heading1"/>
      </w:pPr>
      <w:r>
        <w:rPr>
          <w:b/>
          <w:i w:val="0"/>
        </w:rPr>
        <w:t>SECURITY TRENDS BY THE NUMBERS</w:t>
      </w:r>
    </w:p>
    <w:p>
      <w:r>
        <w:rPr>
          <w:b w:val="0"/>
          <w:i w:val="0"/>
        </w:rPr>
        <w:t>by Scott Berinato and Matt Perry</w:t>
      </w:r>
    </w:p>
    <w:p>
      <w:r>
        <w:rPr>
          <w:b w:val="0"/>
          <w:i w:val="0"/>
        </w:rPr>
        <w:t>To understand the discouraging state of cybersecurity, first consider the stats in figure 2-1, from surveys conducted with companies around the globe in 2017. Respondents were asked about the incidence in their firms of targeted attacks—assaults with the potential to penetrate network defenses and damage or extract valuable assets (as opposed to the countless low-level nefarious activities that are more nuisance than threat). They also reported on breaches—attacks that get through.</w:t>
      </w:r>
    </w:p>
    <w:p>
      <w:r>
        <w:rPr>
          <w:b/>
          <w:i w:val="0"/>
        </w:rPr>
        <w:t>FIGURE 2-1</w:t>
      </w:r>
    </w:p>
    <w:p>
      <w:r>
        <w:rPr>
          <w:b/>
          <w:i w:val="0"/>
        </w:rPr>
        <w:t>Average annual number of targeted attacks and breaches per company</w:t>
      </w:r>
    </w:p>
    <w:p>
      <w:pPr>
        <w:jc w:val="center"/>
      </w:pPr>
      <w:r>
        <w:drawing>
          <wp:inline xmlns:a="http://schemas.openxmlformats.org/drawingml/2006/main" xmlns:pic="http://schemas.openxmlformats.org/drawingml/2006/picture">
            <wp:extent cx="6680200" cy="3289300"/>
            <wp:docPr id="43" name="Picture 43"/>
            <wp:cNvGraphicFramePr>
              <a:graphicFrameLocks noChangeAspect="1"/>
            </wp:cNvGraphicFramePr>
            <a:graphic>
              <a:graphicData uri="http://schemas.openxmlformats.org/drawingml/2006/picture">
                <pic:pic>
                  <pic:nvPicPr>
                    <pic:cNvPr id="0" name="epub_img_1326420116578073509.jpg"/>
                    <pic:cNvPicPr/>
                  </pic:nvPicPr>
                  <pic:blipFill>
                    <a:blip r:embed="rId36"/>
                    <a:stretch>
                      <a:fillRect/>
                    </a:stretch>
                  </pic:blipFill>
                  <pic:spPr>
                    <a:xfrm>
                      <a:off x="0" y="0"/>
                      <a:ext cx="6680200" cy="3289300"/>
                    </a:xfrm>
                    <a:prstGeom prst="rect"/>
                  </pic:spPr>
                </pic:pic>
              </a:graphicData>
            </a:graphic>
          </wp:inline>
        </w:drawing>
      </w:r>
    </w:p>
    <w:p>
      <w:r>
        <w:rPr>
          <w:b w:val="0"/>
          <w:i w:val="0"/>
        </w:rPr>
        <w:t>Source: Accenture, “2018 State of Cyber Resilience: Gaining Ground on the Cyber Attacker”</w:t>
      </w:r>
    </w:p>
    <w:p>
      <w:r>
        <w:rPr>
          <w:b w:val="0"/>
          <w:i w:val="0"/>
        </w:rPr>
        <w:t>According to a similar survey in 2018 (figure 2-2), the proportion of targeted attacks that were thwarted has risen to 87%. That might sound like good news, but the number of attacks also continues to increase.</w:t>
      </w:r>
    </w:p>
    <w:p>
      <w:r>
        <w:rPr>
          <w:b/>
          <w:i w:val="0"/>
        </w:rPr>
        <w:t>FIGURE 2-2</w:t>
      </w:r>
    </w:p>
    <w:p>
      <w:r>
        <w:rPr>
          <w:b/>
          <w:i w:val="0"/>
        </w:rPr>
        <w:t>Even though we’re thwarting more attacks, we’re not preventing more breaches</w:t>
      </w:r>
    </w:p>
    <w:p>
      <w:pPr>
        <w:jc w:val="center"/>
      </w:pPr>
      <w:r>
        <w:drawing>
          <wp:inline xmlns:a="http://schemas.openxmlformats.org/drawingml/2006/main" xmlns:pic="http://schemas.openxmlformats.org/drawingml/2006/picture">
            <wp:extent cx="6680200" cy="4241800"/>
            <wp:docPr id="44" name="Picture 44"/>
            <wp:cNvGraphicFramePr>
              <a:graphicFrameLocks noChangeAspect="1"/>
            </wp:cNvGraphicFramePr>
            <a:graphic>
              <a:graphicData uri="http://schemas.openxmlformats.org/drawingml/2006/picture">
                <pic:pic>
                  <pic:nvPicPr>
                    <pic:cNvPr id="0" name="epub_img_1835740349497175092.jpg"/>
                    <pic:cNvPicPr/>
                  </pic:nvPicPr>
                  <pic:blipFill>
                    <a:blip r:embed="rId37"/>
                    <a:stretch>
                      <a:fillRect/>
                    </a:stretch>
                  </pic:blipFill>
                  <pic:spPr>
                    <a:xfrm>
                      <a:off x="0" y="0"/>
                      <a:ext cx="6680200" cy="4241800"/>
                    </a:xfrm>
                    <a:prstGeom prst="rect"/>
                  </pic:spPr>
                </pic:pic>
              </a:graphicData>
            </a:graphic>
          </wp:inline>
        </w:drawing>
      </w:r>
    </w:p>
    <w:p>
      <w:r>
        <w:rPr>
          <w:b w:val="0"/>
          <w:i w:val="0"/>
        </w:rPr>
        <w:t>Source: Accenture, “2018 State of Cyber Resilience: Gaining Ground on the Cyber Attacker”</w:t>
      </w:r>
    </w:p>
    <w:p>
      <w:r>
        <w:rPr>
          <w:b w:val="0"/>
          <w:i w:val="0"/>
        </w:rPr>
        <w:t>And when you take the data in figure 2-3 into account it becomes clear that companies are spending more and more just to tread water. Firms are seeing roughly the same number of breaches, on average. And experts believe that number will not fall substantially, because attacks will keep increasing. Moreover, they worry that breaches will affect higher-impact targets and have more far-reaching consequences. Spending, too, is likely to keep rising, owing to the intensifying use of preventative measures and the increasing costs of breaches.</w:t>
      </w:r>
    </w:p>
    <w:p>
      <w:r>
        <w:rPr>
          <w:b/>
          <w:i w:val="0"/>
        </w:rPr>
        <w:t>FIGURE 2-3</w:t>
      </w:r>
    </w:p>
    <w:p>
      <w:r>
        <w:rPr>
          <w:b/>
          <w:i w:val="0"/>
        </w:rPr>
        <w:t>Average cost of cybercrime per company (US$M)</w:t>
      </w:r>
    </w:p>
    <w:p>
      <w:pPr>
        <w:jc w:val="center"/>
      </w:pPr>
      <w:r>
        <w:drawing>
          <wp:inline xmlns:a="http://schemas.openxmlformats.org/drawingml/2006/main" xmlns:pic="http://schemas.openxmlformats.org/drawingml/2006/picture">
            <wp:extent cx="6680200" cy="3721100"/>
            <wp:docPr id="45" name="Picture 45"/>
            <wp:cNvGraphicFramePr>
              <a:graphicFrameLocks noChangeAspect="1"/>
            </wp:cNvGraphicFramePr>
            <a:graphic>
              <a:graphicData uri="http://schemas.openxmlformats.org/drawingml/2006/picture">
                <pic:pic>
                  <pic:nvPicPr>
                    <pic:cNvPr id="0" name="epub_img_3703668412324013018.jpg"/>
                    <pic:cNvPicPr/>
                  </pic:nvPicPr>
                  <pic:blipFill>
                    <a:blip r:embed="rId38"/>
                    <a:stretch>
                      <a:fillRect/>
                    </a:stretch>
                  </pic:blipFill>
                  <pic:spPr>
                    <a:xfrm>
                      <a:off x="0" y="0"/>
                      <a:ext cx="6680200" cy="3721100"/>
                    </a:xfrm>
                    <a:prstGeom prst="rect"/>
                  </pic:spPr>
                </pic:pic>
              </a:graphicData>
            </a:graphic>
          </wp:inline>
        </w:drawing>
      </w:r>
    </w:p>
    <w:p>
      <w:r>
        <w:rPr>
          <w:b w:val="0"/>
          <w:i w:val="0"/>
        </w:rPr>
        <w:t>Source: Accenture and Ponemon Institute, “2017 Cost of Cyber Crime Study: Insights on the Security Investments That Make a Difference”</w:t>
      </w:r>
    </w:p>
    <w:p>
      <w:r>
        <w:rPr>
          <w:b w:val="0"/>
          <w:i w:val="0"/>
        </w:rPr>
        <w:t>In this chapter we offer a visual exploration of the state of cybersecurity, with charts drawn from three highly respected industry reports. Verizon’s “2018 Data Breach Investigations Report” analyzes more than 53,000 cybersecurity incidents (events that potentially expose data) and 2,216 breaches (incidents resulting in the confirmed disclosure of data) in 65 countries. Accenture’s “2018 State of Cyber Resilience” is based on surveys of 4,600 executives at $1 billion-plus companies in 19 industries across 15 countries. Its “2017 Cost of Cyber Crime Study,” conducted with the Ponemon Institute, draws on responses from 254 companies in seven countries. Although definitive data on cybersecurity events is hard to come by, given the often-elusive nature of the threat, together these reports provide a detailed picture of the state of play.</w:t>
      </w:r>
    </w:p>
    <w:p>
      <w:r>
        <w:rPr>
          <w:b w:val="0"/>
          <w:i w:val="0"/>
        </w:rPr>
        <w:t>The data reveals a dual reality. On the one hand, things haven’t changed: Attacks occur constantly and employ many of the same technical approaches that have been used for years. On the other hand, things have changed radically: More attacks take place now than ever before. And they’re getting more vicious: We’re seeing more assaults on critical infrastructure and a veritable onslaught of “ransomware,” which locks users out of their data or technology until they pay up.</w:t>
      </w:r>
    </w:p>
    <w:p>
      <w:r>
        <w:rPr>
          <w:b w:val="0"/>
          <w:i w:val="0"/>
        </w:rPr>
        <w:t>Here’s what we know about cybersecurity today.</w:t>
      </w:r>
    </w:p>
    <w:p>
      <w:pPr>
        <w:pStyle w:val="Heading2"/>
      </w:pPr>
      <w:r>
        <w:rPr>
          <w:b/>
          <w:i w:val="0"/>
        </w:rPr>
        <w:t>Who’s Getting In?</w:t>
      </w:r>
    </w:p>
    <w:p>
      <w:r>
        <w:rPr>
          <w:b w:val="0"/>
          <w:i w:val="0"/>
        </w:rPr>
        <w:t>Roughly a quarter of all breaches come from internal sources—but most industries deviate from the average (figure 2-4). In those involving highly sensitive and valuable information—health care, public administration, and professional, technical, and scientific services—the proportion of internal troublemakers is higher, whereas public-facing industries, restaurants, and stores see much more activity from the outside.</w:t>
      </w:r>
    </w:p>
    <w:p>
      <w:r>
        <w:rPr>
          <w:b/>
          <w:i w:val="0"/>
        </w:rPr>
        <w:t>FIGURE 2-4</w:t>
      </w:r>
    </w:p>
    <w:p>
      <w:r>
        <w:rPr>
          <w:b/>
          <w:i w:val="0"/>
        </w:rPr>
        <w:t>Attacks come mostly from outsiders</w:t>
      </w:r>
    </w:p>
    <w:p>
      <w:pPr>
        <w:jc w:val="center"/>
      </w:pPr>
      <w:r>
        <w:drawing>
          <wp:inline xmlns:a="http://schemas.openxmlformats.org/drawingml/2006/main" xmlns:pic="http://schemas.openxmlformats.org/drawingml/2006/picture">
            <wp:extent cx="6680200" cy="3302000"/>
            <wp:docPr id="46" name="Picture 46"/>
            <wp:cNvGraphicFramePr>
              <a:graphicFrameLocks noChangeAspect="1"/>
            </wp:cNvGraphicFramePr>
            <a:graphic>
              <a:graphicData uri="http://schemas.openxmlformats.org/drawingml/2006/picture">
                <pic:pic>
                  <pic:nvPicPr>
                    <pic:cNvPr id="0" name="epub_img_2640620972816951491.jpg"/>
                    <pic:cNvPicPr/>
                  </pic:nvPicPr>
                  <pic:blipFill>
                    <a:blip r:embed="rId39"/>
                    <a:stretch>
                      <a:fillRect/>
                    </a:stretch>
                  </pic:blipFill>
                  <pic:spPr>
                    <a:xfrm>
                      <a:off x="0" y="0"/>
                      <a:ext cx="6680200" cy="3302000"/>
                    </a:xfrm>
                    <a:prstGeom prst="rect"/>
                  </pic:spPr>
                </pic:pic>
              </a:graphicData>
            </a:graphic>
          </wp:inline>
        </w:drawing>
      </w:r>
    </w:p>
    <w:p>
      <w:r>
        <w:rPr>
          <w:b w:val="0"/>
          <w:i w:val="0"/>
        </w:rPr>
        <w:t>Note: Some external totals include partners and/or multiple parties. Source: Accenture, “2018 Data Breach Investigations Report”</w:t>
      </w:r>
    </w:p>
    <w:p>
      <w:pPr>
        <w:pStyle w:val="Heading2"/>
      </w:pPr>
      <w:r>
        <w:rPr>
          <w:b/>
          <w:i w:val="0"/>
        </w:rPr>
        <w:t>How Often Are They Getting In?</w:t>
      </w:r>
    </w:p>
    <w:p>
      <w:r>
        <w:rPr>
          <w:b w:val="0"/>
          <w:i w:val="0"/>
        </w:rPr>
        <w:t>In a few highly vulnerable industries, hackers get in more often than not. But in most, multiple attacks are needed to achieve a breach (figure 2-5).</w:t>
      </w:r>
    </w:p>
    <w:p>
      <w:r>
        <w:rPr>
          <w:b/>
          <w:i w:val="0"/>
        </w:rPr>
        <w:t>FIGURE 2-5</w:t>
      </w:r>
    </w:p>
    <w:p>
      <w:r>
        <w:rPr>
          <w:b/>
          <w:i w:val="0"/>
        </w:rPr>
        <w:t>Attacks still fail more often than they succeed</w:t>
      </w:r>
    </w:p>
    <w:p>
      <w:pPr>
        <w:jc w:val="center"/>
      </w:pPr>
      <w:r>
        <w:drawing>
          <wp:inline xmlns:a="http://schemas.openxmlformats.org/drawingml/2006/main" xmlns:pic="http://schemas.openxmlformats.org/drawingml/2006/picture">
            <wp:extent cx="6680200" cy="5130800"/>
            <wp:docPr id="47" name="Picture 47"/>
            <wp:cNvGraphicFramePr>
              <a:graphicFrameLocks noChangeAspect="1"/>
            </wp:cNvGraphicFramePr>
            <a:graphic>
              <a:graphicData uri="http://schemas.openxmlformats.org/drawingml/2006/picture">
                <pic:pic>
                  <pic:nvPicPr>
                    <pic:cNvPr id="0" name="epub_img_4960934440401674326.jpg"/>
                    <pic:cNvPicPr/>
                  </pic:nvPicPr>
                  <pic:blipFill>
                    <a:blip r:embed="rId40"/>
                    <a:stretch>
                      <a:fillRect/>
                    </a:stretch>
                  </pic:blipFill>
                  <pic:spPr>
                    <a:xfrm>
                      <a:off x="0" y="0"/>
                      <a:ext cx="6680200" cy="5130800"/>
                    </a:xfrm>
                    <a:prstGeom prst="rect"/>
                  </pic:spPr>
                </pic:pic>
              </a:graphicData>
            </a:graphic>
          </wp:inline>
        </w:drawing>
      </w:r>
    </w:p>
    <w:p>
      <w:r>
        <w:rPr>
          <w:b w:val="0"/>
          <w:i w:val="0"/>
        </w:rPr>
        <w:t>Source: Verizon, “2018 Data Breach Investigations Report”</w:t>
      </w:r>
    </w:p>
    <w:p>
      <w:r>
        <w:rPr>
          <w:b w:val="0"/>
          <w:i w:val="0"/>
        </w:rPr>
        <w:t>The ratio of incidents to breaches in an industry says much about its vulnerability. Accommodation and food services is one of the most vulnerable targets: It averages 11 breaches for every unsuccessful attack, although the payoff for breaking in is often lower than in other industries. The public sector is under massive attack, with the highest number of incidents of the industries studied. But most of them fail: For every 74 unsuccessful attacks, it sees just one breach.</w:t>
      </w:r>
    </w:p>
    <w:p>
      <w:pPr>
        <w:pStyle w:val="Heading2"/>
      </w:pPr>
      <w:r>
        <w:rPr>
          <w:b/>
          <w:i w:val="0"/>
        </w:rPr>
        <w:t>What Are They Getting?</w:t>
      </w:r>
    </w:p>
    <w:p>
      <w:r>
        <w:rPr>
          <w:b w:val="0"/>
          <w:i w:val="0"/>
        </w:rPr>
        <w:t>Despite all the work that’s gone into protecting user data and credit card data in recent years, those are the most commonly nabbed assets (figure 2-6). Other information-based targets not reflected here, such as contracts, RFPs (requests for proposals), and control systems, are experiencing more breaches than in the past, but user data and credit card data remain the most popular and vulnerable targets—suggesting that all our defenses haven’t helped as much as they should have.</w:t>
      </w:r>
    </w:p>
    <w:p>
      <w:r>
        <w:rPr>
          <w:b/>
          <w:i w:val="0"/>
        </w:rPr>
        <w:t>FIGURE 2-6</w:t>
      </w:r>
    </w:p>
    <w:p>
      <w:r>
        <w:rPr>
          <w:b/>
          <w:i w:val="0"/>
        </w:rPr>
        <w:t>Personal information and payment information are the most commonly compromised targets</w:t>
      </w:r>
    </w:p>
    <w:p>
      <w:pPr>
        <w:jc w:val="center"/>
      </w:pPr>
      <w:r>
        <w:drawing>
          <wp:inline xmlns:a="http://schemas.openxmlformats.org/drawingml/2006/main" xmlns:pic="http://schemas.openxmlformats.org/drawingml/2006/picture">
            <wp:extent cx="6680200" cy="4508500"/>
            <wp:docPr id="48" name="Picture 48"/>
            <wp:cNvGraphicFramePr>
              <a:graphicFrameLocks noChangeAspect="1"/>
            </wp:cNvGraphicFramePr>
            <a:graphic>
              <a:graphicData uri="http://schemas.openxmlformats.org/drawingml/2006/picture">
                <pic:pic>
                  <pic:nvPicPr>
                    <pic:cNvPr id="0" name="epub_img_4437185494231904112.jpg"/>
                    <pic:cNvPicPr/>
                  </pic:nvPicPr>
                  <pic:blipFill>
                    <a:blip r:embed="rId41"/>
                    <a:stretch>
                      <a:fillRect/>
                    </a:stretch>
                  </pic:blipFill>
                  <pic:spPr>
                    <a:xfrm>
                      <a:off x="0" y="0"/>
                      <a:ext cx="6680200" cy="4508500"/>
                    </a:xfrm>
                    <a:prstGeom prst="rect"/>
                  </pic:spPr>
                </pic:pic>
              </a:graphicData>
            </a:graphic>
          </wp:inline>
        </w:drawing>
      </w:r>
    </w:p>
    <w:p>
      <w:r>
        <w:rPr>
          <w:b w:val="0"/>
          <w:i w:val="0"/>
        </w:rPr>
        <w:t>Source: Verizon, “2018 Data Breach Investigations Report”</w:t>
      </w:r>
    </w:p>
    <w:p>
      <w:r>
        <w:rPr>
          <w:b w:val="0"/>
          <w:i w:val="0"/>
        </w:rPr>
        <w:t>Industries in which breaches overwhelmingly involve a single type of information (medical, accommodation and food services) can hone their defenses, because the risk is well defined; the bad guys are almost always after the same thing. But industries that have multiple targets, with no one target accounting for a majority of breaches (financial, manufacturing), need a more flexible risk-mitigation strategy, one that will equip them to fight on several fronts.</w:t>
      </w:r>
    </w:p>
    <w:p>
      <w:r>
        <w:rPr>
          <w:b w:val="0"/>
          <w:i w:val="0"/>
        </w:rPr>
        <w:t>Different industries have different pathways by which enemies can enter the networks—but note how frequently web apps are implicated in successful attacks (figure 2-7). Looking at an industry’s top three sources of incidents (bullet points) against the top three sources of breaches (in bold and black) tells us one of two things:</w:t>
      </w:r>
    </w:p>
    <w:p>
      <w:pPr>
        <w:pStyle w:val="ListNumber"/>
      </w:pPr>
      <w:r>
        <w:rPr>
          <w:b w:val="0"/>
          <w:i w:val="0"/>
        </w:rPr>
        <w:t>If the top sources of incidents and breaches are the same, those things are heavily targeted, and companies know it—but adversaries are succeeding anyway. Something is amiss.</w:t>
      </w:r>
    </w:p>
    <w:p>
      <w:pPr>
        <w:pStyle w:val="ListNumber"/>
      </w:pPr>
      <w:r>
        <w:rPr>
          <w:b w:val="0"/>
          <w:i w:val="0"/>
        </w:rPr>
        <w:t>If the top sources of incidents and breaches differ, companies have gotten good at defending on some fronts (where incidents are high but breaches aren’t) but have blind spots on others (where breaches are high relative to incidents).</w:t>
      </w:r>
    </w:p>
    <w:p>
      <w:r>
        <w:rPr>
          <w:b/>
          <w:i w:val="0"/>
        </w:rPr>
        <w:t>FIGURE 2-7</w:t>
      </w:r>
    </w:p>
    <w:p>
      <w:r>
        <w:rPr>
          <w:b/>
          <w:i w:val="0"/>
        </w:rPr>
        <w:t>What hackers attack most often, and what they attack most successfully, aren’t always the same</w:t>
      </w:r>
    </w:p>
    <w:p>
      <w:r>
        <w:rPr>
          <w:b w:val="0"/>
          <w:i w:val="0"/>
        </w:rPr>
        <w:t>Major sources of breaches are in bold and black; major sources of incidents are (■) bulleted.</w:t>
      </w:r>
    </w:p>
    <w:p>
      <w:pPr>
        <w:jc w:val="center"/>
      </w:pPr>
      <w:r>
        <w:drawing>
          <wp:inline xmlns:a="http://schemas.openxmlformats.org/drawingml/2006/main" xmlns:pic="http://schemas.openxmlformats.org/drawingml/2006/picture">
            <wp:extent cx="6680200" cy="6781800"/>
            <wp:docPr id="49" name="Picture 49"/>
            <wp:cNvGraphicFramePr>
              <a:graphicFrameLocks noChangeAspect="1"/>
            </wp:cNvGraphicFramePr>
            <a:graphic>
              <a:graphicData uri="http://schemas.openxmlformats.org/drawingml/2006/picture">
                <pic:pic>
                  <pic:nvPicPr>
                    <pic:cNvPr id="0" name="epub_img_5060081667310355658.jpg"/>
                    <pic:cNvPicPr/>
                  </pic:nvPicPr>
                  <pic:blipFill>
                    <a:blip r:embed="rId42"/>
                    <a:stretch>
                      <a:fillRect/>
                    </a:stretch>
                  </pic:blipFill>
                  <pic:spPr>
                    <a:xfrm>
                      <a:off x="0" y="0"/>
                      <a:ext cx="6680200" cy="6781800"/>
                    </a:xfrm>
                    <a:prstGeom prst="rect"/>
                  </pic:spPr>
                </pic:pic>
              </a:graphicData>
            </a:graphic>
          </wp:inline>
        </w:drawing>
      </w:r>
    </w:p>
    <w:p>
      <w:r>
        <w:rPr>
          <w:b w:val="0"/>
          <w:i w:val="0"/>
        </w:rPr>
        <w:t>Note: Professional, technical, and scientific services has four bulleted items because of a tie.</w:t>
      </w:r>
    </w:p>
    <w:p>
      <w:r>
        <w:rPr>
          <w:b w:val="0"/>
          <w:i w:val="0"/>
        </w:rPr>
        <w:t>Source: Verizon, “2018 Data Breach Investigations Report”</w:t>
      </w:r>
    </w:p>
    <w:p>
      <w:pPr>
        <w:pStyle w:val="Heading2"/>
      </w:pPr>
      <w:r>
        <w:rPr>
          <w:b/>
          <w:i w:val="0"/>
        </w:rPr>
        <w:t>Four Ways to Look at Costs</w:t>
      </w:r>
    </w:p>
    <w:p>
      <w:r>
        <w:rPr>
          <w:b w:val="0"/>
          <w:i w:val="0"/>
        </w:rPr>
        <w:t>The simplest way to look at costs is that they’re always going up, whether through investments in defense or spending to recover from breaches (figure 2-8).</w:t>
      </w:r>
    </w:p>
    <w:p>
      <w:r>
        <w:rPr>
          <w:b/>
          <w:i w:val="0"/>
        </w:rPr>
        <w:t>FIGURE 2-8</w:t>
      </w:r>
    </w:p>
    <w:p>
      <w:r>
        <w:rPr>
          <w:b/>
          <w:i w:val="0"/>
        </w:rPr>
        <w:t>Average cost of cybercrime per company in selected countries (US$M)</w:t>
      </w:r>
    </w:p>
    <w:p>
      <w:pPr>
        <w:jc w:val="center"/>
      </w:pPr>
      <w:r>
        <w:drawing>
          <wp:inline xmlns:a="http://schemas.openxmlformats.org/drawingml/2006/main" xmlns:pic="http://schemas.openxmlformats.org/drawingml/2006/picture">
            <wp:extent cx="6680200" cy="2794000"/>
            <wp:docPr id="50" name="Picture 50"/>
            <wp:cNvGraphicFramePr>
              <a:graphicFrameLocks noChangeAspect="1"/>
            </wp:cNvGraphicFramePr>
            <a:graphic>
              <a:graphicData uri="http://schemas.openxmlformats.org/drawingml/2006/picture">
                <pic:pic>
                  <pic:nvPicPr>
                    <pic:cNvPr id="0" name="epub_img_8766974681724877262.jpg"/>
                    <pic:cNvPicPr/>
                  </pic:nvPicPr>
                  <pic:blipFill>
                    <a:blip r:embed="rId43"/>
                    <a:stretch>
                      <a:fillRect/>
                    </a:stretch>
                  </pic:blipFill>
                  <pic:spPr>
                    <a:xfrm>
                      <a:off x="0" y="0"/>
                      <a:ext cx="6680200" cy="2794000"/>
                    </a:xfrm>
                    <a:prstGeom prst="rect"/>
                  </pic:spPr>
                </pic:pic>
              </a:graphicData>
            </a:graphic>
          </wp:inline>
        </w:drawing>
      </w:r>
    </w:p>
    <w:p>
      <w:r>
        <w:rPr>
          <w:b w:val="0"/>
          <w:i w:val="0"/>
        </w:rPr>
        <w:t>Source: Accenture and Ponemon Institute, “2017 Cost of Cyber Crime Study: Insights on the Security Investments That Make a Difference”</w:t>
      </w:r>
    </w:p>
    <w:p>
      <w:r>
        <w:rPr>
          <w:b w:val="0"/>
          <w:i w:val="0"/>
        </w:rPr>
        <w:t>It’s no surprise that the cost of cybercrime is rising around the world. The steepness of the year-over-year increases in Germany and the United States suggests that those countries hold the most appealing—to hackers—combination of value and vulnerability.</w:t>
      </w:r>
    </w:p>
    <w:p>
      <w:r>
        <w:rPr>
          <w:b w:val="0"/>
          <w:i w:val="0"/>
        </w:rPr>
        <w:t>Looking at costs by sector, a few things stand out (figure 2-9). The cost of cybercrime for utilities and energy companies is high in part because of that industry’s risk profile: A breach could have immediate and potentially life-threatening consequences. Public sector costs are relatively low, but the sheer volume of attacks means that they are likely to rise significantly, especially as state-level espionage increases.</w:t>
      </w:r>
    </w:p>
    <w:p>
      <w:r>
        <w:rPr>
          <w:b/>
          <w:i w:val="0"/>
        </w:rPr>
        <w:t>FIGURE 2-9</w:t>
      </w:r>
    </w:p>
    <w:p>
      <w:r>
        <w:rPr>
          <w:b/>
          <w:i w:val="0"/>
        </w:rPr>
        <w:t>Average annualized cost of cybercrime by sector, worldwide (US$M)</w:t>
      </w:r>
    </w:p>
    <w:p>
      <w:pPr>
        <w:jc w:val="center"/>
      </w:pPr>
      <w:r>
        <w:drawing>
          <wp:inline xmlns:a="http://schemas.openxmlformats.org/drawingml/2006/main" xmlns:pic="http://schemas.openxmlformats.org/drawingml/2006/picture">
            <wp:extent cx="6680200" cy="8394700"/>
            <wp:docPr id="51" name="Picture 51"/>
            <wp:cNvGraphicFramePr>
              <a:graphicFrameLocks noChangeAspect="1"/>
            </wp:cNvGraphicFramePr>
            <a:graphic>
              <a:graphicData uri="http://schemas.openxmlformats.org/drawingml/2006/picture">
                <pic:pic>
                  <pic:nvPicPr>
                    <pic:cNvPr id="0" name="epub_img_774918275519693205.jpg"/>
                    <pic:cNvPicPr/>
                  </pic:nvPicPr>
                  <pic:blipFill>
                    <a:blip r:embed="rId44"/>
                    <a:stretch>
                      <a:fillRect/>
                    </a:stretch>
                  </pic:blipFill>
                  <pic:spPr>
                    <a:xfrm>
                      <a:off x="0" y="0"/>
                      <a:ext cx="6680200" cy="8394700"/>
                    </a:xfrm>
                    <a:prstGeom prst="rect"/>
                  </pic:spPr>
                </pic:pic>
              </a:graphicData>
            </a:graphic>
          </wp:inline>
        </w:drawing>
      </w:r>
    </w:p>
    <w:p>
      <w:r>
        <w:rPr>
          <w:b w:val="0"/>
          <w:i w:val="0"/>
        </w:rPr>
        <w:t>Source: Accenture and Ponemon Institute, “2017 Cost of Cyber Crime Study: Insights on the Security Investments That Make a Difference”</w:t>
      </w:r>
    </w:p>
    <w:p>
      <w:r>
        <w:rPr>
          <w:b w:val="0"/>
          <w:i w:val="0"/>
        </w:rPr>
        <w:t>From 2015 to 2017, as shown in figure 2-10, spending on detection and containment rose by about 5%—and breach prevention rates improved. But as figure 2-11 shows, revenue losses haven’t fallen commensurately.</w:t>
      </w:r>
    </w:p>
    <w:p>
      <w:r>
        <w:rPr>
          <w:b/>
          <w:i w:val="0"/>
        </w:rPr>
        <w:t>FIGURE 2-10</w:t>
      </w:r>
    </w:p>
    <w:p>
      <w:r>
        <w:rPr>
          <w:b/>
          <w:i w:val="0"/>
        </w:rPr>
        <w:t>Share of costs per type of activity</w:t>
      </w:r>
    </w:p>
    <w:p>
      <w:pPr>
        <w:jc w:val="center"/>
      </w:pPr>
      <w:r>
        <w:drawing>
          <wp:inline xmlns:a="http://schemas.openxmlformats.org/drawingml/2006/main" xmlns:pic="http://schemas.openxmlformats.org/drawingml/2006/picture">
            <wp:extent cx="6680200" cy="2451100"/>
            <wp:docPr id="52" name="Picture 52"/>
            <wp:cNvGraphicFramePr>
              <a:graphicFrameLocks noChangeAspect="1"/>
            </wp:cNvGraphicFramePr>
            <a:graphic>
              <a:graphicData uri="http://schemas.openxmlformats.org/drawingml/2006/picture">
                <pic:pic>
                  <pic:nvPicPr>
                    <pic:cNvPr id="0" name="epub_img_2447579610593727.jpg"/>
                    <pic:cNvPicPr/>
                  </pic:nvPicPr>
                  <pic:blipFill>
                    <a:blip r:embed="rId45"/>
                    <a:stretch>
                      <a:fillRect/>
                    </a:stretch>
                  </pic:blipFill>
                  <pic:spPr>
                    <a:xfrm>
                      <a:off x="0" y="0"/>
                      <a:ext cx="6680200" cy="2451100"/>
                    </a:xfrm>
                    <a:prstGeom prst="rect"/>
                  </pic:spPr>
                </pic:pic>
              </a:graphicData>
            </a:graphic>
          </wp:inline>
        </w:drawing>
      </w:r>
    </w:p>
    <w:p>
      <w:r>
        <w:rPr>
          <w:b w:val="0"/>
          <w:i w:val="0"/>
        </w:rPr>
        <w:t>Source: Accenture and Ponemon Institute, “2017 Cost of Cyber Crime Study: Insights on the Security Investments That Make a Difference”</w:t>
      </w:r>
    </w:p>
    <w:p>
      <w:r>
        <w:rPr>
          <w:b/>
          <w:i w:val="0"/>
        </w:rPr>
        <w:t>FIGURE 2-11</w:t>
      </w:r>
    </w:p>
    <w:p>
      <w:r>
        <w:rPr>
          <w:b/>
          <w:i w:val="0"/>
        </w:rPr>
        <w:t>Share of costs per consequence of attack</w:t>
      </w:r>
    </w:p>
    <w:p>
      <w:r>
        <w:rPr>
          <w:b w:val="0"/>
          <w:i w:val="0"/>
        </w:rPr>
        <w:t>Source: Accenture and Ponemon Institute, “2017 Cost of Cyber Crime Study: Insights on the Security Investments That Make a Difference”</w:t>
      </w:r>
    </w:p>
    <w:p>
      <w:r>
        <w:rPr>
          <w:b w:val="0"/>
          <w:i w:val="0"/>
        </w:rPr>
        <w:t>Business disruptions now cost less than they used to; we’re getting better at maintaining uptime despite the steady drumbeat of attacks. But the cost of information losses has risen steeply. This is the great paradox of cybersecurity: Although we’ve improved our ability to thwart attacks, that hasn’t reduced the damage when attacks do succeed.</w:t>
      </w:r>
    </w:p>
    <w:p>
      <w:r>
        <w:rPr>
          <w:b w:val="0"/>
          <w:i w:val="0"/>
        </w:rPr>
        <w:t>Given all this, companies should consider whether the gains realized by having multiple systems online are worth the risks. A new school of thought holds that it’s time to unplug critical systems whose breaches could have dire consequences. Yes, companies would “pay” in terms of convenience and efficiency—but would that price exceed the ever-climbing cost of fending off attacks without making a dent in breaches?</w:t>
      </w:r>
    </w:p>
    <w:p>
      <w:r>
        <w:rPr>
          <w:b/>
          <w:i w:val="0"/>
        </w:rPr>
        <w:t>TAKEAWAYS</w:t>
      </w:r>
    </w:p>
    <w:p>
      <w:r>
        <w:rPr>
          <w:b w:val="0"/>
          <w:i w:val="0"/>
        </w:rPr>
        <w:t>The state of cybersecurity is pretty discouraging. This collection of charts, created using data from three highly respected industry reports, shows just how bleak the full picture is:</w:t>
      </w:r>
    </w:p>
    <w:p>
      <w:pPr>
        <w:pStyle w:val="ListBullet"/>
      </w:pPr>
      <w:r>
        <w:rPr>
          <w:b w:val="0"/>
          <w:i w:val="0"/>
        </w:rPr>
        <w:t>Systems are constantly under attack by hackers employing technical approaches that have been used for years.</w:t>
      </w:r>
    </w:p>
    <w:p>
      <w:pPr>
        <w:pStyle w:val="ListBullet"/>
      </w:pPr>
      <w:r>
        <w:rPr>
          <w:b w:val="0"/>
          <w:i w:val="0"/>
        </w:rPr>
        <w:t>Organizations are thwarting more attacks, but more attacks (and more vicious attacks) are taking place now than ever before.</w:t>
      </w:r>
    </w:p>
    <w:p>
      <w:pPr>
        <w:pStyle w:val="ListBullet"/>
      </w:pPr>
      <w:r>
        <w:rPr>
          <w:b w:val="0"/>
          <w:i w:val="0"/>
        </w:rPr>
        <w:t>What we know about attacks: Most still come from external sources; they fail more often than they succeed; the most common targets are personal and payment information.</w:t>
      </w:r>
    </w:p>
    <w:p>
      <w:r>
        <w:rPr>
          <w:b w:val="0"/>
          <w:i/>
        </w:rPr>
        <w:t>Adapted from content posted on hbr.org, May 23, 2018 (product #BG1803).</w:t>
      </w:r>
    </w:p>
    <w:p>
      <w:pPr>
        <w:pStyle w:val="Heading1"/>
      </w:pPr>
      <w:r>
        <w:rPr>
          <w:b/>
          <w:i w:val="0"/>
        </w:rPr>
        <w:t>3</w:t>
      </w:r>
    </w:p>
    <w:p>
      <w:pPr>
        <w:pStyle w:val="Heading1"/>
      </w:pPr>
      <w:r>
        <w:rPr>
          <w:b/>
          <w:i w:val="0"/>
        </w:rPr>
        <w:t>WHY BOARDS AREN’T DEALING WITH CYBERTHREATS</w:t>
      </w:r>
    </w:p>
    <w:p>
      <w:r>
        <w:rPr>
          <w:b w:val="0"/>
          <w:i w:val="0"/>
        </w:rPr>
        <w:t>by J. Yo-Jud Cheng and Boris Groysberg</w:t>
      </w:r>
    </w:p>
    <w:p>
      <w:r>
        <w:rPr>
          <w:b w:val="0"/>
          <w:i w:val="0"/>
        </w:rPr>
        <w:t>One of the greatest challenges facing boards today is the one directors feel least prepared for: cybersecurity. In previous work we found that cybersecurity ranked as a top political issue for corporate directors, trailing only the economy and the regulatory environment. Directors acknowledge cybersecurity as an urgent global issue, but they are failing to make the connection between the pervasiveness of cyberthreats and their companies’ vulnerabilities. When we asked them to describe their levels of concern and readiness for various risks to their companies, cybersecurity took a back seat to worries about regulatory and reputational risks, which directors were more adequately prepared to deal with. Just 38% of directors reported having a high level of concern about cybersecurity risks, and an even smaller proportion said they were prepared for these risks (figure 3-1). In the words of one director, “Cybersecurity is a big issue, but there is a broad spectrum of risk in this business, so it is a key factor among several.”</w:t>
      </w:r>
    </w:p>
    <w:p>
      <w:r>
        <w:rPr>
          <w:b/>
          <w:i w:val="0"/>
        </w:rPr>
        <w:t>FIGURE 3-1</w:t>
      </w:r>
    </w:p>
    <w:p>
      <w:r>
        <w:rPr>
          <w:b/>
          <w:i w:val="0"/>
        </w:rPr>
        <w:t>Most board directors aren’t highly concerned about or ready for cyberthreats</w:t>
      </w:r>
    </w:p>
    <w:p>
      <w:r>
        <w:rPr>
          <w:b w:val="0"/>
          <w:i w:val="0"/>
        </w:rPr>
        <w:t>Percentage that indicated a “great” or “very great” level of concern/readiness</w:t>
      </w:r>
    </w:p>
    <w:p>
      <w:pPr>
        <w:jc w:val="center"/>
      </w:pPr>
      <w:r>
        <w:drawing>
          <wp:inline xmlns:a="http://schemas.openxmlformats.org/drawingml/2006/main" xmlns:pic="http://schemas.openxmlformats.org/drawingml/2006/picture">
            <wp:extent cx="6680200" cy="5461000"/>
            <wp:docPr id="53" name="Picture 53"/>
            <wp:cNvGraphicFramePr>
              <a:graphicFrameLocks noChangeAspect="1"/>
            </wp:cNvGraphicFramePr>
            <a:graphic>
              <a:graphicData uri="http://schemas.openxmlformats.org/drawingml/2006/picture">
                <pic:pic>
                  <pic:nvPicPr>
                    <pic:cNvPr id="0" name="epub_img_1597523275235513442.jpg"/>
                    <pic:cNvPicPr/>
                  </pic:nvPicPr>
                  <pic:blipFill>
                    <a:blip r:embed="rId46"/>
                    <a:stretch>
                      <a:fillRect/>
                    </a:stretch>
                  </pic:blipFill>
                  <pic:spPr>
                    <a:xfrm>
                      <a:off x="0" y="0"/>
                      <a:ext cx="6680200" cy="5461000"/>
                    </a:xfrm>
                    <a:prstGeom prst="rect"/>
                  </pic:spPr>
                </pic:pic>
              </a:graphicData>
            </a:graphic>
          </wp:inline>
        </w:drawing>
      </w:r>
    </w:p>
    <w:p>
      <w:r>
        <w:rPr>
          <w:b w:val="0"/>
          <w:i w:val="0"/>
        </w:rPr>
        <w:t>Number of participants: 340</w:t>
      </w:r>
    </w:p>
    <w:p>
      <w:r>
        <w:rPr>
          <w:b w:val="0"/>
          <w:i w:val="0"/>
        </w:rPr>
        <w:t>When directors evaluated the factors that could limit their company’s ability to achieve its strategic objectives, cybersecurity issues were overshadowed by more salient concerns like attracting and retaining top talent, the regulatory environment, and global competitive threats (figure 3-2).</w:t>
      </w:r>
    </w:p>
    <w:p>
      <w:r>
        <w:rPr>
          <w:b/>
          <w:i w:val="0"/>
        </w:rPr>
        <w:t>FIGURE 3-2</w:t>
      </w:r>
    </w:p>
    <w:p>
      <w:r>
        <w:rPr>
          <w:b/>
          <w:i w:val="0"/>
        </w:rPr>
        <w:t>Few board directors view cybersecurity as a strategic threat</w:t>
      </w:r>
    </w:p>
    <w:p>
      <w:pPr>
        <w:jc w:val="center"/>
      </w:pPr>
      <w:r>
        <w:drawing>
          <wp:inline xmlns:a="http://schemas.openxmlformats.org/drawingml/2006/main" xmlns:pic="http://schemas.openxmlformats.org/drawingml/2006/picture">
            <wp:extent cx="6680200" cy="5727700"/>
            <wp:docPr id="54" name="Picture 54"/>
            <wp:cNvGraphicFramePr>
              <a:graphicFrameLocks noChangeAspect="1"/>
            </wp:cNvGraphicFramePr>
            <a:graphic>
              <a:graphicData uri="http://schemas.openxmlformats.org/drawingml/2006/picture">
                <pic:pic>
                  <pic:nvPicPr>
                    <pic:cNvPr id="0" name="epub_img_4314927897443062139.jpg"/>
                    <pic:cNvPicPr/>
                  </pic:nvPicPr>
                  <pic:blipFill>
                    <a:blip r:embed="rId47"/>
                    <a:stretch>
                      <a:fillRect/>
                    </a:stretch>
                  </pic:blipFill>
                  <pic:spPr>
                    <a:xfrm>
                      <a:off x="0" y="0"/>
                      <a:ext cx="6680200" cy="5727700"/>
                    </a:xfrm>
                    <a:prstGeom prst="rect"/>
                  </pic:spPr>
                </pic:pic>
              </a:graphicData>
            </a:graphic>
          </wp:inline>
        </w:drawing>
      </w:r>
    </w:p>
    <w:p>
      <w:r>
        <w:rPr>
          <w:b w:val="0"/>
          <w:i w:val="0"/>
        </w:rPr>
        <w:t>Number polled: 2,938</w:t>
      </w:r>
    </w:p>
    <w:p>
      <w:r>
        <w:rPr>
          <w:b w:val="0"/>
          <w:i w:val="0"/>
        </w:rPr>
        <w:t>These findings confirm that directors simply aren’t internalizing the extensive, long-term damage an attack could inflict on their organizations. Why the disconnect between the global- and company-level views? Using a comprehensive survey of more than 5,000 directors in over 60 countries, conducted in partnership with WomenCorporateDirectors Foundation, Spencer Stuart, and independent researcher Deborah Bell, we found two main reasons: Boards lack the processes and the expertise they need to surface, evaluate, and address cyberthreats.</w:t>
      </w:r>
    </w:p>
    <w:p>
      <w:pPr>
        <w:pStyle w:val="Heading2"/>
      </w:pPr>
      <w:r>
        <w:rPr>
          <w:b/>
          <w:i w:val="0"/>
        </w:rPr>
        <w:t>Inadequate Processes</w:t>
      </w:r>
    </w:p>
    <w:p>
      <w:r>
        <w:rPr>
          <w:b w:val="0"/>
          <w:i w:val="0"/>
        </w:rPr>
        <w:t>Most boards have robust processes for addressing their most pressing responsibilities, such as financial planning and compliance. But when we asked specifically about processes related to cybersecurity issues, such as regular discussions about cyber risks (with or without cybersecurity specialists) and management reviews of contingency plans for a data breach, directors gave their boards low marks (figure 3-3). Only 24% rated those processes as “above average” or “excellent.” In fact, among the 23 processes we asked about, directors ranked the ones related to cybersecurity dead last.</w:t>
      </w:r>
    </w:p>
    <w:p>
      <w:r>
        <w:rPr>
          <w:b/>
          <w:i w:val="0"/>
        </w:rPr>
        <w:t>FIGURE 3-3</w:t>
      </w:r>
    </w:p>
    <w:p>
      <w:r>
        <w:rPr>
          <w:b/>
          <w:i w:val="0"/>
        </w:rPr>
        <w:t>Most board cybersecurity processes fall short, according to directors</w:t>
      </w:r>
    </w:p>
    <w:p>
      <w:r>
        <w:rPr>
          <w:b w:val="0"/>
          <w:i w:val="0"/>
        </w:rPr>
        <w:t>Percentage that rated each process as “above average” or “excellent”</w:t>
      </w:r>
    </w:p>
    <w:p>
      <w:pPr>
        <w:jc w:val="center"/>
      </w:pPr>
      <w:r>
        <w:drawing>
          <wp:inline xmlns:a="http://schemas.openxmlformats.org/drawingml/2006/main" xmlns:pic="http://schemas.openxmlformats.org/drawingml/2006/picture">
            <wp:extent cx="6680200" cy="8432800"/>
            <wp:docPr id="55" name="Picture 55"/>
            <wp:cNvGraphicFramePr>
              <a:graphicFrameLocks noChangeAspect="1"/>
            </wp:cNvGraphicFramePr>
            <a:graphic>
              <a:graphicData uri="http://schemas.openxmlformats.org/drawingml/2006/picture">
                <pic:pic>
                  <pic:nvPicPr>
                    <pic:cNvPr id="0" name="epub_img_6793670041407770793.jpg"/>
                    <pic:cNvPicPr/>
                  </pic:nvPicPr>
                  <pic:blipFill>
                    <a:blip r:embed="rId48"/>
                    <a:stretch>
                      <a:fillRect/>
                    </a:stretch>
                  </pic:blipFill>
                  <pic:spPr>
                    <a:xfrm>
                      <a:off x="0" y="0"/>
                      <a:ext cx="6680200" cy="8432800"/>
                    </a:xfrm>
                    <a:prstGeom prst="rect"/>
                  </pic:spPr>
                </pic:pic>
              </a:graphicData>
            </a:graphic>
          </wp:inline>
        </w:drawing>
      </w:r>
    </w:p>
    <w:p>
      <w:r>
        <w:rPr>
          <w:b w:val="0"/>
          <w:i w:val="0"/>
        </w:rPr>
        <w:t>Number of participants: 3,183</w:t>
      </w:r>
    </w:p>
    <w:p>
      <w:r>
        <w:rPr>
          <w:b w:val="0"/>
          <w:i w:val="0"/>
        </w:rPr>
        <w:t>The strength of these processes also varied by industry: Boards in the IT and telecom sectors led the field, with 42% reporting strong measures; in the materials and industrials sectors fewer than one in five directors could say the same. In the health care industry, a common target for data breaches, and one that has proven to be particularly vulnerable, 79% of respondents said their organizations lack robust cybersecurity processes.</w:t>
      </w:r>
    </w:p>
    <w:p>
      <w:pPr>
        <w:pStyle w:val="Heading2"/>
      </w:pPr>
      <w:r>
        <w:rPr>
          <w:b/>
          <w:i w:val="0"/>
        </w:rPr>
        <w:t>Lack of Expertise</w:t>
      </w:r>
    </w:p>
    <w:p>
      <w:r>
        <w:rPr>
          <w:b w:val="0"/>
          <w:i w:val="0"/>
        </w:rPr>
        <w:t>When we asked directors about the board duties they struggle with, issues of risk and security were the challenges they mentioned most (figure 3-4). The main problem, they said, was that they simply don’t have the expertise. One director pointed to “a lack of understanding of the issue and an unwillingness to make room for those with new thinking and understanding of the issue.” Another said, “There is too much responsibility placed on boards to oversee areas they don’t have much experience in, that is, cybersecurity.”</w:t>
      </w:r>
    </w:p>
    <w:p>
      <w:r>
        <w:rPr>
          <w:b/>
          <w:i w:val="0"/>
        </w:rPr>
        <w:t>FIGURE 3-4</w:t>
      </w:r>
    </w:p>
    <w:p>
      <w:r>
        <w:rPr>
          <w:b/>
          <w:i w:val="0"/>
        </w:rPr>
        <w:t>Cybersecurity is the biggest challenge for board directors</w:t>
      </w:r>
    </w:p>
    <w:p>
      <w:pPr>
        <w:jc w:val="center"/>
      </w:pPr>
      <w:r>
        <w:drawing>
          <wp:inline xmlns:a="http://schemas.openxmlformats.org/drawingml/2006/main" xmlns:pic="http://schemas.openxmlformats.org/drawingml/2006/picture">
            <wp:extent cx="6680200" cy="6350000"/>
            <wp:docPr id="56" name="Picture 56"/>
            <wp:cNvGraphicFramePr>
              <a:graphicFrameLocks noChangeAspect="1"/>
            </wp:cNvGraphicFramePr>
            <a:graphic>
              <a:graphicData uri="http://schemas.openxmlformats.org/drawingml/2006/picture">
                <pic:pic>
                  <pic:nvPicPr>
                    <pic:cNvPr id="0" name="epub_img_1612635414321597381.jpg"/>
                    <pic:cNvPicPr/>
                  </pic:nvPicPr>
                  <pic:blipFill>
                    <a:blip r:embed="rId49"/>
                    <a:stretch>
                      <a:fillRect/>
                    </a:stretch>
                  </pic:blipFill>
                  <pic:spPr>
                    <a:xfrm>
                      <a:off x="0" y="0"/>
                      <a:ext cx="6680200" cy="6350000"/>
                    </a:xfrm>
                    <a:prstGeom prst="rect"/>
                  </pic:spPr>
                </pic:pic>
              </a:graphicData>
            </a:graphic>
          </wp:inline>
        </w:drawing>
      </w:r>
    </w:p>
    <w:p>
      <w:r>
        <w:rPr>
          <w:b w:val="0"/>
          <w:i w:val="0"/>
        </w:rPr>
        <w:t>Number of participants: 2,791</w:t>
      </w:r>
    </w:p>
    <w:p>
      <w:pPr>
        <w:pStyle w:val="Heading2"/>
      </w:pPr>
      <w:r>
        <w:rPr>
          <w:b/>
          <w:i w:val="0"/>
        </w:rPr>
        <w:t>A Real Strategic Threat</w:t>
      </w:r>
    </w:p>
    <w:p>
      <w:r>
        <w:rPr>
          <w:b w:val="0"/>
          <w:i w:val="0"/>
        </w:rPr>
        <w:t>Boards neglect cybersecurity issues at their peril. An IBM study estimated that the average cost of a data breach is around $4 million.1 Cisco, in a recent study, noted that targeted companies suffer substantial losses of revenue, customers, and business opportunities.2 Clearly, these attacks can’t be viewed as an abstract external threat. Boards have to embrace the facts and adjust their thinking: Cybersecurity threats are universal, and board members have to take ownership of these risks. The topic should be discussed regularly in all boardrooms, regardless of industry, region, or company size.</w:t>
      </w:r>
    </w:p>
    <w:p>
      <w:r>
        <w:rPr>
          <w:b w:val="0"/>
          <w:i w:val="0"/>
        </w:rPr>
        <w:t>Boards can take concrete steps to prioritize cybersecurity issues. One director suggested that directors start by “asking questions and determining whether appropriate processes are in place.” Boards can hold executive management accountable for evaluating current cybersecurity risks and maintaining response plans by making cybersecurity debriefings a regular agenda item at board meetings. They can advocate for investments in data security and infrastructure within their organizations, and they can encourage executive management to bring in external experts if needed (boards can bring in their own experts, too, either as consultants or as full board members). These types of investments should be viewed as vital to the organization’s risk-management functions and long-term strategy, and they need to be reviewed on a continual basis. As one director told us, “In light of the threats, this issue should be examined in a way that is broader than a risk considered by the audit committee.”</w:t>
      </w:r>
    </w:p>
    <w:p>
      <w:r>
        <w:rPr>
          <w:b w:val="0"/>
          <w:i w:val="0"/>
        </w:rPr>
        <w:t>The scope of cybersecurity threats will only continue to grow. By being more proactive about cybersecurity issues, directors can play an essential role in safeguarding their organization’s stability and supporting future growth.</w:t>
      </w:r>
    </w:p>
    <w:p>
      <w:r>
        <w:rPr>
          <w:b/>
          <w:i w:val="0"/>
        </w:rPr>
        <w:t>TAKEAWAYS</w:t>
      </w:r>
    </w:p>
    <w:p>
      <w:r>
        <w:rPr>
          <w:b w:val="0"/>
          <w:i w:val="0"/>
        </w:rPr>
        <w:t>Boards don’t focus enough on cybersecurity issues. Here’s why, and here’s what they can do about it:</w:t>
      </w:r>
    </w:p>
    <w:p>
      <w:pPr>
        <w:pStyle w:val="ListBullet"/>
      </w:pPr>
      <w:r>
        <w:rPr>
          <w:b w:val="0"/>
          <w:i w:val="0"/>
        </w:rPr>
        <w:t>Most boards lack robust processes for regularly discussing cyber risks and reviewing contingency plans for a data breach.</w:t>
      </w:r>
    </w:p>
    <w:p>
      <w:pPr>
        <w:pStyle w:val="ListBullet"/>
      </w:pPr>
      <w:r>
        <w:rPr>
          <w:b w:val="0"/>
          <w:i w:val="0"/>
        </w:rPr>
        <w:t>Directors feel they lack the expertise needed to address risk and security issues.</w:t>
      </w:r>
    </w:p>
    <w:p>
      <w:pPr>
        <w:pStyle w:val="ListBullet"/>
      </w:pPr>
      <w:r>
        <w:rPr>
          <w:b w:val="0"/>
          <w:i w:val="0"/>
        </w:rPr>
        <w:t>Boards should embrace the fact that cybersecurity threats are universal and that they need to take ownership of these risks.</w:t>
      </w:r>
    </w:p>
    <w:p>
      <w:pPr>
        <w:pStyle w:val="ListBullet"/>
      </w:pPr>
      <w:r>
        <w:rPr>
          <w:b w:val="0"/>
          <w:i w:val="0"/>
        </w:rPr>
        <w:t>Boards can prioritize and address cybersecurity issues by adopting several practices, including:</w:t>
      </w:r>
    </w:p>
    <w:p>
      <w:pPr>
        <w:pStyle w:val="ListBullet"/>
      </w:pPr>
      <w:r>
        <w:rPr>
          <w:b w:val="0"/>
          <w:i w:val="0"/>
        </w:rPr>
        <w:t>Raising cybersecurity-related questions, even if they don’t know the answers</w:t>
      </w:r>
    </w:p>
    <w:p>
      <w:pPr>
        <w:pStyle w:val="ListBullet"/>
      </w:pPr>
      <w:r>
        <w:rPr>
          <w:b w:val="0"/>
          <w:i w:val="0"/>
        </w:rPr>
        <w:t>Making cybersecurity debriefings a regular agenda item at board meetings</w:t>
      </w:r>
    </w:p>
    <w:p>
      <w:pPr>
        <w:pStyle w:val="ListBullet"/>
      </w:pPr>
      <w:r>
        <w:rPr>
          <w:b w:val="0"/>
          <w:i w:val="0"/>
        </w:rPr>
        <w:t>Advocating for investments in data security and risk management infrastructure within the organization</w:t>
      </w:r>
    </w:p>
    <w:p>
      <w:pPr>
        <w:pStyle w:val="ListBullet"/>
      </w:pPr>
      <w:r>
        <w:rPr>
          <w:b w:val="0"/>
          <w:i w:val="0"/>
        </w:rPr>
        <w:t>Bringing in external cybersecurity experts as consultants or full board members</w:t>
      </w:r>
    </w:p>
    <w:p>
      <w:pPr>
        <w:pStyle w:val="Heading3"/>
      </w:pPr>
      <w:r>
        <w:rPr>
          <w:b/>
          <w:i w:val="0"/>
        </w:rPr>
        <w:t>NOTES</w:t>
      </w:r>
    </w:p>
    <w:p>
      <w:r>
        <w:rPr>
          <w:b w:val="0"/>
          <w:i w:val="0"/>
        </w:rPr>
        <w:t>1. IBM and Ponemon Institute, “2018 Cost of a Data Breach Study by Ponemon,” https://www.ibm.com/security/data-breach.</w:t>
      </w:r>
    </w:p>
    <w:p>
      <w:r>
        <w:rPr>
          <w:b w:val="0"/>
          <w:i w:val="0"/>
        </w:rPr>
        <w:t>2. Cisco, “Cisco 2017 Annual Cybersecurity Report: Chief Security Officers Reveal True Cost of Breaches and the Actions Organizations Are Taking,” January 31, 2017, https://newsroom.cisco.com/press-release-content?type=webcontent&amp;articleId=1818259.</w:t>
      </w:r>
    </w:p>
    <w:p>
      <w:r>
        <w:rPr>
          <w:b w:val="0"/>
          <w:i/>
        </w:rPr>
        <w:t>Adapted from content posted on hbr.org, February 22, 2017 (product #H03GZ7).</w:t>
      </w:r>
    </w:p>
    <w:p>
      <w:pPr>
        <w:pStyle w:val="Heading1"/>
      </w:pPr>
      <w:r>
        <w:rPr>
          <w:b/>
          <w:i w:val="0"/>
        </w:rPr>
        <w:t>4</w:t>
      </w:r>
    </w:p>
    <w:p>
      <w:pPr>
        <w:pStyle w:val="Heading1"/>
      </w:pPr>
      <w:r>
        <w:rPr>
          <w:b/>
          <w:i w:val="0"/>
        </w:rPr>
        <w:t>THE BEHAVIORAL ECONOMICS OF WHY EXECUTIVES UNDERINVEST IN CYBERSECURITY</w:t>
      </w:r>
    </w:p>
    <w:p>
      <w:r>
        <w:rPr>
          <w:b w:val="0"/>
          <w:i w:val="0"/>
        </w:rPr>
        <w:t>by Alex Blau</w:t>
      </w:r>
    </w:p>
    <w:p>
      <w:r>
        <w:rPr>
          <w:b w:val="0"/>
          <w:i w:val="0"/>
        </w:rPr>
        <w:t>Determining the ROI for any cybersecurity investment, from staff training to AI-enabled authentication managers, can best be described as an enigma shrouded in mystery. The digital threat landscape changes constantly, and it’s very difficult to know the probability of any given attack succeeding—or how big the potential losses might be. Even the known costs, such as penalties for data breaches in highly regulated industries like health care, are a small piece of the ROI calculation. In the absence of good data, decision makers must use something less than perfect to weigh the options: their judgment.</w:t>
      </w:r>
    </w:p>
    <w:p>
      <w:r>
        <w:rPr>
          <w:b w:val="0"/>
          <w:i w:val="0"/>
        </w:rPr>
        <w:t>But insights from behavioral economics and psychology show that human judgment is often biased in predictably problematic ways. In the case of cybersecurity, some decision makers use the wrong mental models to help them determine how much investment is necessary and where to invest. For example, they may think about cyber defense as a fortification process—if you build strong firewalls, with well-manned turrets, you’ll be able to see the attacker from a mile away. Or they may assume that complying with a security framework like NIST (National Institute of Standards and Technology) or FISMA (Federal Information Security Modernization Act) is sufficient security—just check all the boxes and you can keep pesky attackers at bay. They may also fail to consider the counterfactual thinking—</w:t>
      </w:r>
      <w:r>
        <w:rPr>
          <w:b w:val="0"/>
          <w:i/>
        </w:rPr>
        <w:t>We didn’t have a breach this year, so we don’t need to ramp up investment</w:t>
      </w:r>
      <w:r>
        <w:rPr>
          <w:b w:val="0"/>
          <w:i w:val="0"/>
        </w:rPr>
        <w:t>—when in reality they probably either got lucky this year or are unaware that a bad actor is lurking in their system, waiting to strike.</w:t>
      </w:r>
    </w:p>
    <w:p>
      <w:r>
        <w:rPr>
          <w:b w:val="0"/>
          <w:i w:val="0"/>
        </w:rPr>
        <w:t xml:space="preserve">The problem with these mental models is that they treat cybersecurity as a finite problem that can be solved, rather than as the ongoing process that it is. No matter how fortified a firm may be, hackers, much like water, will find the cracks in the wall. That’s why cybersecurity efforts have to focus on risk </w:t>
      </w:r>
      <w:r>
        <w:rPr>
          <w:b w:val="0"/>
          <w:i/>
        </w:rPr>
        <w:t>management</w:t>
      </w:r>
      <w:r>
        <w:rPr>
          <w:b w:val="0"/>
          <w:i w:val="0"/>
        </w:rPr>
        <w:t xml:space="preserve">, not risk </w:t>
      </w:r>
      <w:r>
        <w:rPr>
          <w:b w:val="0"/>
          <w:i/>
        </w:rPr>
        <w:t>mitigation</w:t>
      </w:r>
      <w:r>
        <w:rPr>
          <w:b w:val="0"/>
          <w:i w:val="0"/>
        </w:rPr>
        <w:t>. But this pessimistic outlook makes for a very tough sell. How can security executives get around the misguided thinking that leads to underinvestment, and secure the resources they need?</w:t>
      </w:r>
    </w:p>
    <w:p>
      <w:r>
        <w:rPr>
          <w:b w:val="0"/>
          <w:i w:val="0"/>
        </w:rPr>
        <w:t xml:space="preserve">My behavioral science research and design firm, ideas42, has been interviewing experts across the cybersecurity space and conducting extensive research to identify human behavioral challenges at the levels of engineers, end users, IT administrators, and executives. We’ve uncovered insights about why people put errors into code, fail to install software updates, and poorly manage access permissions. (We delve into these challenges in </w:t>
      </w:r>
      <w:r>
        <w:rPr>
          <w:b w:val="0"/>
          <w:i/>
        </w:rPr>
        <w:t>Deep Thought: A Cybersecurity Story</w:t>
      </w:r>
      <w:r>
        <w:rPr>
          <w:b w:val="0"/>
          <w:i w:val="0"/>
        </w:rPr>
        <w:t>, a research-based novella.) Our findings point to steps that security executives and other cybersecurity professionals can take to work around CEOs’ human biases and motivate decision makers to invest more in cyber infrastructure.</w:t>
      </w:r>
    </w:p>
    <w:p>
      <w:pPr>
        <w:pStyle w:val="Heading3"/>
      </w:pPr>
      <w:r>
        <w:rPr>
          <w:b w:val="0"/>
          <w:i w:val="0"/>
        </w:rPr>
        <w:t>Appeal to the emotions of financial decision makers</w:t>
      </w:r>
    </w:p>
    <w:p>
      <w:r>
        <w:rPr>
          <w:b w:val="0"/>
          <w:i w:val="0"/>
        </w:rPr>
        <w:t xml:space="preserve">The way that information is conveyed to us has a huge effect on how we receive and act on it. For cybersecurity professionals, it’s intuitive to describe cyber risk in terms of the integrity and availability of data, or with quantifiable metrics like packet loss, but these concepts aren’t likely to resonate with decision makers who think about risk very differently. Instead, cybersecurity professionals should take into account people’s tendency to overweight information that portrays consequences vividly and tugs at their emotions. To leverage this </w:t>
      </w:r>
      <w:r>
        <w:rPr>
          <w:b w:val="0"/>
          <w:i/>
        </w:rPr>
        <w:t>affect bias,</w:t>
      </w:r>
      <w:r>
        <w:rPr>
          <w:b w:val="0"/>
          <w:i w:val="0"/>
        </w:rPr>
        <w:t xml:space="preserve"> security professionals should explain cyber risk by using clear narratives that connect to risk areas that high-level decision makers are familiar with and already care deeply about. For example, your company’s risk areas may include customer data loss as well as the regulatory costs and PR fallout that can affect the company’s reputation. It’s not just about data corruption—it’s also about how the bad data will reduce operational efficiency and bring production lines to a standstill.</w:t>
      </w:r>
    </w:p>
    <w:p>
      <w:pPr>
        <w:pStyle w:val="Heading3"/>
      </w:pPr>
      <w:r>
        <w:rPr>
          <w:b w:val="0"/>
          <w:i w:val="0"/>
        </w:rPr>
        <w:t>Replace your CEO’s mental model with new success metrics</w:t>
      </w:r>
    </w:p>
    <w:p>
      <w:r>
        <w:rPr>
          <w:b w:val="0"/>
          <w:i w:val="0"/>
        </w:rPr>
        <w:t xml:space="preserve">Everyone uses mental models to distill complexity into something manageable. Having the </w:t>
      </w:r>
      <w:r>
        <w:rPr>
          <w:b w:val="0"/>
          <w:i/>
        </w:rPr>
        <w:t>wrong</w:t>
      </w:r>
      <w:r>
        <w:rPr>
          <w:b w:val="0"/>
          <w:i w:val="0"/>
        </w:rPr>
        <w:t xml:space="preserve"> mental model about what a cybersecurity program is supposed to do can be the difference between a thwarted attack and a significant breach. Some CEOs may think that security investments are for building an infrastructure, that creating a fortified castle is all that’s needed to keep a company safe. With this mental picture, the goals of a financial decision maker will always be oriented toward risk mitigation instead of risk management.</w:t>
      </w:r>
    </w:p>
    <w:p>
      <w:r>
        <w:rPr>
          <w:b w:val="0"/>
          <w:i w:val="0"/>
        </w:rPr>
        <w:t xml:space="preserve">To get around this, chief information security officers (CISOs) should work with boards and financial decision makers to reframe metrics for success in terms of the number of vulnerabilities that are found and fixed. No cybersecurity system will ever be impenetrable, so working to find the cracks will shift leaders’ focus from building the right </w:t>
      </w:r>
      <w:r>
        <w:rPr>
          <w:b w:val="0"/>
          <w:i/>
        </w:rPr>
        <w:t>system</w:t>
      </w:r>
      <w:r>
        <w:rPr>
          <w:b w:val="0"/>
          <w:i w:val="0"/>
        </w:rPr>
        <w:t xml:space="preserve"> to building the right </w:t>
      </w:r>
      <w:r>
        <w:rPr>
          <w:b w:val="0"/>
          <w:i/>
        </w:rPr>
        <w:t>process</w:t>
      </w:r>
      <w:r>
        <w:rPr>
          <w:b w:val="0"/>
          <w:i w:val="0"/>
        </w:rPr>
        <w:t>. Counterintuitively, a firm’s security team uncovering more vulnerabilities should be considered a positive sign. All systems have bugs, and all humans can be hacked, so treating vulnerabilities as shortcomings will create an unintended incentive for an internal security team to hide them. Recognize that the stronger the security processes and team capabilities are, the more vulnerabilities they’ll discover (and be able to fix).</w:t>
      </w:r>
    </w:p>
    <w:p>
      <w:pPr>
        <w:pStyle w:val="Heading3"/>
      </w:pPr>
      <w:r>
        <w:rPr>
          <w:b w:val="0"/>
          <w:i w:val="0"/>
        </w:rPr>
        <w:t>Survey your peers to help curb overconfidence</w:t>
      </w:r>
    </w:p>
    <w:p>
      <w:r>
        <w:rPr>
          <w:b w:val="0"/>
          <w:i w:val="0"/>
        </w:rPr>
        <w:t>Overconfidence is a pervasive bias, and it can be a big problem if it clouds leaders’ judgment about cybersecurity investment. Our research found that many C-level executives believe that their own investments in cybersecurity are sufficient but that few of their peers are investing enough (a belief that, given how widespread it is, can’t possibly be true). One way that CISOs can overcome a CEO’s overconfidence is to compare the company’s performance with a baseline from similar firms—in other words, confront the problem head-on. You can accomplish this by regularly polling CISOs and executives about how well organizations in your industry are managing cybersecurity infrastructure, prompting them to be as specific as possible about what they are doing well and what they’re not, and asking those same CISOs to help determine how well your own firm is doing. This way, CISOs can provide clearer information to CEOs about how they are actually performing relative to their industry peers.</w:t>
      </w:r>
    </w:p>
    <w:p>
      <w:pPr>
        <w:pStyle w:val="Heading3"/>
      </w:pPr>
      <w:r>
        <w:rPr>
          <w:b w:val="0"/>
          <w:i w:val="0"/>
        </w:rPr>
        <w:t>“You are the weakest link”</w:t>
      </w:r>
    </w:p>
    <w:p>
      <w:r>
        <w:rPr>
          <w:b w:val="0"/>
          <w:i w:val="0"/>
        </w:rPr>
        <w:t>In her essay “Regarding the Pain of Others,” Susan Sontag wrote, “To photograph is to frame, and to frame is to exclude.” Human attention functions quite similarly. People concentrate on certain aspects of information in their environment while ignoring others; what a CEO chooses to invest in can be thought of in a similar light. For instance, in the wake of a newsworthy hack, CEOs may push their teams to ramp up investment in cyber infrastructure to protect against external threats. But in doing so they may be inattentive to unwitting internal threats that may be just as costly—employees clicking on bad links or falling for phishing attacks.</w:t>
      </w:r>
    </w:p>
    <w:p>
      <w:r>
        <w:rPr>
          <w:b w:val="0"/>
          <w:i w:val="0"/>
        </w:rPr>
        <w:t>How can a CISO work around a decision maker’s inattention? No one likes to be embarrassed, but negative feedback can sometimes be an effective remedy for inattention. Security teams should regularly try to break their own systems through penetration testing, and the CEO should be the biggest target. After all, that’s how outside hackers would see it. By making the CEO the victim of an internally initiated (and safe) attack, it might be possible to draw their attention to potential risks that already exist and motivate leaders to increase their investment in cyber infrastructure.</w:t>
      </w:r>
    </w:p>
    <w:p>
      <w:r>
        <w:rPr>
          <w:b w:val="0"/>
          <w:i w:val="0"/>
        </w:rPr>
        <w:t>If the focus of cybersecurity programs continues to be on designing better technologies to combat the growing menace of cyberattacks, we’ll continue to neglect the most important aspect of security—the person in the middle. By turning the lens of behavioral science onto cybersecurity challenges, CISOs can identify new ways to approach old problems, and maybe improve their budgets at the same time.</w:t>
      </w:r>
    </w:p>
    <w:p>
      <w:r>
        <w:rPr>
          <w:b/>
          <w:i w:val="0"/>
        </w:rPr>
        <w:t>TAKEAWAYS</w:t>
      </w:r>
    </w:p>
    <w:p>
      <w:r>
        <w:rPr>
          <w:b w:val="0"/>
          <w:i w:val="0"/>
        </w:rPr>
        <w:t>Decision makers who see cybersecurity as a finite problem to be solved, rather than an ongoing process that needs constant updating and renewal, need new mental models to determine how much and where to invest in cybersecurity:</w:t>
      </w:r>
    </w:p>
    <w:p>
      <w:pPr>
        <w:pStyle w:val="ListBullet"/>
      </w:pPr>
      <w:r>
        <w:rPr>
          <w:b w:val="0"/>
          <w:i w:val="0"/>
        </w:rPr>
        <w:t>Cybersecurity professionals should leverage affect bias—the tendency to overweight information that vividly portrays consequences and appeals to emotions—by using stories that connect to risk areas that high-level decision makers already care about, such as customer data loss or regulatory costs.</w:t>
      </w:r>
    </w:p>
    <w:p>
      <w:pPr>
        <w:pStyle w:val="ListBullet"/>
      </w:pPr>
      <w:r>
        <w:rPr>
          <w:b w:val="0"/>
          <w:i w:val="0"/>
        </w:rPr>
        <w:t xml:space="preserve">Reframe metrics for success: focus on building the right </w:t>
      </w:r>
      <w:r>
        <w:rPr>
          <w:b w:val="0"/>
          <w:i/>
        </w:rPr>
        <w:t>process</w:t>
      </w:r>
      <w:r>
        <w:rPr>
          <w:b w:val="0"/>
          <w:i w:val="0"/>
        </w:rPr>
        <w:t xml:space="preserve"> instead of the right </w:t>
      </w:r>
      <w:r>
        <w:rPr>
          <w:b w:val="0"/>
          <w:i/>
        </w:rPr>
        <w:t>system</w:t>
      </w:r>
      <w:r>
        <w:rPr>
          <w:b w:val="0"/>
          <w:i w:val="0"/>
        </w:rPr>
        <w:t>. View the number of vulnerabilities the security team uncovers as a victory, not a failure.</w:t>
      </w:r>
    </w:p>
    <w:p>
      <w:pPr>
        <w:pStyle w:val="ListBullet"/>
      </w:pPr>
      <w:r>
        <w:rPr>
          <w:b w:val="0"/>
          <w:i w:val="0"/>
        </w:rPr>
        <w:t>Curb overconfidence by having the CISO provide information about how the company is doing relative to industry peers.</w:t>
      </w:r>
    </w:p>
    <w:p>
      <w:pPr>
        <w:pStyle w:val="ListBullet"/>
      </w:pPr>
      <w:r>
        <w:rPr>
          <w:b w:val="0"/>
          <w:i w:val="0"/>
        </w:rPr>
        <w:t>Target your CEO through an internally initiated (and safe) attack to draw their attention to existing potential risks and to motivate leaders to increase their investment in infrastructure.</w:t>
      </w:r>
    </w:p>
    <w:p>
      <w:r>
        <w:rPr>
          <w:b w:val="0"/>
          <w:i/>
        </w:rPr>
        <w:t>Adapted from content posted on hbr.org, June 7, 2017 (product #H03PFQ).</w:t>
      </w:r>
    </w:p>
    <w:p>
      <w:pPr>
        <w:pStyle w:val="Heading1"/>
      </w:pPr>
      <w:r>
        <w:rPr>
          <w:b/>
          <w:i w:val="0"/>
        </w:rPr>
        <w:t>5</w:t>
      </w:r>
    </w:p>
    <w:p>
      <w:pPr>
        <w:pStyle w:val="Heading1"/>
      </w:pPr>
      <w:r>
        <w:rPr>
          <w:b/>
          <w:i w:val="0"/>
        </w:rPr>
        <w:t>WHY THE ENTIRE</w:t>
      </w:r>
      <w:r>
        <w:rPr>
          <w:b w:val="0"/>
          <w:i w:val="0"/>
        </w:rPr>
        <w:t xml:space="preserve"> </w:t>
      </w:r>
      <w:r>
        <w:rPr>
          <w:b/>
          <w:i w:val="0"/>
        </w:rPr>
        <w:t>C-SUITE NEEDS TO USE</w:t>
      </w:r>
      <w:r>
        <w:rPr>
          <w:b w:val="0"/>
          <w:i w:val="0"/>
        </w:rPr>
        <w:t xml:space="preserve"> </w:t>
      </w:r>
      <w:r>
        <w:rPr>
          <w:b/>
          <w:i w:val="0"/>
        </w:rPr>
        <w:t>THE SAME METRICS FOR CYBER RISK</w:t>
      </w:r>
    </w:p>
    <w:p>
      <w:r>
        <w:rPr>
          <w:b w:val="0"/>
          <w:i w:val="0"/>
        </w:rPr>
        <w:t>by Jason J. Hogg</w:t>
      </w:r>
    </w:p>
    <w:p>
      <w:r>
        <w:rPr>
          <w:b w:val="0"/>
          <w:i w:val="0"/>
        </w:rPr>
        <w:t>When it comes to cybersecurity, the chains of communication that exist within an organization, if they exist at all, are often a mess. Multiple conversations about cyber risks are happening across a multitude of divisions in isolation. At the same time, members of the C-suite are measuring their potential impact using different metrics—financial, regulatory, technical, operational—leading to conflicting assessments. CEOs must address these disconnects by creating a culture that promotes open communication and transparency about vulnerabilities and collaboration to address the exposures.</w:t>
      </w:r>
    </w:p>
    <w:p>
      <w:r>
        <w:rPr>
          <w:b w:val="0"/>
          <w:i w:val="0"/>
        </w:rPr>
        <w:t>Organizations of all sizes across all sectors are experiencing an exponential increase in their exposure to cyber risk. The number of endpoints that need protecting is exploding as consumers demand more digital interactions and smart devices. (In their 2019 Cybersecurity Almanac, Cisco and Cybersecurity Ventures predict the number of connected devices on the internet will exceed 50 billion by 2020.) Adversaries have evolved from individual bad actors to highly capable organized crime groups and nation-states. The regulatory landscape is increasingly shifting and, at times, conflicting at local, national, and international levels. High-profile cyberattacks—ranging from the one suffered by Sony Pictures in 2014 to the global ransomware attacks that occurred in 2016—highlight the huge financial and reputational stakes.</w:t>
      </w:r>
    </w:p>
    <w:p>
      <w:r>
        <w:rPr>
          <w:b w:val="0"/>
          <w:i w:val="0"/>
        </w:rPr>
        <w:t>CEOs committed to staying on top of this ever-evolving threat must break down the silos that exist in the organization in order to assess the full dimensions of the risks across the enterprise and address these exposures holistically. The consequences of not doing so could cost them the trust of their shareholders and customers and even their jobs.</w:t>
      </w:r>
    </w:p>
    <w:p>
      <w:r>
        <w:rPr>
          <w:b w:val="0"/>
          <w:i w:val="0"/>
        </w:rPr>
        <w:t>Members of the C-suite often aren’t speaking the same language around cyber risk, and reporting lines are reinforcing silos. For instance, the general counsel thinks about the issue in terms of compliance with information security regulations such as the European Union’s General Data Protection Regulation. The chief information security officer (CISO) or chief information officer (CIO) reports the technical vulnerabilities that his or her team has successfully remediated. The chief risk officer (CRO) looks at the problem in terms of risk transfer and cyber insurance purchased. And the chief financial officer is looking at the potential financial impact.</w:t>
      </w:r>
    </w:p>
    <w:p>
      <w:r>
        <w:rPr>
          <w:b w:val="0"/>
          <w:i w:val="0"/>
        </w:rPr>
        <w:t>This lack of communication and coordination across functions makes it very difficult to assess the impact of cyber risk on the business as a whole or create any common metrics for doing so. It also makes it difficult to prioritize the risks that need to be dealt with most urgently while also making it more challenging to appropriately direct efforts and resources.</w:t>
      </w:r>
    </w:p>
    <w:p>
      <w:r>
        <w:rPr>
          <w:b w:val="0"/>
          <w:i w:val="0"/>
        </w:rPr>
        <w:t>There are several steps that CEOs should take to create a common language around cybersecurity in their organizations.</w:t>
      </w:r>
    </w:p>
    <w:p>
      <w:r>
        <w:rPr>
          <w:b w:val="0"/>
          <w:i w:val="0"/>
        </w:rPr>
        <w:t>First, CEOs should bring together the different members of the C-suite so that all stakeholders are communicating and working in partnership to create a realistic and integrated picture of the business’s exposure. This includes: identifying critical data and assets that could be at risk; assessing technical vulnerabilities; understanding the threat landscape; appreciating the potential regulatory and compliance consequences of cyberattacks; quantifying the financial implications of attacks (such as business-interruption costs, lawsuits, remediation costs, loss of enterprise value, and damage to brand and reputation); and gaining a more accurate picture of the impact on shareholder value.</w:t>
      </w:r>
    </w:p>
    <w:p>
      <w:r>
        <w:rPr>
          <w:b w:val="0"/>
          <w:i w:val="0"/>
        </w:rPr>
        <w:t>The second step is to create a culture that encourages employees to speak openly about cyber-risk exposure without fear of negative repercussions. It’s rare that a CEO motivates key members of the C-suite—especially the CISO or CRO—to report the seriousness of a company’s exposures as they evolve. Because cyber risk is dynamic, CEOs must create an environment where there are continual conversations about the impact on security of new events—such as the introduction of new technologies and systems, new cyberthreats, and mergers and acquisitions that involve combining different organizations’ information systems and security cultures.</w:t>
      </w:r>
    </w:p>
    <w:p>
      <w:r>
        <w:rPr>
          <w:b w:val="0"/>
          <w:i w:val="0"/>
        </w:rPr>
        <w:t>As part of this effort, CEOs should proactively get to know the people outside of the C-suite working in the security trenches. The more CEOs speak with system engineers and technical teams, the more comfortable they will be asking questions about the organization’s security. If the CRO and the CISO are reporting only on what’s going well, then alarm bells should be ringing.</w:t>
      </w:r>
    </w:p>
    <w:p>
      <w:r>
        <w:rPr>
          <w:b w:val="0"/>
          <w:i w:val="0"/>
        </w:rPr>
        <w:t>Third, CEOs should prepare for cyberattacks to ensure everyone knows what to do and can communicate effectively with each other during an incident. There should be a customized incident-response plan that is routinely tested via simulated attacks, which can also test a company’s vulnerabilities. A plan can help minimize business disruption, reduce the time attackers have to steal critical data or money, and reduce the amount of damage.</w:t>
      </w:r>
    </w:p>
    <w:p>
      <w:r>
        <w:rPr>
          <w:b w:val="0"/>
          <w:i w:val="0"/>
        </w:rPr>
        <w:t>An incident-response plan should include four phases: preparation; detection and analysis; containment, eradication, and recovery; and post-incident.</w:t>
      </w:r>
    </w:p>
    <w:p>
      <w:r>
        <w:rPr>
          <w:b w:val="0"/>
          <w:i w:val="0"/>
        </w:rPr>
        <w:t>The preparation phase is the most important since creating a response plan during an incident will not work. Planning helps all stakeholders understand their role and responsibilities, from what constitutes a security incident to who initiates the plan. It also helps leadership communicate with confidence during a real incident both internally to senior executives and members of the board and externally to customers, outside counsel, insurance companies, regulators, and law enforcement.</w:t>
      </w:r>
    </w:p>
    <w:p>
      <w:r>
        <w:rPr>
          <w:b w:val="0"/>
          <w:i w:val="0"/>
        </w:rPr>
        <w:t>In the detection-and-analysis phase, the security team determines the scope of the incident and collects the data necessary for analysis. The third phase is about containment: stopping the attack from spreading by removing any infection from the system and fixing any vulnerabilities uncovered. The post-incident phase is a review of what went well, what went wrong, and what can be done better next time.</w:t>
      </w:r>
    </w:p>
    <w:p>
      <w:r>
        <w:rPr>
          <w:b w:val="0"/>
          <w:i w:val="0"/>
        </w:rPr>
        <w:t>Outside cybersecurity experts can help develop the plan. But even if an outside firm is not involved, CEOs should at least consider having one test the plan’s effectiveness and, crucially, ensure that an external firm is engaged on an incident-response retainer ahead of an incident. You don’t want to be struggling to negotiate the fine print of contract terms during an attack.</w:t>
      </w:r>
    </w:p>
    <w:p>
      <w:r>
        <w:rPr>
          <w:b w:val="0"/>
          <w:i w:val="0"/>
        </w:rPr>
        <w:t>Finally, companies should create an internal function, led by a chief vulnerability officer, to conduct regular audits of the company’s preparedness. This unit, which should report directly to the CEO, should also stage simulated attacks on the business—in addition to those carried out by the CISO or CIO. It should leverage external cyber experts with up-to-date perspectives on the latest cybersecurity methods, threats, and trends to provide unbiased perspectives and help challenge management decisions.</w:t>
      </w:r>
    </w:p>
    <w:p>
      <w:r>
        <w:rPr>
          <w:b w:val="0"/>
          <w:i w:val="0"/>
        </w:rPr>
        <w:t>A CEO should enlist all functions in the effort to establish common metrics to assess cyber risks so everyone is speaking the same language and should build a culture of security through open dialogue, planning, and testing. Then, when he or she asks questions—such as “What are our greatest risks?” “What are our critical assets?” “Who has access to them?” “What is our current information security policy?” “What is our incident response plan?” “When was it last tested?”—the answers will yield a more accurate picture.</w:t>
      </w:r>
    </w:p>
    <w:p>
      <w:r>
        <w:rPr>
          <w:b w:val="0"/>
          <w:i w:val="0"/>
        </w:rPr>
        <w:t>Only when a CEO understands the true exposure of the business to cyber risks can he or she prioritize the allocation of resources to manage them.</w:t>
      </w:r>
    </w:p>
    <w:p>
      <w:r>
        <w:rPr>
          <w:b/>
          <w:i w:val="0"/>
        </w:rPr>
        <w:t>TAKEAWAYS</w:t>
      </w:r>
    </w:p>
    <w:p>
      <w:r>
        <w:rPr>
          <w:b w:val="0"/>
          <w:i w:val="0"/>
        </w:rPr>
        <w:t>CEOs need to lead the adoption of a common language around cybersecurity to make it easier to assess, prioritize, and address risks:</w:t>
      </w:r>
    </w:p>
    <w:p>
      <w:pPr>
        <w:pStyle w:val="ListBullet"/>
      </w:pPr>
      <w:r>
        <w:rPr>
          <w:b w:val="0"/>
          <w:i w:val="0"/>
        </w:rPr>
        <w:t>Assemble all the members of the C-suite and partner to map a realistic and integrated picture of exposure risks.</w:t>
      </w:r>
    </w:p>
    <w:p>
      <w:pPr>
        <w:pStyle w:val="ListBullet"/>
      </w:pPr>
      <w:r>
        <w:rPr>
          <w:b w:val="0"/>
          <w:i w:val="0"/>
        </w:rPr>
        <w:t>Create an open culture where employees can comfortably engage in continual conversations about topics such as cyber risk exposure, new technologies and systems, and the impact of a merger and acquisition on the affected organizations’ information systems and security cultures.</w:t>
      </w:r>
    </w:p>
    <w:p>
      <w:pPr>
        <w:pStyle w:val="ListBullet"/>
      </w:pPr>
      <w:r>
        <w:rPr>
          <w:b w:val="0"/>
          <w:i w:val="0"/>
        </w:rPr>
        <w:t>Prepare all employees for cyberattacks by creating and communicating a response plan and routinely testing it with simulated attacks.</w:t>
      </w:r>
    </w:p>
    <w:p>
      <w:pPr>
        <w:pStyle w:val="ListBullet"/>
      </w:pPr>
      <w:r>
        <w:rPr>
          <w:b w:val="0"/>
          <w:i w:val="0"/>
        </w:rPr>
        <w:t>Conduct regular audits of the company’s preparedness.</w:t>
      </w:r>
    </w:p>
    <w:p>
      <w:r>
        <w:rPr>
          <w:b w:val="0"/>
          <w:i/>
        </w:rPr>
        <w:t>Adapted from content posted on hbr.org, November 17, 2017 (product #H040UR).</w:t>
      </w:r>
    </w:p>
    <w:p>
      <w:pPr>
        <w:pStyle w:val="Heading1"/>
      </w:pPr>
      <w:r>
        <w:rPr>
          <w:b/>
          <w:i w:val="0"/>
        </w:rPr>
        <w:t>6</w:t>
      </w:r>
    </w:p>
    <w:p>
      <w:pPr>
        <w:pStyle w:val="Heading1"/>
      </w:pPr>
      <w:r>
        <w:rPr>
          <w:b/>
          <w:i w:val="0"/>
        </w:rPr>
        <w:t>THE BEST CYBERSECURITY INVESTMENT YOU CAN MAKE IS BETTER TRAINING</w:t>
      </w:r>
    </w:p>
    <w:p>
      <w:r>
        <w:rPr>
          <w:b w:val="0"/>
          <w:i w:val="0"/>
        </w:rPr>
        <w:t>by Dante Disparte and Chris Furlow</w:t>
      </w:r>
    </w:p>
    <w:p>
      <w:r>
        <w:rPr>
          <w:b w:val="0"/>
          <w:i w:val="0"/>
        </w:rPr>
        <w:t>As the scale and complexity of the cyberthreat landscape is revealed, so too is the general lack of cybersecurity readiness in organizations, even those that spend hundreds of millions of dollars on state-of-the-art technology. Investors who have flooded the cybersecurity market in search of the next software “unicorn” have yet to realize that when it comes to a risk as complex as this one, there is no panacea—certainly not one that depends on technology alone.</w:t>
      </w:r>
    </w:p>
    <w:p>
      <w:r>
        <w:rPr>
          <w:b w:val="0"/>
          <w:i w:val="0"/>
        </w:rPr>
        <w:t xml:space="preserve">Spending millions on security technology can certainly make an executive </w:t>
      </w:r>
      <w:r>
        <w:rPr>
          <w:b w:val="0"/>
          <w:i/>
        </w:rPr>
        <w:t>feel</w:t>
      </w:r>
      <w:r>
        <w:rPr>
          <w:b w:val="0"/>
          <w:i w:val="0"/>
        </w:rPr>
        <w:t xml:space="preserve"> safe. But the major sources of cyberthreats aren’t technological. They’re found in the human brain, in the form of curiosity, ignorance, apathy, and hubris. These human forms of malware can be present in any organization and are every bit as dangerous as threats delivered through malicious code.</w:t>
      </w:r>
    </w:p>
    <w:p>
      <w:r>
        <w:rPr>
          <w:b w:val="0"/>
          <w:i w:val="0"/>
        </w:rPr>
        <w:t>With any cyberthreat, the first and last line of defense is prepared leaders and employees, whether they are inside an organization or part of an interconnected supply chain.</w:t>
      </w:r>
    </w:p>
    <w:p>
      <w:r>
        <w:rPr>
          <w:b w:val="0"/>
          <w:i w:val="0"/>
        </w:rPr>
        <w:t>And yet organizational leadership all too often demonstrates outright technology turpitude. An unprepared, lethargic leadership only amplifies the consequences of a security breach. The scale of the Yahoo breach disclosed in 2016, combined with the fumbling response, cost the company and its shareholders $350 million in its merger with Verizon and nearly scuttled the entire deal.</w:t>
      </w:r>
    </w:p>
    <w:p>
      <w:r>
        <w:rPr>
          <w:b w:val="0"/>
          <w:i w:val="0"/>
        </w:rPr>
        <w:t>To prepare for and prevent the cyberattacks of the future, firms need to balance technological deterrents and tripwires with agile, human-centered defenses. These vigorous, people-centric efforts must go beyond the oft-discussed “tone at the top”—they must include a proactive leadership approach with faster, sharper decision making. As cyberthreats grow exponentially, comprehensive risk management is now a board-level priority. Indeed, the iconic investor Warren Buffett highlighted cyber risk as one of the gravest concerns facing humanity during Berkshire Hathaway’s annual meeting.</w:t>
      </w:r>
    </w:p>
    <w:p>
      <w:r>
        <w:rPr>
          <w:b w:val="0"/>
          <w:i w:val="0"/>
        </w:rPr>
        <w:t>Firms must recognize and react to three uncomfortable truths. First, cyber risk evolves according to Moore’s Law. That’s a major reason that technology solutions alone can never keep pace with dynamic cyberthreats. Second, as with all threat management, defense is a much harder role to play than offense. The offensive players only need to win once to wreak incalculable havoc on an enterprise. Third, and worst yet, attackers have patience and latency (since most attacks go undetected) on their side. Firms can be lulled into a dangerous state of complacency by their defensive technologies, firewalls, and assurances of perfect cyber hygiene.</w:t>
      </w:r>
    </w:p>
    <w:p>
      <w:r>
        <w:rPr>
          <w:b w:val="0"/>
          <w:i w:val="0"/>
        </w:rPr>
        <w:t xml:space="preserve">The danger is in thinking that these risks can be perfectly “managed” through some sort of comprehensive defense system. It’s better to assume your defenses will be breached and to train your people in what to do when that happens. Instead of “risk management,” we propose thinking of it as “risk agility.” The agile enterprise equips </w:t>
      </w:r>
      <w:r>
        <w:rPr>
          <w:b w:val="0"/>
          <w:i/>
        </w:rPr>
        <w:t>all</w:t>
      </w:r>
      <w:r>
        <w:rPr>
          <w:b w:val="0"/>
          <w:i w:val="0"/>
        </w:rPr>
        <w:t xml:space="preserve"> organizational layers with decision guideposts and boundaries to set thresholds of risk tolerance. All employees should not only understand what is expected of them regarding company policy and online behavior but also be trained to recognize nefarious or suspicious activity. The key attribute, particularly when it relates to cyber risk, is the concept of </w:t>
      </w:r>
      <w:r>
        <w:rPr>
          <w:b w:val="0"/>
          <w:i/>
        </w:rPr>
        <w:t>sense something, do something,</w:t>
      </w:r>
      <w:r>
        <w:rPr>
          <w:b w:val="0"/>
          <w:i w:val="0"/>
        </w:rPr>
        <w:t xml:space="preserve"> which makes all people in an organization a part of a “neural safety network.” For example, the defense against the SWIFT banking hack, in which some $81 million was stolen, was launched by an alert banking clerk in Germany who recognized a misspelling.</w:t>
      </w:r>
    </w:p>
    <w:p>
      <w:r>
        <w:rPr>
          <w:b w:val="0"/>
          <w:i w:val="0"/>
        </w:rPr>
        <w:t xml:space="preserve">When we say all employees have to be risk agile, we mean </w:t>
      </w:r>
      <w:r>
        <w:rPr>
          <w:b w:val="0"/>
          <w:i/>
        </w:rPr>
        <w:t>all</w:t>
      </w:r>
      <w:r>
        <w:rPr>
          <w:b w:val="0"/>
          <w:i w:val="0"/>
        </w:rPr>
        <w:t>. C-level executives, board directors, shareholders, and other senior leaders must not only invest in training for their firm’s own employees but also consider how to evaluate and inform the outsiders upon whom their businesses rely—contractors, consultants, and vendors in their supply chains. Such third parties with access to company networks have enabled high-profile breaches, including Target and Home Depot, among others.</w:t>
      </w:r>
    </w:p>
    <w:p>
      <w:r>
        <w:rPr>
          <w:b w:val="0"/>
          <w:i w:val="0"/>
        </w:rPr>
        <w:t>A skeptical executive could push back on this idea—</w:t>
      </w:r>
      <w:r>
        <w:rPr>
          <w:b w:val="0"/>
          <w:i/>
        </w:rPr>
        <w:t>won’t that cost a lot?</w:t>
      </w:r>
      <w:r>
        <w:rPr>
          <w:b w:val="0"/>
          <w:i w:val="0"/>
        </w:rPr>
        <w:t xml:space="preserve"> The fact is, cybersecurity training is vastly undercapitalized, and the lack of investment in quality cyber education programs is manifest in the sheer volume of breaches that continue to be rooted in human failure. Worse, the volume of breaches is woefully underreported—even when they are identified early because firms are reluctant to amplify reputation risk. In a 2016 survey conducted by CSO magazine and the CERT Division of the Software Engineering Institute of Carnegie Mellon University, respondents reported that insiders were the source of “50% of incidents where private or sensitive information was unintentionally exposed.” Insider threats can include malicious activities but also mistakes by employees, such as falling for a phishing scam.</w:t>
      </w:r>
    </w:p>
    <w:p>
      <w:r>
        <w:rPr>
          <w:b w:val="0"/>
          <w:i w:val="0"/>
        </w:rPr>
        <w:t>In short, there will be some investment required in enhancing personnel readiness. But it can be cost effective over time, particularly when compared to implementing cutting-edge cybersecurity technology that may become obsolete. To be clear, technology is a critical piece of the cybersecurity puzzle, but just as with a car containing all the latest safety technology, the best defense remains a well-trained driver.</w:t>
      </w:r>
    </w:p>
    <w:p>
      <w:r>
        <w:rPr>
          <w:b w:val="0"/>
          <w:i w:val="0"/>
        </w:rPr>
        <w:t>Moreover, businesses slow to adopt stronger security measures may find themselves pushed into it by regulators. The latest regulations promulgated by the New York State Department of Financial Services, for example, require that covered businesses “provide regular cybersecurity awareness training for all personnel.” This is just the tip of the iceberg of what is likely to come from other states and government agencies around the world, which are increasingly harmonizing their view of a “carrots and sticks” approach to cybersecurity compliance.</w:t>
      </w:r>
    </w:p>
    <w:p>
      <w:r>
        <w:rPr>
          <w:b w:val="0"/>
          <w:i w:val="0"/>
        </w:rPr>
        <w:t xml:space="preserve">Artificial intelligence, machine learning, and self-teaching algorithms may represent the latest trends in hot IT investments, but technology exists for and is utilized by </w:t>
      </w:r>
      <w:r>
        <w:rPr>
          <w:b w:val="0"/>
          <w:i/>
        </w:rPr>
        <w:t>people</w:t>
      </w:r>
      <w:r>
        <w:rPr>
          <w:b w:val="0"/>
          <w:i w:val="0"/>
        </w:rPr>
        <w:t>. Corporate leaders would be wise to understand that the future of cybersecurity lies not in a single-pronged approach or miracle tool but in solutions that recognize the importance of layering human readiness on top of technological defenses.</w:t>
      </w:r>
    </w:p>
    <w:p>
      <w:r>
        <w:rPr>
          <w:b/>
          <w:i w:val="0"/>
        </w:rPr>
        <w:t>TAKEAWAYS</w:t>
      </w:r>
    </w:p>
    <w:p>
      <w:r>
        <w:rPr>
          <w:b w:val="0"/>
          <w:i w:val="0"/>
        </w:rPr>
        <w:t xml:space="preserve">Investing a lot of money and resources in security technology can make companies </w:t>
      </w:r>
      <w:r>
        <w:rPr>
          <w:b w:val="0"/>
          <w:i/>
        </w:rPr>
        <w:t>feel</w:t>
      </w:r>
      <w:r>
        <w:rPr>
          <w:b w:val="0"/>
          <w:i w:val="0"/>
        </w:rPr>
        <w:t xml:space="preserve"> safe, but the major threats to an organization’s cybersecurity aren’t technological—they’re human shortcomings:</w:t>
      </w:r>
    </w:p>
    <w:p>
      <w:pPr>
        <w:pStyle w:val="ListBullet"/>
      </w:pPr>
      <w:r>
        <w:rPr>
          <w:b w:val="0"/>
          <w:i w:val="0"/>
        </w:rPr>
        <w:t>Technology solutions alone will never be able to keep pace with dynamic cyberthreats.</w:t>
      </w:r>
    </w:p>
    <w:p>
      <w:pPr>
        <w:pStyle w:val="ListBullet"/>
      </w:pPr>
      <w:r>
        <w:rPr>
          <w:b w:val="0"/>
          <w:i w:val="0"/>
        </w:rPr>
        <w:t>Defense is harder to play than offense; attackers have patience and latency on their side and only need to win once to wreak havoc on an organization.</w:t>
      </w:r>
    </w:p>
    <w:p>
      <w:pPr>
        <w:pStyle w:val="ListBullet"/>
      </w:pPr>
      <w:r>
        <w:rPr>
          <w:b w:val="0"/>
          <w:i w:val="0"/>
        </w:rPr>
        <w:t xml:space="preserve">Assume your company will endure breaches and train </w:t>
      </w:r>
      <w:r>
        <w:rPr>
          <w:b w:val="0"/>
          <w:i/>
        </w:rPr>
        <w:t>all</w:t>
      </w:r>
      <w:r>
        <w:rPr>
          <w:b w:val="0"/>
          <w:i w:val="0"/>
        </w:rPr>
        <w:t xml:space="preserve"> employees (from executives to contractors) in how to recognize suspicious activity and what to do when a breach occurs.</w:t>
      </w:r>
    </w:p>
    <w:p>
      <w:r>
        <w:rPr>
          <w:b w:val="0"/>
          <w:i/>
        </w:rPr>
        <w:t>Adapted from content posted on hbr.org, May 16, 2017 (product #H03NVF).</w:t>
      </w:r>
    </w:p>
    <w:p>
      <w:pPr>
        <w:pStyle w:val="Heading1"/>
      </w:pPr>
      <w:r>
        <w:rPr>
          <w:b/>
          <w:i w:val="0"/>
        </w:rPr>
        <w:t>7</w:t>
      </w:r>
    </w:p>
    <w:p>
      <w:pPr>
        <w:pStyle w:val="Heading1"/>
      </w:pPr>
      <w:r>
        <w:rPr>
          <w:b/>
          <w:i w:val="0"/>
        </w:rPr>
        <w:t>BETTER CYBERSECURITY STARTS WITH FIXING YOUR EMPLOYEES’ BAD HABITS</w:t>
      </w:r>
    </w:p>
    <w:p>
      <w:r>
        <w:rPr>
          <w:b w:val="0"/>
          <w:i w:val="0"/>
        </w:rPr>
        <w:t>by Alex Blau</w:t>
      </w:r>
    </w:p>
    <w:p>
      <w:r>
        <w:rPr>
          <w:b w:val="0"/>
          <w:i w:val="0"/>
        </w:rPr>
        <w:t>Cybercrime is here to stay, and it’s costing American firms a lot of money. The average annualized cost of cybercrime for global companies has increased nearly 62% since 2013, from $7.2 million to $11.7 million.1 And these are just the average direct costs. Target, which experienced a massive data breach in 2013, reported that the total cost of the breach exceeded $200 million.2 Given these costs, what can companies do?</w:t>
      </w:r>
    </w:p>
    <w:p>
      <w:r>
        <w:rPr>
          <w:b w:val="0"/>
          <w:i w:val="0"/>
        </w:rPr>
        <w:t>Governments and industry are doing what seems like the obvious thing to do—spending billions of dollars to develop and implement new technologies designed to stop the bad guys before they can get through the front door. Yet, even though we have some of the best and brightest minds on the case, there are still major limitations to what we can do with silicon and code. Despite our predilection for using technology to solve what appear to be technological problems, one lament that echoes in information security circles is that we’re not doing enough to deal with cybersecurity’s biggest, most persistent threat—human behavior.</w:t>
      </w:r>
    </w:p>
    <w:p>
      <w:r>
        <w:rPr>
          <w:b w:val="0"/>
          <w:i w:val="0"/>
        </w:rPr>
        <w:t>In 2014, IBM reported that “over 95% of all [security] incidents investigated recognize ‘human error’ as a contributing factor.”3 In fact, the string of malware attacks with cyberpunk appellations such as “WannaCry,” “Petya,” and “Mirai,” as well as the apparent state-sponsored attacks on Equifax and the American electoral system, all started because of poor decisions and actions from end users. If it wasn’t an engineer inadvertently building a vulnerability into a piece of software, it was an end user clicking on a bad link, falling for a phishing attack, using a weak password, or neglecting to install a security update in a timely manner. Attackers didn’t need to break down a wall of ones and zeros or sabotage a piece of sophisticated hardware; instead they simply needed to take advantage of predictably poor user behavior.</w:t>
      </w:r>
    </w:p>
    <w:p>
      <w:r>
        <w:rPr>
          <w:b w:val="0"/>
          <w:i w:val="0"/>
        </w:rPr>
        <w:t>When companies focus their attention on solving what they think are technology problems with technology solutions, they’ll neglect to identify simple interventions that can help reduce the incidence of bad behaviors and promote good ones. And yes, while some technology investments have sought to prevent these behaviors in the first place by offloading human decisions onto artificial intelligence and machine learning systems, these innovations still have some way to go. As the security robot that fell into a mall fountain reminds us, AI and related innovations are not yet fully developed technologies. For example, how many times has your spam filter missed a phishing email? In the absence of fail-proof AI, human judgment is still needed to fill the gap between the capabilities of our security technologies and our security needs. But if human judgment isn’t perfect, and technology isn’t enough, what can companies do to reduce behavioral risks?</w:t>
      </w:r>
    </w:p>
    <w:p>
      <w:r>
        <w:rPr>
          <w:b w:val="0"/>
          <w:i w:val="0"/>
        </w:rPr>
        <w:t>One major insight from the fields of behavioral economics and psychology is that our behavioral biases are quite predictable. For instance, security professionals have said time and again that keeping software up-to-date, and installing security patches as soon as possible, is one of the best methods of protecting information security systems from attacks. However, even though installing updates is a relative no-brainer, many users and even IT administrators procrastinate on this critical step. Why? Part of the problem is that update prompts and patches often come at the wrong time—when the person responsible for installing the update is preoccupied with some other, presently pressing issue. Additionally, when it comes to updating our personal computers and devices, we’re often provided with an easy “out” in the form of a “remind me later” option. Because of this small contextual detail, users are much more likely to defer on the update, no matter how critical. How many times have you clicked on the “remind me tomorrow” option before finally committing to the update?</w:t>
      </w:r>
    </w:p>
    <w:p>
      <w:r>
        <w:rPr>
          <w:b w:val="0"/>
          <w:i w:val="0"/>
        </w:rPr>
        <w:t xml:space="preserve">At ideas42, my behavioral science research and design firm, we’ve been documenting the various contexts that lead users and administrators to decide (and act) in less-than-optimal ways, placing themselves and their companies at greater risk for a cyberattack. Through this lens, we’ve generated a number of insights about why people set bad passwords, neglect to install updates, click on malicious links, and fall for phishing emails. We’ve also outlined what organizations and administrators can do to improve their users’ behavior. (To learn more, check out our research-based true-crime novella, </w:t>
      </w:r>
      <w:r>
        <w:rPr>
          <w:b w:val="0"/>
          <w:i/>
        </w:rPr>
        <w:t>Deep Thought: A Cybersecurity Story</w:t>
      </w:r>
      <w:r>
        <w:rPr>
          <w:b w:val="0"/>
          <w:i w:val="0"/>
        </w:rPr>
        <w:t>).</w:t>
      </w:r>
    </w:p>
    <w:p>
      <w:pPr>
        <w:pStyle w:val="Heading3"/>
      </w:pPr>
      <w:r>
        <w:rPr>
          <w:b w:val="0"/>
          <w:i w:val="0"/>
        </w:rPr>
        <w:t>Set strong defaults</w:t>
      </w:r>
    </w:p>
    <w:p>
      <w:r>
        <w:rPr>
          <w:b w:val="0"/>
          <w:i w:val="0"/>
        </w:rPr>
        <w:t>One of the most influential insights from the behavioral sciences is that whatever is in the “default” position generally sticks. This insight has been used to great effect in the domains of retirement savings and organ donation, where a shift from an “opt-in” to an “opt-out” default has significantly increased participation rates. Similar logic could be applied to the choice context around enterprise user security. Instead of having your employees opt in to specific security actions such as installing and using a VPN, turning on two-factor authentication, enabling full-disc encryption, or authorizing auto-update features, employers could take the time to set up computers and systems that employees use to have these features turned on by default. Doing so could lead to higher rates of compliance than trusting your employees to do it for themselves.</w:t>
      </w:r>
    </w:p>
    <w:p>
      <w:pPr>
        <w:pStyle w:val="Heading3"/>
      </w:pPr>
      <w:r>
        <w:rPr>
          <w:b w:val="0"/>
          <w:i w:val="0"/>
        </w:rPr>
        <w:t>Use calendar commitments to nudge system updating</w:t>
      </w:r>
    </w:p>
    <w:p>
      <w:r>
        <w:rPr>
          <w:b w:val="0"/>
          <w:i w:val="0"/>
        </w:rPr>
        <w:t xml:space="preserve">Sometimes enabling auto-updates for system software isn’t possible, leaving the choice of whether to update in the hands of employees. However, when facing the prospect of halting workflow to update some software, employees may decide to defer the action until some ambiguous “better time.” The problem is that if we remain </w:t>
      </w:r>
      <w:r>
        <w:rPr>
          <w:b w:val="0"/>
          <w:i/>
        </w:rPr>
        <w:t>present biased</w:t>
      </w:r>
      <w:r>
        <w:rPr>
          <w:b w:val="0"/>
          <w:i w:val="0"/>
        </w:rPr>
        <w:t>, focused on the current task at hand, that “better time” may never come along. One way researchers have been able to get around this present-bias problem is to get users to make concrete commitments about when they’ll follow through—the more specific the better. In the context of software updates, employers could help facilitate employees in making a concrete commitment to update. For instance, when an update is released, an administrator could send an email instructing employees to block off a time on their calendar to complete the update. The simple act of getting employees to pre-commit can stop the procrastination cycle dead in its tracks.</w:t>
      </w:r>
    </w:p>
    <w:p>
      <w:pPr>
        <w:pStyle w:val="Heading3"/>
      </w:pPr>
      <w:r>
        <w:rPr>
          <w:b w:val="0"/>
          <w:i w:val="0"/>
        </w:rPr>
        <w:t>Compare employees to their peers</w:t>
      </w:r>
    </w:p>
    <w:p>
      <w:r>
        <w:rPr>
          <w:b w:val="0"/>
          <w:i w:val="0"/>
        </w:rPr>
        <w:t xml:space="preserve">People have a tendency to look toward other people, especially those who are similar to them, to learn how to act. This phenomenon, called </w:t>
      </w:r>
      <w:r>
        <w:rPr>
          <w:b w:val="0"/>
          <w:i/>
        </w:rPr>
        <w:t>social proof</w:t>
      </w:r>
      <w:r>
        <w:rPr>
          <w:b w:val="0"/>
          <w:i w:val="0"/>
        </w:rPr>
        <w:t>, can have powerful effects on people’s behavior, and it is especially influential when the desirable behavior is ambiguous—such as with cyber hygiene. Opower, a customer engagement platform for utility providers, has used this insight to great effect. The company sends a small infographic along with households’ utility bills showing how much energy the household is consuming relative to the average household in their neighborhood, as well as the most efficient ones. This small indication of what other households are doing reduces average energy consumption by 2% per household, which, at scale, is a huge change.4</w:t>
      </w:r>
    </w:p>
    <w:p>
      <w:r>
        <w:rPr>
          <w:b w:val="0"/>
          <w:i w:val="0"/>
        </w:rPr>
        <w:t xml:space="preserve">What this and similar interventions have shown is that people don’t actually need to </w:t>
      </w:r>
      <w:r>
        <w:rPr>
          <w:b w:val="0"/>
          <w:i/>
        </w:rPr>
        <w:t>see</w:t>
      </w:r>
      <w:r>
        <w:rPr>
          <w:b w:val="0"/>
          <w:i w:val="0"/>
        </w:rPr>
        <w:t xml:space="preserve"> others exhibit a specific behavior; they can instead be told what others do. In an enterprise setting, administrators can leverage social proof to help employees identify desirable behaviors and motivate them to take them on. For instance, employers could poll employees about various behaviors and safeguards they use online and assign a score based on those behaviors. They could then produce reports for each individual comparing them to the average employee, as well as the most diligent employees, and provide them with actionable steps they can take to improve their score. This simple social proof intervention could lead to greater compliance across an organization.</w:t>
      </w:r>
    </w:p>
    <w:p>
      <w:pPr>
        <w:pStyle w:val="Heading3"/>
      </w:pPr>
      <w:r>
        <w:rPr>
          <w:b w:val="0"/>
          <w:i w:val="0"/>
        </w:rPr>
        <w:t>Turn awareness training into a constant feedback system</w:t>
      </w:r>
    </w:p>
    <w:p>
      <w:r>
        <w:rPr>
          <w:b w:val="0"/>
          <w:i w:val="0"/>
        </w:rPr>
        <w:t>One major insight from behavioral science is that if you provide someone training, you might increase people’s knowledge, but you aren’t likely to change their behaviors. Often awareness training happens something like this: Once a year, employees get into a room for an hour or two and get lectured at by a professional awareness trainer, only to go back to their workstations and ignore most of what they were taught. There are many reasons why this might happen: People have limited attention and can’t absorb all the information they just learned; they may not have a concrete sense of how to make what they learned actionable and so don’t change their behavior; they may be overconfident that none of the risks they learned about apply to them in particular (“it will never happen to me!”); and the list goes on.</w:t>
      </w:r>
    </w:p>
    <w:p>
      <w:r>
        <w:rPr>
          <w:b w:val="0"/>
          <w:i w:val="0"/>
        </w:rPr>
        <w:t>One way that enterprises may improve the efficacy of awareness training is to make it an ongoing process, building in feedback so that employees learn about when they mess up and what they can do to avoid that error in the future. For instance, to make your workforce more resilient to phishing attacks, you might choose to employ software like Phishme, which sends out fake phishing emails to employees on a regular basis, and provides remediation when users fall for the attack. Similar processes could be put in place to help employees avoid bad links, remember to update their software, and take on other beneficial behaviors such as using two-factor authentication, turning on their VPN when accessing an insecure network, and utilizing more secure passwords.</w:t>
      </w:r>
    </w:p>
    <w:p>
      <w:r>
        <w:rPr>
          <w:b w:val="0"/>
          <w:i w:val="0"/>
        </w:rPr>
        <w:t>If we keep trying to use technology to solve what are in reality human problems, we’ll continue to remain vulnerable to attacks. However, if we take an approach that looks at the context in which human beings are liable to make mistakes, we will be more likely to find sustainable solutions that will keep ourselves, and our enterprises, safe from the bad guys.</w:t>
      </w:r>
    </w:p>
    <w:p>
      <w:r>
        <w:rPr>
          <w:b/>
          <w:i w:val="0"/>
        </w:rPr>
        <w:t>TAKEAWAYS</w:t>
      </w:r>
    </w:p>
    <w:p>
      <w:r>
        <w:rPr>
          <w:b w:val="0"/>
          <w:i w:val="0"/>
        </w:rPr>
        <w:t>When companies focus only on solving what they perceive to be technology problems with technology solutions, attackers can take advantage of the predictable behavioral human biases that increase risk:</w:t>
      </w:r>
    </w:p>
    <w:p>
      <w:pPr>
        <w:pStyle w:val="ListBullet"/>
      </w:pPr>
      <w:r>
        <w:rPr>
          <w:b w:val="0"/>
          <w:i w:val="0"/>
        </w:rPr>
        <w:t>Since default positions generally stick, shift to “opt-out” to increase participation rates in security measures such as installing and using a VPN or enabling a two-factor authentication.</w:t>
      </w:r>
    </w:p>
    <w:p>
      <w:pPr>
        <w:pStyle w:val="ListBullet"/>
      </w:pPr>
      <w:r>
        <w:rPr>
          <w:b w:val="0"/>
          <w:i w:val="0"/>
        </w:rPr>
        <w:t>Overcome present bias—where people are focused on the task at hand—and get users to create concrete commitments about when they’ll install a software update by blocking off time on their calendar to do so.</w:t>
      </w:r>
    </w:p>
    <w:p>
      <w:pPr>
        <w:pStyle w:val="ListBullet"/>
      </w:pPr>
      <w:r>
        <w:rPr>
          <w:b w:val="0"/>
          <w:i w:val="0"/>
        </w:rPr>
        <w:t>Take advantage of people’s tendency to behave how those around them behave by sharing data about what their colleagues are doing—like those energy usage infographics utility companies distribute that compare your usage with your neighbors’. Poll employees about various behaviors and safeguards they use when they’re online and share those results along with actionable steps people can take to improve their score.</w:t>
      </w:r>
    </w:p>
    <w:p>
      <w:pPr>
        <w:pStyle w:val="ListBullet"/>
      </w:pPr>
      <w:r>
        <w:rPr>
          <w:b w:val="0"/>
          <w:i w:val="0"/>
        </w:rPr>
        <w:t>Make awareness training an ongoing process, with built-in feedback, to help employees learn about where they erred and what they can do to avoid similar mistakes in the future.</w:t>
      </w:r>
    </w:p>
    <w:p>
      <w:pPr>
        <w:pStyle w:val="Heading3"/>
      </w:pPr>
      <w:r>
        <w:rPr>
          <w:b/>
          <w:i w:val="0"/>
        </w:rPr>
        <w:t>NOTES</w:t>
      </w:r>
    </w:p>
    <w:p>
      <w:r>
        <w:rPr>
          <w:b w:val="0"/>
          <w:i w:val="0"/>
        </w:rPr>
        <w:t>1. Accenture and Ponemon Institute, “2017 Cost of Cyber Crime Study,” https://www.accenture.com/us-en/insight-cost-of-cybercrime-2017.</w:t>
      </w:r>
    </w:p>
    <w:p>
      <w:r>
        <w:rPr>
          <w:b w:val="0"/>
          <w:i w:val="0"/>
        </w:rPr>
        <w:t xml:space="preserve">2. Robert Hackett, “How Much Do Data Breaches Cost Big Companies? Shockingly Little,” </w:t>
      </w:r>
      <w:r>
        <w:rPr>
          <w:b w:val="0"/>
          <w:i/>
        </w:rPr>
        <w:t>Fortune</w:t>
      </w:r>
      <w:r>
        <w:rPr>
          <w:b w:val="0"/>
          <w:i w:val="0"/>
        </w:rPr>
        <w:t>, March 27, 2015</w:t>
      </w:r>
      <w:r>
        <w:rPr>
          <w:b w:val="0"/>
          <w:i/>
        </w:rPr>
        <w:t>,</w:t>
      </w:r>
      <w:r>
        <w:rPr>
          <w:b w:val="0"/>
          <w:i w:val="0"/>
        </w:rPr>
        <w:t xml:space="preserve"> http://fortune.com/2015/03/27/how-much-do-data-breaches-actually-cost-big-companies-shockingly-little/.</w:t>
      </w:r>
    </w:p>
    <w:p>
      <w:r>
        <w:rPr>
          <w:b w:val="0"/>
          <w:i w:val="0"/>
        </w:rPr>
        <w:t>3. IBM, “IBM Security Services 2014 Cyber Security Intelligence Index,” https://media.scmagazine.com/documents/82/ibm_cyber_security_intelligenc_20450.pdf.</w:t>
      </w:r>
    </w:p>
    <w:p>
      <w:r>
        <w:rPr>
          <w:b w:val="0"/>
          <w:i w:val="0"/>
        </w:rPr>
        <w:t>4. Hunt Allcott and Todd Rogers, “Opower: Evaluating the Impact of Home Energy Reports on Energy Conservation in the United States,” J-PAL, https://www.povertyactionlab.org/evaluation/opower-evaluating-impact-home-energy-reports-energy-conservation-united-states.</w:t>
      </w:r>
    </w:p>
    <w:p>
      <w:r>
        <w:rPr>
          <w:b w:val="0"/>
          <w:i/>
        </w:rPr>
        <w:t>Adapted from content posted on hbr.org, December 11, 2017 (product H0428V).</w:t>
      </w:r>
    </w:p>
    <w:p>
      <w:pPr>
        <w:pStyle w:val="Heading1"/>
      </w:pPr>
      <w:r>
        <w:rPr>
          <w:b/>
          <w:i w:val="0"/>
        </w:rPr>
        <w:t>8</w:t>
      </w:r>
    </w:p>
    <w:p>
      <w:pPr>
        <w:pStyle w:val="Heading1"/>
      </w:pPr>
      <w:r>
        <w:rPr>
          <w:b/>
          <w:i w:val="0"/>
        </w:rPr>
        <w:t>THE KEY TO BETTER CYBERSECURITY</w:t>
      </w:r>
    </w:p>
    <w:p>
      <w:pPr>
        <w:pStyle w:val="Heading2"/>
      </w:pPr>
      <w:r>
        <w:rPr>
          <w:b/>
          <w:i w:val="0"/>
        </w:rPr>
        <w:t>Keep Employee Rules Simple</w:t>
      </w:r>
    </w:p>
    <w:p>
      <w:r>
        <w:rPr>
          <w:b w:val="0"/>
          <w:i w:val="0"/>
        </w:rPr>
        <w:t>by Maarten Van Horenbeeck</w:t>
      </w:r>
    </w:p>
    <w:p>
      <w:r>
        <w:rPr>
          <w:b w:val="0"/>
          <w:i w:val="0"/>
        </w:rPr>
        <w:t xml:space="preserve">It’s a common adage that employees are the weak link in corporate cybersecurity. But I believe they are also the best defense, </w:t>
      </w:r>
      <w:r>
        <w:rPr>
          <w:b w:val="0"/>
          <w:i/>
        </w:rPr>
        <w:t>if</w:t>
      </w:r>
      <w:r>
        <w:rPr>
          <w:b w:val="0"/>
          <w:i w:val="0"/>
        </w:rPr>
        <w:t xml:space="preserve"> they are given policies that are easy to follow and not too numerous and complex. Employee security training and best practices need to be user friendly and simple to be effective.</w:t>
      </w:r>
    </w:p>
    <w:p>
      <w:r>
        <w:rPr>
          <w:b w:val="0"/>
          <w:i w:val="0"/>
        </w:rPr>
        <w:t>Cyberattackers don’t need to have advanced hacking skills to break into corporate networks; they just need to know how to trick people into opening attachments and clicking on links. Phishing attacks are the cause of 90% of all data breaches and security incidents, according to the latest Verizon Data Breach Investigations Report.1 Clearly, employees are the main gateway into the organization for attackers. As a result, they are also the first line of defense. The Verizon report found that employee notifications are the most common way organizations discover cyberattacks. So arming these “sentry” employees with information they need to identify attacks is a critical part of a company’s overall security program—and yet most companies fail at this.</w:t>
      </w:r>
    </w:p>
    <w:p>
      <w:pPr>
        <w:pStyle w:val="Heading2"/>
      </w:pPr>
      <w:r>
        <w:rPr>
          <w:b/>
          <w:i w:val="0"/>
        </w:rPr>
        <w:t>Security Shortcuts</w:t>
      </w:r>
    </w:p>
    <w:p>
      <w:r>
        <w:rPr>
          <w:b w:val="0"/>
          <w:i w:val="0"/>
        </w:rPr>
        <w:t>One of the big reasons security rules often don’t work is because they are so complex that they drive people to take shortcuts that defeat their purpose. For example, password policies are so complicated and inconvenient that most employees just ignore them. Employees are told to change passwords frequently, but researchers have found that when people are required to come up with new passwords every three months they tend to do things like merely capitalizing the first letter or adding a number on the end to save time.2 This makes passwords increasingly easier to crack. Being creative gets exhausting when you have to do it repeatedly, yet most companies force this requirement on employees for the sake of security.</w:t>
      </w:r>
    </w:p>
    <w:p>
      <w:r>
        <w:rPr>
          <w:b w:val="0"/>
          <w:i w:val="0"/>
        </w:rPr>
        <w:t>Another example of a self-defeating security policy is requiring long and complex passwords. We’re constantly being told to come up with complicated passwords, ideally strings of passphrases that incorporate numerals, uppercase letters, and symbols. When faced with this task, many employees will simply ignore the policy or create a long password that can’t easily be remembered—so they write it on a Post-it note attached to the monitor. Again, these are practices that provide a false sense of security for the organization.</w:t>
      </w:r>
    </w:p>
    <w:p>
      <w:r>
        <w:rPr>
          <w:b w:val="0"/>
          <w:i w:val="0"/>
        </w:rPr>
        <w:t>These historical password guidelines are finally being challenged now that they have proven to be ineffective for most organizations. The U.S. National Institute of Standards and Technology (NIST) recently changed its guidelines to reflect this reality, and now recommends getting rid of rules that complicate password practices for end users, such as requiring frequent password resets.3 They recommend allowing the use of password managers and allowing people to paste passwords into fields. They also recommend multi-factor authentication, such as codes sent to smartphones and key fobs.</w:t>
      </w:r>
    </w:p>
    <w:p>
      <w:pPr>
        <w:pStyle w:val="Heading2"/>
      </w:pPr>
      <w:r>
        <w:rPr>
          <w:b/>
          <w:i w:val="0"/>
        </w:rPr>
        <w:t>Teachable Moments</w:t>
      </w:r>
    </w:p>
    <w:p>
      <w:r>
        <w:rPr>
          <w:b w:val="0"/>
          <w:i w:val="0"/>
        </w:rPr>
        <w:t>Another reason internal cybersecurity practices don’t work is that employees are so overwhelmed with guidance and information about things they should and shouldn’t do that they can’t digest it all. They are shuttled into mandatory half-day security training sessions, at which they often spend time staring at their phones or pretending to pay attention. It’s too much information to expect someone to absorb and remember, but for IT serves a purpose: enabling admins to report back to their department heads that they have trained employees on security best practices. It’s a compliance action that isn’t effective and wastes employee time.</w:t>
      </w:r>
    </w:p>
    <w:p>
      <w:r>
        <w:rPr>
          <w:b w:val="0"/>
          <w:i w:val="0"/>
        </w:rPr>
        <w:t>I advise IT admins to instead do what hackers do to be effective—customize their work as much as possible. For instance, the most dangerous phishing emails—spear-phishing attacks that are targeted at high-value employees—work because they are customized to fool exactly the person they are sent to. Requests for tax information and fake wire transfer requests look like they are sent from the CEO or CFO to someone in the finance department using the appropriate language. People fall for them because attackers have paid attention to detail. IT departments should follow the same playbook and use customized training and guidance rather than general and comprehensive trainings for all employees. I refer to this technique as “teachable moments” because it provides targeted information to specific individuals in a way and time they are most likely to be receptive to and able to learn from.</w:t>
      </w:r>
    </w:p>
    <w:p>
      <w:r>
        <w:rPr>
          <w:b w:val="0"/>
          <w:i w:val="0"/>
        </w:rPr>
        <w:t>Most internal security tests are too broad and unfocused. For example, IT departments tend to do phishing tests by sending out the same fake email to all employees. I don’t think these phishing tests are appropriate for all organizations. “Testing your users” requires a lot of framing and engagement to ensure that it doesn’t make employees feel untrusted, and thus reduce the trust relationship they have with their security team.</w:t>
      </w:r>
    </w:p>
    <w:p>
      <w:r>
        <w:rPr>
          <w:b w:val="0"/>
          <w:i w:val="0"/>
        </w:rPr>
        <w:t>The same principle holds true for third-party sharing and collaboration services, such as Slack and Dropbox. When we try to block these common tools, often the user will find and use a different one that IT failed to block. If IT instead identifies when employees use the service, and provides targeted guidance on how to use it securely, or offers a corporate subscription with security education, they can make a far bigger impact.</w:t>
      </w:r>
    </w:p>
    <w:p>
      <w:pPr>
        <w:pStyle w:val="Heading2"/>
      </w:pPr>
      <w:r>
        <w:rPr>
          <w:b/>
          <w:i w:val="0"/>
        </w:rPr>
        <w:t>A Culture of Openness</w:t>
      </w:r>
    </w:p>
    <w:p>
      <w:r>
        <w:rPr>
          <w:b w:val="0"/>
          <w:i w:val="0"/>
        </w:rPr>
        <w:t>An often-overlooked aspect of employee security practices is the relationship between the employee and the IT department and security team. In most organizations, employees view the security team as the traffic cops of the enterprise who are constantly telling them they can’t do something they want to do, like download an external software program. Employees also complain about delayed IT responses to help-desk tickets, and an adversarial relationship tends to develop. This situation needs to change if organizations want to improve the security practices of employees. The security and IT teams need to be seen as trusted and helpful advisers to employees, instead of as regulators.</w:t>
      </w:r>
    </w:p>
    <w:p>
      <w:r>
        <w:rPr>
          <w:b w:val="0"/>
          <w:i w:val="0"/>
        </w:rPr>
        <w:t>The best way to change this dynamic is to increase the opportunities for interaction between employees and IT. This can be in the form of office hours, when employees can seek help and information for IT and security issues and not be treated as an annoyance. And IT can be more proactive about getting to know employees and finding out what they are experiencing by mingling more among employees, instead of just showing up when someone requests something.</w:t>
      </w:r>
    </w:p>
    <w:p>
      <w:r>
        <w:rPr>
          <w:b w:val="0"/>
          <w:i w:val="0"/>
        </w:rPr>
        <w:t>The single most important thing companies can do is improve the relationship between IT and employees, who are the closest to the data and devices, and thus in the best position to discover and report security anomalies and incidents. Getting to know the employees, what their roles are, and how they work with technology, will increase the chance that they will report security issues and be more conscientious in their security practices. It also can help provide IT the information they need to tailor their security education and testing efforts to individuals. It will take collaboration like this within the organization to really change peoples’ habits and make a difference in keeping organizations safe.</w:t>
      </w:r>
    </w:p>
    <w:p>
      <w:r>
        <w:rPr>
          <w:b/>
          <w:i w:val="0"/>
        </w:rPr>
        <w:t>TAKEAWAYS</w:t>
      </w:r>
    </w:p>
    <w:p>
      <w:r>
        <w:rPr>
          <w:b w:val="0"/>
          <w:i w:val="0"/>
        </w:rPr>
        <w:t>Employees are the weakest link in cybersecurity. But they can become your company’s best defense if the policies they’re given are easy to follow and not too numerous or complicated:</w:t>
      </w:r>
    </w:p>
    <w:p>
      <w:pPr>
        <w:pStyle w:val="ListBullet"/>
      </w:pPr>
      <w:r>
        <w:rPr>
          <w:b w:val="0"/>
          <w:i w:val="0"/>
        </w:rPr>
        <w:t>Security rules, such as impossibly complex password requirements, are often so onerous that people take shortcuts that defeat their purpose. Ease this burden by allowing password managers or using multi-factor authentication.</w:t>
      </w:r>
    </w:p>
    <w:p>
      <w:pPr>
        <w:pStyle w:val="ListBullet"/>
      </w:pPr>
      <w:r>
        <w:rPr>
          <w:b w:val="0"/>
          <w:i w:val="0"/>
        </w:rPr>
        <w:t>Swap mandatory day-long training sessions for customized training and guidance.</w:t>
      </w:r>
    </w:p>
    <w:p>
      <w:pPr>
        <w:pStyle w:val="ListBullet"/>
      </w:pPr>
      <w:r>
        <w:rPr>
          <w:b w:val="0"/>
          <w:i w:val="0"/>
        </w:rPr>
        <w:t>The IT department are often seen as “regulators” by the rest of your company. Change this dynamic by making IT trusted and helpful advisers to your other employees by increasing opportunities for interaction through casual office hours or informal gatherings.</w:t>
      </w:r>
    </w:p>
    <w:p>
      <w:pPr>
        <w:pStyle w:val="Heading3"/>
      </w:pPr>
      <w:r>
        <w:rPr>
          <w:b/>
          <w:i w:val="0"/>
        </w:rPr>
        <w:t>NOTES</w:t>
      </w:r>
    </w:p>
    <w:p>
      <w:r>
        <w:rPr>
          <w:b w:val="0"/>
          <w:i w:val="0"/>
        </w:rPr>
        <w:t>1. Verizon, “2017 Data Breach Investigations Report,” https://enterprise.verizon.com/resources/reports/2017_dbir.pdf.</w:t>
      </w:r>
    </w:p>
    <w:p>
      <w:r>
        <w:rPr>
          <w:b w:val="0"/>
          <w:i w:val="0"/>
        </w:rPr>
        <w:t xml:space="preserve">2. Yinqian Zhang, Fabian Monrose, and Michael K. Reiter, “The Security of Modern Password Expiration: An Algorithmic Framework and Empirical Analysis,” in </w:t>
      </w:r>
      <w:r>
        <w:rPr>
          <w:b w:val="0"/>
          <w:i/>
        </w:rPr>
        <w:t>Proceedings of the 17th ACM Conference on Computer and Communications Security</w:t>
      </w:r>
      <w:r>
        <w:rPr>
          <w:b w:val="0"/>
          <w:i w:val="0"/>
        </w:rPr>
        <w:t>, October 4, 2010, https://www.cs.unc.edu/~reiter/papers/2010/CCS.pdf.</w:t>
      </w:r>
    </w:p>
    <w:p>
      <w:r>
        <w:rPr>
          <w:b w:val="0"/>
          <w:i w:val="0"/>
        </w:rPr>
        <w:t>3. Paul A. Grassi, Michael E. Garcia, and James L. Fenton, “Digital Identity Guidelines,” National Institute of Standards and Technology, June 2017, https://pages.nist.gov/800-63-3/sp800-63-3.html.</w:t>
      </w:r>
    </w:p>
    <w:p>
      <w:r>
        <w:rPr>
          <w:b w:val="0"/>
          <w:i/>
        </w:rPr>
        <w:t>Adapted from content posted on hbr.org, November 21, 2017 (product #H04153).</w:t>
      </w:r>
    </w:p>
    <w:p>
      <w:pPr>
        <w:pStyle w:val="Heading1"/>
      </w:pPr>
      <w:r>
        <w:rPr>
          <w:b/>
          <w:i w:val="0"/>
        </w:rPr>
        <w:t>9</w:t>
      </w:r>
    </w:p>
    <w:p>
      <w:pPr>
        <w:pStyle w:val="Heading1"/>
      </w:pPr>
      <w:r>
        <w:rPr>
          <w:b/>
          <w:i w:val="0"/>
        </w:rPr>
        <w:t>THE AVOIDABLE MISTAKES EXECUTIVES CONTINUE TO MAKE AFTER A DATA BREACH</w:t>
      </w:r>
    </w:p>
    <w:p>
      <w:r>
        <w:rPr>
          <w:b w:val="0"/>
          <w:i w:val="0"/>
        </w:rPr>
        <w:t>by Bill Bourdon</w:t>
      </w:r>
    </w:p>
    <w:p>
      <w:r>
        <w:rPr>
          <w:b w:val="0"/>
          <w:i w:val="0"/>
        </w:rPr>
        <w:t xml:space="preserve">The past few years have taught us that companies </w:t>
      </w:r>
      <w:r>
        <w:rPr>
          <w:b w:val="0"/>
          <w:i/>
        </w:rPr>
        <w:t>will</w:t>
      </w:r>
      <w:r>
        <w:rPr>
          <w:b w:val="0"/>
          <w:i w:val="0"/>
        </w:rPr>
        <w:t xml:space="preserve"> be breached and consumer data </w:t>
      </w:r>
      <w:r>
        <w:rPr>
          <w:b w:val="0"/>
          <w:i/>
        </w:rPr>
        <w:t>will</w:t>
      </w:r>
      <w:r>
        <w:rPr>
          <w:b w:val="0"/>
          <w:i w:val="0"/>
        </w:rPr>
        <w:t xml:space="preserve"> be stolen. Still, top executives continue to stumble in the way they respond to an attack, magnifying and extending the damage both to their reputation and their customers.</w:t>
      </w:r>
    </w:p>
    <w:p>
      <w:r>
        <w:rPr>
          <w:b w:val="0"/>
          <w:i w:val="0"/>
        </w:rPr>
        <w:t>In analyzing the top breaches over the past few years, it is clear that executives make a set of common mistakes, which is surprising given that so many companies, often led by otherwise effective leaders, fail to learn from the botched responses and mishandled situations of the companies that were breached before them.</w:t>
      </w:r>
    </w:p>
    <w:p>
      <w:r>
        <w:rPr>
          <w:b w:val="0"/>
          <w:i w:val="0"/>
        </w:rPr>
        <w:t>Here are the missteps executives make time and again, and advice for avoiding these pitfalls:</w:t>
      </w:r>
    </w:p>
    <w:p>
      <w:pPr>
        <w:pStyle w:val="Heading2"/>
      </w:pPr>
      <w:r>
        <w:rPr>
          <w:b/>
          <w:i w:val="0"/>
        </w:rPr>
        <w:t>Foot Dragging</w:t>
      </w:r>
    </w:p>
    <w:p>
      <w:r>
        <w:rPr>
          <w:b w:val="0"/>
          <w:i w:val="0"/>
        </w:rPr>
        <w:t xml:space="preserve">The longer companies wait to notify their customers, the greater the chance criminals will be able to use stolen data. While Equifax got blasted for taking nearly six weeks to disclose its breach, at least it didn’t wait until the stolen data was being sold on the dark web to go public with the news. Target didn’t comment on their breach until nearly a week </w:t>
      </w:r>
      <w:r>
        <w:rPr>
          <w:b w:val="0"/>
          <w:i/>
        </w:rPr>
        <w:t>after</w:t>
      </w:r>
      <w:r>
        <w:rPr>
          <w:b w:val="0"/>
          <w:i w:val="0"/>
        </w:rPr>
        <w:t xml:space="preserve"> it was reported by security blogger Brian Krebs. More recently, it came to light that the SEC waited a full year before disclosing information about its breach.</w:t>
      </w:r>
    </w:p>
    <w:p>
      <w:r>
        <w:rPr>
          <w:b w:val="0"/>
          <w:i w:val="0"/>
        </w:rPr>
        <w:t>Executives today must operate under the assumption that they will experience a cyber incident that will require them to notify their customers, investors, and regulators. The immediate emotional response may be to wait until all the details are available and carefully messaged, but it is negligent to withhold information that could help people keep their data and finances safe. The best way to assure executives and their communications teams respond to breaches quickly is to have a well-oiled incident response plan in place. It appears Whole Foods had a plan in place as the company reported its 2017 breach five days after detection.</w:t>
      </w:r>
    </w:p>
    <w:p>
      <w:r>
        <w:rPr>
          <w:b w:val="0"/>
          <w:i w:val="0"/>
        </w:rPr>
        <w:t>A federal breach notification law mandating quicker response times would also better serve citizens who are now at the mercy of a patchwork of state laws that have limits ranging from 15 days to 90 days, if they have limits at all. By contrast, an EU law that took effect in 2018 as part of the General Data Protection Regulation (GDPR) gives companies 72 hours.</w:t>
      </w:r>
    </w:p>
    <w:p>
      <w:pPr>
        <w:pStyle w:val="Heading2"/>
      </w:pPr>
      <w:r>
        <w:rPr>
          <w:b/>
          <w:i w:val="0"/>
        </w:rPr>
        <w:t>Poor Customer Service</w:t>
      </w:r>
    </w:p>
    <w:p>
      <w:r>
        <w:rPr>
          <w:b w:val="0"/>
          <w:i w:val="0"/>
        </w:rPr>
        <w:t>In 2016, Yahoo CEO Marissa Mayer failed to take a basic step that could have quickly protected customers whose accounts were exposed in a breach that occurred two years earlier: Automatically reset all user passwords. This would have immediately blocked criminals from getting into those accounts, but Mayer reportedly declined to do it because it would have forced all users to create new passwords, and she was worried that they would be annoyed and drop Yahoo.</w:t>
      </w:r>
    </w:p>
    <w:p>
      <w:r>
        <w:rPr>
          <w:b w:val="0"/>
          <w:i w:val="0"/>
        </w:rPr>
        <w:t>After its breach, Equifax originally offered customers free credit reporting for one year if they waived their rights to sue. In addition, Equifax tried to profit from its mistake by charging people who wanted to freeze their reports as an added layer of protection. The company soon dropped this condition, extended free credit reporting for life, and waived the credit freeze fees, but by that time the reputational damage had been done.</w:t>
      </w:r>
    </w:p>
    <w:p>
      <w:r>
        <w:rPr>
          <w:b w:val="0"/>
          <w:i w:val="0"/>
        </w:rPr>
        <w:t>The top priority for Yahoo should have been to do whatever it could to immediately protect customers. Equifax should have offered free, condition-free monitoring to help consumers stay safe. Top corporate officers need to make sure their gestures of goodwill align with the severity of the breach, even if they are expensive to implement.</w:t>
      </w:r>
    </w:p>
    <w:p>
      <w:pPr>
        <w:pStyle w:val="Heading2"/>
      </w:pPr>
      <w:r>
        <w:rPr>
          <w:b/>
          <w:i w:val="0"/>
        </w:rPr>
        <w:t>Not Being Transparent</w:t>
      </w:r>
    </w:p>
    <w:p>
      <w:r>
        <w:rPr>
          <w:b w:val="0"/>
          <w:i w:val="0"/>
        </w:rPr>
        <w:t>Being open in the aftermath of a breach is the thing executives are in a position to control—but more often than not, they evade the truth. Transparency is a cornerstone to rebuilding trust in the brand.</w:t>
      </w:r>
    </w:p>
    <w:p>
      <w:r>
        <w:rPr>
          <w:b w:val="0"/>
          <w:i w:val="0"/>
        </w:rPr>
        <w:t>In spite of its many other breach-response blunders, Equifax was fairly diligent in keeping the public updated on information related to its breach. In addition to distributing a press release and posting a video to their site (about five weeks after they discovered the breach), Equifax created a dedicated website for breach-related news that was updated five times in the week following the press release and video posting. However, on multiple occasions, the company’s official Twitter account directed customers to a fake phishing site. The official site had multiple technical difficulties, and when it was available, the site required people to verify their identity with the last six digits of their social security numbers—providing precisely the kind of personal information that was hacked in the first place.</w:t>
      </w:r>
    </w:p>
    <w:p>
      <w:r>
        <w:rPr>
          <w:b w:val="0"/>
          <w:i w:val="0"/>
        </w:rPr>
        <w:t>Sony handled its PlayStation Network (PSN) breach even worse. After discovering the network intrusion, Sony shut it down but didn’t say anything about being breached until two days later. Details about the incident trickled out haphazardly over the following weeks, and the advice offered by Sony to customers was muddled.</w:t>
      </w:r>
    </w:p>
    <w:p>
      <w:r>
        <w:rPr>
          <w:b w:val="0"/>
          <w:i w:val="0"/>
        </w:rPr>
        <w:t>By issuing confusing and incorrect information about a breach, executives prevent customers from taking actions they need to take in order to protect themselves. A lack of transparency also leads customers to believe executives are withholding information—even if they aren’t.</w:t>
      </w:r>
    </w:p>
    <w:p>
      <w:r>
        <w:rPr>
          <w:b w:val="0"/>
          <w:i w:val="0"/>
        </w:rPr>
        <w:t>It’s okay to say “we don’t know at this time.” Being honest and authentic, and providing clear and frequent updates, will earn trust from customers who just want to be leveled with.</w:t>
      </w:r>
    </w:p>
    <w:p>
      <w:pPr>
        <w:pStyle w:val="Heading2"/>
      </w:pPr>
      <w:r>
        <w:rPr>
          <w:b/>
          <w:i w:val="0"/>
        </w:rPr>
        <w:t>Failing to Accept Accountability</w:t>
      </w:r>
    </w:p>
    <w:p>
      <w:r>
        <w:rPr>
          <w:b w:val="0"/>
          <w:i w:val="0"/>
        </w:rPr>
        <w:t>A massive breach is not an individual error or a technology failure—it’s an organizational breakdown that is the responsibility of the top executive. It might not be a surprise that top executives don’t typically see it that way. A study from risk-management firm Stroz Friedberg found that just 45% of senior leaders believe they are responsible for protecting their companies against cyberattacks.</w:t>
      </w:r>
    </w:p>
    <w:p>
      <w:r>
        <w:rPr>
          <w:b w:val="0"/>
          <w:i w:val="0"/>
        </w:rPr>
        <w:t>It took 11 days after the Sony breach for any executives to apologize for the breach and 26 days for Sony chairman Howard Stringer to do so publicly. Equifax CEO Richard Smith initially showed humility and accountability in the immediate aftermath of the company’s breach, saying in a video: “I deeply regret this incident and I apologize to every affected consumer and all of our partners.” But after he was forced to resign, in his testimony before a U.S. House committee, Smith blamed an employee for failing to take basic security measures.</w:t>
      </w:r>
    </w:p>
    <w:p>
      <w:r>
        <w:rPr>
          <w:b w:val="0"/>
          <w:i w:val="0"/>
        </w:rPr>
        <w:t>Until more top executives begin to hold themselves accountable for cyber incidents, and learn from the mistakes that others have made before them, we will continue to see breaches and poor leadership in the responses to these attacks.</w:t>
      </w:r>
    </w:p>
    <w:p>
      <w:r>
        <w:rPr>
          <w:b/>
          <w:i w:val="0"/>
        </w:rPr>
        <w:t>TAKEAWAYS</w:t>
      </w:r>
    </w:p>
    <w:p>
      <w:r>
        <w:rPr>
          <w:b w:val="0"/>
          <w:i w:val="0"/>
        </w:rPr>
        <w:t>When executives flub their response to a breach, they magnify and extend the damage to their customers, their organization—and to their own reputation:</w:t>
      </w:r>
    </w:p>
    <w:p>
      <w:pPr>
        <w:pStyle w:val="ListBullet"/>
      </w:pPr>
      <w:r>
        <w:rPr>
          <w:b w:val="0"/>
          <w:i w:val="0"/>
        </w:rPr>
        <w:t>Leaders often make the same set of mistakes after an attack: They wait too long to notify customers, they deliver subpar service to customers once they do communicate the breach, they issue confusing and incorrect information about the attack, and they fail to accept accountability.</w:t>
      </w:r>
    </w:p>
    <w:p>
      <w:pPr>
        <w:pStyle w:val="ListBullet"/>
      </w:pPr>
      <w:r>
        <w:rPr>
          <w:b w:val="0"/>
          <w:i w:val="0"/>
        </w:rPr>
        <w:t>Executives should expect to experience a breach and have an incident response plan in place before they need it.</w:t>
      </w:r>
    </w:p>
    <w:p>
      <w:pPr>
        <w:pStyle w:val="ListBullet"/>
      </w:pPr>
      <w:r>
        <w:rPr>
          <w:b w:val="0"/>
          <w:i w:val="0"/>
        </w:rPr>
        <w:t>Customers should be a primary focus of care and leaders should take proactive measures to protect them through steps such as automatically resetting user passwords or offering free credit reporting.</w:t>
      </w:r>
    </w:p>
    <w:p>
      <w:pPr>
        <w:pStyle w:val="ListBullet"/>
      </w:pPr>
      <w:r>
        <w:rPr>
          <w:b w:val="0"/>
          <w:i w:val="0"/>
        </w:rPr>
        <w:t>Rebuild trust in your brand by sharing clear and regular updates with customers.</w:t>
      </w:r>
    </w:p>
    <w:p>
      <w:pPr>
        <w:pStyle w:val="ListBullet"/>
      </w:pPr>
      <w:r>
        <w:rPr>
          <w:b w:val="0"/>
          <w:i w:val="0"/>
        </w:rPr>
        <w:t>Recognize that a breach is not a technological failure; own that it’s an organizational breakdown that is your responsibility as the top executive.</w:t>
      </w:r>
    </w:p>
    <w:p>
      <w:r>
        <w:rPr>
          <w:b w:val="0"/>
          <w:i/>
        </w:rPr>
        <w:t>Adapted from content posted on hbr.org, November 20, 2017 (product #H04127).</w:t>
      </w:r>
    </w:p>
    <w:p>
      <w:pPr>
        <w:pStyle w:val="Heading1"/>
      </w:pPr>
      <w:r>
        <w:rPr>
          <w:b/>
          <w:i w:val="0"/>
        </w:rPr>
        <w:t>10</w:t>
      </w:r>
    </w:p>
    <w:p>
      <w:pPr>
        <w:pStyle w:val="Heading1"/>
      </w:pPr>
      <w:r>
        <w:rPr>
          <w:b/>
          <w:i w:val="0"/>
        </w:rPr>
        <w:t>ACTIVE DEFENSE</w:t>
      </w:r>
      <w:r>
        <w:rPr>
          <w:b w:val="0"/>
          <w:i w:val="0"/>
        </w:rPr>
        <w:t xml:space="preserve"> </w:t>
      </w:r>
      <w:r>
        <w:rPr>
          <w:b/>
          <w:i w:val="0"/>
        </w:rPr>
        <w:t>AND “HACKING BACK”</w:t>
      </w:r>
    </w:p>
    <w:p>
      <w:pPr>
        <w:pStyle w:val="Heading2"/>
      </w:pPr>
      <w:r>
        <w:rPr>
          <w:b/>
          <w:i w:val="0"/>
        </w:rPr>
        <w:t>A Primer</w:t>
      </w:r>
    </w:p>
    <w:p>
      <w:r>
        <w:rPr>
          <w:b w:val="0"/>
          <w:i w:val="0"/>
        </w:rPr>
        <w:t>by Scott Berinato</w:t>
      </w:r>
    </w:p>
    <w:p>
      <w:r>
        <w:rPr>
          <w:b w:val="0"/>
          <w:i w:val="0"/>
        </w:rPr>
        <w:t>Earlier in this book, Idaho National Lab’s Andy Bochman put forth a provocative idea: that no amount of spending on technology defenses can secure your critical systems or help you keep pace with hackers. To protect your most valuable information, he argues, you need to move beyond so-called cyber hygiene, the necessary but insufficient deployment of security software and network-monitoring processes.</w:t>
      </w:r>
    </w:p>
    <w:p>
      <w:r>
        <w:rPr>
          <w:b w:val="0"/>
          <w:i w:val="0"/>
        </w:rPr>
        <w:t>Bochman lays out a framework that requires switching your focus from the benefits of efficiency to the costs. Ideas that were once anathema—unplug some systems from the internet, de-automate in some places, insert trusted humans back into the process—are now the smart play.</w:t>
      </w:r>
    </w:p>
    <w:p>
      <w:r>
        <w:rPr>
          <w:b w:val="0"/>
          <w:i w:val="0"/>
        </w:rPr>
        <w:t>But they’re not the only play. Another that’s gaining attention is “active defense.” That might sound like Orwellian doublespeak, but it’s a real strategy. It involves going beyond passive monitoring and taking proactive measures to deal with the constant attacks on your network.</w:t>
      </w:r>
    </w:p>
    <w:p>
      <w:r>
        <w:rPr>
          <w:b w:val="0"/>
          <w:i w:val="0"/>
        </w:rPr>
        <w:t>There’s just one problem: As active defense tactics gain popularity, the term’s definition and tenets have become a muddy mess. Most notably, active defense has been conflated with “hacking back”—attacking your attackers. The approaches are not synonymous; there are important differences with respect to ethics, legality, and effectiveness.</w:t>
      </w:r>
    </w:p>
    <w:p>
      <w:r>
        <w:rPr>
          <w:b w:val="0"/>
          <w:i w:val="0"/>
        </w:rPr>
        <w:t>Active defense has a place in every company’s critical infrastructure-protection scheme. But to effectively deploy it, you need a proper understanding of what it is—and that’s tougher to come by than you might expect.</w:t>
      </w:r>
    </w:p>
    <w:p>
      <w:r>
        <w:rPr>
          <w:b w:val="0"/>
          <w:i w:val="0"/>
        </w:rPr>
        <w:t>We enlisted two of the foremost experts on the topic to help us proffer an authoritative definition of active defense and provide a fundamental understanding of how to deploy it.</w:t>
      </w:r>
    </w:p>
    <w:p>
      <w:r>
        <w:rPr>
          <w:b/>
          <w:i w:val="0"/>
        </w:rPr>
        <w:t>Dorothy Denning</w:t>
      </w:r>
      <w:r>
        <w:rPr>
          <w:b w:val="0"/>
          <w:i w:val="0"/>
        </w:rPr>
        <w:t xml:space="preserve"> was an inaugural inductee into the National Cyber Security Hall of Fame. A fellow of the Association for Computing Machinery and a professor at the Naval Postgraduate School, she has written several books on cybersecurity, including </w:t>
      </w:r>
      <w:r>
        <w:rPr>
          <w:b w:val="0"/>
          <w:i/>
        </w:rPr>
        <w:t>Information Warfare and Security.</w:t>
      </w:r>
      <w:r>
        <w:rPr>
          <w:b w:val="0"/>
          <w:i w:val="0"/>
        </w:rPr>
        <w:t xml:space="preserve"> She also coauthored a landmark paper on active defense, which states, “When properly understood, [active defense] is neither offensive nor necessarily dangerous.”</w:t>
      </w:r>
    </w:p>
    <w:p>
      <w:r>
        <w:rPr>
          <w:b/>
          <w:i w:val="0"/>
        </w:rPr>
        <w:t>Robert M. Lee</w:t>
      </w:r>
      <w:r>
        <w:rPr>
          <w:b w:val="0"/>
          <w:i w:val="0"/>
        </w:rPr>
        <w:t xml:space="preserve"> is a cofounder of Dragos, an industrial security firm. He conducted cyber operations for the NSA and U.S. Cyber Command from 2011 to 2015. In October 2017 his firm identified the first known malware written specifically to target industrial safety systems—in other words, its sole purpose was to damage or destroy systems meant to protect people. (The malware had been deployed that August against a petrochemical plant in Saudi Arabia, but the attack failed.) When asked about active defense, Lee sighs and asks flatly, “How are you defining it?” You can tell he’s had this conversation before. The number of people co-opting the term seems to have wearied him, and he’s happy to help bring clarity to the idea.</w:t>
      </w:r>
    </w:p>
    <w:p>
      <w:r>
        <w:rPr>
          <w:b w:val="0"/>
          <w:i w:val="0"/>
        </w:rPr>
        <w:t>The following FAQ primer draws on interviews with Denning and Lee.</w:t>
      </w:r>
    </w:p>
    <w:p>
      <w:r>
        <w:rPr>
          <w:b/>
          <w:i/>
        </w:rPr>
        <w:t>What exactly is active defense, also known as active cyber defense?</w:t>
      </w:r>
    </w:p>
    <w:p>
      <w:r>
        <w:rPr>
          <w:b w:val="0"/>
          <w:i w:val="0"/>
        </w:rPr>
        <w:t>It depends on whom you ask. The term has almost as many definitions as it does citations. NATO defines active defense this way: “A proactive measure for detecting or obtaining information as to a cyber intrusion, cyberattack, or impending cyber operation or for determining the origin of an operation that involves launching a preemptive, preventive, or cyber counter-operation against the source.”</w:t>
      </w:r>
    </w:p>
    <w:p>
      <w:r>
        <w:rPr>
          <w:b w:val="0"/>
          <w:i w:val="0"/>
        </w:rPr>
        <w:t>A solid working definition can be found in Denning’s paper with Bradley J. Strawser, “Active Cyber Defense: Applying Air Defense to the Cyber Domain”: “</w:t>
      </w:r>
      <w:r>
        <w:rPr>
          <w:b w:val="0"/>
          <w:i/>
        </w:rPr>
        <w:t>Active cyber defense</w:t>
      </w:r>
      <w:r>
        <w:rPr>
          <w:b w:val="0"/>
          <w:i w:val="0"/>
        </w:rPr>
        <w:t xml:space="preserve"> is a direct defensive action taken to destroy, nullify, or reduce the effectiveness of cyber threats against friendly forces and assets.”</w:t>
      </w:r>
    </w:p>
    <w:p>
      <w:r>
        <w:rPr>
          <w:b w:val="0"/>
          <w:i w:val="0"/>
        </w:rPr>
        <w:t>That sounds like offense, but Lee and Denning note that it describes a strictly defensive action—one taken in reaction to a detected infiltration. Lee argues that there’s a border distinction: Active defense happens when someone crosses into your space, be it over a political boundary or a network boundary. But Denning says that’s probably too simple, and below we’ll see a case in which the line is blurred. Lee says, “Most experts understand this, but it’s important to point out, especially for a general audience. You are prepared to actively deal with malicious actors who have crossed into your space. Sending missiles into someone else’s space is offense. Monitoring for missiles coming at you is passive defense. Shooting them down when they cross into your airspace is active defense.”</w:t>
      </w:r>
    </w:p>
    <w:p>
      <w:r>
        <w:rPr>
          <w:b/>
          <w:i/>
        </w:rPr>
        <w:t>Can you give some other examples?</w:t>
      </w:r>
    </w:p>
    <w:p>
      <w:r>
        <w:rPr>
          <w:b w:val="0"/>
          <w:i w:val="0"/>
        </w:rPr>
        <w:t>Denning says, “One example of active cyber defense is a system that monitors for intrusions, detects one, and responds by blocking further network connections from the source and alerting the system administrator. Another example is taking steps to identify and shut down a botnet used to conduct distributed denial-of-service (DDoS) attacks.” It’s the verbs “responds” and “shut down” that make these instances of active defense. An example of passive defense, in contrast, is an encryption system that renders communications or stored data useless to spies and thieves.</w:t>
      </w:r>
    </w:p>
    <w:p>
      <w:r>
        <w:rPr>
          <w:b/>
          <w:i/>
        </w:rPr>
        <w:t>Is active defense only an information security concept?</w:t>
      </w:r>
    </w:p>
    <w:p>
      <w:r>
        <w:rPr>
          <w:b w:val="0"/>
          <w:i w:val="0"/>
        </w:rPr>
        <w:t xml:space="preserve">Not at all. Some argue that it dates back to </w:t>
      </w:r>
      <w:r>
        <w:rPr>
          <w:b w:val="0"/>
          <w:i/>
        </w:rPr>
        <w:t>The Art of War,</w:t>
      </w:r>
      <w:r>
        <w:rPr>
          <w:b w:val="0"/>
          <w:i w:val="0"/>
        </w:rPr>
        <w:t xml:space="preserve"> in which Sun Tzu wrote, “Security against defeat implies defensive tactics; ability to defeat the enemy means taking the offensive.” Centuries later Mao Zedong said, “The only real defense is active defense,” equating it to the destruction of an enemy’s ability to attack—much as aggressive tactics in active cyber defense aim to do. The term was applied in the Cold War and, as Denning and Strawser’s paper makes clear, is a core concept in air missile defense. Tactics are tactics; all that changes is where they’re employed.</w:t>
      </w:r>
    </w:p>
    <w:p>
      <w:r>
        <w:rPr>
          <w:b/>
          <w:i/>
        </w:rPr>
        <w:t>That seems pretty straightforward. So why the uncertainty around the definition?</w:t>
      </w:r>
    </w:p>
    <w:p>
      <w:r>
        <w:rPr>
          <w:b w:val="0"/>
          <w:i w:val="0"/>
        </w:rPr>
        <w:t xml:space="preserve">As noted earlier, hacking back—also not a new term—has confused matters. Properly used, it refers to efforts to attack your attackers </w:t>
      </w:r>
      <w:r>
        <w:rPr>
          <w:b w:val="0"/>
          <w:i/>
        </w:rPr>
        <w:t>on their turf</w:t>
      </w:r>
      <w:r>
        <w:rPr>
          <w:b w:val="0"/>
          <w:i w:val="0"/>
        </w:rPr>
        <w:t>. But because people often conflate it with active defense, difficult and sometimes frustrating disputes over the merits of active defense have ensued. One research paper went so far as to equate the two terms, starting its definition, “Hack back—sometimes termed ‘active defense’ …”</w:t>
      </w:r>
    </w:p>
    <w:p>
      <w:r>
        <w:rPr>
          <w:b w:val="0"/>
          <w:i w:val="0"/>
        </w:rPr>
        <w:t>The confusion multiplied in October 2017, when Representatives Tom Graves (R-GA) and Kyrsten Sinema (D-AZ) introduced the Active Cyber Defense Certainty (ACDC) bill, which would allow companies to gain unauthorized access to computers in some situations in order to disrupt attacks. The lawmakers called this active defense. The media called it the “hack back bill.” What it would and would not allow became the subject of hot debate. The idea that companies could go into other people’s infected computers wasn’t welcomed. Some savaged the bill. The technology blog network Engadget called it “smarmy and conceited” and observed, “When you try to make laws about hacking based on a child’s concept of ‘getting someone back,’ you’re getting very far and away from making yourself secure. It’s like trying to make gang warfare productive.” The bill went through two iterations and is currently stalled, as of the time this book went to press.</w:t>
      </w:r>
    </w:p>
    <w:p>
      <w:r>
        <w:rPr>
          <w:b/>
          <w:i/>
        </w:rPr>
        <w:t>But is hacking back</w:t>
      </w:r>
      <w:r>
        <w:rPr>
          <w:b w:val="0"/>
          <w:i w:val="0"/>
        </w:rPr>
        <w:t xml:space="preserve"> </w:t>
      </w:r>
      <w:r>
        <w:rPr>
          <w:b/>
          <w:i w:val="0"/>
        </w:rPr>
        <w:t>part</w:t>
      </w:r>
      <w:r>
        <w:rPr>
          <w:b w:val="0"/>
          <w:i w:val="0"/>
        </w:rPr>
        <w:t xml:space="preserve"> </w:t>
      </w:r>
      <w:r>
        <w:rPr>
          <w:b/>
          <w:i/>
        </w:rPr>
        <w:t>of active defense?</w:t>
      </w:r>
    </w:p>
    <w:p>
      <w:r>
        <w:rPr>
          <w:b w:val="0"/>
          <w:i w:val="0"/>
        </w:rPr>
        <w:t>Probably not. Lee says unequivocally, “Hacking back is absolutely not active defense. It’s probably illegal, and it’s probably not effective. We don’t have evidence that attacking attackers works.” Denning has a somewhat different take. “Hacking back is just one form of active defense,” she says. “It might be used to gather intelligence about the source of an intrusion to determine attribution or what data might have been stolen. If the attacker is identified, law enforcement might bring charges. If stolen data is found on the intruder’s system, it might be deleted. Hacking back might also involve neutralizing or shutting down an attacking system so that it cannot cause further damage.”</w:t>
      </w:r>
    </w:p>
    <w:p>
      <w:r>
        <w:rPr>
          <w:b w:val="0"/>
          <w:i w:val="0"/>
        </w:rPr>
        <w:t>But Lee and Denning are defining the term differently. And Denning’s version refers to actions undertaken with proper authority by government entities. When it comes to hacking back on the part of businesses, the two experts are in total agreement: Don’t do it. Denning says, “Companies should not hack back. The Department of Justice has advised victims of cyberattacks to refrain from any ‘attempt to access, damage, or impair another system that may appear to be involved in the intrusion or attack.’ The advice contends that ‘doing so is likely illegal, under U.S. and some foreign laws, and could result in civil and/or criminal liability.’ ”</w:t>
      </w:r>
    </w:p>
    <w:p>
      <w:r>
        <w:rPr>
          <w:b/>
          <w:i/>
        </w:rPr>
        <w:t>What’s an example of an aggressive form of active defense that some might consider hacking back?</w:t>
      </w:r>
    </w:p>
    <w:p>
      <w:r>
        <w:rPr>
          <w:b w:val="0"/>
          <w:i w:val="0"/>
        </w:rPr>
        <w:t>Denning says,</w:t>
      </w:r>
    </w:p>
    <w:p>
      <w:pPr>
        <w:pStyle w:val="Quote"/>
      </w:pPr>
      <w:r>
        <w:rPr>
          <w:b w:val="0"/>
          <w:i w:val="0"/>
        </w:rPr>
        <w:br/>
      </w:r>
      <w:r>
        <w:rPr>
          <w:b w:val="0"/>
          <w:i/>
        </w:rPr>
        <w:t>One of my favorite examples of active defense led to the exposure of a Russian hacker who had gotten malicious code onto government computers in the country of Georgia. The malware searched for documents using keywords such as “USA” and “NATO,”</w:t>
      </w:r>
      <w:r>
        <w:rPr>
          <w:b w:val="0"/>
          <w:i w:val="0"/>
        </w:rPr>
        <w:t xml:space="preserve"> </w:t>
      </w:r>
      <w:r>
        <w:rPr>
          <w:b w:val="0"/>
          <w:i/>
        </w:rPr>
        <w:t>which it then uploaded to a drop server used by the hacker. The Georgian government responded by planting spyware in a file named “Georgian-NATO Agreement” on one of its compromised machines. The hacker’s malware dutifully found and uploaded the file to the drop server, which the hacker then downloaded to his own machine. The spyware turned on the hacker’s webcam and sent incriminating files along with a snapshot of his face back to the Georgian government.</w:t>
      </w:r>
      <w:r>
        <w:rPr>
          <w:b w:val="0"/>
          <w:i w:val="0"/>
        </w:rPr>
        <w:br/>
      </w:r>
      <w:r>
        <w:rPr>
          <w:b w:val="0"/>
          <w:i/>
        </w:rPr>
        <w:t>Is that hacking back? I don’t think so. It was really through the hacker’s own code and actions that he ended up with spyware on his computer.</w:t>
      </w:r>
      <w:r>
        <w:rPr>
          <w:b w:val="0"/>
          <w:i w:val="0"/>
        </w:rPr>
        <w:br/>
      </w:r>
    </w:p>
    <w:p>
      <w:r>
        <w:rPr>
          <w:b w:val="0"/>
          <w:i w:val="0"/>
        </w:rPr>
        <w:t>Note that the actions were taken by a government and occurred within its “borders”; Georgia put the spyware on its own computer. It did not traverse a network to hit another system. It was the hacker’s action of illegally taking the file that triggered the surveillance.</w:t>
      </w:r>
    </w:p>
    <w:p>
      <w:r>
        <w:rPr>
          <w:b/>
          <w:i/>
        </w:rPr>
        <w:t>If it’s probably illegal and ineffective, why is hacking back getting so much press?</w:t>
      </w:r>
    </w:p>
    <w:p>
      <w:r>
        <w:rPr>
          <w:b w:val="0"/>
          <w:i w:val="0"/>
        </w:rPr>
        <w:t xml:space="preserve">Companies are weary. “They are under constant attack and working so hard and spending so much just to keep up, and they </w:t>
      </w:r>
      <w:r>
        <w:rPr>
          <w:b w:val="0"/>
          <w:i/>
        </w:rPr>
        <w:t>can’t</w:t>
      </w:r>
      <w:r>
        <w:rPr>
          <w:b w:val="0"/>
          <w:i w:val="0"/>
        </w:rPr>
        <w:t xml:space="preserve"> keep up,” Lee says. “This is a moment when we’re looking for new ideas. That’s why Bochman’s concept of unplugging systems and not always going right to the most efficient solution is starting to be heard. Hacking back feels like another way to turn the tide. Cybersecurity loves a silver bullet, and this feels like one. CEOs are probably thinking, ‘Nothing else has worked; let’s fight.’ ” Lee has heard many business leaders express these sentiments, especially if their companies have suffered damaging attacks. “This is an emotional issue,” he says. “You feel violated, and you want to do something about it.”</w:t>
      </w:r>
    </w:p>
    <w:p>
      <w:r>
        <w:rPr>
          <w:b w:val="0"/>
          <w:i w:val="0"/>
        </w:rPr>
        <w:t>In a paper titled “Ethics of Hacking Back,” Cal Poly’s Patrick Lin captures the sense of utter vulnerability that could lead some to desire vigilante justice:</w:t>
      </w:r>
    </w:p>
    <w:p>
      <w:pPr>
        <w:pStyle w:val="Quote"/>
      </w:pPr>
      <w:r>
        <w:rPr>
          <w:b w:val="0"/>
          <w:i w:val="0"/>
        </w:rPr>
        <w:br/>
      </w:r>
      <w:r>
        <w:rPr>
          <w:b w:val="0"/>
          <w:i/>
        </w:rPr>
        <w:t>In cybersecurity, there’s a certain sense of helplessness—you are mostly on your own.</w:t>
      </w:r>
      <w:r>
        <w:rPr>
          <w:b w:val="0"/>
          <w:i w:val="0"/>
        </w:rPr>
        <w:t xml:space="preserve"> You </w:t>
      </w:r>
      <w:r>
        <w:rPr>
          <w:b w:val="0"/>
          <w:i/>
        </w:rPr>
        <w:t>are often the first and last line of defense for your information and communications technologies; there is no equivalent of state-protected borders, neighborhood police patrols, and other public protections in cyberspace.</w:t>
      </w:r>
      <w:r>
        <w:rPr>
          <w:b w:val="0"/>
          <w:i w:val="0"/>
        </w:rPr>
        <w:br/>
      </w:r>
      <w:r>
        <w:rPr>
          <w:b w:val="0"/>
          <w:i/>
        </w:rPr>
        <w:t>For instance, if your computer were hit by “ransomware”—malware that locks up your system until you pay a fee to extortionists—law enforcement would likely be unable to help you. The U.S. Federal Bureau of Investigation (FBI) offers this</w:t>
      </w:r>
      <w:r>
        <w:rPr>
          <w:b w:val="0"/>
          <w:i w:val="0"/>
        </w:rPr>
        <w:t xml:space="preserve"> </w:t>
      </w:r>
      <w:r>
        <w:rPr>
          <w:b w:val="0"/>
          <w:i/>
        </w:rPr>
        <w:t>guidance: “To be honest, we often advise people to just pay the ransom,” according to Joseph Bonavolonta, the assistant special agent in charge of the FBI’s cyber and counterintelligence program.</w:t>
      </w:r>
      <w:r>
        <w:rPr>
          <w:b w:val="0"/>
          <w:i w:val="0"/>
        </w:rPr>
        <w:br/>
      </w:r>
      <w:r>
        <w:rPr>
          <w:b w:val="0"/>
          <w:i/>
        </w:rPr>
        <w:t>Do not expect a digital cavalry to come to your rescue in time. As online life moves at digital speeds, law enforcement and state responses are often too slow to protect, prosecute, or deter cyberattackers. To be sure, some prosecutions are happening but inconsistently and slowly. The major cases that make headlines are conspicuously unresolved, even if authorities confidently say they know who did them.</w:t>
      </w:r>
      <w:r>
        <w:rPr>
          <w:b w:val="0"/>
          <w:i w:val="0"/>
        </w:rPr>
        <w:br/>
      </w:r>
    </w:p>
    <w:p>
      <w:r>
        <w:rPr>
          <w:b/>
          <w:i/>
        </w:rPr>
        <w:t>What</w:t>
      </w:r>
      <w:r>
        <w:rPr>
          <w:b w:val="0"/>
          <w:i w:val="0"/>
        </w:rPr>
        <w:t xml:space="preserve"> </w:t>
      </w:r>
      <w:r>
        <w:rPr>
          <w:b/>
          <w:i w:val="0"/>
        </w:rPr>
        <w:t>are</w:t>
      </w:r>
      <w:r>
        <w:rPr>
          <w:b w:val="0"/>
          <w:i w:val="0"/>
        </w:rPr>
        <w:t xml:space="preserve"> </w:t>
      </w:r>
      <w:r>
        <w:rPr>
          <w:b/>
          <w:i/>
        </w:rPr>
        <w:t>the ethics of hacking back?</w:t>
      </w:r>
    </w:p>
    <w:p>
      <w:r>
        <w:rPr>
          <w:b w:val="0"/>
          <w:i w:val="0"/>
        </w:rPr>
        <w:t>For the most part, experts say that hacking back without legal authorization or government cooperation is unethical. And whenever activities leave your boundaries, it’s hard to condone them. The targets are too evasive, and the networks are too complex, traversing innocent systems and affecting the people working with them. In addition, Lee points out that government entities might be tracking and dealing with malicious actors, and hacking back could compromise their operations. “Leave it to the pros,” he says.</w:t>
      </w:r>
    </w:p>
    <w:p>
      <w:r>
        <w:rPr>
          <w:b w:val="0"/>
          <w:i w:val="0"/>
        </w:rPr>
        <w:t>Denning stresses that unintended consequences are not just possible but likely. She says, “The biggest risks come when you start messing with someone else’s computers. Many cyberattacks are launched through intermediary machines that were previously compromised by the attacker. Those computers could be anywhere, even in a hospital or power plant. So you don’t want to shut them down or cause them to malfunction.”</w:t>
      </w:r>
    </w:p>
    <w:p>
      <w:r>
        <w:rPr>
          <w:b/>
          <w:i/>
        </w:rPr>
        <w:t>What kind of work is under way with regard to ethics?</w:t>
      </w:r>
    </w:p>
    <w:p>
      <w:r>
        <w:rPr>
          <w:b w:val="0"/>
          <w:i w:val="0"/>
        </w:rPr>
        <w:t>According to Denning, researchers began wrestling with these issues as early as 2006. Speaking about a workshop she participated in, she says, “I recall discussions about measures that involved tracing back through a series of compromised machines to find the origin of an attack. Such tracebacks would involve hacking into the compromised machines to get their logs if the owners were not willing or could not be trusted to help out.”</w:t>
      </w:r>
    </w:p>
    <w:p>
      <w:r>
        <w:rPr>
          <w:b w:val="0"/>
          <w:i w:val="0"/>
        </w:rPr>
        <w:t xml:space="preserve">A decade later Denning collaborated with Strawser to examine the morality of active defense writ large, using the ethics of air defense and general war doctrine as a guide. They wrote that harm to “non-combatants”—especially and most obviously physical harm—disqualifies an active defense strategy. But they say that “temporary harm to the </w:t>
      </w:r>
      <w:r>
        <w:rPr>
          <w:b w:val="0"/>
          <w:i/>
        </w:rPr>
        <w:t>property</w:t>
      </w:r>
      <w:r>
        <w:rPr>
          <w:b w:val="0"/>
          <w:i w:val="0"/>
        </w:rPr>
        <w:t xml:space="preserve"> of non-combatants” is sometimes morally permissible. (It should be noted that Denning is primarily focused on the government use of active cyber defense strategies). Denning cites the takedown of Coreflood—malware that infected millions of computers and was used as a botnet. The Justice Department won approval to seize the botnet by taking over its command-and-control servers. Then, when the bots contacted the servers for instructions, the response was essentially, “Stop operating.” In the instance of Coreflood, as in some similar cases, a judge decided that the actions could proceed because they could shut down major malicious code without damaging the infected systems or accessing any information on them.</w:t>
      </w:r>
    </w:p>
    <w:p>
      <w:r>
        <w:rPr>
          <w:b w:val="0"/>
          <w:i w:val="0"/>
        </w:rPr>
        <w:t>“The effect was simply to stop the bot code from running. No other functions were affected, and the infected computers continued to operate normally,” Denning says. “There was virtually no risk of causing any harm whatsoever, let alone serious harm.”</w:t>
      </w:r>
    </w:p>
    <w:p>
      <w:r>
        <w:rPr>
          <w:b w:val="0"/>
          <w:i w:val="0"/>
        </w:rPr>
        <w:t>Still, the case may have set a precedent for at least the suggestion of more aggressive measures, such as the ACDC bill. If the government can take control of command-and-control servers, it can, in theory, do more than just tell the bots to shut down. Why not grab some log files at the same time? Or turn on the webcam, as in the Georgian-NATO case? Oversight is needed in all active defense strategies.</w:t>
      </w:r>
    </w:p>
    <w:p>
      <w:r>
        <w:rPr>
          <w:b/>
          <w:i/>
        </w:rPr>
        <w:t>How can I deploy an ethical and effective active defense strategy?</w:t>
      </w:r>
    </w:p>
    <w:p>
      <w:r>
        <w:rPr>
          <w:b w:val="0"/>
          <w:i w:val="0"/>
        </w:rPr>
        <w:t>If you have or subscribe to services that can thwart DDoS attacks and create logs, you’ve already started. Denning says that many companies are doing more active defense than they realize. “They might not call it active defense, but what they call it matters less than what they do.”</w:t>
      </w:r>
    </w:p>
    <w:p>
      <w:r>
        <w:rPr>
          <w:b w:val="0"/>
          <w:i w:val="0"/>
        </w:rPr>
        <w:t>Cooperating with law enforcement and the international network of companies and organizations combating hacking is also part of an active defense strategy. The more companies and agencies that work together, the more likely it is that active defense strategies like the one that took out Coreflood can be executed without harm. Several such operations have taken place without reports of problems.</w:t>
      </w:r>
    </w:p>
    <w:p>
      <w:r>
        <w:rPr>
          <w:b w:val="0"/>
          <w:i w:val="0"/>
        </w:rPr>
        <w:t xml:space="preserve">Denning recommends </w:t>
      </w:r>
      <w:r>
        <w:rPr>
          <w:b w:val="0"/>
          <w:i/>
        </w:rPr>
        <w:t>A Data-Driven Computer Security Defense: THE Computer Security Defense You Should Be Using,</w:t>
      </w:r>
      <w:r>
        <w:rPr>
          <w:b w:val="0"/>
          <w:i w:val="0"/>
        </w:rPr>
        <w:t xml:space="preserve"> by Roger A. Grimes. (Full disclosure: Denning wrote the foreword. “But the book really is good!” she says.)</w:t>
      </w:r>
    </w:p>
    <w:p>
      <w:r>
        <w:rPr>
          <w:b w:val="0"/>
          <w:i w:val="0"/>
        </w:rPr>
        <w:t xml:space="preserve">As for more aggressive tactics, like the ones proposed in the ACDC bill, proceed with caution. Work with law enforcement and other government agencies, and understand the risks. Denning says, “It’s </w:t>
      </w:r>
      <w:r>
        <w:rPr>
          <w:b w:val="0"/>
          <w:i/>
        </w:rPr>
        <w:t>all</w:t>
      </w:r>
      <w:r>
        <w:rPr>
          <w:b w:val="0"/>
          <w:i w:val="0"/>
        </w:rPr>
        <w:t xml:space="preserve"> about risk. Companies need to understand the threats and vulnerabilities and how security incidents will impact their company, customers, and partners. Then they need to select cost-effective security defenses, both passive and active.” There are limits, she cautions. “Security is a bottomless pit; you can only do so much. But it’s important to do the right things—the things that will make a difference.”</w:t>
      </w:r>
    </w:p>
    <w:p>
      <w:r>
        <w:rPr>
          <w:b/>
          <w:i w:val="0"/>
        </w:rPr>
        <w:t>TAKEAWAYS</w:t>
      </w:r>
    </w:p>
    <w:p>
      <w:r>
        <w:rPr>
          <w:b w:val="0"/>
          <w:i w:val="0"/>
        </w:rPr>
        <w:t>Some companies are going beyond traditional passive monitoring of security and introducing active defense measures to protect their company’s mission-critical systems:</w:t>
      </w:r>
    </w:p>
    <w:p>
      <w:pPr>
        <w:pStyle w:val="ListBullet"/>
      </w:pPr>
      <w:r>
        <w:rPr>
          <w:b w:val="0"/>
          <w:i w:val="0"/>
        </w:rPr>
        <w:t>There is no consensus among experts of the definition of active defense, but a solid working definition is “active cyber defense is a direct defensive action taken to destroy, nullify, or reduce the effectiveness of cyber threats against friendly forces and assets.”</w:t>
      </w:r>
    </w:p>
    <w:p>
      <w:pPr>
        <w:pStyle w:val="ListBullet"/>
      </w:pPr>
      <w:r>
        <w:rPr>
          <w:b w:val="0"/>
          <w:i w:val="0"/>
        </w:rPr>
        <w:t xml:space="preserve">“Hacking back” is another term that defies easy definition, and it is often confused with active defense. Hacking back refers to attempts to attack your attackers on </w:t>
      </w:r>
      <w:r>
        <w:rPr>
          <w:b w:val="0"/>
          <w:i/>
        </w:rPr>
        <w:t>their</w:t>
      </w:r>
      <w:r>
        <w:rPr>
          <w:b w:val="0"/>
          <w:i w:val="0"/>
        </w:rPr>
        <w:t xml:space="preserve"> systems, like sending a missile into someone else’s space. Active defense is shooting down an attacker’s missile when they cross into your airspace.</w:t>
      </w:r>
    </w:p>
    <w:p>
      <w:pPr>
        <w:pStyle w:val="ListBullet"/>
      </w:pPr>
      <w:r>
        <w:rPr>
          <w:b w:val="0"/>
          <w:i w:val="0"/>
        </w:rPr>
        <w:t>Despite the lack of consensus on a definition of hacking back, the experts agree that companies should not engage in this practice because it is unethical and possibly illegal.</w:t>
      </w:r>
    </w:p>
    <w:p>
      <w:r>
        <w:rPr>
          <w:b w:val="0"/>
          <w:i/>
        </w:rPr>
        <w:t>Adapted from content posted on hbr.org, May 21, 2018 (product #BG1803).</w:t>
      </w:r>
    </w:p>
    <w:p>
      <w:pPr>
        <w:pStyle w:val="Heading1"/>
      </w:pPr>
      <w:r>
        <w:rPr>
          <w:b/>
          <w:i w:val="0"/>
        </w:rPr>
        <w:t>11</w:t>
      </w:r>
    </w:p>
    <w:p>
      <w:pPr>
        <w:pStyle w:val="Heading1"/>
      </w:pPr>
      <w:r>
        <w:rPr>
          <w:b/>
          <w:i w:val="0"/>
        </w:rPr>
        <w:t>CYBERSECURITY IS PUTTING CUSTOMER TRUST AT THE CENTER OF COMPETITION</w:t>
      </w:r>
    </w:p>
    <w:p>
      <w:r>
        <w:rPr>
          <w:b w:val="0"/>
          <w:i w:val="0"/>
        </w:rPr>
        <w:t>by Andrew Burt</w:t>
      </w:r>
    </w:p>
    <w:p>
      <w:r>
        <w:rPr>
          <w:b w:val="0"/>
          <w:i w:val="0"/>
        </w:rPr>
        <w:t>If you’re selling a product, you’re now selling trust.</w:t>
      </w:r>
    </w:p>
    <w:p>
      <w:r>
        <w:rPr>
          <w:b w:val="0"/>
          <w:i w:val="0"/>
        </w:rPr>
        <w:t xml:space="preserve">That’s thanks to two conflicting trends. One is our increasing reliance on software across nearly every dimension of our lives. It’s for this reason that, among all </w:t>
      </w:r>
      <w:r>
        <w:rPr>
          <w:b w:val="0"/>
          <w:i/>
        </w:rPr>
        <w:t>Fortune</w:t>
      </w:r>
      <w:r>
        <w:rPr>
          <w:b w:val="0"/>
          <w:i w:val="0"/>
        </w:rPr>
        <w:t xml:space="preserve"> 500 CEOs, a full 71% now claim they are running technology companies. The second is the inherent privacy and security vulnerabilities related to software itself. As security and privacy pioneer Willis Ware once wryly declared, “The only computer that’s completely secure is a computer that no one can use.”</w:t>
      </w:r>
    </w:p>
    <w:p>
      <w:r>
        <w:rPr>
          <w:b w:val="0"/>
          <w:i w:val="0"/>
        </w:rPr>
        <w:t>To navigate these two trends, companies across every vertical will need to prioritize data privacy and security, clearly demonstrate those priorities to consumers, and safeguard their relationships with customers by being fully honest about the dangers of data in the digital age.</w:t>
      </w:r>
    </w:p>
    <w:p>
      <w:r>
        <w:rPr>
          <w:b w:val="0"/>
          <w:i w:val="0"/>
        </w:rPr>
        <w:t>That’s where Olav Lysne, a Norwegian security researcher, and Apple CEO Tim Cook come in. While neither has much in common with the other, at least on the surface, they both illustrate how the future of technology—indeed, the future of business—is all about trust.</w:t>
      </w:r>
    </w:p>
    <w:p>
      <w:r>
        <w:rPr>
          <w:b w:val="0"/>
          <w:i w:val="0"/>
        </w:rPr>
        <w:t>Let’s start with Lysne.</w:t>
      </w:r>
    </w:p>
    <w:p>
      <w:r>
        <w:rPr>
          <w:b w:val="0"/>
          <w:i w:val="0"/>
        </w:rPr>
        <w:t>A few years ago, the Norwegian government realized that it bought almost all of its critical technology from outside of Norway—think of the software that runs things like electric stations, water pumps, and cellular towers. Untrustworthy software might, for example, allow access to Norway’s data in ways the government would disapprove—for example, to defraud the government by promising one thing and doing another, or to intentionally cease to function at a planned point in time.</w:t>
      </w:r>
    </w:p>
    <w:p>
      <w:r>
        <w:rPr>
          <w:b w:val="0"/>
          <w:i w:val="0"/>
        </w:rPr>
        <w:t xml:space="preserve">These issues raised pressing national security questions: How could the government trust the technology it was increasingly reliant upon? What could Norway actually </w:t>
      </w:r>
      <w:r>
        <w:rPr>
          <w:b w:val="0"/>
          <w:i/>
        </w:rPr>
        <w:t>do</w:t>
      </w:r>
      <w:r>
        <w:rPr>
          <w:b w:val="0"/>
          <w:i w:val="0"/>
        </w:rPr>
        <w:t xml:space="preserve"> to verify that it could depend on the software it was using?</w:t>
      </w:r>
    </w:p>
    <w:p>
      <w:r>
        <w:rPr>
          <w:b w:val="0"/>
          <w:i w:val="0"/>
        </w:rPr>
        <w:t xml:space="preserve">In 2014, Lysne was tasked with leading a commission to answer these questions, an effort that culminated in a seminal book, </w:t>
      </w:r>
      <w:r>
        <w:rPr>
          <w:b w:val="0"/>
          <w:i/>
        </w:rPr>
        <w:t>The Huawei and Snowden Questions</w:t>
      </w:r>
      <w:r>
        <w:rPr>
          <w:b w:val="0"/>
          <w:i w:val="0"/>
        </w:rPr>
        <w:t>.</w:t>
      </w:r>
    </w:p>
    <w:p>
      <w:r>
        <w:rPr>
          <w:b w:val="0"/>
          <w:i w:val="0"/>
        </w:rPr>
        <w:t>Lysne’s answer: Norway’s government simply could not verify as trustworthy the software it used. In fact, no one can. The very nature of our current software systems—the complexity underlying them, their supply chains, and more—makes it impossible to detect vulnerabilities intentionally inserted into software.</w:t>
      </w:r>
    </w:p>
    <w:p>
      <w:r>
        <w:rPr>
          <w:b w:val="0"/>
          <w:i w:val="0"/>
        </w:rPr>
        <w:t>The sheer volume of code embedded into everyday objects, for example, is nearly impossible to review—the average car runs on an estimated 100 million lines of code, while Microsoft Office comprises up to 30 million lines of code. Meanwhile, the actual chips that make up circuit boards can be easily compromised themselves. These chips are composed of thousands, or in some cases millions, of gates; adding as few as 1,341 gates to just one chip has been shown to create a backdoor into an entire system.1 The list of ways to compromise software is, as Lysne describes, seemingly endless.</w:t>
      </w:r>
    </w:p>
    <w:p>
      <w:r>
        <w:rPr>
          <w:b w:val="0"/>
          <w:i w:val="0"/>
        </w:rPr>
        <w:t xml:space="preserve">This makes trust both the most important aspect of any commercial interaction and the hardest to measure. If we don’t trust the maker, we simply don’t know what it is we’re getting. And because trust cannot be </w:t>
      </w:r>
      <w:r>
        <w:rPr>
          <w:b w:val="0"/>
          <w:i/>
        </w:rPr>
        <w:t>proven</w:t>
      </w:r>
      <w:r>
        <w:rPr>
          <w:b w:val="0"/>
          <w:i w:val="0"/>
        </w:rPr>
        <w:t xml:space="preserve">, it must be </w:t>
      </w:r>
      <w:r>
        <w:rPr>
          <w:b w:val="0"/>
          <w:i/>
        </w:rPr>
        <w:t>signaled</w:t>
      </w:r>
      <w:r>
        <w:rPr>
          <w:b w:val="0"/>
          <w:i w:val="0"/>
        </w:rPr>
        <w:t>—through branding, marketing, and more.</w:t>
      </w:r>
    </w:p>
    <w:p>
      <w:r>
        <w:rPr>
          <w:b w:val="0"/>
          <w:i w:val="0"/>
        </w:rPr>
        <w:t>So what does Lysne have to do with Tim Cook?</w:t>
      </w:r>
    </w:p>
    <w:p>
      <w:r>
        <w:rPr>
          <w:b w:val="0"/>
          <w:i w:val="0"/>
        </w:rPr>
        <w:t>Cook is one of the few corporate leaders to understand the implications of Lysne’s conclusions. He has spent the past few years leading the charge in seeking to make trust the core of his company’s public identity.</w:t>
      </w:r>
    </w:p>
    <w:p>
      <w:r>
        <w:rPr>
          <w:b w:val="0"/>
          <w:i w:val="0"/>
        </w:rPr>
        <w:t xml:space="preserve">This helps explain why, for example, in 2016 Apple picked a series of fights with the federal government about access to its users’ data while simultaneously staging a PR campaign around its actions.2 This also is why, late in 2018, Cook publicly warned top European regulators of the dangers of the “data industrial complex” and called for new U.S. laws on data. And this is why Cook kicked off 2019 with an op-ed in </w:t>
      </w:r>
      <w:r>
        <w:rPr>
          <w:b w:val="0"/>
          <w:i/>
        </w:rPr>
        <w:t>Time</w:t>
      </w:r>
      <w:r>
        <w:rPr>
          <w:b w:val="0"/>
          <w:i w:val="0"/>
        </w:rPr>
        <w:t xml:space="preserve"> magazine claiming to stand up for the rights of consumers who are simply “trying to win back their right to privacy.”3</w:t>
      </w:r>
    </w:p>
    <w:p>
      <w:r>
        <w:rPr>
          <w:b w:val="0"/>
          <w:i w:val="0"/>
        </w:rPr>
        <w:t>It doesn’t hurt, of course, that this message also happens to undermine the ad-based revenue models of rivals such as Google and Facebook. But more broadly, Cook’s campaign aligns with Apple’s strategic interests. Indeed, it aligns with its own biggest long-term vulnerability.</w:t>
      </w:r>
    </w:p>
    <w:p>
      <w:r>
        <w:rPr>
          <w:b w:val="0"/>
          <w:i w:val="0"/>
        </w:rPr>
        <w:t>That vulnerability is trust. While Cook cannot fix the problems Lysne identified—indeed, no one can—he can demonstrate that his company will do everything in its power to minimize them. He can make trust the core element of Apple’s brand, which is exactly what he’s been doing.</w:t>
      </w:r>
    </w:p>
    <w:p>
      <w:r>
        <w:rPr>
          <w:b w:val="0"/>
          <w:i w:val="0"/>
        </w:rPr>
        <w:t>So how can other companies put these same lessons into practice?</w:t>
      </w:r>
    </w:p>
    <w:p>
      <w:r>
        <w:rPr>
          <w:b w:val="0"/>
          <w:i w:val="0"/>
        </w:rPr>
        <w:t>To start with, trust must now be considered a key feature of every product containing software, no matter whether it is a purely digital product or a physical product containing software. In the consumer space, for example, studies have demonstrated that loss of trust can lead users to abandon a company or a product altogether. Some are even calling for a “return on trust” as a value proposition in and of itself.4 As a result, security and privacy concerns can no longer take a back seat in the product development lifecycle—not simply because of the value of security and privacy alone, but for their business impact as well.</w:t>
      </w:r>
    </w:p>
    <w:p>
      <w:r>
        <w:rPr>
          <w:b w:val="0"/>
          <w:i w:val="0"/>
        </w:rPr>
        <w:t>Second, clear and demonstrable processes must be put in place to illustrate the importance of data protection, both inside and outside every organization. What group is in charge of privacy? What group is in charge of security? Where do both enter the picture as product features are being developed or as new IT procurements are made, to pick just two examples? Organizations that can’t answer these basic questions are failing to take data protection seriously—and are therefore primed to lose in the battle for consumer trust.</w:t>
      </w:r>
    </w:p>
    <w:p>
      <w:r>
        <w:rPr>
          <w:b w:val="0"/>
          <w:i w:val="0"/>
        </w:rPr>
        <w:t>Once these processes are in place, companies can then signal their emphasis on protecting customer data to the outside world, just like Tim Cook. This is where marketing, branding, and public relations may get involved.</w:t>
      </w:r>
    </w:p>
    <w:p>
      <w:r>
        <w:rPr>
          <w:b w:val="0"/>
          <w:i w:val="0"/>
        </w:rPr>
        <w:t>Last, and perhaps most important, companies and consumers alike must be honest about the risks we collectively face in the digital world. Because software systems are inherently vulnerable and the insights data might yield at scale cannot be predicted, no one should sugarcoat the dangers of digital technologies. Data breaches will occur, as will uses of data in ways that consumers can’t foresee. Failures in the world of security and privacy are, in short, inevitable. To pretend otherwise is to undermine data-protection efforts from the start.</w:t>
      </w:r>
    </w:p>
    <w:p>
      <w:r>
        <w:rPr>
          <w:b w:val="0"/>
          <w:i w:val="0"/>
        </w:rPr>
        <w:t>All signs indicate that companies beyond Apple are starting to take these lessons to heart, with over 200 now echoing Cook’s calls for stronger federal privacy legislation in the United States. Are there other interests at work behind these calls? Surely. One national privacy regulation is easier to follow than 50 state laws.</w:t>
      </w:r>
    </w:p>
    <w:p>
      <w:r>
        <w:rPr>
          <w:b w:val="0"/>
          <w:i w:val="0"/>
        </w:rPr>
        <w:t>But corporate America’s increasing clamor to be viewed as security- and privacy-centric is no coincidence; it’s a clear illustration of the increasing importance of trust. And that means we should expect all CEOs to be reading more Olav Lysne and to be acting more like Tim Cook.</w:t>
      </w:r>
    </w:p>
    <w:p>
      <w:r>
        <w:rPr>
          <w:b/>
          <w:i w:val="0"/>
        </w:rPr>
        <w:t>TAKEAWAYS</w:t>
      </w:r>
    </w:p>
    <w:p>
      <w:r>
        <w:rPr>
          <w:b w:val="0"/>
          <w:i w:val="0"/>
        </w:rPr>
        <w:t>We are increasingly reliant on networked software—and the privacy and security vulnerabilities that come with it—in nearly every aspect of our lives. Ultimately, the companies that customers trust most with their data will pull ahead of their competitors. Organizations that want to be seen as trustworthy need to prioritize data privacy and security, demonstrate those priorities to their customers, and safeguard their relationships with customers by being transparent about the threats to data:</w:t>
      </w:r>
    </w:p>
    <w:p>
      <w:pPr>
        <w:pStyle w:val="ListBullet"/>
      </w:pPr>
      <w:r>
        <w:rPr>
          <w:b w:val="0"/>
          <w:i w:val="0"/>
        </w:rPr>
        <w:t>Trust can’t be measured or proven, it must be signaled—through branding, marketing, and so on.</w:t>
      </w:r>
    </w:p>
    <w:p>
      <w:pPr>
        <w:pStyle w:val="ListBullet"/>
      </w:pPr>
      <w:r>
        <w:rPr>
          <w:b w:val="0"/>
          <w:i w:val="0"/>
        </w:rPr>
        <w:t>Whether your company offers digital products or physical products that contain software, trust should be considered a key feature for every product.</w:t>
      </w:r>
    </w:p>
    <w:p>
      <w:pPr>
        <w:pStyle w:val="ListBullet"/>
      </w:pPr>
      <w:r>
        <w:rPr>
          <w:b w:val="0"/>
          <w:i w:val="0"/>
        </w:rPr>
        <w:t>To demonstrate the importance of data protection, organizations must establish straightforward and evident processes.</w:t>
      </w:r>
    </w:p>
    <w:p>
      <w:pPr>
        <w:pStyle w:val="ListBullet"/>
      </w:pPr>
      <w:r>
        <w:rPr>
          <w:b w:val="0"/>
          <w:i w:val="0"/>
        </w:rPr>
        <w:t>Companies and consumers must be honest and accept that the risks we face mean that security and privacy failures are inevitable.</w:t>
      </w:r>
    </w:p>
    <w:p>
      <w:pPr>
        <w:pStyle w:val="Heading3"/>
      </w:pPr>
      <w:r>
        <w:rPr>
          <w:b/>
          <w:i w:val="0"/>
        </w:rPr>
        <w:t>NOTES</w:t>
      </w:r>
    </w:p>
    <w:p>
      <w:r>
        <w:rPr>
          <w:b w:val="0"/>
          <w:i w:val="0"/>
        </w:rPr>
        <w:t>1. Samuel T. King et al., “Designing and Implementing Malicious Hardware,” working paper, April 15, 2008, https://www.usenix.org/legacy/event/leet08/tech/full_papers/king/king_html/.</w:t>
      </w:r>
    </w:p>
    <w:p>
      <w:r>
        <w:rPr>
          <w:b w:val="0"/>
          <w:i w:val="0"/>
        </w:rPr>
        <w:t xml:space="preserve">2. Nancy Gibbs and Lev Grossman, “Here’s the Full Transcript of </w:t>
      </w:r>
      <w:r>
        <w:rPr>
          <w:b w:val="0"/>
          <w:i/>
        </w:rPr>
        <w:t>Time</w:t>
      </w:r>
      <w:r>
        <w:rPr>
          <w:b w:val="0"/>
          <w:i w:val="0"/>
        </w:rPr>
        <w:t xml:space="preserve">’s Interview with Apple CEO Tim Cook,” </w:t>
      </w:r>
      <w:r>
        <w:rPr>
          <w:b w:val="0"/>
          <w:i/>
        </w:rPr>
        <w:t>Time</w:t>
      </w:r>
      <w:r>
        <w:rPr>
          <w:b w:val="0"/>
          <w:i w:val="0"/>
        </w:rPr>
        <w:t>, March 17, 2016, http://time.com/4261796/tim-cook-transcript/.</w:t>
      </w:r>
    </w:p>
    <w:p>
      <w:r>
        <w:rPr>
          <w:b w:val="0"/>
          <w:i w:val="0"/>
        </w:rPr>
        <w:t xml:space="preserve">3. Tim Cook, “You Deserve Privacy Online. Here’s How You Could Actually Get It,” </w:t>
      </w:r>
      <w:r>
        <w:rPr>
          <w:b w:val="0"/>
          <w:i/>
        </w:rPr>
        <w:t>Time</w:t>
      </w:r>
      <w:r>
        <w:rPr>
          <w:b w:val="0"/>
          <w:i w:val="0"/>
        </w:rPr>
        <w:t xml:space="preserve"> (Davos 2019), http://time.com/collection/davos-2019/5502591/tim-cook-data-privacy/.</w:t>
      </w:r>
    </w:p>
    <w:p>
      <w:r>
        <w:rPr>
          <w:b w:val="0"/>
          <w:i w:val="0"/>
        </w:rPr>
        <w:t>4. Manish Bahl, “Return on Trust: The New Business Performance Indicator,” Cognizant, July 21, 2016, https://www.cognizant.com/perspectives/return-on-trust-the-new-business-performance-indicator.</w:t>
      </w:r>
    </w:p>
    <w:p>
      <w:r>
        <w:rPr>
          <w:b w:val="0"/>
          <w:i/>
        </w:rPr>
        <w:t>Adapted from content posted on hbr.org, March 4, 2019 (product #H04TMU).</w:t>
      </w:r>
    </w:p>
    <w:p>
      <w:pPr>
        <w:pStyle w:val="Heading1"/>
      </w:pPr>
      <w:r>
        <w:rPr>
          <w:b/>
          <w:i w:val="0"/>
        </w:rPr>
        <w:t>12</w:t>
      </w:r>
    </w:p>
    <w:p>
      <w:pPr>
        <w:pStyle w:val="Heading1"/>
      </w:pPr>
      <w:r>
        <w:rPr>
          <w:b/>
          <w:i w:val="0"/>
        </w:rPr>
        <w:t>PRIVACY AND CYBERSECURITY ARE CONVERGING</w:t>
      </w:r>
    </w:p>
    <w:p>
      <w:pPr>
        <w:pStyle w:val="Heading2"/>
      </w:pPr>
      <w:r>
        <w:rPr>
          <w:b/>
          <w:i w:val="0"/>
        </w:rPr>
        <w:t>Here’s Why That Matters for People and for Companies</w:t>
      </w:r>
    </w:p>
    <w:p>
      <w:r>
        <w:rPr>
          <w:b w:val="0"/>
          <w:i w:val="0"/>
        </w:rPr>
        <w:t>by Andrew Burt</w:t>
      </w:r>
    </w:p>
    <w:p>
      <w:r>
        <w:rPr>
          <w:b w:val="0"/>
          <w:i w:val="0"/>
        </w:rPr>
        <w:t>Privacy issues have dominated headlines in recent years. These events are symptoms of larger, profound shifts in the world of data privacy and security that have major implications for how organizations think about and manage both.</w:t>
      </w:r>
    </w:p>
    <w:p>
      <w:r>
        <w:rPr>
          <w:b w:val="0"/>
          <w:i w:val="0"/>
        </w:rPr>
        <w:t>So what exactly is changing?</w:t>
      </w:r>
    </w:p>
    <w:p>
      <w:r>
        <w:rPr>
          <w:b w:val="0"/>
          <w:i w:val="0"/>
        </w:rPr>
        <w:t>Put simply, privacy and security are converging, thanks to the rise of big data and machine learning. What was once an abstract concept designed to protect expectations about our own data is now becoming more concrete, and more critical—on par with the threat of adversaries accessing our data without authorization.</w:t>
      </w:r>
    </w:p>
    <w:p>
      <w:r>
        <w:rPr>
          <w:b w:val="0"/>
          <w:i w:val="0"/>
        </w:rPr>
        <w:t xml:space="preserve">More specifically, the threat of </w:t>
      </w:r>
      <w:r>
        <w:rPr>
          <w:b w:val="0"/>
          <w:i/>
        </w:rPr>
        <w:t>unauthorized access</w:t>
      </w:r>
      <w:r>
        <w:rPr>
          <w:b w:val="0"/>
          <w:i w:val="0"/>
        </w:rPr>
        <w:t xml:space="preserve"> to our data used to pose the biggest danger to our digital selves—that was a world in which we worried about intruders attempting to get at data we wanted private. And it was a world in which privacy and security were largely separate functions, where privacy took a back seat to the more tangible concerns over security. Today, however, the biggest risk to our privacy and our security has become the threat of </w:t>
      </w:r>
      <w:r>
        <w:rPr>
          <w:b w:val="0"/>
          <w:i/>
        </w:rPr>
        <w:t>unintended inferences</w:t>
      </w:r>
      <w:r>
        <w:rPr>
          <w:b w:val="0"/>
          <w:i w:val="0"/>
        </w:rPr>
        <w:t>, due to the power of increasingly widespread machine learning techniques. Once we generate data, anyone who possesses enough of it can be a threat, posing new dangers to both our privacy and our security.</w:t>
      </w:r>
    </w:p>
    <w:p>
      <w:r>
        <w:rPr>
          <w:b w:val="0"/>
          <w:i w:val="0"/>
        </w:rPr>
        <w:t>These inferences may, for example, threaten our anonymity—like when a group of researchers used machine learning techniques to identify authorship of written text based simply on patterns in language.1 (Similar techniques have been used to identify software developers based simply on the code they’ve written.2)</w:t>
      </w:r>
    </w:p>
    <w:p>
      <w:r>
        <w:rPr>
          <w:b w:val="0"/>
          <w:i w:val="0"/>
        </w:rPr>
        <w:t>These inferences might reveal information about our political leanings—like when researchers used the prevalence of certain types of cars in Google’s Street View image database to determine local political affiliations.3</w:t>
      </w:r>
    </w:p>
    <w:p>
      <w:r>
        <w:rPr>
          <w:b w:val="0"/>
          <w:i w:val="0"/>
        </w:rPr>
        <w:t>Or these inferences might also indicate intimate details about our health—like when researchers used online search history to detect neurodegenerative disorders such as Alzheimer’s.4</w:t>
      </w:r>
    </w:p>
    <w:p>
      <w:r>
        <w:rPr>
          <w:b w:val="0"/>
          <w:i w:val="0"/>
        </w:rPr>
        <w:t>So what does a world look like when privacy and security are focused on preventing the same harms?</w:t>
      </w:r>
    </w:p>
    <w:p>
      <w:r>
        <w:rPr>
          <w:b w:val="0"/>
          <w:i w:val="0"/>
        </w:rPr>
        <w:t>To start with, privacy will no longer be the merely immaterial or political concept it once was. Instead, privacy will begin to have substantial impacts on businesses’ bottom lines—something we began to see in 2018. Facebook, for example, lost a whopping $119 billion in market capitalization in the wake of the Cambridge Analytica scandal because of concerns over privacy. Polls show that consumers are increasingly concerned about privacy issues. And governments around the world are reacting with new privacy legislation of their own.</w:t>
      </w:r>
    </w:p>
    <w:p>
      <w:r>
        <w:rPr>
          <w:b w:val="0"/>
          <w:i w:val="0"/>
        </w:rPr>
        <w:t>Within organizations, this convergence also means that the once-clear line between privacy and security teams is beginning to blur—a trend that businesses in general, and security and privacy practitioners in particular, should embrace. From a practical perspective, this means that legal and privacy personnel will become more technical, and technical personnel will become more familiar with legal and compliance mandates. The idea of two distinct teams, operating independently of each other, will become a relic of the past.</w:t>
      </w:r>
    </w:p>
    <w:p>
      <w:r>
        <w:rPr>
          <w:b w:val="0"/>
          <w:i w:val="0"/>
        </w:rPr>
        <w:t xml:space="preserve">And this means individuals and governments alike should no longer expect consent to play a meaningful role in protecting our privacy. Because the threat of unintended inferences reduces our ability to understand the value of our data, our expectations about our privacy—and therefore what we can meaningfully consent to—are becoming less consequential. Being </w:t>
      </w:r>
      <w:r>
        <w:rPr>
          <w:b w:val="0"/>
          <w:i/>
        </w:rPr>
        <w:t>surprised</w:t>
      </w:r>
      <w:r>
        <w:rPr>
          <w:b w:val="0"/>
          <w:i w:val="0"/>
        </w:rPr>
        <w:t xml:space="preserve"> at the nature of the violation, in short, will become an inherent feature of future privacy and security harms.</w:t>
      </w:r>
    </w:p>
    <w:p>
      <w:r>
        <w:rPr>
          <w:b w:val="0"/>
          <w:i w:val="0"/>
        </w:rPr>
        <w:t>This is precisely why the recent string of massive data breaches, from the Marriott breach that impacted 500 million guests to the Yahoo breach that affected 3 billion users, is so troubling. The problem isn’t simply that unauthorized intruders accessed these records at a single point in time; the problem is all the unforeseen uses and all the intimate inferences that this volume of data can generate going forward. It is for this reason that legal scholars such as Oxford’s Sandra Wachter are now proposing legal constraints around the ability to perform this type of pattern recognition at all.5</w:t>
      </w:r>
    </w:p>
    <w:p>
      <w:r>
        <w:rPr>
          <w:b w:val="0"/>
          <w:i w:val="0"/>
        </w:rPr>
        <w:t>Once described by Supreme Court justice Louis Brandeis as “the right to be let alone,” privacy is now best described as the ability to control data we cannot stop generating, giving rise to inferences we can’t predict.</w:t>
      </w:r>
    </w:p>
    <w:p>
      <w:r>
        <w:rPr>
          <w:b w:val="0"/>
          <w:i w:val="0"/>
        </w:rPr>
        <w:t>And because we create more and more data every day—an estimated 2.5 quintillion bytes of it—these issues will only become more pressing over time.</w:t>
      </w:r>
    </w:p>
    <w:p>
      <w:r>
        <w:rPr>
          <w:b/>
          <w:i w:val="0"/>
        </w:rPr>
        <w:t>TAKEAWAYS</w:t>
      </w:r>
    </w:p>
    <w:p>
      <w:r>
        <w:rPr>
          <w:b w:val="0"/>
          <w:i w:val="0"/>
        </w:rPr>
        <w:t>Thanks to the rise of big data and machine learning, privacy and security are converging. The largest threat is no longer unauthorized access to our data—it is the unintended, uncannily accurate inferences made by algorithms that are able to sift through and combine multiple sets of data:</w:t>
      </w:r>
    </w:p>
    <w:p>
      <w:pPr>
        <w:pStyle w:val="ListBullet"/>
      </w:pPr>
      <w:r>
        <w:rPr>
          <w:b w:val="0"/>
          <w:i w:val="0"/>
        </w:rPr>
        <w:t>Consumers and government are taking note, by abandoning platforms they can’t trust and introducing new privacy legislation.</w:t>
      </w:r>
    </w:p>
    <w:p>
      <w:pPr>
        <w:pStyle w:val="ListBullet"/>
      </w:pPr>
      <w:r>
        <w:rPr>
          <w:b w:val="0"/>
          <w:i w:val="0"/>
        </w:rPr>
        <w:t>For organizations, this means security and privacy teams will have to work together more closely; legal and privacy personnel will become more technical, and technical personnel will become more familiar with legal and compliance mandates.</w:t>
      </w:r>
    </w:p>
    <w:p>
      <w:pPr>
        <w:pStyle w:val="ListBullet"/>
      </w:pPr>
      <w:r>
        <w:rPr>
          <w:b w:val="0"/>
          <w:i w:val="0"/>
        </w:rPr>
        <w:t>For individuals and governments, this means consent will no longer play a meaningful role in protecting privacy.</w:t>
      </w:r>
    </w:p>
    <w:p>
      <w:pPr>
        <w:pStyle w:val="Heading3"/>
      </w:pPr>
      <w:r>
        <w:rPr>
          <w:b/>
          <w:i w:val="0"/>
        </w:rPr>
        <w:t>NOTES</w:t>
      </w:r>
    </w:p>
    <w:p>
      <w:r>
        <w:rPr>
          <w:b w:val="0"/>
          <w:i w:val="0"/>
        </w:rPr>
        <w:t>1. Arvind Narayanan et al., “On the Feasibility of Internet-Scale Author Identification,” 2012 IEEE Symposium on Security and Privacy, May 2012, https://ieeexplore.ieee.org/document/6234420/authors#authors.</w:t>
      </w:r>
    </w:p>
    <w:p>
      <w:r>
        <w:rPr>
          <w:b w:val="0"/>
          <w:i w:val="0"/>
        </w:rPr>
        <w:t>2. Aylin Caliskan et al., “When Coding Style Survives Compilation: De-anonymizing Programmers from Executable Binaries,” Cornell University working paper, December 18, 2017, https://arxiv.org/abs/1512.08546.</w:t>
      </w:r>
    </w:p>
    <w:p>
      <w:r>
        <w:rPr>
          <w:b w:val="0"/>
          <w:i w:val="0"/>
        </w:rPr>
        <w:t xml:space="preserve">3. Timnit Gebru et al., “Using Deep Learning and Google Street View to Estimate the Demographic Makeup of the US,” </w:t>
      </w:r>
      <w:r>
        <w:rPr>
          <w:b w:val="0"/>
          <w:i/>
        </w:rPr>
        <w:t>PNAS</w:t>
      </w:r>
      <w:r>
        <w:rPr>
          <w:b w:val="0"/>
          <w:i w:val="0"/>
        </w:rPr>
        <w:t xml:space="preserve"> 114, no. 50 (2017): 13108–13113.</w:t>
      </w:r>
    </w:p>
    <w:p>
      <w:r>
        <w:rPr>
          <w:b w:val="0"/>
          <w:i w:val="0"/>
        </w:rPr>
        <w:t xml:space="preserve">4. Ryen W. White, P. Murali Doraiswamy, and Eric Horvitz, “Detecting Neurodegenerative Disorders from Web Search Signals,” </w:t>
      </w:r>
      <w:r>
        <w:rPr>
          <w:b w:val="0"/>
          <w:i/>
        </w:rPr>
        <w:t>Nature</w:t>
      </w:r>
      <w:r>
        <w:rPr>
          <w:b w:val="0"/>
          <w:i w:val="0"/>
        </w:rPr>
        <w:t>, April 23, 2018, https://www.nature.com/articles/s41746-018-0016-6.</w:t>
      </w:r>
    </w:p>
    <w:p>
      <w:r>
        <w:rPr>
          <w:b w:val="0"/>
          <w:i w:val="0"/>
        </w:rPr>
        <w:t xml:space="preserve">5. Sandra Wachter and Brent Mittelstadt, “A Right to Reasonable Inferences: Re-Thinking Data Protection Law in the Age of Big Data and AI,” </w:t>
      </w:r>
      <w:r>
        <w:rPr>
          <w:b w:val="0"/>
          <w:i/>
        </w:rPr>
        <w:t>Columbia Business Law Review</w:t>
      </w:r>
      <w:r>
        <w:rPr>
          <w:b w:val="0"/>
          <w:i w:val="0"/>
        </w:rPr>
        <w:t>, September 13, 2018, https://papers.ssrn.com/sol3/papers.cfm?abstract_id=3248829.</w:t>
      </w:r>
    </w:p>
    <w:p>
      <w:r>
        <w:rPr>
          <w:b w:val="0"/>
          <w:i/>
        </w:rPr>
        <w:t>Adapted from content posted on hbr.org, January 3, 2019 (product #H04PY8).</w:t>
      </w:r>
    </w:p>
    <w:p>
      <w:pPr>
        <w:pStyle w:val="Heading1"/>
      </w:pPr>
      <w:r>
        <w:rPr>
          <w:b/>
          <w:i w:val="0"/>
        </w:rPr>
        <w:t>13</w:t>
      </w:r>
    </w:p>
    <w:p>
      <w:pPr>
        <w:pStyle w:val="Heading1"/>
      </w:pPr>
      <w:r>
        <w:rPr>
          <w:b/>
          <w:i w:val="0"/>
        </w:rPr>
        <w:t>WHAT COUNTRIES AND COMPANIES CAN DO WHEN TRADE AND CYBERSECURITY OVERLAP</w:t>
      </w:r>
    </w:p>
    <w:p>
      <w:r>
        <w:rPr>
          <w:b w:val="0"/>
          <w:i w:val="0"/>
        </w:rPr>
        <w:t>by Stuart Madnick, Simon Johnson, and Keman Huang</w:t>
      </w:r>
    </w:p>
    <w:p>
      <w:r>
        <w:rPr>
          <w:b w:val="0"/>
          <w:i w:val="0"/>
        </w:rPr>
        <w:t>Cybersecurity as a key issue for trade policy is a relatively new development. In the last few years there have been a number of news reports about various governments’ incorporating spyware, malware, or similar programs into computer-based products that are exported around the world. The governments typically have worked with private companies in their countries to do it. In the internet-of-things era, almost all products can be connected to the internet, and most of them can also be used for spying and other malicious activities. Furthermore, since data is considered a critical asset, services, from international banking to payment systems to consumer websites, are part of this too.</w:t>
      </w:r>
    </w:p>
    <w:p>
      <w:r>
        <w:rPr>
          <w:b w:val="0"/>
          <w:i w:val="0"/>
        </w:rPr>
        <w:t>In late 2016 and 2017, for example, the voice-activated doll, My Friend Cayla, made headlines for its technology, which could be used to collect information on children or anyone in the room. In 2017 Germany banned the doll, alleging that it contained a surveillance device that violated the country’s privacy regulations. Another famous example is the 2010 Stuxnet attack on the Natanz nuclear enrichment facility in Iran. It was accomplished by planting malware, including Stuxnet, into industrial control systems that were shipped to Iran, resulting in the destruction of many centrifuges.</w:t>
      </w:r>
    </w:p>
    <w:p>
      <w:r>
        <w:rPr>
          <w:b w:val="0"/>
          <w:i w:val="0"/>
        </w:rPr>
        <w:t>Although trade conflicts involving the United States and China, or the United States and Russia, have received much attention in the press, cybersecurity-related trade conflict is a truly global phenomenon. As part of our initial research on this topic, we identified 33 cases of a country blocking the import of a product or service due to cybersecurity concerns. In each one, different circumstances and actions led to different outcomes. The cases involved 19 countries all over the world, and in the future it’s likely that these kinds of trade conflicts will involve almost all developed countries.</w:t>
      </w:r>
    </w:p>
    <w:p>
      <w:r>
        <w:rPr>
          <w:b w:val="0"/>
          <w:i w:val="0"/>
        </w:rPr>
        <w:t>Since it is not feasible to thoroughly examine the software, firmware, and hardware of every single product, what should countries and companies do to prevent cyber intrusions? One seemingly obvious approach is to exclude from import potentially dangerous products from questionable countries. But this approach requires identifying which products are dangerous and which countries are questionable—a formidable task. And such restrictions can quickly become policies, with implications for international trade and the world economy.</w:t>
      </w:r>
    </w:p>
    <w:p>
      <w:r>
        <w:rPr>
          <w:b w:val="0"/>
          <w:i w:val="0"/>
        </w:rPr>
        <w:t>Countries and companies need to consider their options. At present, there is no framework for understanding and categorizing the cybersecurity concerns involved in trade. Without a clear understanding, governments may implement policies that result in cyber conflicts, while businesses will struggle to keep up with how cybersecurity concerns and restrictions are evolving. We have developed a framework to systematically organize these cases, basing it on our in-depth interviews with domain experts.</w:t>
      </w:r>
    </w:p>
    <w:p>
      <w:pPr>
        <w:pStyle w:val="Heading2"/>
      </w:pPr>
      <w:r>
        <w:rPr>
          <w:b/>
          <w:i w:val="0"/>
        </w:rPr>
        <w:t>What Options Do Countries Have?</w:t>
      </w:r>
    </w:p>
    <w:p>
      <w:r>
        <w:rPr>
          <w:b w:val="0"/>
          <w:i w:val="0"/>
        </w:rPr>
        <w:t>There are various possible actions that governments can take. Each of the following should be carefully considered:</w:t>
      </w:r>
    </w:p>
    <w:p>
      <w:pPr>
        <w:pStyle w:val="Heading3"/>
      </w:pPr>
      <w:r>
        <w:rPr>
          <w:b w:val="0"/>
          <w:i w:val="0"/>
        </w:rPr>
        <w:t>Do nothing:  Governments can accept the potential risk of a cybersecurity situation and choose to ignore it. In 2004, for example, the German Federal Intelligence Service (BND) discovered that the hardware company NetBotz, then based in the United States, was selling security cameras with a backdoor that sent videos to U.S. military servers. The BND did not disclose that fact until 2015, only after a magazine had discovered and revealed the situation.</w:t>
      </w:r>
    </w:p>
    <w:p>
      <w:pPr>
        <w:pStyle w:val="Heading3"/>
      </w:pPr>
      <w:r>
        <w:rPr>
          <w:b w:val="0"/>
          <w:i w:val="0"/>
        </w:rPr>
        <w:t>Develop import trade barriers:  Some nations will take actions to implement trade policies or regulations that will directly restrict the import of international trades, such as Germany’s banning of the My Friend Cayla doll.</w:t>
      </w:r>
    </w:p>
    <w:p>
      <w:pPr>
        <w:pStyle w:val="Heading3"/>
      </w:pPr>
      <w:r>
        <w:rPr>
          <w:b w:val="0"/>
          <w:i w:val="0"/>
        </w:rPr>
        <w:t>Restrict government procurement:  Governments can prohibit the use and purchase of certain products. For example:</w:t>
      </w:r>
    </w:p>
    <w:p>
      <w:pPr>
        <w:pStyle w:val="ListBullet"/>
      </w:pPr>
      <w:r>
        <w:rPr>
          <w:b w:val="0"/>
          <w:i w:val="0"/>
        </w:rPr>
        <w:t>The United States banned government and military systems from using Kaspersky Lab security software and drones made by Chinese company DJI.</w:t>
      </w:r>
    </w:p>
    <w:p>
      <w:pPr>
        <w:pStyle w:val="ListBullet"/>
      </w:pPr>
      <w:r>
        <w:rPr>
          <w:b w:val="0"/>
          <w:i w:val="0"/>
        </w:rPr>
        <w:t>China removed networking equipment from Cisco Systems and security software from McAfee and Citrix Systems from its government procurement lists.</w:t>
      </w:r>
    </w:p>
    <w:p>
      <w:pPr>
        <w:pStyle w:val="Heading3"/>
      </w:pPr>
      <w:r>
        <w:rPr>
          <w:b w:val="0"/>
          <w:i w:val="0"/>
        </w:rPr>
        <w:t>Develop norms of behavior:  Countries can agree to not engage in certain types of behavior, such as when the United States and China agreed not to conduct the cybertheft of intellectual property for commercial purposes.1</w:t>
      </w:r>
    </w:p>
    <w:p>
      <w:pPr>
        <w:pStyle w:val="Heading3"/>
      </w:pPr>
      <w:r>
        <w:rPr>
          <w:b w:val="0"/>
          <w:i w:val="0"/>
        </w:rPr>
        <w:t>Amplify the conflict:  On the other hand, some nations can choose an opposite option and escalate the conflict. The United States and Russia, for example, have developed a tense relationship, which has been referred to as the “Cold War 2.0.”</w:t>
      </w:r>
    </w:p>
    <w:p>
      <w:pPr>
        <w:pStyle w:val="Heading2"/>
      </w:pPr>
      <w:r>
        <w:rPr>
          <w:b/>
          <w:i w:val="0"/>
        </w:rPr>
        <w:t>What Options Do Companies Have?</w:t>
      </w:r>
    </w:p>
    <w:p>
      <w:r>
        <w:rPr>
          <w:b w:val="0"/>
          <w:i w:val="0"/>
        </w:rPr>
        <w:t>Although government actions and concerns are often more visible, companies need not play a passive role. They can anticipate these concerns and take actions to reduce or mitigate the consequences. There are various options available:</w:t>
      </w:r>
    </w:p>
    <w:p>
      <w:pPr>
        <w:pStyle w:val="Heading3"/>
      </w:pPr>
      <w:r>
        <w:rPr>
          <w:b w:val="0"/>
          <w:i w:val="0"/>
        </w:rPr>
        <w:t>Recommend action:  For example, on August 9, 2017, 10 major cybersecurity companies in the United States wrote to Robert Lighthizer, the U.S. trade representative, to urge that he “incorporate cybersecurity trade issues in the upcoming modernization of the North American Free Trade Agreement (NAFTA).”</w:t>
      </w:r>
    </w:p>
    <w:p>
      <w:pPr>
        <w:pStyle w:val="Heading3"/>
      </w:pPr>
      <w:r>
        <w:rPr>
          <w:b w:val="0"/>
          <w:i w:val="0"/>
        </w:rPr>
        <w:t>Acquiesce:  As noted earlier, Germany took action against the My Friend Cayla doll due to concerns about privacy. The company acquiesced and stopped selling it in Germany.</w:t>
      </w:r>
    </w:p>
    <w:p>
      <w:pPr>
        <w:pStyle w:val="Heading3"/>
      </w:pPr>
      <w:r>
        <w:rPr>
          <w:b w:val="0"/>
          <w:i w:val="0"/>
        </w:rPr>
        <w:t>Compromise:  Telegram, the end-to-end encrypted messaging app, was threatened with a ban in Russia, so the company agreed to register under the new Russian data protection laws; however, it will not store citizens’ information on Russian servers. As another example, Google exited the Chinese market in 2010 to avoid having to censure its search results to meet Chinese government rules. The company has recently decided to reenter, with modest changes to its search engine operation. It is not yet clear that this compromise will be accepted by both parties.</w:t>
      </w:r>
    </w:p>
    <w:p>
      <w:pPr>
        <w:pStyle w:val="Heading3"/>
      </w:pPr>
      <w:r>
        <w:rPr>
          <w:b w:val="0"/>
          <w:i w:val="0"/>
        </w:rPr>
        <w:t>Avoid:  Typical examples include Google’s withdrawal from China and Huawei’s withdrawal of its network hardware products from the United States in 2014. The latter occurred after the products were removed from U.S. government procurement lists and private telecommunications companies were advised not to purchase Huawei products.</w:t>
      </w:r>
    </w:p>
    <w:p>
      <w:pPr>
        <w:pStyle w:val="Heading3"/>
      </w:pPr>
      <w:r>
        <w:rPr>
          <w:b w:val="0"/>
          <w:i w:val="0"/>
        </w:rPr>
        <w:t>Defy:  An organization may challenge or attack cybersecurity regulations. For example, in 2016 LinkedIn challenged the Russian data protection laws, stating that it would not move Russian user data to the country. As a result, Russia blocked LinkedIn in 2017.</w:t>
      </w:r>
    </w:p>
    <w:p>
      <w:pPr>
        <w:pStyle w:val="Heading3"/>
      </w:pPr>
      <w:r>
        <w:rPr>
          <w:b w:val="0"/>
          <w:i w:val="0"/>
        </w:rPr>
        <w:t>Collaborate:  Finally, organizations can choose to work with countries to mitigate the negative impact of regulations, or even to be involved in the regulation-making process. An example of this is how Huawei has worked with the U.K. government.</w:t>
      </w:r>
    </w:p>
    <w:p>
      <w:r>
        <w:rPr>
          <w:b w:val="0"/>
          <w:i w:val="0"/>
        </w:rPr>
        <w:t>In 2011, worried about potential spying, the U.S. government rejected a bid from Huawei to build a new national wireless network for first responders. This was followed by further government restrictions on Huawei. Finally, in 2014, Huawei decided to exit the U.S. market.</w:t>
      </w:r>
    </w:p>
    <w:p>
      <w:r>
        <w:rPr>
          <w:b w:val="0"/>
          <w:i w:val="0"/>
        </w:rPr>
        <w:t>The United Kingdom, on the other hand, does use the company’s technology in national infrastructure. In 2010 it opened the Huawei Cyber Security Evaluation Centre to monitor concerns about the technology’s use. This was followed in early 2014 by the establishment of an oversight board, which every year releases a report about any risks from Huawei’s involvement in the United Kingdom’s critical networks. It should be noted, however, that the oversight board’s 2018 report raised serious new concerns about Huawei’s technology and the security risks it could pose to U.K. security.</w:t>
      </w:r>
    </w:p>
    <w:p>
      <w:r>
        <w:rPr>
          <w:b w:val="0"/>
          <w:i w:val="0"/>
        </w:rPr>
        <w:t>As the digital economy continues to develop, cybersecurity will play a critical role in international trade. Instead of considering security only a regulation issue, governments need to consider ways to avoid unnecessary confrontations, and organizations should become proactively involved to address concerns and influence policy to improve outcomes for everyone.</w:t>
      </w:r>
    </w:p>
    <w:p>
      <w:r>
        <w:rPr>
          <w:b/>
          <w:i w:val="0"/>
        </w:rPr>
        <w:t>TAKEAWAYS</w:t>
      </w:r>
    </w:p>
    <w:p>
      <w:r>
        <w:rPr>
          <w:b w:val="0"/>
          <w:i w:val="0"/>
        </w:rPr>
        <w:t>Since it’s impossible to adequately examine the software, firmware, and hardware of every single product that enters a country, countries and companies need to consider their options when it comes to preventing cyber intrusions:</w:t>
      </w:r>
    </w:p>
    <w:p>
      <w:pPr>
        <w:pStyle w:val="ListBullet"/>
      </w:pPr>
      <w:r>
        <w:rPr>
          <w:b w:val="0"/>
          <w:i w:val="0"/>
        </w:rPr>
        <w:t>Governments have various actions they can elect to take, from opting to accept potential risk and do nothing, to developing trade policies to restrict the importing of certain types of products from certain countries, to developing norms by agreeing on what types of behavior they will and won’t engage in.</w:t>
      </w:r>
    </w:p>
    <w:p>
      <w:pPr>
        <w:pStyle w:val="ListBullet"/>
      </w:pPr>
      <w:r>
        <w:rPr>
          <w:b w:val="0"/>
          <w:i w:val="0"/>
        </w:rPr>
        <w:t>Companies affected by government intervention into trade (whether on the import or export side) have a range have a range of choices, from recommending action or policy changes to their government, acquiescing to government mandates, trying to find compromises, challenging regulations, or collaborating and working with countries to mitigate the negative impact or help create regulations.</w:t>
      </w:r>
    </w:p>
    <w:p>
      <w:r>
        <w:rPr>
          <w:b w:val="0"/>
          <w:i/>
        </w:rPr>
        <w:t>The research reported herein was supported in part by the MIT Internet Research Policy Initiative, which is funded by the Hewlett Foundation, and Cybersecurity at MIT Sloan, which is funded by a consortium of organizations.</w:t>
      </w:r>
    </w:p>
    <w:p>
      <w:pPr>
        <w:pStyle w:val="Heading3"/>
      </w:pPr>
      <w:r>
        <w:rPr>
          <w:b/>
          <w:i w:val="0"/>
        </w:rPr>
        <w:t>NOTE</w:t>
      </w:r>
    </w:p>
    <w:p>
      <w:r>
        <w:rPr>
          <w:b w:val="0"/>
          <w:i w:val="0"/>
        </w:rPr>
        <w:t>1. Everett Rosenfeld, “US-China Agree to Not Conduct Cybertheft of Intellectual Property,” CNBC, September 25, 2015, https://www.cnbc.com/2015/09/25/us-china-agree-to-not-conduct-cybertheft-of-intellectual-property-white-house.html.</w:t>
      </w:r>
    </w:p>
    <w:p>
      <w:r>
        <w:rPr>
          <w:b w:val="0"/>
          <w:i/>
        </w:rPr>
        <w:t>Adapted from content posted on hbr.org, January 4, 2019 (product #H04QA4).</w:t>
      </w:r>
    </w:p>
    <w:p>
      <w:pPr>
        <w:pStyle w:val="Heading1"/>
      </w:pPr>
      <w:r>
        <w:rPr>
          <w:b/>
          <w:i w:val="0"/>
        </w:rPr>
        <w:t>14</w:t>
      </w:r>
    </w:p>
    <w:p>
      <w:pPr>
        <w:pStyle w:val="Heading1"/>
      </w:pPr>
      <w:r>
        <w:rPr>
          <w:b/>
          <w:i w:val="0"/>
        </w:rPr>
        <w:t>AI IS THE FUTURE OF CYBERSECURITY, FOR BETTER AND FOR WORSE</w:t>
      </w:r>
    </w:p>
    <w:p>
      <w:r>
        <w:rPr>
          <w:b w:val="0"/>
          <w:i w:val="0"/>
        </w:rPr>
        <w:t>by Roman V. Yampolskiy</w:t>
      </w:r>
    </w:p>
    <w:p>
      <w:r>
        <w:rPr>
          <w:b w:val="0"/>
          <w:i w:val="0"/>
        </w:rPr>
        <w:t>In the near future, as artificial intelligence (AI) systems become more capable, we will begin to see more automated and increasingly sophisticated social engineering attacks. The rise of AI-enabled cyberattacks is expected to cause an explosion of network penetrations, personal data thefts, and an epidemic-level spread of intelligent computer viruses. Ironically, our best hope to defend against AI-enabled hacking is by using AI. But this is very likely to lead to an AI arms race, the consequences of which may be very troubling in the long term, especially as big government actors join the cyber wars.</w:t>
      </w:r>
    </w:p>
    <w:p>
      <w:r>
        <w:rPr>
          <w:b w:val="0"/>
          <w:i w:val="0"/>
        </w:rPr>
        <w:t>My research is at the intersection of AI and cybersecurity. In particular, I am researching how we can protect AI systems from bad actors, as well as how we can protect people from failed or malevolent AI. This work falls into a larger framework of AI safety, efforts to create AI that is exceedingly capable but also safe and beneficial.</w:t>
      </w:r>
    </w:p>
    <w:p>
      <w:r>
        <w:rPr>
          <w:b w:val="0"/>
          <w:i w:val="0"/>
        </w:rPr>
        <w:t>A lot has been written about problems that might arise with the arrival of “true AI,” either as a direct impact of such inventions or because of a programmer’s error. However, intentional malice in design and AI hacking have not been addressed to a sufficient degree in the scientific literature. It’s fair to say that when it comes to dangers from a purposefully unethical intelligence, anything is possible. According to Nick Bostrom’s orthogonality thesis, an AI system can potentially have any combination of intelligence and goals. Such goals can be introduced either through the initial design or through hacking, or introduced later, in case of an off-the-shelf software—“just add your own goals.” Consequently, depending on whose bidding the system is doing (governments, corporations, sociopaths, dictators, military industrial complexes, terrorists, and so on), it may attempt to inflict damage that’s unprecedented in the history of humankind—or that’s perhaps inspired by previous events.</w:t>
      </w:r>
    </w:p>
    <w:p>
      <w:r>
        <w:rPr>
          <w:b w:val="0"/>
          <w:i w:val="0"/>
        </w:rPr>
        <w:t>Even today, AI can be used to defend and to attack cyber infrastructure, as well as to increase the attack surface that hackers can target, that is, the number of ways for hackers to get into a system. In the future, as AIs increase in capability, I anticipate that they will first reach and then overtake humans in all domains of performance, as we have already seen with games like chess and Go and are now seeing with important human tasks such as investing and driving. It’s important for business leaders to understand how that future situation will differ from our current concerns and what to do about it.</w:t>
      </w:r>
    </w:p>
    <w:p>
      <w:r>
        <w:rPr>
          <w:b w:val="0"/>
          <w:i w:val="0"/>
        </w:rPr>
        <w:t>If one of today’s cybersecurity systems fails, the damage can be unpleasant, but it’s tolerable in most cases: Someone loses money or privacy. But for human-level AI (or above), the consequences could be catastrophic. A single failure of a superintelligent AI (SAI) system could cause an existential risk event—an event that has the potential to damage human well-being on a global scale. The risks are real, as evidenced by the fact that some of the world’s greatest minds in technology and physics, including Stephen Hawking, Bill Gates, and Elon Musk, have expressed concerns about the potential for AI to evolve to a point where humans could no longer control it.</w:t>
      </w:r>
    </w:p>
    <w:p>
      <w:r>
        <w:rPr>
          <w:b w:val="0"/>
          <w:i w:val="0"/>
        </w:rPr>
        <w:t>When one of today’s cybersecurity systems fails, we typically get another chance to get it right, or at least to do better next time. But with an SAI safety system, failure or success is a binary situation: Either we have a safe, controlled SAI or we don’t. The goal of cybersecurity in general is to reduce the number of successful attacks on a system; the goal of SAI safety, in contrast, is to make sure no attacks succeed in bypassing the safety mechanisms in place. The rise of brain-computer interfaces, in particular, will create a dream target for human and AI-enabled hackers. And brain-computer interfaces are not so futuristic—they’re already being used in medical devices and gaming, for example. If successful, attacks on brain-computer interfaces would compromise not only critical information such as social security numbers or bank account numbers but also our deepest dreams, preferences, and secrets. The potential exists to create unprecedented new dangers for personal privacy, free speech, equal opportunity, and any number of human rights.</w:t>
      </w:r>
    </w:p>
    <w:p>
      <w:r>
        <w:rPr>
          <w:b w:val="0"/>
          <w:i w:val="0"/>
        </w:rPr>
        <w:t>Business leaders are advised to familiarize themselves with the cutting edge of AI safety and security research, which at the moment is sadly similar to the state of cybersecurity in the 1990s, and our current situation with the lack of security for the internet of things. Armed with more knowledge, leaders can rationally consider how the addition of AI to their product or service will enhance user experiences, while weighing the costs of potentially subjecting users to additional data breaches and possible dangers. Hiring a dedicated AI safety expert may be an important next step, as most cybersecurity experts are not trained in anticipating or preventing attacks against intelligent systems. I am hopeful that ongoing research will bring additional solutions for safely incorporating AI into the marketplace.</w:t>
      </w:r>
    </w:p>
    <w:p>
      <w:r>
        <w:rPr>
          <w:b/>
          <w:i w:val="0"/>
        </w:rPr>
        <w:t>TAKEAWAYS</w:t>
      </w:r>
    </w:p>
    <w:p>
      <w:r>
        <w:rPr>
          <w:b w:val="0"/>
          <w:i w:val="0"/>
        </w:rPr>
        <w:t>As AI systems become more capable, automated and sophisticated cyberattacks will rise. And the best defense for these cyberattacks? More AI.</w:t>
      </w:r>
    </w:p>
    <w:p>
      <w:pPr>
        <w:pStyle w:val="ListBullet"/>
      </w:pPr>
      <w:r>
        <w:rPr>
          <w:b w:val="0"/>
          <w:i w:val="0"/>
        </w:rPr>
        <w:t>A single failure of a superintelligent AI system could cause a risk event so significant it could have the potential to damage human well-being on a global scale.</w:t>
      </w:r>
    </w:p>
    <w:p>
      <w:pPr>
        <w:pStyle w:val="ListBullet"/>
      </w:pPr>
      <w:r>
        <w:rPr>
          <w:b w:val="0"/>
          <w:i w:val="0"/>
        </w:rPr>
        <w:t>The rise of brain-computer interfaces creates a dream target for both human and AI-enabled hackers: targets from critical information such as social security numbers to our deepest dreams and secrets.</w:t>
      </w:r>
    </w:p>
    <w:p>
      <w:r>
        <w:rPr>
          <w:b w:val="0"/>
          <w:i/>
        </w:rPr>
        <w:t>Adapted from content posted on hbr.org, May 8, 2017 (product #H03NES).</w:t>
      </w:r>
    </w:p>
    <w:p>
      <w:pPr>
        <w:pStyle w:val="Heading1"/>
      </w:pPr>
      <w:r>
        <w:rPr>
          <w:b/>
          <w:i w:val="0"/>
        </w:rPr>
        <w:t>About the Contributors</w:t>
      </w:r>
    </w:p>
    <w:p>
      <w:r>
        <w:rPr>
          <w:b/>
          <w:i w:val="0"/>
        </w:rPr>
        <w:t>SCOTT BERINATO</w:t>
      </w:r>
      <w:r>
        <w:rPr>
          <w:b w:val="0"/>
          <w:i w:val="0"/>
        </w:rPr>
        <w:t xml:space="preserve"> is a senior editor at </w:t>
      </w:r>
      <w:r>
        <w:rPr>
          <w:b w:val="0"/>
          <w:i/>
        </w:rPr>
        <w:t>Harvard Business Review</w:t>
      </w:r>
      <w:r>
        <w:rPr>
          <w:b w:val="0"/>
          <w:i w:val="0"/>
        </w:rPr>
        <w:t xml:space="preserve"> and the author of </w:t>
      </w:r>
      <w:r>
        <w:rPr>
          <w:b w:val="0"/>
          <w:i/>
        </w:rPr>
        <w:t>Good Charts: The HBR Guide to Making Smarter, More Persuasive Data Visualizations</w:t>
      </w:r>
      <w:r>
        <w:rPr>
          <w:b w:val="0"/>
          <w:i w:val="0"/>
        </w:rPr>
        <w:t xml:space="preserve"> (Harvard Business Review Press, 2016) and </w:t>
      </w:r>
      <w:r>
        <w:rPr>
          <w:b w:val="0"/>
          <w:i/>
        </w:rPr>
        <w:t>Good Charts Workbook</w:t>
      </w:r>
      <w:r>
        <w:rPr>
          <w:b w:val="0"/>
          <w:i w:val="0"/>
        </w:rPr>
        <w:t xml:space="preserve"> (Harvard Business Review Press, 2019). Follow him on Twitter @scottberinato.</w:t>
      </w:r>
    </w:p>
    <w:p>
      <w:r>
        <w:rPr>
          <w:b/>
          <w:i w:val="0"/>
        </w:rPr>
        <w:t>ALEX BLAU</w:t>
      </w:r>
      <w:r>
        <w:rPr>
          <w:b w:val="0"/>
          <w:i w:val="0"/>
        </w:rPr>
        <w:t xml:space="preserve"> is a vice president at ideas42 and coauthor of </w:t>
      </w:r>
      <w:r>
        <w:rPr>
          <w:b w:val="0"/>
          <w:i/>
        </w:rPr>
        <w:t>Deep Thought: A Cybersecurity Story</w:t>
      </w:r>
      <w:r>
        <w:rPr>
          <w:b w:val="0"/>
          <w:i w:val="0"/>
        </w:rPr>
        <w:t>, a true-crime-style novella that dramatizes human behavioral threats in cybersecurity. He applies insights from behavioral science to solve design and decision-making challenges in a broad array of domains. His current foci at ideas42 are in the areas of cybersecurity, privacy, public safety, and product design.</w:t>
      </w:r>
    </w:p>
    <w:p>
      <w:r>
        <w:rPr>
          <w:b/>
          <w:i w:val="0"/>
        </w:rPr>
        <w:t>ANDY BOCHMAN</w:t>
      </w:r>
      <w:r>
        <w:rPr>
          <w:b w:val="0"/>
          <w:i w:val="0"/>
        </w:rPr>
        <w:t xml:space="preserve"> is senior grid strategist, national and homeland security, Idaho National Laboratory.</w:t>
      </w:r>
    </w:p>
    <w:p>
      <w:r>
        <w:rPr>
          <w:b/>
          <w:i w:val="0"/>
        </w:rPr>
        <w:t>BILL BOURDON</w:t>
      </w:r>
      <w:r>
        <w:rPr>
          <w:b w:val="0"/>
          <w:i w:val="0"/>
        </w:rPr>
        <w:t xml:space="preserve"> is president and co-owner at Bateman Group (www.bateman-group.com/). Learn more about his work at bateman-group.com; follow him on Twitter @bbourdon.</w:t>
      </w:r>
    </w:p>
    <w:p>
      <w:r>
        <w:rPr>
          <w:b/>
          <w:i w:val="0"/>
        </w:rPr>
        <w:t>ANDREW BURT</w:t>
      </w:r>
      <w:r>
        <w:rPr>
          <w:b w:val="0"/>
          <w:i w:val="0"/>
        </w:rPr>
        <w:t xml:space="preserve"> is chief privacy officer and legal engineer at Immuta.</w:t>
      </w:r>
    </w:p>
    <w:p>
      <w:r>
        <w:rPr>
          <w:b/>
          <w:i w:val="0"/>
        </w:rPr>
        <w:t>J. YO-JUD CHENG</w:t>
      </w:r>
      <w:r>
        <w:rPr>
          <w:b w:val="0"/>
          <w:i w:val="0"/>
        </w:rPr>
        <w:t xml:space="preserve"> is an assistant professor of business administration at the University of Virginia’s Darden School of Business.</w:t>
      </w:r>
    </w:p>
    <w:p>
      <w:r>
        <w:rPr>
          <w:b/>
          <w:i w:val="0"/>
        </w:rPr>
        <w:t>DANTE DISPARTE</w:t>
      </w:r>
      <w:r>
        <w:rPr>
          <w:b w:val="0"/>
          <w:i w:val="0"/>
        </w:rPr>
        <w:t xml:space="preserve"> is the founder and CEO of Risk Cooperative. He is the coauthor of the book </w:t>
      </w:r>
      <w:r>
        <w:rPr>
          <w:b w:val="0"/>
          <w:i/>
        </w:rPr>
        <w:t>Global Risk Agility and Decision Making</w:t>
      </w:r>
      <w:r>
        <w:rPr>
          <w:b w:val="0"/>
          <w:i w:val="0"/>
        </w:rPr>
        <w:t xml:space="preserve"> (2016).</w:t>
      </w:r>
    </w:p>
    <w:p>
      <w:r>
        <w:rPr>
          <w:b/>
          <w:i w:val="0"/>
        </w:rPr>
        <w:t>CHRIS FURLOW</w:t>
      </w:r>
      <w:r>
        <w:rPr>
          <w:b w:val="0"/>
          <w:i w:val="0"/>
        </w:rPr>
        <w:t xml:space="preserve"> is president and CEO of the Texas Bankers Association and a member of the Texas Cybersecurity Council.</w:t>
      </w:r>
    </w:p>
    <w:p>
      <w:r>
        <w:rPr>
          <w:b/>
          <w:i w:val="0"/>
        </w:rPr>
        <w:t>BORIS GROYSBERG</w:t>
      </w:r>
      <w:r>
        <w:rPr>
          <w:b w:val="0"/>
          <w:i w:val="0"/>
        </w:rPr>
        <w:t xml:space="preserve"> is the Richard P. Chapman Professor of Business Administration at Harvard Business School, faculty affiliate at the HBS gender initiative, and the coauthor, with Michael Slind, of </w:t>
      </w:r>
      <w:r>
        <w:rPr>
          <w:b w:val="0"/>
          <w:i/>
        </w:rPr>
        <w:t>Talk, Inc.</w:t>
      </w:r>
      <w:r>
        <w:rPr>
          <w:b w:val="0"/>
          <w:i w:val="0"/>
        </w:rPr>
        <w:t xml:space="preserve"> (Harvard Business Review Press, 2012). Follow him on Twitter @bgroysberg.</w:t>
      </w:r>
    </w:p>
    <w:p>
      <w:r>
        <w:rPr>
          <w:b/>
          <w:i w:val="0"/>
        </w:rPr>
        <w:t>JASON J. HOGG</w:t>
      </w:r>
      <w:r>
        <w:rPr>
          <w:b w:val="0"/>
          <w:i w:val="0"/>
        </w:rPr>
        <w:t xml:space="preserve"> is CEO of Aon Cyber Solutions, which helps organizations manage the financial and technical aspects of cyber risks.</w:t>
      </w:r>
    </w:p>
    <w:p>
      <w:r>
        <w:rPr>
          <w:b/>
          <w:i w:val="0"/>
        </w:rPr>
        <w:t>KEMAN HUANG</w:t>
      </w:r>
      <w:r>
        <w:rPr>
          <w:b w:val="0"/>
          <w:i w:val="0"/>
        </w:rPr>
        <w:t xml:space="preserve"> is a research scientist at the MIT Sloan School of Management, where he works on cybersecurity management and policy, innovation ecosystems, and big data analysis.</w:t>
      </w:r>
    </w:p>
    <w:p>
      <w:r>
        <w:rPr>
          <w:b/>
          <w:i w:val="0"/>
        </w:rPr>
        <w:t>SIMON JOHNSON</w:t>
      </w:r>
      <w:r>
        <w:rPr>
          <w:b w:val="0"/>
          <w:i w:val="0"/>
        </w:rPr>
        <w:t xml:space="preserve"> is the Ronald A. Kurtz (1954) Professor of Entrepreneurship at the MIT Sloan School of Management, where he is also head of the global economics and management group and chair of the Sloan Fellows MBA program committee.</w:t>
      </w:r>
    </w:p>
    <w:p>
      <w:r>
        <w:rPr>
          <w:b/>
          <w:i w:val="0"/>
        </w:rPr>
        <w:t>STUART MADNICK</w:t>
      </w:r>
      <w:r>
        <w:rPr>
          <w:b w:val="0"/>
          <w:i w:val="0"/>
        </w:rPr>
        <w:t xml:space="preserve"> is the John Norris Maguire (1960) Professor of Information Technologies at the MIT Sloan School of Management, Professor of engineering systems in the MIT School of Engineering, and director of cybersecurity at MIT Sloan (CAMS): The Interdisciplinary Consortium for Improving Critical Infrastructure Cybersecurity. He has been active in the cybersecurity field since coauthoring the book </w:t>
      </w:r>
      <w:r>
        <w:rPr>
          <w:b w:val="0"/>
          <w:i/>
        </w:rPr>
        <w:t>Computer Security</w:t>
      </w:r>
      <w:r>
        <w:rPr>
          <w:b w:val="0"/>
          <w:i w:val="0"/>
        </w:rPr>
        <w:t xml:space="preserve"> in 1979.</w:t>
      </w:r>
    </w:p>
    <w:p>
      <w:r>
        <w:rPr>
          <w:b/>
          <w:i w:val="0"/>
        </w:rPr>
        <w:t>MATT PERRY</w:t>
      </w:r>
      <w:r>
        <w:rPr>
          <w:b w:val="0"/>
          <w:i w:val="0"/>
        </w:rPr>
        <w:t xml:space="preserve"> is senior graphics editor at </w:t>
      </w:r>
      <w:r>
        <w:rPr>
          <w:b w:val="0"/>
          <w:i/>
        </w:rPr>
        <w:t>Harvard Business Review</w:t>
      </w:r>
      <w:r>
        <w:rPr>
          <w:b w:val="0"/>
          <w:i w:val="0"/>
        </w:rPr>
        <w:t>. Explore his work at mattperrygraphics.com.</w:t>
      </w:r>
    </w:p>
    <w:p>
      <w:r>
        <w:rPr>
          <w:b/>
          <w:i w:val="0"/>
        </w:rPr>
        <w:t>MAARTEN VAN HORENBEECK</w:t>
      </w:r>
      <w:r>
        <w:rPr>
          <w:b w:val="0"/>
          <w:i w:val="0"/>
        </w:rPr>
        <w:t xml:space="preserve"> is a security manager who formerly led Amazon’s threat intelligence team and held security roles at Google and Microsoft. He’s currently vice president of security engineering at Fastly.</w:t>
      </w:r>
    </w:p>
    <w:p>
      <w:r>
        <w:rPr>
          <w:b/>
          <w:i w:val="0"/>
        </w:rPr>
        <w:t>ROMAN V. YAMPOLSKIY</w:t>
      </w:r>
      <w:r>
        <w:rPr>
          <w:b w:val="0"/>
          <w:i w:val="0"/>
        </w:rPr>
        <w:t xml:space="preserve"> is a tenured associate professor in the department of computer engineering and computer science at the Speed School of Engineering, University of Louisville. He is the founding and current director of the university’s cybersecurity lab and an author of many books, including </w:t>
      </w:r>
      <w:r>
        <w:rPr>
          <w:b w:val="0"/>
          <w:i/>
        </w:rPr>
        <w:t>Artificial Superintelligence: A Futuristic Approach</w:t>
      </w:r>
      <w:r>
        <w:rPr>
          <w:b w:val="0"/>
          <w:i w:val="0"/>
        </w:rPr>
        <w:t>. Follow him on Twitter @romanyam.</w:t>
      </w:r>
    </w:p>
    <w:p>
      <w:pPr>
        <w:pStyle w:val="Heading1"/>
      </w:pPr>
      <w:r>
        <w:rPr>
          <w:b/>
          <w:i w:val="0"/>
        </w:rPr>
        <w:t>Index</w:t>
      </w:r>
    </w:p>
    <w:p>
      <w:pPr>
        <w:pStyle w:val="ListBullet"/>
      </w:pPr>
      <w:r>
        <w:rPr>
          <w:b w:val="0"/>
          <w:i w:val="0"/>
        </w:rPr>
        <w:t>Accenture, 25–26</w:t>
      </w:r>
    </w:p>
    <w:p>
      <w:pPr>
        <w:pStyle w:val="ListBullet"/>
      </w:pPr>
      <w:r>
        <w:rPr>
          <w:b w:val="0"/>
          <w:i w:val="0"/>
        </w:rPr>
        <w:t xml:space="preserve">accountability, breaches and, 98. </w:t>
      </w:r>
      <w:r>
        <w:rPr>
          <w:b w:val="0"/>
          <w:i/>
        </w:rPr>
        <w:t>See also</w:t>
      </w:r>
      <w:r>
        <w:rPr>
          <w:b w:val="0"/>
          <w:i w:val="0"/>
        </w:rPr>
        <w:t xml:space="preserve"> data breaches</w:t>
      </w:r>
    </w:p>
    <w:p>
      <w:pPr>
        <w:pStyle w:val="ListBullet"/>
      </w:pPr>
      <w:r>
        <w:rPr>
          <w:b w:val="0"/>
          <w:i w:val="0"/>
        </w:rPr>
        <w:t>Active Cyber Defense Certainty (ACDC) bill, 106–107, 113, 114</w:t>
      </w:r>
    </w:p>
    <w:p>
      <w:pPr>
        <w:pStyle w:val="ListBullet"/>
      </w:pPr>
      <w:r>
        <w:rPr>
          <w:b w:val="0"/>
          <w:i w:val="0"/>
        </w:rPr>
        <w:t>active defense, 101–116</w:t>
      </w:r>
    </w:p>
    <w:p>
      <w:pPr>
        <w:pStyle w:val="ListBullet"/>
      </w:pPr>
      <w:r>
        <w:rPr>
          <w:b w:val="0"/>
          <w:i w:val="0"/>
        </w:rPr>
        <w:t>definition of, 104–107</w:t>
      </w:r>
    </w:p>
    <w:p>
      <w:pPr>
        <w:pStyle w:val="ListBullet"/>
      </w:pPr>
      <w:r>
        <w:rPr>
          <w:b w:val="0"/>
          <w:i w:val="0"/>
        </w:rPr>
        <w:t>ethics of, 111–115</w:t>
      </w:r>
    </w:p>
    <w:p>
      <w:pPr>
        <w:pStyle w:val="ListBullet"/>
      </w:pPr>
      <w:r>
        <w:rPr>
          <w:b w:val="0"/>
          <w:i w:val="0"/>
        </w:rPr>
        <w:t>examples of, 105</w:t>
      </w:r>
    </w:p>
    <w:p>
      <w:pPr>
        <w:pStyle w:val="ListBullet"/>
      </w:pPr>
      <w:r>
        <w:rPr>
          <w:b w:val="0"/>
          <w:i w:val="0"/>
        </w:rPr>
        <w:t>hacking back and, 107–112</w:t>
      </w:r>
    </w:p>
    <w:p>
      <w:pPr>
        <w:pStyle w:val="ListBullet"/>
      </w:pPr>
      <w:r>
        <w:rPr>
          <w:b w:val="0"/>
          <w:i w:val="0"/>
        </w:rPr>
        <w:t>affect bias, 52</w:t>
      </w:r>
    </w:p>
    <w:p>
      <w:pPr>
        <w:pStyle w:val="ListBullet"/>
      </w:pPr>
      <w:r>
        <w:rPr>
          <w:b w:val="0"/>
          <w:i w:val="0"/>
        </w:rPr>
        <w:t>agile enterprises, 69–70</w:t>
      </w:r>
    </w:p>
    <w:p>
      <w:pPr>
        <w:pStyle w:val="ListBullet"/>
      </w:pPr>
      <w:r>
        <w:rPr>
          <w:b w:val="0"/>
          <w:i w:val="0"/>
        </w:rPr>
        <w:t xml:space="preserve">air gaps, 8. </w:t>
      </w:r>
      <w:r>
        <w:rPr>
          <w:b w:val="0"/>
          <w:i/>
        </w:rPr>
        <w:t>See also</w:t>
      </w:r>
      <w:r>
        <w:rPr>
          <w:b w:val="0"/>
          <w:i w:val="0"/>
        </w:rPr>
        <w:t xml:space="preserve"> cyber hygiene</w:t>
      </w:r>
    </w:p>
    <w:p>
      <w:pPr>
        <w:pStyle w:val="ListBullet"/>
      </w:pPr>
      <w:r>
        <w:rPr>
          <w:b w:val="0"/>
          <w:i w:val="0"/>
        </w:rPr>
        <w:t>Apple, 120–121</w:t>
      </w:r>
    </w:p>
    <w:p>
      <w:pPr>
        <w:pStyle w:val="ListBullet"/>
      </w:pPr>
      <w:r>
        <w:rPr>
          <w:b w:val="0"/>
          <w:i w:val="0"/>
        </w:rPr>
        <w:t>artificial intelligence (AI), 5, 71, 75, 141–145</w:t>
      </w:r>
    </w:p>
    <w:p>
      <w:pPr>
        <w:pStyle w:val="ListBullet"/>
      </w:pPr>
      <w:r>
        <w:rPr>
          <w:b w:val="0"/>
          <w:i w:val="0"/>
        </w:rPr>
        <w:t>Assante, Michael, 10–11</w:t>
      </w:r>
    </w:p>
    <w:p>
      <w:pPr>
        <w:pStyle w:val="ListBullet"/>
      </w:pPr>
      <w:r>
        <w:rPr>
          <w:b w:val="0"/>
          <w:i w:val="0"/>
        </w:rPr>
        <w:t>asset-intensive industries, 9, 10</w:t>
      </w:r>
    </w:p>
    <w:p>
      <w:pPr>
        <w:pStyle w:val="ListBullet"/>
      </w:pPr>
      <w:r>
        <w:rPr>
          <w:b w:val="0"/>
          <w:i w:val="0"/>
        </w:rPr>
        <w:t>Atlanta, GA, 2</w:t>
      </w:r>
    </w:p>
    <w:p>
      <w:pPr>
        <w:pStyle w:val="ListBullet"/>
      </w:pPr>
      <w:r>
        <w:rPr>
          <w:b w:val="0"/>
          <w:i w:val="0"/>
        </w:rPr>
        <w:t xml:space="preserve">audits, 64. </w:t>
      </w:r>
      <w:r>
        <w:rPr>
          <w:b w:val="0"/>
          <w:i/>
        </w:rPr>
        <w:t>See also</w:t>
      </w:r>
      <w:r>
        <w:rPr>
          <w:b w:val="0"/>
          <w:i w:val="0"/>
        </w:rPr>
        <w:t xml:space="preserve"> data breaches, preparation for</w:t>
      </w:r>
    </w:p>
    <w:p>
      <w:pPr>
        <w:pStyle w:val="ListBullet"/>
      </w:pPr>
      <w:r>
        <w:rPr>
          <w:b w:val="0"/>
          <w:i w:val="0"/>
        </w:rPr>
        <w:t>auto-updates, 77–78</w:t>
      </w:r>
    </w:p>
    <w:p>
      <w:pPr>
        <w:pStyle w:val="ListBullet"/>
      </w:pPr>
      <w:r>
        <w:rPr>
          <w:b w:val="0"/>
          <w:i w:val="0"/>
        </w:rPr>
        <w:t xml:space="preserve">awareness training, 79–80. </w:t>
      </w:r>
      <w:r>
        <w:rPr>
          <w:b w:val="0"/>
          <w:i/>
        </w:rPr>
        <w:t>See also</w:t>
      </w:r>
      <w:r>
        <w:rPr>
          <w:b w:val="0"/>
          <w:i w:val="0"/>
        </w:rPr>
        <w:t xml:space="preserve"> employees</w:t>
      </w:r>
    </w:p>
    <w:p>
      <w:pPr>
        <w:pStyle w:val="ListBullet"/>
      </w:pPr>
      <w:r>
        <w:rPr>
          <w:b w:val="0"/>
          <w:i w:val="0"/>
        </w:rPr>
        <w:t xml:space="preserve">backup systems, 17, 20. </w:t>
      </w:r>
      <w:r>
        <w:rPr>
          <w:b w:val="0"/>
          <w:i/>
        </w:rPr>
        <w:t>See also</w:t>
      </w:r>
      <w:r>
        <w:rPr>
          <w:b w:val="0"/>
          <w:i w:val="0"/>
        </w:rPr>
        <w:t xml:space="preserve"> data breaches, preparation for</w:t>
      </w:r>
    </w:p>
    <w:p>
      <w:pPr>
        <w:pStyle w:val="ListBullet"/>
      </w:pPr>
      <w:r>
        <w:rPr>
          <w:b w:val="0"/>
          <w:i w:val="0"/>
        </w:rPr>
        <w:t>behavioral economics, 49–57</w:t>
      </w:r>
    </w:p>
    <w:p>
      <w:pPr>
        <w:pStyle w:val="ListBullet"/>
      </w:pPr>
      <w:r>
        <w:rPr>
          <w:b w:val="0"/>
          <w:i w:val="0"/>
        </w:rPr>
        <w:t>behavioral science, 75–77, 79–80</w:t>
      </w:r>
    </w:p>
    <w:p>
      <w:pPr>
        <w:pStyle w:val="ListBullet"/>
      </w:pPr>
      <w:r>
        <w:rPr>
          <w:b w:val="0"/>
          <w:i w:val="0"/>
        </w:rPr>
        <w:t>Berinato, Scott, 23–37, 101–116</w:t>
      </w:r>
    </w:p>
    <w:p>
      <w:pPr>
        <w:pStyle w:val="ListBullet"/>
      </w:pPr>
      <w:r>
        <w:rPr>
          <w:b w:val="0"/>
          <w:i w:val="0"/>
        </w:rPr>
        <w:t>best practices, and cybersecurity, 8–9</w:t>
      </w:r>
    </w:p>
    <w:p>
      <w:pPr>
        <w:pStyle w:val="ListBullet"/>
      </w:pPr>
      <w:r>
        <w:rPr>
          <w:b w:val="0"/>
          <w:i w:val="0"/>
        </w:rPr>
        <w:t>biases, 75–76, 78</w:t>
      </w:r>
    </w:p>
    <w:p>
      <w:pPr>
        <w:pStyle w:val="ListBullet"/>
      </w:pPr>
      <w:r>
        <w:rPr>
          <w:b w:val="0"/>
          <w:i w:val="0"/>
        </w:rPr>
        <w:t xml:space="preserve">big data, 126. </w:t>
      </w:r>
      <w:r>
        <w:rPr>
          <w:b w:val="0"/>
          <w:i/>
        </w:rPr>
        <w:t>See also</w:t>
      </w:r>
      <w:r>
        <w:rPr>
          <w:b w:val="0"/>
          <w:i w:val="0"/>
        </w:rPr>
        <w:t xml:space="preserve"> privacy; machine learning</w:t>
      </w:r>
    </w:p>
    <w:p>
      <w:pPr>
        <w:pStyle w:val="ListBullet"/>
      </w:pPr>
      <w:r>
        <w:rPr>
          <w:b w:val="0"/>
          <w:i w:val="0"/>
        </w:rPr>
        <w:t>Blau, Alex, xi–xvi, 49–57, 73–83</w:t>
      </w:r>
    </w:p>
    <w:p>
      <w:pPr>
        <w:pStyle w:val="ListBullet"/>
      </w:pPr>
      <w:r>
        <w:rPr>
          <w:b w:val="0"/>
          <w:i w:val="0"/>
        </w:rPr>
        <w:t>boards of directors</w:t>
      </w:r>
    </w:p>
    <w:p>
      <w:pPr>
        <w:pStyle w:val="ListBullet"/>
      </w:pPr>
      <w:r>
        <w:rPr>
          <w:b w:val="0"/>
          <w:i w:val="0"/>
        </w:rPr>
        <w:t>cybersecurity and, 39–48, 69</w:t>
      </w:r>
    </w:p>
    <w:p>
      <w:pPr>
        <w:pStyle w:val="ListBullet"/>
      </w:pPr>
      <w:r>
        <w:rPr>
          <w:b w:val="0"/>
          <w:i w:val="0"/>
        </w:rPr>
        <w:t>lack of expertise on, 44, 46</w:t>
      </w:r>
    </w:p>
    <w:p>
      <w:pPr>
        <w:pStyle w:val="ListBullet"/>
      </w:pPr>
      <w:r>
        <w:rPr>
          <w:b w:val="0"/>
          <w:i w:val="0"/>
        </w:rPr>
        <w:t>recommendations for, 46–47</w:t>
      </w:r>
    </w:p>
    <w:p>
      <w:pPr>
        <w:pStyle w:val="ListBullet"/>
      </w:pPr>
      <w:r>
        <w:rPr>
          <w:b w:val="0"/>
          <w:i w:val="0"/>
        </w:rPr>
        <w:t>Bochman, Andy, 1–22, 101–102, 110</w:t>
      </w:r>
    </w:p>
    <w:p>
      <w:pPr>
        <w:pStyle w:val="ListBullet"/>
      </w:pPr>
      <w:r>
        <w:rPr>
          <w:b w:val="0"/>
          <w:i w:val="0"/>
        </w:rPr>
        <w:t xml:space="preserve">Bostrom, Nick, 142. </w:t>
      </w:r>
      <w:r>
        <w:rPr>
          <w:b w:val="0"/>
          <w:i/>
        </w:rPr>
        <w:t>See also</w:t>
      </w:r>
      <w:r>
        <w:rPr>
          <w:b w:val="0"/>
          <w:i w:val="0"/>
        </w:rPr>
        <w:t xml:space="preserve"> artificial intelligence (AI)</w:t>
      </w:r>
    </w:p>
    <w:p>
      <w:pPr>
        <w:pStyle w:val="ListBullet"/>
      </w:pPr>
      <w:r>
        <w:rPr>
          <w:b w:val="0"/>
          <w:i w:val="0"/>
        </w:rPr>
        <w:t>Bourdon, Bill, 93–100</w:t>
      </w:r>
    </w:p>
    <w:p>
      <w:pPr>
        <w:pStyle w:val="ListBullet"/>
      </w:pPr>
      <w:r>
        <w:rPr>
          <w:b w:val="0"/>
          <w:i w:val="0"/>
        </w:rPr>
        <w:t xml:space="preserve">brain-computer interfaces, 144. </w:t>
      </w:r>
      <w:r>
        <w:rPr>
          <w:b w:val="0"/>
          <w:i/>
        </w:rPr>
        <w:t>See also</w:t>
      </w:r>
      <w:r>
        <w:rPr>
          <w:b w:val="0"/>
          <w:i w:val="0"/>
        </w:rPr>
        <w:t xml:space="preserve"> artificial intelligence (AI)</w:t>
      </w:r>
    </w:p>
    <w:p>
      <w:pPr>
        <w:pStyle w:val="ListBullet"/>
      </w:pPr>
      <w:r>
        <w:rPr>
          <w:b w:val="0"/>
          <w:i w:val="0"/>
        </w:rPr>
        <w:t xml:space="preserve">breaches. </w:t>
      </w:r>
      <w:r>
        <w:rPr>
          <w:b w:val="0"/>
          <w:i/>
        </w:rPr>
        <w:t>See</w:t>
      </w:r>
      <w:r>
        <w:rPr>
          <w:b w:val="0"/>
          <w:i w:val="0"/>
        </w:rPr>
        <w:t xml:space="preserve"> data breaches</w:t>
      </w:r>
    </w:p>
    <w:p>
      <w:pPr>
        <w:pStyle w:val="ListBullet"/>
      </w:pPr>
      <w:r>
        <w:rPr>
          <w:b w:val="0"/>
          <w:i w:val="0"/>
        </w:rPr>
        <w:t>Buffett, Warren, 69</w:t>
      </w:r>
    </w:p>
    <w:p>
      <w:pPr>
        <w:pStyle w:val="ListBullet"/>
      </w:pPr>
      <w:r>
        <w:rPr>
          <w:b w:val="0"/>
          <w:i w:val="0"/>
        </w:rPr>
        <w:t>Burt, Andrew, 117–124, 125–130</w:t>
      </w:r>
    </w:p>
    <w:p>
      <w:pPr>
        <w:pStyle w:val="ListBullet"/>
      </w:pPr>
      <w:r>
        <w:rPr>
          <w:b w:val="0"/>
          <w:i w:val="0"/>
        </w:rPr>
        <w:t xml:space="preserve">business disruptions, 36. </w:t>
      </w:r>
      <w:r>
        <w:rPr>
          <w:b w:val="0"/>
          <w:i/>
        </w:rPr>
        <w:t>See also</w:t>
      </w:r>
      <w:r>
        <w:rPr>
          <w:b w:val="0"/>
          <w:i w:val="0"/>
        </w:rPr>
        <w:t xml:space="preserve"> trends, in cybersecurity</w:t>
      </w:r>
    </w:p>
    <w:p>
      <w:pPr>
        <w:pStyle w:val="ListBullet"/>
      </w:pPr>
      <w:r>
        <w:rPr>
          <w:b w:val="0"/>
          <w:i w:val="0"/>
        </w:rPr>
        <w:t xml:space="preserve">business exposure, 61–62, 64–65. </w:t>
      </w:r>
      <w:r>
        <w:rPr>
          <w:b w:val="0"/>
          <w:i/>
        </w:rPr>
        <w:t>See also</w:t>
      </w:r>
      <w:r>
        <w:rPr>
          <w:b w:val="0"/>
          <w:i w:val="0"/>
        </w:rPr>
        <w:t xml:space="preserve"> risk management</w:t>
      </w:r>
    </w:p>
    <w:p>
      <w:pPr>
        <w:pStyle w:val="ListBullet"/>
      </w:pPr>
      <w:r>
        <w:rPr>
          <w:b w:val="0"/>
          <w:i w:val="0"/>
        </w:rPr>
        <w:t>calendar commitments, 77–78</w:t>
      </w:r>
    </w:p>
    <w:p>
      <w:pPr>
        <w:pStyle w:val="ListBullet"/>
      </w:pPr>
      <w:r>
        <w:rPr>
          <w:b w:val="0"/>
          <w:i w:val="0"/>
        </w:rPr>
        <w:t xml:space="preserve">Cambridge Analytica, 127. </w:t>
      </w:r>
      <w:r>
        <w:rPr>
          <w:b w:val="0"/>
          <w:i/>
        </w:rPr>
        <w:t>See also</w:t>
      </w:r>
      <w:r>
        <w:rPr>
          <w:b w:val="0"/>
          <w:i w:val="0"/>
        </w:rPr>
        <w:t xml:space="preserve"> privacy</w:t>
      </w:r>
    </w:p>
    <w:p>
      <w:pPr>
        <w:pStyle w:val="ListBullet"/>
      </w:pPr>
      <w:r>
        <w:rPr>
          <w:b w:val="0"/>
          <w:i w:val="0"/>
        </w:rPr>
        <w:t xml:space="preserve">CCE. </w:t>
      </w:r>
      <w:r>
        <w:rPr>
          <w:b w:val="0"/>
          <w:i/>
        </w:rPr>
        <w:t>See</w:t>
      </w:r>
      <w:r>
        <w:rPr>
          <w:b w:val="0"/>
          <w:i w:val="0"/>
        </w:rPr>
        <w:t xml:space="preserve"> consequence-driven, cyber-informed engineering (CCE) methodology</w:t>
      </w:r>
    </w:p>
    <w:p>
      <w:pPr>
        <w:pStyle w:val="ListBullet"/>
      </w:pPr>
      <w:r>
        <w:rPr>
          <w:b w:val="0"/>
          <w:i w:val="0"/>
        </w:rPr>
        <w:t>Cheng, J. Yo-Jud, 39–48</w:t>
      </w:r>
    </w:p>
    <w:p>
      <w:pPr>
        <w:pStyle w:val="ListBullet"/>
      </w:pPr>
      <w:r>
        <w:rPr>
          <w:b w:val="0"/>
          <w:i w:val="0"/>
        </w:rPr>
        <w:t xml:space="preserve">chief executive officers (CEOs), 9, 18–19, 52–53, 55, 60–66. </w:t>
      </w:r>
      <w:r>
        <w:rPr>
          <w:b w:val="0"/>
          <w:i/>
        </w:rPr>
        <w:t>See also</w:t>
      </w:r>
      <w:r>
        <w:rPr>
          <w:b w:val="0"/>
          <w:i w:val="0"/>
        </w:rPr>
        <w:t xml:space="preserve"> C-suite</w:t>
      </w:r>
    </w:p>
    <w:p>
      <w:pPr>
        <w:pStyle w:val="ListBullet"/>
      </w:pPr>
      <w:r>
        <w:rPr>
          <w:b w:val="0"/>
          <w:i w:val="0"/>
        </w:rPr>
        <w:t xml:space="preserve">chief financial officers (CFOs), 61. </w:t>
      </w:r>
      <w:r>
        <w:rPr>
          <w:b w:val="0"/>
          <w:i/>
        </w:rPr>
        <w:t>See also</w:t>
      </w:r>
      <w:r>
        <w:rPr>
          <w:b w:val="0"/>
          <w:i w:val="0"/>
        </w:rPr>
        <w:t xml:space="preserve"> C-suite</w:t>
      </w:r>
    </w:p>
    <w:p>
      <w:pPr>
        <w:pStyle w:val="ListBullet"/>
      </w:pPr>
      <w:r>
        <w:rPr>
          <w:b w:val="0"/>
          <w:i w:val="0"/>
        </w:rPr>
        <w:t xml:space="preserve">chief information officers (CIOs), 61. </w:t>
      </w:r>
      <w:r>
        <w:rPr>
          <w:b w:val="0"/>
          <w:i/>
        </w:rPr>
        <w:t>See also</w:t>
      </w:r>
      <w:r>
        <w:rPr>
          <w:b w:val="0"/>
          <w:i w:val="0"/>
        </w:rPr>
        <w:t xml:space="preserve"> C-suite</w:t>
      </w:r>
    </w:p>
    <w:p>
      <w:pPr>
        <w:pStyle w:val="ListBullet"/>
      </w:pPr>
      <w:r>
        <w:rPr>
          <w:b w:val="0"/>
          <w:i w:val="0"/>
        </w:rPr>
        <w:t xml:space="preserve">chief information security officers (CISOs), 53, 54, 61, 62–63. </w:t>
      </w:r>
      <w:r>
        <w:rPr>
          <w:b w:val="0"/>
          <w:i/>
        </w:rPr>
        <w:t>See also</w:t>
      </w:r>
      <w:r>
        <w:rPr>
          <w:b w:val="0"/>
          <w:i w:val="0"/>
        </w:rPr>
        <w:t xml:space="preserve"> C-suite</w:t>
      </w:r>
    </w:p>
    <w:p>
      <w:pPr>
        <w:pStyle w:val="ListBullet"/>
      </w:pPr>
      <w:r>
        <w:rPr>
          <w:b w:val="0"/>
          <w:i w:val="0"/>
        </w:rPr>
        <w:t xml:space="preserve">chief operating officers (COOs), 18–19. </w:t>
      </w:r>
      <w:r>
        <w:rPr>
          <w:b w:val="0"/>
          <w:i/>
        </w:rPr>
        <w:t>See also</w:t>
      </w:r>
      <w:r>
        <w:rPr>
          <w:b w:val="0"/>
          <w:i w:val="0"/>
        </w:rPr>
        <w:t xml:space="preserve"> C-suite</w:t>
      </w:r>
    </w:p>
    <w:p>
      <w:pPr>
        <w:pStyle w:val="ListBullet"/>
      </w:pPr>
      <w:r>
        <w:rPr>
          <w:b w:val="0"/>
          <w:i w:val="0"/>
        </w:rPr>
        <w:t>chief risk officers (CROs), 61, 62–63</w:t>
      </w:r>
    </w:p>
    <w:p>
      <w:pPr>
        <w:pStyle w:val="ListBullet"/>
      </w:pPr>
      <w:r>
        <w:rPr>
          <w:b w:val="0"/>
          <w:i w:val="0"/>
        </w:rPr>
        <w:t>chief vulnerability officers, 64</w:t>
      </w:r>
    </w:p>
    <w:p>
      <w:pPr>
        <w:pStyle w:val="ListBullet"/>
      </w:pPr>
      <w:r>
        <w:rPr>
          <w:b w:val="0"/>
          <w:i w:val="0"/>
        </w:rPr>
        <w:t>China, 132, 134–137</w:t>
      </w:r>
    </w:p>
    <w:p>
      <w:pPr>
        <w:pStyle w:val="ListBullet"/>
      </w:pPr>
      <w:r>
        <w:rPr>
          <w:b w:val="0"/>
          <w:i w:val="0"/>
        </w:rPr>
        <w:t xml:space="preserve">CIE. </w:t>
      </w:r>
      <w:r>
        <w:rPr>
          <w:b w:val="0"/>
          <w:i/>
        </w:rPr>
        <w:t>See</w:t>
      </w:r>
      <w:r>
        <w:rPr>
          <w:b w:val="0"/>
          <w:i w:val="0"/>
        </w:rPr>
        <w:t xml:space="preserve"> cyber-informed engineering</w:t>
      </w:r>
    </w:p>
    <w:p>
      <w:pPr>
        <w:pStyle w:val="ListBullet"/>
      </w:pPr>
      <w:r>
        <w:rPr>
          <w:b w:val="0"/>
          <w:i w:val="0"/>
        </w:rPr>
        <w:t>Cisco Systems, 46, 135</w:t>
      </w:r>
    </w:p>
    <w:p>
      <w:pPr>
        <w:pStyle w:val="ListBullet"/>
      </w:pPr>
      <w:r>
        <w:rPr>
          <w:b w:val="0"/>
          <w:i w:val="0"/>
        </w:rPr>
        <w:t>Citrix Systems, 135</w:t>
      </w:r>
    </w:p>
    <w:p>
      <w:pPr>
        <w:pStyle w:val="ListBullet"/>
      </w:pPr>
      <w:r>
        <w:rPr>
          <w:b w:val="0"/>
          <w:i w:val="0"/>
        </w:rPr>
        <w:t>cloud computing, 5</w:t>
      </w:r>
    </w:p>
    <w:p>
      <w:pPr>
        <w:pStyle w:val="ListBullet"/>
      </w:pPr>
      <w:r>
        <w:rPr>
          <w:b w:val="0"/>
          <w:i w:val="0"/>
        </w:rPr>
        <w:t>Cold War 2.0, 135</w:t>
      </w:r>
    </w:p>
    <w:p>
      <w:pPr>
        <w:pStyle w:val="ListBullet"/>
      </w:pPr>
      <w:r>
        <w:rPr>
          <w:b w:val="0"/>
          <w:i w:val="0"/>
        </w:rPr>
        <w:t>consequence-driven, cyber-informed engineering (CCE) methodology, 12–19</w:t>
      </w:r>
    </w:p>
    <w:p>
      <w:pPr>
        <w:pStyle w:val="ListBullet"/>
      </w:pPr>
      <w:r>
        <w:rPr>
          <w:b w:val="0"/>
          <w:i w:val="0"/>
        </w:rPr>
        <w:t>generating mitigation and protection options, 17–19</w:t>
      </w:r>
    </w:p>
    <w:p>
      <w:pPr>
        <w:pStyle w:val="ListBullet"/>
      </w:pPr>
      <w:r>
        <w:rPr>
          <w:b w:val="0"/>
          <w:i w:val="0"/>
        </w:rPr>
        <w:t>identifying crown jewel processes, 14–15</w:t>
      </w:r>
    </w:p>
    <w:p>
      <w:pPr>
        <w:pStyle w:val="ListBullet"/>
      </w:pPr>
      <w:r>
        <w:rPr>
          <w:b w:val="0"/>
          <w:i w:val="0"/>
        </w:rPr>
        <w:t>illuminating likely attack paths, 16–17</w:t>
      </w:r>
    </w:p>
    <w:p>
      <w:pPr>
        <w:pStyle w:val="ListBullet"/>
      </w:pPr>
      <w:r>
        <w:rPr>
          <w:b w:val="0"/>
          <w:i w:val="0"/>
        </w:rPr>
        <w:t>mapping digital terrain, 15–16</w:t>
      </w:r>
    </w:p>
    <w:p>
      <w:pPr>
        <w:pStyle w:val="ListBullet"/>
      </w:pPr>
      <w:r>
        <w:rPr>
          <w:b w:val="0"/>
          <w:i w:val="0"/>
        </w:rPr>
        <w:t>overview of, 12–13</w:t>
      </w:r>
    </w:p>
    <w:p>
      <w:pPr>
        <w:pStyle w:val="ListBullet"/>
      </w:pPr>
      <w:r>
        <w:rPr>
          <w:b w:val="0"/>
          <w:i w:val="0"/>
        </w:rPr>
        <w:t xml:space="preserve">consequence prioritization, 14. </w:t>
      </w:r>
      <w:r>
        <w:rPr>
          <w:b w:val="0"/>
          <w:i/>
        </w:rPr>
        <w:t>See also</w:t>
      </w:r>
      <w:r>
        <w:rPr>
          <w:b w:val="0"/>
          <w:i w:val="0"/>
        </w:rPr>
        <w:t xml:space="preserve"> risk management</w:t>
      </w:r>
    </w:p>
    <w:p>
      <w:pPr>
        <w:pStyle w:val="ListBullet"/>
      </w:pPr>
      <w:r>
        <w:rPr>
          <w:b w:val="0"/>
          <w:i w:val="0"/>
        </w:rPr>
        <w:t>Cook, Tim, 118, 120–122</w:t>
      </w:r>
    </w:p>
    <w:p>
      <w:pPr>
        <w:pStyle w:val="ListBullet"/>
      </w:pPr>
      <w:r>
        <w:rPr>
          <w:b w:val="0"/>
          <w:i w:val="0"/>
        </w:rPr>
        <w:t>Coreflood malware, 113, 114</w:t>
      </w:r>
    </w:p>
    <w:p>
      <w:pPr>
        <w:pStyle w:val="ListBullet"/>
      </w:pPr>
      <w:r>
        <w:rPr>
          <w:b w:val="0"/>
          <w:i w:val="0"/>
        </w:rPr>
        <w:t>credit card data, 29–30</w:t>
      </w:r>
    </w:p>
    <w:p>
      <w:pPr>
        <w:pStyle w:val="ListBullet"/>
      </w:pPr>
      <w:r>
        <w:rPr>
          <w:b w:val="0"/>
          <w:i w:val="0"/>
        </w:rPr>
        <w:t>criminal syndicates, 1, 20, 60</w:t>
      </w:r>
    </w:p>
    <w:p>
      <w:pPr>
        <w:pStyle w:val="ListBullet"/>
      </w:pPr>
      <w:r>
        <w:rPr>
          <w:b w:val="0"/>
          <w:i w:val="0"/>
        </w:rPr>
        <w:t>critical infrastructure attacks, 27</w:t>
      </w:r>
    </w:p>
    <w:p>
      <w:pPr>
        <w:pStyle w:val="ListBullet"/>
      </w:pPr>
      <w:r>
        <w:rPr>
          <w:b w:val="0"/>
          <w:i w:val="0"/>
        </w:rPr>
        <w:t>C-suite</w:t>
      </w:r>
    </w:p>
    <w:p>
      <w:pPr>
        <w:pStyle w:val="ListBullet"/>
      </w:pPr>
      <w:r>
        <w:rPr>
          <w:b w:val="0"/>
          <w:i w:val="0"/>
        </w:rPr>
        <w:t>accountability of, 98</w:t>
      </w:r>
    </w:p>
    <w:p>
      <w:pPr>
        <w:pStyle w:val="ListBullet"/>
      </w:pPr>
      <w:r>
        <w:rPr>
          <w:b w:val="0"/>
          <w:i w:val="0"/>
        </w:rPr>
        <w:t>cyber risk metrics and, 59–66</w:t>
      </w:r>
    </w:p>
    <w:p>
      <w:pPr>
        <w:pStyle w:val="ListBullet"/>
      </w:pPr>
      <w:r>
        <w:rPr>
          <w:b w:val="0"/>
          <w:i w:val="0"/>
        </w:rPr>
        <w:t>mistakes by, following data breaches, 93–100</w:t>
      </w:r>
    </w:p>
    <w:p>
      <w:pPr>
        <w:pStyle w:val="ListBullet"/>
      </w:pPr>
      <w:r>
        <w:rPr>
          <w:b w:val="0"/>
          <w:i w:val="0"/>
        </w:rPr>
        <w:t>risk agility and, 70</w:t>
      </w:r>
    </w:p>
    <w:p>
      <w:pPr>
        <w:pStyle w:val="ListBullet"/>
      </w:pPr>
      <w:r>
        <w:rPr>
          <w:b w:val="0"/>
          <w:i w:val="0"/>
        </w:rPr>
        <w:t>customer data, xiii–xv, 29–30</w:t>
      </w:r>
    </w:p>
    <w:p>
      <w:pPr>
        <w:pStyle w:val="ListBullet"/>
      </w:pPr>
      <w:r>
        <w:rPr>
          <w:b w:val="0"/>
          <w:i w:val="0"/>
        </w:rPr>
        <w:t xml:space="preserve">customers, failure to notify, following breach, 94–95. </w:t>
      </w:r>
      <w:r>
        <w:rPr>
          <w:b w:val="0"/>
          <w:i/>
        </w:rPr>
        <w:t>See also</w:t>
      </w:r>
      <w:r>
        <w:rPr>
          <w:b w:val="0"/>
          <w:i w:val="0"/>
        </w:rPr>
        <w:t xml:space="preserve"> data breaches</w:t>
      </w:r>
    </w:p>
    <w:p>
      <w:pPr>
        <w:pStyle w:val="ListBullet"/>
      </w:pPr>
      <w:r>
        <w:rPr>
          <w:b w:val="0"/>
          <w:i w:val="0"/>
        </w:rPr>
        <w:t xml:space="preserve">customer service, 95–96. </w:t>
      </w:r>
      <w:r>
        <w:rPr>
          <w:b w:val="0"/>
          <w:i/>
        </w:rPr>
        <w:t>See also</w:t>
      </w:r>
      <w:r>
        <w:rPr>
          <w:b w:val="0"/>
          <w:i w:val="0"/>
        </w:rPr>
        <w:t xml:space="preserve"> data breaches</w:t>
      </w:r>
    </w:p>
    <w:p>
      <w:pPr>
        <w:pStyle w:val="ListBullet"/>
      </w:pPr>
      <w:r>
        <w:rPr>
          <w:b w:val="0"/>
          <w:i w:val="0"/>
        </w:rPr>
        <w:t>customer trust, 117–124</w:t>
      </w:r>
    </w:p>
    <w:p>
      <w:pPr>
        <w:pStyle w:val="ListBullet"/>
      </w:pPr>
      <w:r>
        <w:rPr>
          <w:b w:val="0"/>
          <w:i w:val="0"/>
        </w:rPr>
        <w:t xml:space="preserve">cyberattackers. </w:t>
      </w:r>
      <w:r>
        <w:rPr>
          <w:b w:val="0"/>
          <w:i/>
        </w:rPr>
        <w:t>See</w:t>
      </w:r>
      <w:r>
        <w:rPr>
          <w:b w:val="0"/>
          <w:i w:val="0"/>
        </w:rPr>
        <w:t xml:space="preserve"> hackers</w:t>
      </w:r>
    </w:p>
    <w:p>
      <w:pPr>
        <w:pStyle w:val="ListBullet"/>
      </w:pPr>
      <w:r>
        <w:rPr>
          <w:b w:val="0"/>
          <w:i w:val="0"/>
        </w:rPr>
        <w:t>cyberattacks, xiii</w:t>
      </w:r>
    </w:p>
    <w:p>
      <w:pPr>
        <w:pStyle w:val="ListBullet"/>
      </w:pPr>
      <w:r>
        <w:rPr>
          <w:b w:val="0"/>
          <w:i w:val="0"/>
        </w:rPr>
        <w:t>AI-enabled, 141–142</w:t>
      </w:r>
    </w:p>
    <w:p>
      <w:pPr>
        <w:pStyle w:val="ListBullet"/>
      </w:pPr>
      <w:r>
        <w:rPr>
          <w:b w:val="0"/>
          <w:i w:val="0"/>
        </w:rPr>
        <w:t>common targets for, 29–32</w:t>
      </w:r>
    </w:p>
    <w:p>
      <w:pPr>
        <w:pStyle w:val="ListBullet"/>
      </w:pPr>
      <w:r>
        <w:rPr>
          <w:b w:val="0"/>
          <w:i w:val="0"/>
        </w:rPr>
        <w:t>containment of, 63–64</w:t>
      </w:r>
    </w:p>
    <w:p>
      <w:pPr>
        <w:pStyle w:val="ListBullet"/>
      </w:pPr>
      <w:r>
        <w:rPr>
          <w:b w:val="0"/>
          <w:i w:val="0"/>
        </w:rPr>
        <w:t>cost of, 4–5, 26, 33–37, 46, 62, 73–74</w:t>
      </w:r>
    </w:p>
    <w:p>
      <w:pPr>
        <w:pStyle w:val="ListBullet"/>
      </w:pPr>
      <w:r>
        <w:rPr>
          <w:b w:val="0"/>
          <w:i w:val="0"/>
        </w:rPr>
        <w:t>defenses against, 69–70</w:t>
      </w:r>
    </w:p>
    <w:p>
      <w:pPr>
        <w:pStyle w:val="ListBullet"/>
      </w:pPr>
      <w:r>
        <w:rPr>
          <w:b w:val="0"/>
          <w:i w:val="0"/>
        </w:rPr>
        <w:t>detection of, 63</w:t>
      </w:r>
    </w:p>
    <w:p>
      <w:pPr>
        <w:pStyle w:val="ListBullet"/>
      </w:pPr>
      <w:r>
        <w:rPr>
          <w:b w:val="0"/>
          <w:i w:val="0"/>
        </w:rPr>
        <w:t>high-profile, 9, 60, 70</w:t>
      </w:r>
    </w:p>
    <w:p>
      <w:pPr>
        <w:pStyle w:val="ListBullet"/>
      </w:pPr>
      <w:r>
        <w:rPr>
          <w:b w:val="0"/>
          <w:i w:val="0"/>
        </w:rPr>
        <w:t>increase in, 1–2, 7, 24, 27, 60, 68–69</w:t>
      </w:r>
    </w:p>
    <w:p>
      <w:pPr>
        <w:pStyle w:val="ListBullet"/>
      </w:pPr>
      <w:r>
        <w:rPr>
          <w:b w:val="0"/>
          <w:i w:val="0"/>
        </w:rPr>
        <w:t>mistakes following, 93–100</w:t>
      </w:r>
    </w:p>
    <w:p>
      <w:pPr>
        <w:pStyle w:val="ListBullet"/>
      </w:pPr>
      <w:r>
        <w:rPr>
          <w:b w:val="0"/>
          <w:i w:val="0"/>
        </w:rPr>
        <w:t>pathways for, 31</w:t>
      </w:r>
    </w:p>
    <w:p>
      <w:pPr>
        <w:pStyle w:val="ListBullet"/>
      </w:pPr>
      <w:r>
        <w:rPr>
          <w:b w:val="0"/>
          <w:i w:val="0"/>
        </w:rPr>
        <w:t>preparation for, 63, 68–72</w:t>
      </w:r>
    </w:p>
    <w:p>
      <w:pPr>
        <w:pStyle w:val="ListBullet"/>
      </w:pPr>
      <w:r>
        <w:rPr>
          <w:b w:val="0"/>
          <w:i w:val="0"/>
        </w:rPr>
        <w:t>simulated, 64</w:t>
      </w:r>
    </w:p>
    <w:p>
      <w:pPr>
        <w:pStyle w:val="ListBullet"/>
      </w:pPr>
      <w:r>
        <w:rPr>
          <w:b w:val="0"/>
          <w:i w:val="0"/>
        </w:rPr>
        <w:t>success ratio for, 27–29</w:t>
      </w:r>
    </w:p>
    <w:p>
      <w:pPr>
        <w:pStyle w:val="ListBullet"/>
      </w:pPr>
      <w:r>
        <w:rPr>
          <w:b w:val="0"/>
          <w:i w:val="0"/>
        </w:rPr>
        <w:t>threat of, 46–47</w:t>
      </w:r>
    </w:p>
    <w:p>
      <w:pPr>
        <w:pStyle w:val="ListBullet"/>
      </w:pPr>
      <w:r>
        <w:rPr>
          <w:b w:val="0"/>
          <w:i w:val="0"/>
        </w:rPr>
        <w:t>trends in, 23–37</w:t>
      </w:r>
    </w:p>
    <w:p>
      <w:pPr>
        <w:pStyle w:val="ListBullet"/>
      </w:pPr>
      <w:r>
        <w:rPr>
          <w:b w:val="0"/>
          <w:i/>
        </w:rPr>
        <w:t>See also</w:t>
      </w:r>
      <w:r>
        <w:rPr>
          <w:b w:val="0"/>
          <w:i w:val="0"/>
        </w:rPr>
        <w:t xml:space="preserve"> data breaches</w:t>
      </w:r>
    </w:p>
    <w:p>
      <w:pPr>
        <w:pStyle w:val="ListBullet"/>
      </w:pPr>
      <w:r>
        <w:rPr>
          <w:b w:val="0"/>
          <w:i w:val="0"/>
        </w:rPr>
        <w:t>cyber hygiene</w:t>
      </w:r>
    </w:p>
    <w:p>
      <w:pPr>
        <w:pStyle w:val="ListBullet"/>
      </w:pPr>
      <w:r>
        <w:rPr>
          <w:b w:val="0"/>
          <w:i w:val="0"/>
        </w:rPr>
        <w:t>approaches to, 8</w:t>
      </w:r>
    </w:p>
    <w:p>
      <w:pPr>
        <w:pStyle w:val="ListBullet"/>
      </w:pPr>
      <w:r>
        <w:rPr>
          <w:b w:val="0"/>
          <w:i w:val="0"/>
        </w:rPr>
        <w:t>limitations of, 7–11, 101</w:t>
      </w:r>
    </w:p>
    <w:p>
      <w:pPr>
        <w:pStyle w:val="ListBullet"/>
      </w:pPr>
      <w:r>
        <w:rPr>
          <w:b w:val="0"/>
          <w:i w:val="0"/>
        </w:rPr>
        <w:t>cyber-informed engineering (CIE), 12</w:t>
      </w:r>
    </w:p>
    <w:p>
      <w:pPr>
        <w:pStyle w:val="ListBullet"/>
      </w:pPr>
      <w:r>
        <w:rPr>
          <w:b w:val="0"/>
          <w:i w:val="0"/>
        </w:rPr>
        <w:t>cyber risk, 68</w:t>
      </w:r>
    </w:p>
    <w:p>
      <w:pPr>
        <w:pStyle w:val="ListBullet"/>
      </w:pPr>
      <w:r>
        <w:rPr>
          <w:b w:val="0"/>
          <w:i w:val="0"/>
        </w:rPr>
        <w:t>C-suite and, 59–66</w:t>
      </w:r>
    </w:p>
    <w:p>
      <w:pPr>
        <w:pStyle w:val="ListBullet"/>
      </w:pPr>
      <w:r>
        <w:rPr>
          <w:b w:val="0"/>
          <w:i w:val="0"/>
        </w:rPr>
        <w:t>exposure to, 61–62</w:t>
      </w:r>
    </w:p>
    <w:p>
      <w:pPr>
        <w:pStyle w:val="ListBullet"/>
      </w:pPr>
      <w:r>
        <w:rPr>
          <w:b w:val="0"/>
          <w:i w:val="0"/>
        </w:rPr>
        <w:t>cyber safety culture, 19–20</w:t>
      </w:r>
    </w:p>
    <w:p>
      <w:pPr>
        <w:pStyle w:val="ListBullet"/>
      </w:pPr>
      <w:r>
        <w:rPr>
          <w:b w:val="0"/>
          <w:i w:val="0"/>
        </w:rPr>
        <w:t>data, xiii</w:t>
      </w:r>
    </w:p>
    <w:p>
      <w:pPr>
        <w:pStyle w:val="ListBullet"/>
      </w:pPr>
      <w:r>
        <w:rPr>
          <w:b w:val="0"/>
          <w:i w:val="0"/>
        </w:rPr>
        <w:t>big, 126</w:t>
      </w:r>
    </w:p>
    <w:p>
      <w:pPr>
        <w:pStyle w:val="ListBullet"/>
      </w:pPr>
      <w:r>
        <w:rPr>
          <w:b w:val="0"/>
          <w:i w:val="0"/>
        </w:rPr>
        <w:t>credit card, 29–30</w:t>
      </w:r>
    </w:p>
    <w:p>
      <w:pPr>
        <w:pStyle w:val="ListBullet"/>
      </w:pPr>
      <w:r>
        <w:rPr>
          <w:b w:val="0"/>
          <w:i w:val="0"/>
        </w:rPr>
        <w:t>customer, xiii–xv, 29–30</w:t>
      </w:r>
    </w:p>
    <w:p>
      <w:pPr>
        <w:pStyle w:val="ListBullet"/>
      </w:pPr>
      <w:r>
        <w:rPr>
          <w:b w:val="0"/>
          <w:i w:val="0"/>
        </w:rPr>
        <w:t>data breaches, xiii, 122</w:t>
      </w:r>
    </w:p>
    <w:p>
      <w:pPr>
        <w:pStyle w:val="ListBullet"/>
      </w:pPr>
      <w:r>
        <w:rPr>
          <w:b w:val="0"/>
          <w:i w:val="0"/>
        </w:rPr>
        <w:t>contingency plans for, 44</w:t>
      </w:r>
    </w:p>
    <w:p>
      <w:pPr>
        <w:pStyle w:val="ListBullet"/>
      </w:pPr>
      <w:r>
        <w:rPr>
          <w:b w:val="0"/>
          <w:i w:val="0"/>
        </w:rPr>
        <w:t>cost of, 73–74</w:t>
      </w:r>
    </w:p>
    <w:p>
      <w:pPr>
        <w:pStyle w:val="ListBullet"/>
      </w:pPr>
      <w:r>
        <w:rPr>
          <w:b w:val="0"/>
          <w:i w:val="0"/>
        </w:rPr>
        <w:t>danger of, 126, 128</w:t>
      </w:r>
    </w:p>
    <w:p>
      <w:pPr>
        <w:pStyle w:val="ListBullet"/>
      </w:pPr>
      <w:r>
        <w:rPr>
          <w:b w:val="0"/>
          <w:i w:val="0"/>
        </w:rPr>
        <w:t>detection of, 6–7</w:t>
      </w:r>
    </w:p>
    <w:p>
      <w:pPr>
        <w:pStyle w:val="ListBullet"/>
      </w:pPr>
      <w:r>
        <w:rPr>
          <w:b w:val="0"/>
          <w:i w:val="0"/>
        </w:rPr>
        <w:t>high-profile, 9, 70</w:t>
      </w:r>
    </w:p>
    <w:p>
      <w:pPr>
        <w:pStyle w:val="ListBullet"/>
      </w:pPr>
      <w:r>
        <w:rPr>
          <w:b w:val="0"/>
          <w:i w:val="0"/>
        </w:rPr>
        <w:t>mistakes following, 93–100</w:t>
      </w:r>
    </w:p>
    <w:p>
      <w:pPr>
        <w:pStyle w:val="ListBullet"/>
      </w:pPr>
      <w:r>
        <w:rPr>
          <w:b w:val="0"/>
          <w:i w:val="0"/>
        </w:rPr>
        <w:t>notification laws, 95</w:t>
      </w:r>
    </w:p>
    <w:p>
      <w:pPr>
        <w:pStyle w:val="ListBullet"/>
      </w:pPr>
      <w:r>
        <w:rPr>
          <w:b w:val="0"/>
          <w:i w:val="0"/>
        </w:rPr>
        <w:t>preparation for, 19–20</w:t>
      </w:r>
    </w:p>
    <w:p>
      <w:pPr>
        <w:pStyle w:val="ListBullet"/>
      </w:pPr>
      <w:r>
        <w:rPr>
          <w:b w:val="0"/>
          <w:i w:val="0"/>
        </w:rPr>
        <w:t>top sources of, 31, 32</w:t>
      </w:r>
    </w:p>
    <w:p>
      <w:pPr>
        <w:pStyle w:val="ListBullet"/>
      </w:pPr>
      <w:r>
        <w:rPr>
          <w:b w:val="0"/>
          <w:i w:val="0"/>
        </w:rPr>
        <w:t>trends in, 23–37</w:t>
      </w:r>
    </w:p>
    <w:p>
      <w:pPr>
        <w:pStyle w:val="ListBullet"/>
      </w:pPr>
      <w:r>
        <w:rPr>
          <w:b w:val="0"/>
          <w:i w:val="0"/>
        </w:rPr>
        <w:t>underreported, 70</w:t>
      </w:r>
    </w:p>
    <w:p>
      <w:pPr>
        <w:pStyle w:val="ListBullet"/>
      </w:pPr>
      <w:r>
        <w:rPr>
          <w:b w:val="0"/>
          <w:i/>
        </w:rPr>
        <w:t>See also</w:t>
      </w:r>
      <w:r>
        <w:rPr>
          <w:b w:val="0"/>
          <w:i w:val="0"/>
        </w:rPr>
        <w:t xml:space="preserve"> cyberattacks</w:t>
      </w:r>
    </w:p>
    <w:p>
      <w:pPr>
        <w:pStyle w:val="ListBullet"/>
      </w:pPr>
      <w:r>
        <w:rPr>
          <w:b w:val="0"/>
          <w:i w:val="0"/>
        </w:rPr>
        <w:t xml:space="preserve">data encryption, 8. </w:t>
      </w:r>
      <w:r>
        <w:rPr>
          <w:b w:val="0"/>
          <w:i/>
        </w:rPr>
        <w:t>See also</w:t>
      </w:r>
      <w:r>
        <w:rPr>
          <w:b w:val="0"/>
          <w:i w:val="0"/>
        </w:rPr>
        <w:t xml:space="preserve"> cyber hygiene</w:t>
      </w:r>
    </w:p>
    <w:p>
      <w:pPr>
        <w:pStyle w:val="ListBullet"/>
      </w:pPr>
      <w:r>
        <w:rPr>
          <w:b w:val="0"/>
          <w:i w:val="0"/>
        </w:rPr>
        <w:t xml:space="preserve">data privacy, 120, 125–130. </w:t>
      </w:r>
      <w:r>
        <w:rPr>
          <w:b w:val="0"/>
          <w:i/>
        </w:rPr>
        <w:t>See also</w:t>
      </w:r>
      <w:r>
        <w:rPr>
          <w:b w:val="0"/>
          <w:i w:val="0"/>
        </w:rPr>
        <w:t xml:space="preserve"> privacy</w:t>
      </w:r>
    </w:p>
    <w:p>
      <w:pPr>
        <w:pStyle w:val="ListBullet"/>
      </w:pPr>
      <w:r>
        <w:rPr>
          <w:b w:val="0"/>
          <w:i w:val="0"/>
        </w:rPr>
        <w:t>data protection, 117–124</w:t>
      </w:r>
    </w:p>
    <w:p>
      <w:pPr>
        <w:pStyle w:val="ListBullet"/>
      </w:pPr>
      <w:r>
        <w:rPr>
          <w:b w:val="0"/>
          <w:i w:val="0"/>
        </w:rPr>
        <w:t>data security, xiv–xv, 118</w:t>
      </w:r>
    </w:p>
    <w:p>
      <w:pPr>
        <w:pStyle w:val="ListBullet"/>
      </w:pPr>
      <w:r>
        <w:rPr>
          <w:b w:val="0"/>
          <w:i w:val="0"/>
        </w:rPr>
        <w:t>default options, 77</w:t>
      </w:r>
    </w:p>
    <w:p>
      <w:pPr>
        <w:pStyle w:val="ListBullet"/>
      </w:pPr>
      <w:r>
        <w:rPr>
          <w:b w:val="0"/>
          <w:i w:val="0"/>
        </w:rPr>
        <w:t>Denning, Dorothy, 103–105, 107–109, 112–115</w:t>
      </w:r>
    </w:p>
    <w:p>
      <w:pPr>
        <w:pStyle w:val="ListBullet"/>
      </w:pPr>
      <w:r>
        <w:rPr>
          <w:b w:val="0"/>
          <w:i w:val="0"/>
        </w:rPr>
        <w:t>digital technologies</w:t>
      </w:r>
    </w:p>
    <w:p>
      <w:pPr>
        <w:pStyle w:val="ListBullet"/>
      </w:pPr>
      <w:r>
        <w:rPr>
          <w:b w:val="0"/>
          <w:i w:val="0"/>
        </w:rPr>
        <w:t>benefits of, 7</w:t>
      </w:r>
    </w:p>
    <w:p>
      <w:pPr>
        <w:pStyle w:val="ListBullet"/>
      </w:pPr>
      <w:r>
        <w:rPr>
          <w:b w:val="0"/>
          <w:i w:val="0"/>
        </w:rPr>
        <w:t>complexities of, 6–7</w:t>
      </w:r>
    </w:p>
    <w:p>
      <w:pPr>
        <w:pStyle w:val="ListBullet"/>
      </w:pPr>
      <w:r>
        <w:rPr>
          <w:b w:val="0"/>
          <w:i w:val="0"/>
        </w:rPr>
        <w:t>mapping, 15–16</w:t>
      </w:r>
    </w:p>
    <w:p>
      <w:pPr>
        <w:pStyle w:val="ListBullet"/>
      </w:pPr>
      <w:r>
        <w:rPr>
          <w:b w:val="0"/>
          <w:i w:val="0"/>
        </w:rPr>
        <w:t>reducing dependency on, 12–21, 36–37, 110</w:t>
      </w:r>
    </w:p>
    <w:p>
      <w:pPr>
        <w:pStyle w:val="ListBullet"/>
      </w:pPr>
      <w:r>
        <w:rPr>
          <w:b w:val="0"/>
          <w:i w:val="0"/>
        </w:rPr>
        <w:t>susceptibility to cyberattacks, 4</w:t>
      </w:r>
    </w:p>
    <w:p>
      <w:pPr>
        <w:pStyle w:val="ListBullet"/>
      </w:pPr>
      <w:r>
        <w:rPr>
          <w:b w:val="0"/>
          <w:i w:val="0"/>
        </w:rPr>
        <w:t>vulnerabilities of, 5–7</w:t>
      </w:r>
    </w:p>
    <w:p>
      <w:pPr>
        <w:pStyle w:val="ListBullet"/>
      </w:pPr>
      <w:r>
        <w:rPr>
          <w:b w:val="0"/>
          <w:i w:val="0"/>
        </w:rPr>
        <w:t>Disparte, Dante, 67–72</w:t>
      </w:r>
    </w:p>
    <w:p>
      <w:pPr>
        <w:pStyle w:val="ListBullet"/>
      </w:pPr>
      <w:r>
        <w:rPr>
          <w:b w:val="0"/>
          <w:i w:val="0"/>
        </w:rPr>
        <w:t xml:space="preserve">emotional appeals, 51–52. </w:t>
      </w:r>
      <w:r>
        <w:rPr>
          <w:b w:val="0"/>
          <w:i/>
        </w:rPr>
        <w:t>See also</w:t>
      </w:r>
      <w:r>
        <w:rPr>
          <w:b w:val="0"/>
          <w:i w:val="0"/>
        </w:rPr>
        <w:t xml:space="preserve"> investment, in cybersecurity</w:t>
      </w:r>
    </w:p>
    <w:p>
      <w:pPr>
        <w:pStyle w:val="ListBullet"/>
      </w:pPr>
      <w:r>
        <w:rPr>
          <w:b w:val="0"/>
          <w:i w:val="0"/>
        </w:rPr>
        <w:t>employees</w:t>
      </w:r>
    </w:p>
    <w:p>
      <w:pPr>
        <w:pStyle w:val="ListBullet"/>
      </w:pPr>
      <w:r>
        <w:rPr>
          <w:b w:val="0"/>
          <w:i w:val="0"/>
        </w:rPr>
        <w:t>bad habits of, 73–83</w:t>
      </w:r>
    </w:p>
    <w:p>
      <w:pPr>
        <w:pStyle w:val="ListBullet"/>
      </w:pPr>
      <w:r>
        <w:rPr>
          <w:b w:val="0"/>
          <w:i w:val="0"/>
        </w:rPr>
        <w:t>comparing with peers, 78–79</w:t>
      </w:r>
    </w:p>
    <w:p>
      <w:pPr>
        <w:pStyle w:val="ListBullet"/>
      </w:pPr>
      <w:r>
        <w:rPr>
          <w:b w:val="0"/>
          <w:i w:val="0"/>
        </w:rPr>
        <w:t>cyberattacks by, 70–71</w:t>
      </w:r>
    </w:p>
    <w:p>
      <w:pPr>
        <w:pStyle w:val="ListBullet"/>
      </w:pPr>
      <w:r>
        <w:rPr>
          <w:b w:val="0"/>
          <w:i w:val="0"/>
        </w:rPr>
        <w:t>feedback for, 79–80</w:t>
      </w:r>
    </w:p>
    <w:p>
      <w:pPr>
        <w:pStyle w:val="ListBullet"/>
      </w:pPr>
      <w:r>
        <w:rPr>
          <w:b w:val="0"/>
          <w:i w:val="0"/>
        </w:rPr>
        <w:t>interaction between IT department and, 90–91</w:t>
      </w:r>
    </w:p>
    <w:p>
      <w:pPr>
        <w:pStyle w:val="ListBullet"/>
      </w:pPr>
      <w:r>
        <w:rPr>
          <w:b w:val="0"/>
          <w:i w:val="0"/>
        </w:rPr>
        <w:t>internal security tests for, 89</w:t>
      </w:r>
    </w:p>
    <w:p>
      <w:pPr>
        <w:pStyle w:val="ListBullet"/>
      </w:pPr>
      <w:r>
        <w:rPr>
          <w:b w:val="0"/>
          <w:i w:val="0"/>
        </w:rPr>
        <w:t>simple rules for, 85–92</w:t>
      </w:r>
    </w:p>
    <w:p>
      <w:pPr>
        <w:pStyle w:val="ListBullet"/>
      </w:pPr>
      <w:r>
        <w:rPr>
          <w:b w:val="0"/>
          <w:i w:val="0"/>
        </w:rPr>
        <w:t>training, 67–72, 73–83, 88–89</w:t>
      </w:r>
    </w:p>
    <w:p>
      <w:pPr>
        <w:pStyle w:val="ListBullet"/>
      </w:pPr>
      <w:r>
        <w:rPr>
          <w:b w:val="0"/>
          <w:i w:val="0"/>
        </w:rPr>
        <w:t>trusted, 18</w:t>
      </w:r>
    </w:p>
    <w:p>
      <w:pPr>
        <w:pStyle w:val="ListBullet"/>
      </w:pPr>
      <w:r>
        <w:rPr>
          <w:b w:val="0"/>
          <w:i w:val="0"/>
        </w:rPr>
        <w:t>as weakest link, 54–56, 68, 85–86</w:t>
      </w:r>
    </w:p>
    <w:p>
      <w:pPr>
        <w:pStyle w:val="ListBullet"/>
      </w:pPr>
      <w:r>
        <w:rPr>
          <w:b w:val="0"/>
          <w:i w:val="0"/>
        </w:rPr>
        <w:t>energy companies, cost of cybercrime for, 35</w:t>
      </w:r>
    </w:p>
    <w:p>
      <w:pPr>
        <w:pStyle w:val="ListBullet"/>
      </w:pPr>
      <w:r>
        <w:rPr>
          <w:b w:val="0"/>
          <w:i w:val="0"/>
        </w:rPr>
        <w:t>Equifax, 2, 74, 94, 96–98</w:t>
      </w:r>
    </w:p>
    <w:p>
      <w:pPr>
        <w:pStyle w:val="ListBullet"/>
      </w:pPr>
      <w:r>
        <w:rPr>
          <w:b w:val="0"/>
          <w:i w:val="0"/>
        </w:rPr>
        <w:t>ethics</w:t>
      </w:r>
    </w:p>
    <w:p>
      <w:pPr>
        <w:pStyle w:val="ListBullet"/>
      </w:pPr>
      <w:r>
        <w:rPr>
          <w:b w:val="0"/>
          <w:i w:val="0"/>
        </w:rPr>
        <w:t>of active defense, 111–115</w:t>
      </w:r>
    </w:p>
    <w:p>
      <w:pPr>
        <w:pStyle w:val="ListBullet"/>
      </w:pPr>
      <w:r>
        <w:rPr>
          <w:b w:val="0"/>
          <w:i w:val="0"/>
        </w:rPr>
        <w:t>of hacking back, 111–113</w:t>
      </w:r>
    </w:p>
    <w:p>
      <w:pPr>
        <w:pStyle w:val="ListBullet"/>
      </w:pPr>
      <w:r>
        <w:rPr>
          <w:b w:val="0"/>
          <w:i w:val="0"/>
        </w:rPr>
        <w:t xml:space="preserve">executives. </w:t>
      </w:r>
      <w:r>
        <w:rPr>
          <w:b w:val="0"/>
          <w:i/>
        </w:rPr>
        <w:t>See</w:t>
      </w:r>
      <w:r>
        <w:rPr>
          <w:b w:val="0"/>
          <w:i w:val="0"/>
        </w:rPr>
        <w:t xml:space="preserve"> C-suite</w:t>
      </w:r>
    </w:p>
    <w:p>
      <w:pPr>
        <w:pStyle w:val="ListBullet"/>
      </w:pPr>
      <w:r>
        <w:rPr>
          <w:b w:val="0"/>
          <w:i w:val="0"/>
        </w:rPr>
        <w:t>external threats, 28, 46, 55</w:t>
      </w:r>
    </w:p>
    <w:p>
      <w:pPr>
        <w:pStyle w:val="ListBullet"/>
      </w:pPr>
      <w:r>
        <w:rPr>
          <w:b w:val="0"/>
          <w:i w:val="0"/>
        </w:rPr>
        <w:t>Facebook, 120, 127</w:t>
      </w:r>
    </w:p>
    <w:p>
      <w:pPr>
        <w:pStyle w:val="ListBullet"/>
      </w:pPr>
      <w:r>
        <w:rPr>
          <w:b w:val="0"/>
          <w:i w:val="0"/>
        </w:rPr>
        <w:t xml:space="preserve">failures, cybersecurity, 143–144. </w:t>
      </w:r>
      <w:r>
        <w:rPr>
          <w:b w:val="0"/>
          <w:i/>
        </w:rPr>
        <w:t>See also</w:t>
      </w:r>
      <w:r>
        <w:rPr>
          <w:b w:val="0"/>
          <w:i w:val="0"/>
        </w:rPr>
        <w:t xml:space="preserve"> data breaches</w:t>
      </w:r>
    </w:p>
    <w:p>
      <w:pPr>
        <w:pStyle w:val="ListBullet"/>
      </w:pPr>
      <w:r>
        <w:rPr>
          <w:b w:val="0"/>
          <w:i w:val="0"/>
        </w:rPr>
        <w:t>Federal Information Security Modernization Act (FISMA), 50</w:t>
      </w:r>
    </w:p>
    <w:p>
      <w:pPr>
        <w:pStyle w:val="ListBullet"/>
      </w:pPr>
      <w:r>
        <w:rPr>
          <w:b w:val="0"/>
          <w:i w:val="0"/>
        </w:rPr>
        <w:t>feedback systems, 79–80</w:t>
      </w:r>
    </w:p>
    <w:p>
      <w:pPr>
        <w:pStyle w:val="ListBullet"/>
      </w:pPr>
      <w:r>
        <w:rPr>
          <w:b w:val="0"/>
          <w:i w:val="0"/>
        </w:rPr>
        <w:t>financial decision makers, appealing to emotions of, 51–52</w:t>
      </w:r>
    </w:p>
    <w:p>
      <w:pPr>
        <w:pStyle w:val="ListBullet"/>
      </w:pPr>
      <w:r>
        <w:rPr>
          <w:b w:val="0"/>
          <w:i w:val="0"/>
        </w:rPr>
        <w:t>financial impact, of cyberattacks, 4–5, 26, 33–37, 46, 62, 73–74</w:t>
      </w:r>
    </w:p>
    <w:p>
      <w:pPr>
        <w:pStyle w:val="ListBullet"/>
      </w:pPr>
      <w:r>
        <w:rPr>
          <w:b w:val="0"/>
          <w:i w:val="0"/>
        </w:rPr>
        <w:t>firewalls, 8, 50</w:t>
      </w:r>
    </w:p>
    <w:p>
      <w:pPr>
        <w:pStyle w:val="ListBullet"/>
      </w:pPr>
      <w:r>
        <w:rPr>
          <w:b w:val="0"/>
          <w:i w:val="0"/>
        </w:rPr>
        <w:t xml:space="preserve">foot dragging, 94–95. </w:t>
      </w:r>
      <w:r>
        <w:rPr>
          <w:b w:val="0"/>
          <w:i/>
        </w:rPr>
        <w:t>See also</w:t>
      </w:r>
      <w:r>
        <w:rPr>
          <w:b w:val="0"/>
          <w:i w:val="0"/>
        </w:rPr>
        <w:t xml:space="preserve"> data breaches</w:t>
      </w:r>
    </w:p>
    <w:p>
      <w:pPr>
        <w:pStyle w:val="ListBullet"/>
      </w:pPr>
      <w:r>
        <w:rPr>
          <w:b w:val="0"/>
          <w:i w:val="0"/>
        </w:rPr>
        <w:t>foreign adversaries, xii, 1, 11, 20, 60, 131–132</w:t>
      </w:r>
    </w:p>
    <w:p>
      <w:pPr>
        <w:pStyle w:val="ListBullet"/>
      </w:pPr>
      <w:r>
        <w:rPr>
          <w:b w:val="0"/>
          <w:i w:val="0"/>
        </w:rPr>
        <w:t>Furlow, Chris, 67–72</w:t>
      </w:r>
    </w:p>
    <w:p>
      <w:pPr>
        <w:pStyle w:val="ListBullet"/>
      </w:pPr>
      <w:r>
        <w:rPr>
          <w:b w:val="0"/>
          <w:i w:val="0"/>
        </w:rPr>
        <w:t>future world, xi–xii</w:t>
      </w:r>
    </w:p>
    <w:p>
      <w:pPr>
        <w:pStyle w:val="ListBullet"/>
      </w:pPr>
      <w:r>
        <w:rPr>
          <w:b w:val="0"/>
          <w:i w:val="0"/>
        </w:rPr>
        <w:t>General Data Protection Regulation (GDPR), xiv–xv, 61, 95</w:t>
      </w:r>
    </w:p>
    <w:p>
      <w:pPr>
        <w:pStyle w:val="ListBullet"/>
      </w:pPr>
      <w:r>
        <w:rPr>
          <w:b w:val="0"/>
          <w:i w:val="0"/>
        </w:rPr>
        <w:t>German Federal Intelligence Service (BND), 134</w:t>
      </w:r>
    </w:p>
    <w:p>
      <w:pPr>
        <w:pStyle w:val="ListBullet"/>
      </w:pPr>
      <w:r>
        <w:rPr>
          <w:b w:val="0"/>
          <w:i w:val="0"/>
        </w:rPr>
        <w:t>Germany, 33, 132, 134, 136</w:t>
      </w:r>
    </w:p>
    <w:p>
      <w:pPr>
        <w:pStyle w:val="ListBullet"/>
      </w:pPr>
      <w:r>
        <w:rPr>
          <w:b w:val="0"/>
          <w:i w:val="0"/>
        </w:rPr>
        <w:t>Google, 120, 136</w:t>
      </w:r>
    </w:p>
    <w:p>
      <w:pPr>
        <w:pStyle w:val="ListBullet"/>
      </w:pPr>
      <w:r>
        <w:rPr>
          <w:b w:val="0"/>
          <w:i w:val="0"/>
        </w:rPr>
        <w:t>governments, trade policies of, 131–139</w:t>
      </w:r>
    </w:p>
    <w:p>
      <w:pPr>
        <w:pStyle w:val="ListBullet"/>
      </w:pPr>
      <w:r>
        <w:rPr>
          <w:b w:val="0"/>
          <w:i w:val="0"/>
        </w:rPr>
        <w:t>Groysberg, Boris, 39–48</w:t>
      </w:r>
    </w:p>
    <w:p>
      <w:pPr>
        <w:pStyle w:val="ListBullet"/>
      </w:pPr>
      <w:r>
        <w:rPr>
          <w:b w:val="0"/>
          <w:i w:val="0"/>
        </w:rPr>
        <w:t>hackers, xii</w:t>
      </w:r>
    </w:p>
    <w:p>
      <w:pPr>
        <w:pStyle w:val="ListBullet"/>
      </w:pPr>
      <w:r>
        <w:rPr>
          <w:b w:val="0"/>
          <w:i w:val="0"/>
        </w:rPr>
        <w:t>end goals of, 14</w:t>
      </w:r>
    </w:p>
    <w:p>
      <w:pPr>
        <w:pStyle w:val="ListBullet"/>
      </w:pPr>
      <w:r>
        <w:rPr>
          <w:b w:val="0"/>
          <w:i w:val="0"/>
        </w:rPr>
        <w:t>external, 28, 46, 55</w:t>
      </w:r>
    </w:p>
    <w:p>
      <w:pPr>
        <w:pStyle w:val="ListBullet"/>
      </w:pPr>
      <w:r>
        <w:rPr>
          <w:b w:val="0"/>
          <w:i w:val="0"/>
        </w:rPr>
        <w:t>internal, 27, 55, 70–71</w:t>
      </w:r>
    </w:p>
    <w:p>
      <w:pPr>
        <w:pStyle w:val="ListBullet"/>
      </w:pPr>
      <w:r>
        <w:rPr>
          <w:b w:val="0"/>
          <w:i w:val="0"/>
        </w:rPr>
        <w:t>sophisticated, 10–11</w:t>
      </w:r>
    </w:p>
    <w:p>
      <w:pPr>
        <w:pStyle w:val="ListBullet"/>
      </w:pPr>
      <w:r>
        <w:rPr>
          <w:b w:val="0"/>
          <w:i w:val="0"/>
        </w:rPr>
        <w:t>types of, 27, 28, 60</w:t>
      </w:r>
    </w:p>
    <w:p>
      <w:pPr>
        <w:pStyle w:val="ListBullet"/>
      </w:pPr>
      <w:r>
        <w:rPr>
          <w:b w:val="0"/>
          <w:i w:val="0"/>
        </w:rPr>
        <w:t>understanding mindset of, 19</w:t>
      </w:r>
    </w:p>
    <w:p>
      <w:pPr>
        <w:pStyle w:val="ListBullet"/>
      </w:pPr>
      <w:r>
        <w:rPr>
          <w:b w:val="0"/>
          <w:i w:val="0"/>
        </w:rPr>
        <w:t>hacking back, 101–116</w:t>
      </w:r>
    </w:p>
    <w:p>
      <w:pPr>
        <w:pStyle w:val="ListBullet"/>
      </w:pPr>
      <w:r>
        <w:rPr>
          <w:b w:val="0"/>
          <w:i w:val="0"/>
        </w:rPr>
        <w:t>hardware</w:t>
      </w:r>
    </w:p>
    <w:p>
      <w:pPr>
        <w:pStyle w:val="ListBullet"/>
      </w:pPr>
      <w:r>
        <w:rPr>
          <w:b w:val="0"/>
          <w:i w:val="0"/>
        </w:rPr>
        <w:t>inventory of, 8, 9</w:t>
      </w:r>
    </w:p>
    <w:p>
      <w:pPr>
        <w:pStyle w:val="ListBullet"/>
      </w:pPr>
      <w:r>
        <w:rPr>
          <w:b w:val="0"/>
          <w:i w:val="0"/>
        </w:rPr>
        <w:t>mapping, 15–16</w:t>
      </w:r>
    </w:p>
    <w:p>
      <w:pPr>
        <w:pStyle w:val="ListBullet"/>
      </w:pPr>
      <w:r>
        <w:rPr>
          <w:b w:val="0"/>
          <w:i w:val="0"/>
        </w:rPr>
        <w:t>Hogg, Jason J., 59–66</w:t>
      </w:r>
    </w:p>
    <w:p>
      <w:pPr>
        <w:pStyle w:val="ListBullet"/>
      </w:pPr>
      <w:r>
        <w:rPr>
          <w:b w:val="0"/>
          <w:i w:val="0"/>
        </w:rPr>
        <w:t>Home Depot breach, 70</w:t>
      </w:r>
    </w:p>
    <w:p>
      <w:pPr>
        <w:pStyle w:val="ListBullet"/>
      </w:pPr>
      <w:r>
        <w:rPr>
          <w:b w:val="0"/>
          <w:i w:val="0"/>
        </w:rPr>
        <w:t>Huang, Keman, 131–139</w:t>
      </w:r>
    </w:p>
    <w:p>
      <w:pPr>
        <w:pStyle w:val="ListBullet"/>
      </w:pPr>
      <w:r>
        <w:rPr>
          <w:b w:val="0"/>
          <w:i w:val="0"/>
        </w:rPr>
        <w:t>Huawei, 136–138</w:t>
      </w:r>
    </w:p>
    <w:p>
      <w:pPr>
        <w:pStyle w:val="ListBullet"/>
      </w:pPr>
      <w:r>
        <w:rPr>
          <w:b w:val="0"/>
          <w:i w:val="0"/>
        </w:rPr>
        <w:t>human behavior, as biggest cyber threat, 74–76, 85–86</w:t>
      </w:r>
    </w:p>
    <w:p>
      <w:pPr>
        <w:pStyle w:val="ListBullet"/>
      </w:pPr>
      <w:r>
        <w:rPr>
          <w:b w:val="0"/>
          <w:i w:val="0"/>
        </w:rPr>
        <w:t>human-centered defenses, 68–72</w:t>
      </w:r>
    </w:p>
    <w:p>
      <w:pPr>
        <w:pStyle w:val="ListBullet"/>
      </w:pPr>
      <w:r>
        <w:rPr>
          <w:b w:val="0"/>
          <w:i w:val="0"/>
        </w:rPr>
        <w:t>IBM, 74</w:t>
      </w:r>
    </w:p>
    <w:p>
      <w:pPr>
        <w:pStyle w:val="ListBullet"/>
      </w:pPr>
      <w:r>
        <w:rPr>
          <w:b w:val="0"/>
          <w:i w:val="0"/>
        </w:rPr>
        <w:t>Idaho National Lab (INL), 2, 3, 12–19</w:t>
      </w:r>
    </w:p>
    <w:p>
      <w:pPr>
        <w:pStyle w:val="ListBullet"/>
      </w:pPr>
      <w:r>
        <w:rPr>
          <w:b w:val="0"/>
          <w:i w:val="0"/>
        </w:rPr>
        <w:t>ideas 42, 51, 76</w:t>
      </w:r>
    </w:p>
    <w:p>
      <w:pPr>
        <w:pStyle w:val="ListBullet"/>
      </w:pPr>
      <w:r>
        <w:rPr>
          <w:b w:val="0"/>
          <w:i w:val="0"/>
        </w:rPr>
        <w:t>incident-response plans, 63–64, 95</w:t>
      </w:r>
    </w:p>
    <w:p>
      <w:pPr>
        <w:pStyle w:val="ListBullet"/>
      </w:pPr>
      <w:r>
        <w:rPr>
          <w:b w:val="0"/>
          <w:i w:val="0"/>
        </w:rPr>
        <w:t>industrial companies</w:t>
      </w:r>
    </w:p>
    <w:p>
      <w:pPr>
        <w:pStyle w:val="ListBullet"/>
      </w:pPr>
      <w:r>
        <w:rPr>
          <w:b w:val="0"/>
          <w:i w:val="0"/>
        </w:rPr>
        <w:t>boards of directors of, 44</w:t>
      </w:r>
    </w:p>
    <w:p>
      <w:pPr>
        <w:pStyle w:val="ListBullet"/>
      </w:pPr>
      <w:r>
        <w:rPr>
          <w:b w:val="0"/>
          <w:i w:val="0"/>
        </w:rPr>
        <w:t>threats to, 3–5</w:t>
      </w:r>
    </w:p>
    <w:p>
      <w:pPr>
        <w:pStyle w:val="ListBullet"/>
      </w:pPr>
      <w:r>
        <w:rPr>
          <w:b w:val="0"/>
          <w:i w:val="0"/>
        </w:rPr>
        <w:t>industrial control systems, 2–3</w:t>
      </w:r>
    </w:p>
    <w:p>
      <w:pPr>
        <w:pStyle w:val="ListBullet"/>
      </w:pPr>
      <w:r>
        <w:rPr>
          <w:b w:val="0"/>
          <w:i w:val="0"/>
        </w:rPr>
        <w:t>information</w:t>
      </w:r>
    </w:p>
    <w:p>
      <w:pPr>
        <w:pStyle w:val="ListBullet"/>
      </w:pPr>
      <w:r>
        <w:rPr>
          <w:b w:val="0"/>
          <w:i w:val="0"/>
        </w:rPr>
        <w:t>cost of losses, 36</w:t>
      </w:r>
    </w:p>
    <w:p>
      <w:pPr>
        <w:pStyle w:val="ListBullet"/>
      </w:pPr>
      <w:r>
        <w:rPr>
          <w:b w:val="0"/>
          <w:i w:val="0"/>
        </w:rPr>
        <w:t>withholding, 94–95</w:t>
      </w:r>
    </w:p>
    <w:p>
      <w:pPr>
        <w:pStyle w:val="ListBullet"/>
      </w:pPr>
      <w:r>
        <w:rPr>
          <w:b w:val="0"/>
          <w:i/>
        </w:rPr>
        <w:t>See also</w:t>
      </w:r>
      <w:r>
        <w:rPr>
          <w:b w:val="0"/>
          <w:i w:val="0"/>
        </w:rPr>
        <w:t xml:space="preserve"> data</w:t>
      </w:r>
    </w:p>
    <w:p>
      <w:pPr>
        <w:pStyle w:val="ListBullet"/>
      </w:pPr>
      <w:r>
        <w:rPr>
          <w:b w:val="0"/>
          <w:i w:val="0"/>
        </w:rPr>
        <w:t>information security regulations, xiv–xv, 61, 71</w:t>
      </w:r>
    </w:p>
    <w:p>
      <w:pPr>
        <w:pStyle w:val="ListBullet"/>
      </w:pPr>
      <w:r>
        <w:rPr>
          <w:b w:val="0"/>
          <w:i w:val="0"/>
        </w:rPr>
        <w:t>infrastructure sector, threats to, 3–5</w:t>
      </w:r>
    </w:p>
    <w:p>
      <w:pPr>
        <w:pStyle w:val="ListBullet"/>
      </w:pPr>
      <w:r>
        <w:rPr>
          <w:b w:val="0"/>
          <w:i w:val="0"/>
        </w:rPr>
        <w:t>internal threats, 27, 55, 70–71</w:t>
      </w:r>
    </w:p>
    <w:p>
      <w:pPr>
        <w:pStyle w:val="ListBullet"/>
      </w:pPr>
      <w:r>
        <w:rPr>
          <w:b w:val="0"/>
          <w:i w:val="0"/>
        </w:rPr>
        <w:t>international trade, 131–139</w:t>
      </w:r>
    </w:p>
    <w:p>
      <w:pPr>
        <w:pStyle w:val="ListBullet"/>
      </w:pPr>
      <w:r>
        <w:rPr>
          <w:b w:val="0"/>
          <w:i w:val="0"/>
        </w:rPr>
        <w:t>internet, xi, 1–22</w:t>
      </w:r>
    </w:p>
    <w:p>
      <w:pPr>
        <w:pStyle w:val="ListBullet"/>
      </w:pPr>
      <w:r>
        <w:rPr>
          <w:b w:val="0"/>
          <w:i w:val="0"/>
        </w:rPr>
        <w:t>internet of things, 5, 132</w:t>
      </w:r>
    </w:p>
    <w:p>
      <w:pPr>
        <w:pStyle w:val="ListBullet"/>
      </w:pPr>
      <w:r>
        <w:rPr>
          <w:b w:val="0"/>
          <w:i w:val="0"/>
        </w:rPr>
        <w:t xml:space="preserve">investment, in cybersecurity, 24, 35–37, 67–72, 74. </w:t>
      </w:r>
      <w:r>
        <w:rPr>
          <w:b w:val="0"/>
          <w:i/>
        </w:rPr>
        <w:t>See also</w:t>
      </w:r>
      <w:r>
        <w:rPr>
          <w:b w:val="0"/>
          <w:i w:val="0"/>
        </w:rPr>
        <w:t xml:space="preserve"> underinvestment, in cybersecurity</w:t>
      </w:r>
    </w:p>
    <w:p>
      <w:pPr>
        <w:pStyle w:val="ListBullet"/>
      </w:pPr>
      <w:r>
        <w:rPr>
          <w:b w:val="0"/>
          <w:i w:val="0"/>
        </w:rPr>
        <w:t>Iran, 11, 132</w:t>
      </w:r>
    </w:p>
    <w:p>
      <w:pPr>
        <w:pStyle w:val="ListBullet"/>
      </w:pPr>
      <w:r>
        <w:rPr>
          <w:b w:val="0"/>
          <w:i w:val="0"/>
        </w:rPr>
        <w:t>issue, cybersecurity as ongoing, 50–51</w:t>
      </w:r>
    </w:p>
    <w:p>
      <w:pPr>
        <w:pStyle w:val="ListBullet"/>
      </w:pPr>
      <w:r>
        <w:rPr>
          <w:b w:val="0"/>
          <w:i w:val="0"/>
        </w:rPr>
        <w:t>IT departments, 90–91</w:t>
      </w:r>
    </w:p>
    <w:p>
      <w:pPr>
        <w:pStyle w:val="ListBullet"/>
      </w:pPr>
      <w:r>
        <w:rPr>
          <w:b w:val="0"/>
          <w:i w:val="0"/>
        </w:rPr>
        <w:t>IT industry, 44</w:t>
      </w:r>
    </w:p>
    <w:p>
      <w:pPr>
        <w:pStyle w:val="ListBullet"/>
      </w:pPr>
      <w:r>
        <w:rPr>
          <w:b w:val="0"/>
          <w:i w:val="0"/>
        </w:rPr>
        <w:t>Johnson, Simon, 131–139</w:t>
      </w:r>
    </w:p>
    <w:p>
      <w:pPr>
        <w:pStyle w:val="ListBullet"/>
      </w:pPr>
      <w:r>
        <w:rPr>
          <w:b w:val="0"/>
          <w:i w:val="0"/>
        </w:rPr>
        <w:t>Kaspersky Lab, 134</w:t>
      </w:r>
    </w:p>
    <w:p>
      <w:pPr>
        <w:pStyle w:val="ListBullet"/>
      </w:pPr>
      <w:r>
        <w:rPr>
          <w:b w:val="0"/>
          <w:i w:val="0"/>
        </w:rPr>
        <w:t>Lee, Robert M., 103–105, 107, 109–110</w:t>
      </w:r>
    </w:p>
    <w:p>
      <w:pPr>
        <w:pStyle w:val="ListBullet"/>
      </w:pPr>
      <w:r>
        <w:rPr>
          <w:b w:val="0"/>
          <w:i w:val="0"/>
        </w:rPr>
        <w:t>Lin, Patrick, 110–111</w:t>
      </w:r>
    </w:p>
    <w:p>
      <w:pPr>
        <w:pStyle w:val="ListBullet"/>
      </w:pPr>
      <w:r>
        <w:rPr>
          <w:b w:val="0"/>
          <w:i w:val="0"/>
        </w:rPr>
        <w:t>LinkedIn, 137</w:t>
      </w:r>
    </w:p>
    <w:p>
      <w:pPr>
        <w:pStyle w:val="ListBullet"/>
      </w:pPr>
      <w:r>
        <w:rPr>
          <w:b w:val="0"/>
          <w:i w:val="0"/>
        </w:rPr>
        <w:t>Lockheed Martin, 16</w:t>
      </w:r>
    </w:p>
    <w:p>
      <w:pPr>
        <w:pStyle w:val="ListBullet"/>
      </w:pPr>
      <w:r>
        <w:rPr>
          <w:b w:val="0"/>
          <w:i w:val="0"/>
        </w:rPr>
        <w:t>Lysne, Olav, 118–120, 122</w:t>
      </w:r>
    </w:p>
    <w:p>
      <w:pPr>
        <w:pStyle w:val="ListBullet"/>
      </w:pPr>
      <w:r>
        <w:rPr>
          <w:b w:val="0"/>
          <w:i w:val="0"/>
        </w:rPr>
        <w:t>machine learning, 5, 71, 126</w:t>
      </w:r>
    </w:p>
    <w:p>
      <w:pPr>
        <w:pStyle w:val="ListBullet"/>
      </w:pPr>
      <w:r>
        <w:rPr>
          <w:b w:val="0"/>
          <w:i w:val="0"/>
        </w:rPr>
        <w:t>Madnick, Stuart, 131–139</w:t>
      </w:r>
    </w:p>
    <w:p>
      <w:pPr>
        <w:pStyle w:val="ListBullet"/>
      </w:pPr>
      <w:r>
        <w:rPr>
          <w:b w:val="0"/>
          <w:i w:val="0"/>
        </w:rPr>
        <w:t>malware, 2, 74, 103, 108–109, 110, 113, 132</w:t>
      </w:r>
    </w:p>
    <w:p>
      <w:pPr>
        <w:pStyle w:val="ListBullet"/>
      </w:pPr>
      <w:r>
        <w:rPr>
          <w:b w:val="0"/>
          <w:i w:val="0"/>
        </w:rPr>
        <w:t>Mao Zedong, 106</w:t>
      </w:r>
    </w:p>
    <w:p>
      <w:pPr>
        <w:pStyle w:val="ListBullet"/>
      </w:pPr>
      <w:r>
        <w:rPr>
          <w:b w:val="0"/>
          <w:i w:val="0"/>
        </w:rPr>
        <w:t>Marriott breach, 128</w:t>
      </w:r>
    </w:p>
    <w:p>
      <w:pPr>
        <w:pStyle w:val="ListBullet"/>
      </w:pPr>
      <w:r>
        <w:rPr>
          <w:b w:val="0"/>
          <w:i w:val="0"/>
        </w:rPr>
        <w:t>Mayer, Marissa, 95</w:t>
      </w:r>
    </w:p>
    <w:p>
      <w:pPr>
        <w:pStyle w:val="ListBullet"/>
      </w:pPr>
      <w:r>
        <w:rPr>
          <w:b w:val="0"/>
          <w:i w:val="0"/>
        </w:rPr>
        <w:t>McAfee, 135</w:t>
      </w:r>
    </w:p>
    <w:p>
      <w:pPr>
        <w:pStyle w:val="ListBullet"/>
      </w:pPr>
      <w:r>
        <w:rPr>
          <w:b w:val="0"/>
          <w:i w:val="0"/>
        </w:rPr>
        <w:t>mental models, 50–53</w:t>
      </w:r>
    </w:p>
    <w:p>
      <w:pPr>
        <w:pStyle w:val="ListBullet"/>
      </w:pPr>
      <w:r>
        <w:rPr>
          <w:b w:val="0"/>
          <w:i w:val="0"/>
        </w:rPr>
        <w:t>Mirai malware, 74</w:t>
      </w:r>
    </w:p>
    <w:p>
      <w:pPr>
        <w:pStyle w:val="ListBullet"/>
      </w:pPr>
      <w:r>
        <w:rPr>
          <w:b w:val="0"/>
          <w:i w:val="0"/>
        </w:rPr>
        <w:t>mission-critical systems, security for, 2–3</w:t>
      </w:r>
    </w:p>
    <w:p>
      <w:pPr>
        <w:pStyle w:val="ListBullet"/>
      </w:pPr>
      <w:r>
        <w:rPr>
          <w:b w:val="0"/>
          <w:i w:val="0"/>
        </w:rPr>
        <w:t>mistakes, following data breach, 93–100</w:t>
      </w:r>
    </w:p>
    <w:p>
      <w:pPr>
        <w:pStyle w:val="ListBullet"/>
      </w:pPr>
      <w:r>
        <w:rPr>
          <w:b w:val="0"/>
          <w:i w:val="0"/>
        </w:rPr>
        <w:t>mitigation measures, 17–19</w:t>
      </w:r>
    </w:p>
    <w:p>
      <w:pPr>
        <w:pStyle w:val="ListBullet"/>
      </w:pPr>
      <w:r>
        <w:rPr>
          <w:b w:val="0"/>
          <w:i w:val="0"/>
        </w:rPr>
        <w:t>Moore’s Law, 69</w:t>
      </w:r>
    </w:p>
    <w:p>
      <w:pPr>
        <w:pStyle w:val="ListBullet"/>
      </w:pPr>
      <w:r>
        <w:rPr>
          <w:b w:val="0"/>
          <w:i w:val="0"/>
        </w:rPr>
        <w:t>multi-factor authentication, 87</w:t>
      </w:r>
    </w:p>
    <w:p>
      <w:pPr>
        <w:pStyle w:val="ListBullet"/>
      </w:pPr>
      <w:r>
        <w:rPr>
          <w:b w:val="0"/>
          <w:i w:val="0"/>
        </w:rPr>
        <w:t>My Friend Cayla, 132, 134, 136</w:t>
      </w:r>
    </w:p>
    <w:p>
      <w:pPr>
        <w:pStyle w:val="ListBullet"/>
      </w:pPr>
      <w:r>
        <w:rPr>
          <w:b w:val="0"/>
          <w:i w:val="0"/>
        </w:rPr>
        <w:t>Natanz nuclear facility, 132</w:t>
      </w:r>
    </w:p>
    <w:p>
      <w:pPr>
        <w:pStyle w:val="ListBullet"/>
      </w:pPr>
      <w:r>
        <w:rPr>
          <w:b w:val="0"/>
          <w:i w:val="0"/>
        </w:rPr>
        <w:t>National Institute of Standards and Technology (NIST), 8, 50, 87</w:t>
      </w:r>
    </w:p>
    <w:p>
      <w:pPr>
        <w:pStyle w:val="ListBullet"/>
      </w:pPr>
      <w:r>
        <w:rPr>
          <w:b w:val="0"/>
          <w:i w:val="0"/>
        </w:rPr>
        <w:t>national security, 2, 118–119</w:t>
      </w:r>
    </w:p>
    <w:p>
      <w:pPr>
        <w:pStyle w:val="ListBullet"/>
      </w:pPr>
      <w:r>
        <w:rPr>
          <w:b w:val="0"/>
          <w:i w:val="0"/>
        </w:rPr>
        <w:t>National Security Agency, 5</w:t>
      </w:r>
    </w:p>
    <w:p>
      <w:pPr>
        <w:pStyle w:val="ListBullet"/>
      </w:pPr>
      <w:r>
        <w:rPr>
          <w:b w:val="0"/>
          <w:i w:val="0"/>
        </w:rPr>
        <w:t>nation-states, 1, 11, 60, 131–132</w:t>
      </w:r>
    </w:p>
    <w:p>
      <w:pPr>
        <w:pStyle w:val="ListBullet"/>
      </w:pPr>
      <w:r>
        <w:rPr>
          <w:b w:val="0"/>
          <w:i w:val="0"/>
        </w:rPr>
        <w:t>NetBotz, 134</w:t>
      </w:r>
    </w:p>
    <w:p>
      <w:pPr>
        <w:pStyle w:val="ListBullet"/>
      </w:pPr>
      <w:r>
        <w:rPr>
          <w:b w:val="0"/>
          <w:i w:val="0"/>
        </w:rPr>
        <w:t>North American Free Trade Agreement (NAFTA), 136</w:t>
      </w:r>
    </w:p>
    <w:p>
      <w:pPr>
        <w:pStyle w:val="ListBullet"/>
      </w:pPr>
      <w:r>
        <w:rPr>
          <w:b w:val="0"/>
          <w:i w:val="0"/>
        </w:rPr>
        <w:t>North Korea, 5, 20</w:t>
      </w:r>
    </w:p>
    <w:p>
      <w:pPr>
        <w:pStyle w:val="ListBullet"/>
      </w:pPr>
      <w:r>
        <w:rPr>
          <w:b w:val="0"/>
          <w:i w:val="0"/>
        </w:rPr>
        <w:t>NotPetya malware, 2, 4, 5</w:t>
      </w:r>
    </w:p>
    <w:p>
      <w:pPr>
        <w:pStyle w:val="ListBullet"/>
      </w:pPr>
      <w:r>
        <w:rPr>
          <w:b w:val="0"/>
          <w:i w:val="0"/>
        </w:rPr>
        <w:t>oil companies, 2, 11, 14</w:t>
      </w:r>
    </w:p>
    <w:p>
      <w:pPr>
        <w:pStyle w:val="ListBullet"/>
      </w:pPr>
      <w:r>
        <w:rPr>
          <w:b w:val="0"/>
          <w:i w:val="0"/>
        </w:rPr>
        <w:t>Opower, 78–79</w:t>
      </w:r>
    </w:p>
    <w:p>
      <w:pPr>
        <w:pStyle w:val="ListBullet"/>
      </w:pPr>
      <w:r>
        <w:rPr>
          <w:b w:val="0"/>
          <w:i w:val="0"/>
        </w:rPr>
        <w:t>organized crime, 1, 20, 60</w:t>
      </w:r>
    </w:p>
    <w:p>
      <w:pPr>
        <w:pStyle w:val="ListBullet"/>
      </w:pPr>
      <w:r>
        <w:rPr>
          <w:b w:val="0"/>
          <w:i w:val="0"/>
        </w:rPr>
        <w:t>orthogonality thesis, 142</w:t>
      </w:r>
    </w:p>
    <w:p>
      <w:pPr>
        <w:pStyle w:val="ListBullet"/>
      </w:pPr>
      <w:r>
        <w:rPr>
          <w:b w:val="0"/>
          <w:i w:val="0"/>
        </w:rPr>
        <w:t xml:space="preserve">overconfidence, 53–54. </w:t>
      </w:r>
      <w:r>
        <w:rPr>
          <w:b w:val="0"/>
          <w:i/>
        </w:rPr>
        <w:t>See also</w:t>
      </w:r>
      <w:r>
        <w:rPr>
          <w:b w:val="0"/>
          <w:i w:val="0"/>
        </w:rPr>
        <w:t xml:space="preserve"> underinvestment, in cybersecurity</w:t>
      </w:r>
    </w:p>
    <w:p>
      <w:pPr>
        <w:pStyle w:val="ListBullet"/>
      </w:pPr>
      <w:r>
        <w:rPr>
          <w:b w:val="0"/>
          <w:i w:val="0"/>
        </w:rPr>
        <w:t>passive defense, 105</w:t>
      </w:r>
    </w:p>
    <w:p>
      <w:pPr>
        <w:pStyle w:val="ListBullet"/>
      </w:pPr>
      <w:r>
        <w:rPr>
          <w:b w:val="0"/>
          <w:i w:val="0"/>
        </w:rPr>
        <w:t>password policies, 86–87</w:t>
      </w:r>
    </w:p>
    <w:p>
      <w:pPr>
        <w:pStyle w:val="ListBullet"/>
      </w:pPr>
      <w:r>
        <w:rPr>
          <w:b w:val="0"/>
          <w:i w:val="0"/>
        </w:rPr>
        <w:t>passwords, xii, 8</w:t>
      </w:r>
    </w:p>
    <w:p>
      <w:pPr>
        <w:pStyle w:val="ListBullet"/>
      </w:pPr>
      <w:r>
        <w:rPr>
          <w:b w:val="0"/>
          <w:i w:val="0"/>
        </w:rPr>
        <w:t>penetration testing, 55</w:t>
      </w:r>
    </w:p>
    <w:p>
      <w:pPr>
        <w:pStyle w:val="ListBullet"/>
      </w:pPr>
      <w:r>
        <w:rPr>
          <w:b w:val="0"/>
          <w:i w:val="0"/>
        </w:rPr>
        <w:t>Perry, Matt, 23–37</w:t>
      </w:r>
    </w:p>
    <w:p>
      <w:pPr>
        <w:pStyle w:val="ListBullet"/>
      </w:pPr>
      <w:r>
        <w:rPr>
          <w:b w:val="0"/>
          <w:i w:val="0"/>
        </w:rPr>
        <w:t>personal information, 29–30</w:t>
      </w:r>
    </w:p>
    <w:p>
      <w:pPr>
        <w:pStyle w:val="ListBullet"/>
      </w:pPr>
      <w:r>
        <w:rPr>
          <w:b w:val="0"/>
          <w:i w:val="0"/>
        </w:rPr>
        <w:t>Petya malware, 74</w:t>
      </w:r>
    </w:p>
    <w:p>
      <w:pPr>
        <w:pStyle w:val="ListBullet"/>
      </w:pPr>
      <w:r>
        <w:rPr>
          <w:b w:val="0"/>
          <w:i w:val="0"/>
        </w:rPr>
        <w:t>phishing attacks, 80, 86, 88–89</w:t>
      </w:r>
    </w:p>
    <w:p>
      <w:pPr>
        <w:pStyle w:val="ListBullet"/>
      </w:pPr>
      <w:r>
        <w:rPr>
          <w:b w:val="0"/>
          <w:i w:val="0"/>
        </w:rPr>
        <w:t>Phishme, 80</w:t>
      </w:r>
    </w:p>
    <w:p>
      <w:pPr>
        <w:pStyle w:val="ListBullet"/>
      </w:pPr>
      <w:r>
        <w:rPr>
          <w:b w:val="0"/>
          <w:i w:val="0"/>
        </w:rPr>
        <w:t xml:space="preserve">Plan B, 20. </w:t>
      </w:r>
      <w:r>
        <w:rPr>
          <w:b w:val="0"/>
          <w:i/>
        </w:rPr>
        <w:t>See</w:t>
      </w:r>
      <w:r>
        <w:rPr>
          <w:b w:val="0"/>
          <w:i w:val="0"/>
        </w:rPr>
        <w:t xml:space="preserve"> risk management</w:t>
      </w:r>
    </w:p>
    <w:p>
      <w:pPr>
        <w:pStyle w:val="ListBullet"/>
      </w:pPr>
      <w:r>
        <w:rPr>
          <w:b w:val="0"/>
          <w:i w:val="0"/>
        </w:rPr>
        <w:t xml:space="preserve">planning, scenario. </w:t>
      </w:r>
      <w:r>
        <w:rPr>
          <w:b w:val="0"/>
          <w:i/>
        </w:rPr>
        <w:t>See</w:t>
      </w:r>
      <w:r>
        <w:rPr>
          <w:b w:val="0"/>
          <w:i w:val="0"/>
        </w:rPr>
        <w:t xml:space="preserve"> risk management</w:t>
      </w:r>
    </w:p>
    <w:p>
      <w:pPr>
        <w:pStyle w:val="ListBullet"/>
      </w:pPr>
      <w:r>
        <w:rPr>
          <w:b w:val="0"/>
          <w:i w:val="0"/>
        </w:rPr>
        <w:t>PlayStation Network (PSN) breach, 97, 98</w:t>
      </w:r>
    </w:p>
    <w:p>
      <w:pPr>
        <w:pStyle w:val="ListBullet"/>
      </w:pPr>
      <w:r>
        <w:rPr>
          <w:b w:val="0"/>
          <w:i w:val="0"/>
        </w:rPr>
        <w:t>policies, cybersecurity, 86–87</w:t>
      </w:r>
    </w:p>
    <w:p>
      <w:pPr>
        <w:pStyle w:val="ListBullet"/>
      </w:pPr>
      <w:r>
        <w:rPr>
          <w:b w:val="0"/>
          <w:i w:val="0"/>
        </w:rPr>
        <w:t>Ponemon Institute, 7, 26</w:t>
      </w:r>
    </w:p>
    <w:p>
      <w:pPr>
        <w:pStyle w:val="ListBullet"/>
      </w:pPr>
      <w:r>
        <w:rPr>
          <w:b w:val="0"/>
          <w:i w:val="0"/>
        </w:rPr>
        <w:t xml:space="preserve">present bias, 78. </w:t>
      </w:r>
      <w:r>
        <w:rPr>
          <w:b w:val="0"/>
          <w:i/>
        </w:rPr>
        <w:t>See also</w:t>
      </w:r>
      <w:r>
        <w:rPr>
          <w:b w:val="0"/>
          <w:i w:val="0"/>
        </w:rPr>
        <w:t xml:space="preserve"> employees, bad habits of</w:t>
      </w:r>
    </w:p>
    <w:p>
      <w:pPr>
        <w:pStyle w:val="ListBullet"/>
      </w:pPr>
      <w:r>
        <w:rPr>
          <w:b w:val="0"/>
          <w:i w:val="0"/>
        </w:rPr>
        <w:t>privacy</w:t>
      </w:r>
    </w:p>
    <w:p>
      <w:pPr>
        <w:pStyle w:val="ListBullet"/>
      </w:pPr>
      <w:r>
        <w:rPr>
          <w:b w:val="0"/>
          <w:i w:val="0"/>
        </w:rPr>
        <w:t>cybersecurity and, 125–130</w:t>
      </w:r>
    </w:p>
    <w:p>
      <w:pPr>
        <w:pStyle w:val="ListBullet"/>
      </w:pPr>
      <w:r>
        <w:rPr>
          <w:b w:val="0"/>
          <w:i w:val="0"/>
        </w:rPr>
        <w:t>regulations, 122</w:t>
      </w:r>
    </w:p>
    <w:p>
      <w:pPr>
        <w:pStyle w:val="ListBullet"/>
      </w:pPr>
      <w:r>
        <w:rPr>
          <w:b w:val="0"/>
          <w:i w:val="0"/>
        </w:rPr>
        <w:t>rights, 120, 128–129</w:t>
      </w:r>
    </w:p>
    <w:p>
      <w:pPr>
        <w:pStyle w:val="ListBullet"/>
      </w:pPr>
      <w:r>
        <w:rPr>
          <w:b w:val="0"/>
          <w:i w:val="0"/>
        </w:rPr>
        <w:t>protection measures, 17–19</w:t>
      </w:r>
    </w:p>
    <w:p>
      <w:pPr>
        <w:pStyle w:val="ListBullet"/>
      </w:pPr>
      <w:r>
        <w:rPr>
          <w:b w:val="0"/>
          <w:i w:val="0"/>
        </w:rPr>
        <w:t>psychology, 50, 75–76</w:t>
      </w:r>
    </w:p>
    <w:p>
      <w:pPr>
        <w:pStyle w:val="ListBullet"/>
      </w:pPr>
      <w:r>
        <w:rPr>
          <w:b w:val="0"/>
          <w:i w:val="0"/>
        </w:rPr>
        <w:t>public sector</w:t>
      </w:r>
    </w:p>
    <w:p>
      <w:pPr>
        <w:pStyle w:val="ListBullet"/>
      </w:pPr>
      <w:r>
        <w:rPr>
          <w:b w:val="0"/>
          <w:i w:val="0"/>
        </w:rPr>
        <w:t>attacks on, 28</w:t>
      </w:r>
    </w:p>
    <w:p>
      <w:pPr>
        <w:pStyle w:val="ListBullet"/>
      </w:pPr>
      <w:r>
        <w:rPr>
          <w:b w:val="0"/>
          <w:i w:val="0"/>
        </w:rPr>
        <w:t>cost of cybercrime for, 35</w:t>
      </w:r>
    </w:p>
    <w:p>
      <w:pPr>
        <w:pStyle w:val="ListBullet"/>
      </w:pPr>
      <w:r>
        <w:rPr>
          <w:b w:val="0"/>
          <w:i w:val="0"/>
        </w:rPr>
        <w:t>ransomware, 27, 60, 110–111</w:t>
      </w:r>
    </w:p>
    <w:p>
      <w:pPr>
        <w:pStyle w:val="ListBullet"/>
      </w:pPr>
      <w:r>
        <w:rPr>
          <w:b w:val="0"/>
          <w:i w:val="0"/>
        </w:rPr>
        <w:t>regulations, xiv–xv, 61, 71, 95, 122</w:t>
      </w:r>
    </w:p>
    <w:p>
      <w:pPr>
        <w:pStyle w:val="ListBullet"/>
      </w:pPr>
      <w:r>
        <w:rPr>
          <w:b w:val="0"/>
          <w:i w:val="0"/>
        </w:rPr>
        <w:t>return, on cybersecurity investment, 49–50</w:t>
      </w:r>
    </w:p>
    <w:p>
      <w:pPr>
        <w:pStyle w:val="ListBullet"/>
      </w:pPr>
      <w:r>
        <w:rPr>
          <w:b w:val="0"/>
          <w:i w:val="0"/>
        </w:rPr>
        <w:t>risk agility, 69–70</w:t>
      </w:r>
    </w:p>
    <w:p>
      <w:pPr>
        <w:pStyle w:val="ListBullet"/>
      </w:pPr>
      <w:r>
        <w:rPr>
          <w:b w:val="0"/>
          <w:i w:val="0"/>
        </w:rPr>
        <w:t>risk management, xii, 51, 69</w:t>
      </w:r>
    </w:p>
    <w:p>
      <w:pPr>
        <w:pStyle w:val="ListBullet"/>
      </w:pPr>
      <w:r>
        <w:rPr>
          <w:b w:val="0"/>
          <w:i w:val="0"/>
        </w:rPr>
        <w:t>CEE methodology for, 12–19</w:t>
      </w:r>
    </w:p>
    <w:p>
      <w:pPr>
        <w:pStyle w:val="ListBullet"/>
      </w:pPr>
      <w:r>
        <w:rPr>
          <w:b w:val="0"/>
          <w:i w:val="0"/>
        </w:rPr>
        <w:t>risk metrics, 59–66</w:t>
      </w:r>
    </w:p>
    <w:p>
      <w:pPr>
        <w:pStyle w:val="ListBullet"/>
      </w:pPr>
      <w:r>
        <w:rPr>
          <w:b w:val="0"/>
          <w:i w:val="0"/>
        </w:rPr>
        <w:t xml:space="preserve">ROI. </w:t>
      </w:r>
      <w:r>
        <w:rPr>
          <w:b w:val="0"/>
          <w:i/>
        </w:rPr>
        <w:t>See</w:t>
      </w:r>
      <w:r>
        <w:rPr>
          <w:b w:val="0"/>
          <w:i w:val="0"/>
        </w:rPr>
        <w:t xml:space="preserve"> return, on cybersecurity investment</w:t>
      </w:r>
    </w:p>
    <w:p>
      <w:pPr>
        <w:pStyle w:val="ListBullet"/>
      </w:pPr>
      <w:r>
        <w:rPr>
          <w:b w:val="0"/>
          <w:i w:val="0"/>
        </w:rPr>
        <w:t>Russia, 5, 20, 132, 135, 137</w:t>
      </w:r>
    </w:p>
    <w:p>
      <w:pPr>
        <w:pStyle w:val="ListBullet"/>
      </w:pPr>
      <w:r>
        <w:rPr>
          <w:b w:val="0"/>
          <w:i w:val="0"/>
        </w:rPr>
        <w:t>SANS Institute, 8, 11</w:t>
      </w:r>
    </w:p>
    <w:p>
      <w:pPr>
        <w:pStyle w:val="ListBullet"/>
      </w:pPr>
      <w:r>
        <w:rPr>
          <w:b w:val="0"/>
          <w:i w:val="0"/>
        </w:rPr>
        <w:t>Saudi Aramco, 11</w:t>
      </w:r>
    </w:p>
    <w:p>
      <w:pPr>
        <w:pStyle w:val="ListBullet"/>
      </w:pPr>
      <w:r>
        <w:rPr>
          <w:b w:val="0"/>
          <w:i w:val="0"/>
        </w:rPr>
        <w:t xml:space="preserve">scenario planning. </w:t>
      </w:r>
      <w:r>
        <w:rPr>
          <w:b w:val="0"/>
          <w:i/>
        </w:rPr>
        <w:t>See</w:t>
      </w:r>
      <w:r>
        <w:rPr>
          <w:b w:val="0"/>
          <w:i w:val="0"/>
        </w:rPr>
        <w:t xml:space="preserve"> risk management</w:t>
      </w:r>
    </w:p>
    <w:p>
      <w:pPr>
        <w:pStyle w:val="ListBullet"/>
      </w:pPr>
      <w:r>
        <w:rPr>
          <w:b w:val="0"/>
          <w:i w:val="0"/>
        </w:rPr>
        <w:t>Securities and Exchange Commission (SEC), 94</w:t>
      </w:r>
    </w:p>
    <w:p>
      <w:pPr>
        <w:pStyle w:val="ListBullet"/>
      </w:pPr>
      <w:r>
        <w:rPr>
          <w:b w:val="0"/>
          <w:i w:val="0"/>
        </w:rPr>
        <w:t>security patches, 8–10, 75–78</w:t>
      </w:r>
    </w:p>
    <w:p>
      <w:pPr>
        <w:pStyle w:val="ListBullet"/>
      </w:pPr>
      <w:r>
        <w:rPr>
          <w:b w:val="0"/>
          <w:i w:val="0"/>
        </w:rPr>
        <w:t>security policies, 86–87</w:t>
      </w:r>
    </w:p>
    <w:p>
      <w:pPr>
        <w:pStyle w:val="ListBullet"/>
      </w:pPr>
      <w:r>
        <w:rPr>
          <w:b w:val="0"/>
          <w:i w:val="0"/>
        </w:rPr>
        <w:t>security technology, 68, 71, 74, 75</w:t>
      </w:r>
    </w:p>
    <w:p>
      <w:pPr>
        <w:pStyle w:val="ListBullet"/>
      </w:pPr>
      <w:r>
        <w:rPr>
          <w:b w:val="0"/>
          <w:i w:val="0"/>
        </w:rPr>
        <w:t>security trends, 23–37</w:t>
      </w:r>
    </w:p>
    <w:p>
      <w:pPr>
        <w:pStyle w:val="ListBullet"/>
      </w:pPr>
      <w:r>
        <w:rPr>
          <w:b w:val="0"/>
          <w:i w:val="0"/>
        </w:rPr>
        <w:t xml:space="preserve">senior executives. </w:t>
      </w:r>
      <w:r>
        <w:rPr>
          <w:b w:val="0"/>
          <w:i/>
        </w:rPr>
        <w:t>See</w:t>
      </w:r>
      <w:r>
        <w:rPr>
          <w:b w:val="0"/>
          <w:i w:val="0"/>
        </w:rPr>
        <w:t xml:space="preserve"> C-suite</w:t>
      </w:r>
    </w:p>
    <w:p>
      <w:pPr>
        <w:pStyle w:val="ListBullet"/>
      </w:pPr>
      <w:r>
        <w:rPr>
          <w:b w:val="0"/>
          <w:i w:val="0"/>
        </w:rPr>
        <w:t xml:space="preserve">sense something, do something, 70. </w:t>
      </w:r>
      <w:r>
        <w:rPr>
          <w:b w:val="0"/>
          <w:i/>
        </w:rPr>
        <w:t>See also</w:t>
      </w:r>
      <w:r>
        <w:rPr>
          <w:b w:val="0"/>
          <w:i w:val="0"/>
        </w:rPr>
        <w:t xml:space="preserve"> employees, training</w:t>
      </w:r>
    </w:p>
    <w:p>
      <w:pPr>
        <w:pStyle w:val="ListBullet"/>
      </w:pPr>
      <w:r>
        <w:rPr>
          <w:b w:val="0"/>
          <w:i w:val="0"/>
        </w:rPr>
        <w:t>Shamoon virus attack, 11</w:t>
      </w:r>
    </w:p>
    <w:p>
      <w:pPr>
        <w:pStyle w:val="ListBullet"/>
      </w:pPr>
      <w:r>
        <w:rPr>
          <w:b w:val="0"/>
          <w:i w:val="0"/>
        </w:rPr>
        <w:t>social proof, 78–79</w:t>
      </w:r>
    </w:p>
    <w:p>
      <w:pPr>
        <w:pStyle w:val="ListBullet"/>
      </w:pPr>
      <w:r>
        <w:rPr>
          <w:b w:val="0"/>
          <w:i w:val="0"/>
        </w:rPr>
        <w:t>software</w:t>
      </w:r>
    </w:p>
    <w:p>
      <w:pPr>
        <w:pStyle w:val="ListBullet"/>
      </w:pPr>
      <w:r>
        <w:rPr>
          <w:b w:val="0"/>
          <w:i w:val="0"/>
        </w:rPr>
        <w:t>inventory of, 8, 9</w:t>
      </w:r>
    </w:p>
    <w:p>
      <w:pPr>
        <w:pStyle w:val="ListBullet"/>
      </w:pPr>
      <w:r>
        <w:rPr>
          <w:b w:val="0"/>
          <w:i w:val="0"/>
        </w:rPr>
        <w:t>mapping, 15–16</w:t>
      </w:r>
    </w:p>
    <w:p>
      <w:pPr>
        <w:pStyle w:val="ListBullet"/>
      </w:pPr>
      <w:r>
        <w:rPr>
          <w:b w:val="0"/>
          <w:i w:val="0"/>
        </w:rPr>
        <w:t>trust and, 117–124</w:t>
      </w:r>
    </w:p>
    <w:p>
      <w:pPr>
        <w:pStyle w:val="ListBullet"/>
      </w:pPr>
      <w:r>
        <w:rPr>
          <w:b w:val="0"/>
          <w:i w:val="0"/>
        </w:rPr>
        <w:t>updating, 8–10, 75–78</w:t>
      </w:r>
    </w:p>
    <w:p>
      <w:pPr>
        <w:pStyle w:val="ListBullet"/>
      </w:pPr>
      <w:r>
        <w:rPr>
          <w:b w:val="0"/>
          <w:i w:val="0"/>
        </w:rPr>
        <w:t>vulnerabilities of, 117–118</w:t>
      </w:r>
    </w:p>
    <w:p>
      <w:pPr>
        <w:pStyle w:val="ListBullet"/>
      </w:pPr>
      <w:r>
        <w:rPr>
          <w:b w:val="0"/>
          <w:i w:val="0"/>
        </w:rPr>
        <w:t>Sony, 97, 98</w:t>
      </w:r>
    </w:p>
    <w:p>
      <w:pPr>
        <w:pStyle w:val="ListBullet"/>
      </w:pPr>
      <w:r>
        <w:rPr>
          <w:b w:val="0"/>
          <w:i w:val="0"/>
        </w:rPr>
        <w:t>Sony Pictures, 60</w:t>
      </w:r>
    </w:p>
    <w:p>
      <w:pPr>
        <w:pStyle w:val="ListBullet"/>
      </w:pPr>
      <w:r>
        <w:rPr>
          <w:b w:val="0"/>
          <w:i w:val="0"/>
        </w:rPr>
        <w:t xml:space="preserve">staff, cybersecurity, 8. </w:t>
      </w:r>
      <w:r>
        <w:rPr>
          <w:b w:val="0"/>
          <w:i/>
        </w:rPr>
        <w:t>See also</w:t>
      </w:r>
      <w:r>
        <w:rPr>
          <w:b w:val="0"/>
          <w:i w:val="0"/>
        </w:rPr>
        <w:t xml:space="preserve"> employees</w:t>
      </w:r>
    </w:p>
    <w:p>
      <w:pPr>
        <w:pStyle w:val="ListBullet"/>
      </w:pPr>
      <w:r>
        <w:rPr>
          <w:b w:val="0"/>
          <w:i w:val="0"/>
        </w:rPr>
        <w:t>Strawser, Bradley J., 104, 112</w:t>
      </w:r>
    </w:p>
    <w:p>
      <w:pPr>
        <w:pStyle w:val="ListBullet"/>
      </w:pPr>
      <w:r>
        <w:rPr>
          <w:b w:val="0"/>
          <w:i w:val="0"/>
        </w:rPr>
        <w:t>Stuxnet attack, 132</w:t>
      </w:r>
    </w:p>
    <w:p>
      <w:pPr>
        <w:pStyle w:val="ListBullet"/>
      </w:pPr>
      <w:r>
        <w:rPr>
          <w:b w:val="0"/>
          <w:i w:val="0"/>
        </w:rPr>
        <w:t>success metrics, 53</w:t>
      </w:r>
    </w:p>
    <w:p>
      <w:pPr>
        <w:pStyle w:val="ListBullet"/>
      </w:pPr>
      <w:r>
        <w:rPr>
          <w:b w:val="0"/>
          <w:i w:val="0"/>
        </w:rPr>
        <w:t>superintelligent AI (SAI) systems, 143–144</w:t>
      </w:r>
    </w:p>
    <w:p>
      <w:pPr>
        <w:pStyle w:val="ListBullet"/>
      </w:pPr>
      <w:r>
        <w:rPr>
          <w:b w:val="0"/>
          <w:i w:val="0"/>
        </w:rPr>
        <w:t>SWIFT banking hack, 70</w:t>
      </w:r>
    </w:p>
    <w:p>
      <w:pPr>
        <w:pStyle w:val="ListBullet"/>
      </w:pPr>
      <w:r>
        <w:rPr>
          <w:b w:val="0"/>
          <w:i w:val="0"/>
        </w:rPr>
        <w:t>Target breach, 70, 73–74, 94</w:t>
      </w:r>
    </w:p>
    <w:p>
      <w:pPr>
        <w:pStyle w:val="ListBullet"/>
      </w:pPr>
      <w:r>
        <w:rPr>
          <w:b w:val="0"/>
          <w:i w:val="0"/>
        </w:rPr>
        <w:t>targets</w:t>
      </w:r>
    </w:p>
    <w:p>
      <w:pPr>
        <w:pStyle w:val="ListBullet"/>
      </w:pPr>
      <w:r>
        <w:rPr>
          <w:b w:val="0"/>
          <w:i w:val="0"/>
        </w:rPr>
        <w:t>commonly compromised, 29–30, 32</w:t>
      </w:r>
    </w:p>
    <w:p>
      <w:pPr>
        <w:pStyle w:val="ListBullet"/>
      </w:pPr>
      <w:r>
        <w:rPr>
          <w:b w:val="0"/>
          <w:i w:val="0"/>
        </w:rPr>
        <w:t>identification of, 14–15</w:t>
      </w:r>
    </w:p>
    <w:p>
      <w:pPr>
        <w:pStyle w:val="ListBullet"/>
      </w:pPr>
      <w:r>
        <w:rPr>
          <w:b w:val="0"/>
          <w:i w:val="0"/>
        </w:rPr>
        <w:t>likely attack paths for, 16–17</w:t>
      </w:r>
    </w:p>
    <w:p>
      <w:pPr>
        <w:pStyle w:val="ListBullet"/>
      </w:pPr>
      <w:r>
        <w:rPr>
          <w:b w:val="0"/>
          <w:i w:val="0"/>
        </w:rPr>
        <w:t>multiple, 31</w:t>
      </w:r>
    </w:p>
    <w:p>
      <w:pPr>
        <w:pStyle w:val="ListBullet"/>
      </w:pPr>
      <w:r>
        <w:rPr>
          <w:b w:val="0"/>
          <w:i w:val="0"/>
        </w:rPr>
        <w:t>vulnerability of, 28</w:t>
      </w:r>
    </w:p>
    <w:p>
      <w:pPr>
        <w:pStyle w:val="ListBullet"/>
      </w:pPr>
      <w:r>
        <w:rPr>
          <w:b w:val="0"/>
          <w:i w:val="0"/>
        </w:rPr>
        <w:t xml:space="preserve">teachable moments, 88–89. </w:t>
      </w:r>
      <w:r>
        <w:rPr>
          <w:b w:val="0"/>
          <w:i/>
        </w:rPr>
        <w:t>See also</w:t>
      </w:r>
      <w:r>
        <w:rPr>
          <w:b w:val="0"/>
          <w:i w:val="0"/>
        </w:rPr>
        <w:t xml:space="preserve"> employees, training</w:t>
      </w:r>
    </w:p>
    <w:p>
      <w:pPr>
        <w:pStyle w:val="ListBullet"/>
      </w:pPr>
      <w:r>
        <w:rPr>
          <w:b w:val="0"/>
          <w:i w:val="0"/>
        </w:rPr>
        <w:t>technological innovations, xi–xii, 75</w:t>
      </w:r>
    </w:p>
    <w:p>
      <w:pPr>
        <w:pStyle w:val="ListBullet"/>
      </w:pPr>
      <w:r>
        <w:rPr>
          <w:b w:val="0"/>
          <w:i w:val="0"/>
        </w:rPr>
        <w:t>technology, 68, 71, 74, 75</w:t>
      </w:r>
    </w:p>
    <w:p>
      <w:pPr>
        <w:pStyle w:val="ListBullet"/>
      </w:pPr>
      <w:r>
        <w:rPr>
          <w:b w:val="0"/>
          <w:i w:val="0"/>
        </w:rPr>
        <w:t>Telegram, 136</w:t>
      </w:r>
    </w:p>
    <w:p>
      <w:pPr>
        <w:pStyle w:val="ListBullet"/>
      </w:pPr>
      <w:r>
        <w:rPr>
          <w:b w:val="0"/>
          <w:i w:val="0"/>
        </w:rPr>
        <w:t>terrorist groups, 1, 20</w:t>
      </w:r>
    </w:p>
    <w:p>
      <w:pPr>
        <w:pStyle w:val="ListBullet"/>
      </w:pPr>
      <w:r>
        <w:rPr>
          <w:b w:val="0"/>
          <w:i w:val="0"/>
        </w:rPr>
        <w:t>threats, xii, xv, 1–22</w:t>
      </w:r>
    </w:p>
    <w:p>
      <w:pPr>
        <w:pStyle w:val="ListBullet"/>
      </w:pPr>
      <w:r>
        <w:rPr>
          <w:b w:val="0"/>
          <w:i w:val="0"/>
        </w:rPr>
        <w:t>current, 3–5</w:t>
      </w:r>
    </w:p>
    <w:p>
      <w:pPr>
        <w:pStyle w:val="ListBullet"/>
      </w:pPr>
      <w:r>
        <w:rPr>
          <w:b w:val="0"/>
          <w:i w:val="0"/>
        </w:rPr>
        <w:t>danger of, 46–47</w:t>
      </w:r>
    </w:p>
    <w:p>
      <w:pPr>
        <w:pStyle w:val="ListBullet"/>
      </w:pPr>
      <w:r>
        <w:rPr>
          <w:b w:val="0"/>
          <w:i w:val="0"/>
        </w:rPr>
        <w:t>external, 28, 46, 55</w:t>
      </w:r>
    </w:p>
    <w:p>
      <w:pPr>
        <w:pStyle w:val="ListBullet"/>
      </w:pPr>
      <w:r>
        <w:rPr>
          <w:b w:val="0"/>
          <w:i w:val="0"/>
        </w:rPr>
        <w:t>human, 68, 74–76</w:t>
      </w:r>
    </w:p>
    <w:p>
      <w:pPr>
        <w:pStyle w:val="ListBullet"/>
      </w:pPr>
      <w:r>
        <w:rPr>
          <w:b w:val="0"/>
          <w:i w:val="0"/>
        </w:rPr>
        <w:t>increase in, 5–7, 60, 69</w:t>
      </w:r>
    </w:p>
    <w:p>
      <w:pPr>
        <w:pStyle w:val="ListBullet"/>
      </w:pPr>
      <w:r>
        <w:rPr>
          <w:b w:val="0"/>
          <w:i w:val="0"/>
        </w:rPr>
        <w:t>internal, 27, 55, 70–71</w:t>
      </w:r>
    </w:p>
    <w:p>
      <w:pPr>
        <w:pStyle w:val="ListBullet"/>
      </w:pPr>
      <w:r>
        <w:rPr>
          <w:b w:val="0"/>
          <w:i w:val="0"/>
        </w:rPr>
        <w:t>sources of, 68</w:t>
      </w:r>
    </w:p>
    <w:p>
      <w:pPr>
        <w:pStyle w:val="ListBullet"/>
      </w:pPr>
      <w:r>
        <w:rPr>
          <w:b w:val="0"/>
          <w:i w:val="0"/>
        </w:rPr>
        <w:t>understanding, 61–62</w:t>
      </w:r>
    </w:p>
    <w:p>
      <w:pPr>
        <w:pStyle w:val="ListBullet"/>
      </w:pPr>
      <w:r>
        <w:rPr>
          <w:b w:val="0"/>
          <w:i w:val="0"/>
        </w:rPr>
        <w:t xml:space="preserve">top executives. </w:t>
      </w:r>
      <w:r>
        <w:rPr>
          <w:b w:val="0"/>
          <w:i/>
        </w:rPr>
        <w:t>See</w:t>
      </w:r>
      <w:r>
        <w:rPr>
          <w:b w:val="0"/>
          <w:i w:val="0"/>
        </w:rPr>
        <w:t xml:space="preserve"> C-suite</w:t>
      </w:r>
    </w:p>
    <w:p>
      <w:pPr>
        <w:pStyle w:val="ListBullet"/>
      </w:pPr>
      <w:r>
        <w:rPr>
          <w:b w:val="0"/>
          <w:i w:val="0"/>
        </w:rPr>
        <w:t>trade policy, 131–139</w:t>
      </w:r>
    </w:p>
    <w:p>
      <w:pPr>
        <w:pStyle w:val="ListBullet"/>
      </w:pPr>
      <w:r>
        <w:rPr>
          <w:b w:val="0"/>
          <w:i w:val="0"/>
        </w:rPr>
        <w:t>training, 67–72, 79–80, 88–89</w:t>
      </w:r>
    </w:p>
    <w:p>
      <w:pPr>
        <w:pStyle w:val="ListBullet"/>
      </w:pPr>
      <w:r>
        <w:rPr>
          <w:b w:val="0"/>
          <w:i w:val="0"/>
        </w:rPr>
        <w:t>transparency, 60, 96–97</w:t>
      </w:r>
    </w:p>
    <w:p>
      <w:pPr>
        <w:pStyle w:val="ListBullet"/>
      </w:pPr>
      <w:r>
        <w:rPr>
          <w:b w:val="0"/>
          <w:i w:val="0"/>
        </w:rPr>
        <w:t>trends, in cybersecurity, 23–37</w:t>
      </w:r>
    </w:p>
    <w:p>
      <w:pPr>
        <w:pStyle w:val="ListBullet"/>
      </w:pPr>
      <w:r>
        <w:rPr>
          <w:b w:val="0"/>
          <w:i w:val="0"/>
        </w:rPr>
        <w:t>tripwires, 17, 68</w:t>
      </w:r>
    </w:p>
    <w:p>
      <w:pPr>
        <w:pStyle w:val="ListBullet"/>
      </w:pPr>
      <w:r>
        <w:rPr>
          <w:b w:val="0"/>
          <w:i w:val="0"/>
        </w:rPr>
        <w:t>trust, 117–124</w:t>
      </w:r>
    </w:p>
    <w:p>
      <w:pPr>
        <w:pStyle w:val="ListBullet"/>
      </w:pPr>
      <w:r>
        <w:rPr>
          <w:b w:val="0"/>
          <w:i w:val="0"/>
        </w:rPr>
        <w:t>Ukraine, 5</w:t>
      </w:r>
    </w:p>
    <w:p>
      <w:pPr>
        <w:pStyle w:val="ListBullet"/>
      </w:pPr>
      <w:r>
        <w:rPr>
          <w:b w:val="0"/>
          <w:i w:val="0"/>
        </w:rPr>
        <w:t xml:space="preserve">underinvestment, in cybersecurity, 49–57. </w:t>
      </w:r>
      <w:r>
        <w:rPr>
          <w:b w:val="0"/>
          <w:i/>
        </w:rPr>
        <w:t>See also</w:t>
      </w:r>
      <w:r>
        <w:rPr>
          <w:b w:val="0"/>
          <w:i w:val="0"/>
        </w:rPr>
        <w:t xml:space="preserve"> investment, in cybersecurity</w:t>
      </w:r>
    </w:p>
    <w:p>
      <w:pPr>
        <w:pStyle w:val="ListBullet"/>
      </w:pPr>
      <w:r>
        <w:rPr>
          <w:b w:val="0"/>
          <w:i w:val="0"/>
        </w:rPr>
        <w:t>understanding, cybersecurity, xii–xv</w:t>
      </w:r>
    </w:p>
    <w:p>
      <w:pPr>
        <w:pStyle w:val="ListBullet"/>
      </w:pPr>
      <w:r>
        <w:rPr>
          <w:b w:val="0"/>
          <w:i w:val="0"/>
        </w:rPr>
        <w:t>unintended inferences, 126–128</w:t>
      </w:r>
    </w:p>
    <w:p>
      <w:pPr>
        <w:pStyle w:val="ListBullet"/>
      </w:pPr>
      <w:r>
        <w:rPr>
          <w:b w:val="0"/>
          <w:i w:val="0"/>
        </w:rPr>
        <w:t>United Kingdom, 137–138</w:t>
      </w:r>
    </w:p>
    <w:p>
      <w:pPr>
        <w:pStyle w:val="ListBullet"/>
      </w:pPr>
      <w:r>
        <w:rPr>
          <w:b w:val="0"/>
          <w:i w:val="0"/>
        </w:rPr>
        <w:t>United States</w:t>
      </w:r>
    </w:p>
    <w:p>
      <w:pPr>
        <w:pStyle w:val="ListBullet"/>
      </w:pPr>
      <w:r>
        <w:rPr>
          <w:b w:val="0"/>
          <w:i w:val="0"/>
        </w:rPr>
        <w:t>cost of cybercrime in, 33</w:t>
      </w:r>
    </w:p>
    <w:p>
      <w:pPr>
        <w:pStyle w:val="ListBullet"/>
      </w:pPr>
      <w:r>
        <w:rPr>
          <w:b w:val="0"/>
          <w:i w:val="0"/>
        </w:rPr>
        <w:t>trade policy and, 132, 134–135</w:t>
      </w:r>
    </w:p>
    <w:p>
      <w:pPr>
        <w:pStyle w:val="ListBullet"/>
      </w:pPr>
      <w:r>
        <w:rPr>
          <w:b w:val="0"/>
          <w:i w:val="0"/>
        </w:rPr>
        <w:t>U.S. economy, 1, 2</w:t>
      </w:r>
    </w:p>
    <w:p>
      <w:pPr>
        <w:pStyle w:val="ListBullet"/>
      </w:pPr>
      <w:r>
        <w:rPr>
          <w:b w:val="0"/>
          <w:i w:val="0"/>
        </w:rPr>
        <w:t xml:space="preserve">user behavior, 73–83. </w:t>
      </w:r>
      <w:r>
        <w:rPr>
          <w:b w:val="0"/>
          <w:i/>
        </w:rPr>
        <w:t>See also</w:t>
      </w:r>
      <w:r>
        <w:rPr>
          <w:b w:val="0"/>
          <w:i w:val="0"/>
        </w:rPr>
        <w:t xml:space="preserve"> employees, training</w:t>
      </w:r>
    </w:p>
    <w:p>
      <w:pPr>
        <w:pStyle w:val="ListBullet"/>
      </w:pPr>
      <w:r>
        <w:rPr>
          <w:b w:val="0"/>
          <w:i w:val="0"/>
        </w:rPr>
        <w:t>user data, 29–30</w:t>
      </w:r>
    </w:p>
    <w:p>
      <w:pPr>
        <w:pStyle w:val="ListBullet"/>
      </w:pPr>
      <w:r>
        <w:rPr>
          <w:b w:val="0"/>
          <w:i w:val="0"/>
        </w:rPr>
        <w:t>utility companies, 2</w:t>
      </w:r>
    </w:p>
    <w:p>
      <w:pPr>
        <w:pStyle w:val="ListBullet"/>
      </w:pPr>
      <w:r>
        <w:rPr>
          <w:b w:val="0"/>
          <w:i w:val="0"/>
        </w:rPr>
        <w:t>best practices and, 9–10</w:t>
      </w:r>
    </w:p>
    <w:p>
      <w:pPr>
        <w:pStyle w:val="ListBullet"/>
      </w:pPr>
      <w:r>
        <w:rPr>
          <w:b w:val="0"/>
          <w:i w:val="0"/>
        </w:rPr>
        <w:t>cost of cybercrime for, 35</w:t>
      </w:r>
    </w:p>
    <w:p>
      <w:pPr>
        <w:pStyle w:val="ListBullet"/>
      </w:pPr>
      <w:r>
        <w:rPr>
          <w:b w:val="0"/>
          <w:i w:val="0"/>
        </w:rPr>
        <w:t>Van Horenbeeck, Maarten, 85–92</w:t>
      </w:r>
    </w:p>
    <w:p>
      <w:pPr>
        <w:pStyle w:val="ListBullet"/>
      </w:pPr>
      <w:r>
        <w:rPr>
          <w:b w:val="0"/>
          <w:i w:val="0"/>
        </w:rPr>
        <w:t>Verizon, 25, 68, 86</w:t>
      </w:r>
    </w:p>
    <w:p>
      <w:pPr>
        <w:pStyle w:val="ListBullet"/>
      </w:pPr>
      <w:r>
        <w:rPr>
          <w:b w:val="0"/>
          <w:i w:val="0"/>
        </w:rPr>
        <w:t>vulnerabilities</w:t>
      </w:r>
    </w:p>
    <w:p>
      <w:pPr>
        <w:pStyle w:val="ListBullet"/>
      </w:pPr>
      <w:r>
        <w:rPr>
          <w:b w:val="0"/>
          <w:i w:val="0"/>
        </w:rPr>
        <w:t>assessment of, 62</w:t>
      </w:r>
    </w:p>
    <w:p>
      <w:pPr>
        <w:pStyle w:val="ListBullet"/>
      </w:pPr>
      <w:r>
        <w:rPr>
          <w:b w:val="0"/>
          <w:i w:val="0"/>
        </w:rPr>
        <w:t>of digital technologies, 5–7</w:t>
      </w:r>
    </w:p>
    <w:p>
      <w:pPr>
        <w:pStyle w:val="ListBullet"/>
      </w:pPr>
      <w:r>
        <w:rPr>
          <w:b w:val="0"/>
          <w:i w:val="0"/>
        </w:rPr>
        <w:t>software, 117–118</w:t>
      </w:r>
    </w:p>
    <w:p>
      <w:pPr>
        <w:pStyle w:val="ListBullet"/>
      </w:pPr>
      <w:r>
        <w:rPr>
          <w:b w:val="0"/>
          <w:i w:val="0"/>
        </w:rPr>
        <w:t>WannaCry malware, 2, 4–5, 74</w:t>
      </w:r>
    </w:p>
    <w:p>
      <w:pPr>
        <w:pStyle w:val="ListBullet"/>
      </w:pPr>
      <w:r>
        <w:rPr>
          <w:b w:val="0"/>
          <w:i w:val="0"/>
        </w:rPr>
        <w:t>Whole Foods breach, 95</w:t>
      </w:r>
    </w:p>
    <w:p>
      <w:pPr>
        <w:pStyle w:val="ListBullet"/>
      </w:pPr>
      <w:r>
        <w:rPr>
          <w:b w:val="0"/>
          <w:i w:val="0"/>
        </w:rPr>
        <w:t>Yahoo breach, 68, 95, 96, 128</w:t>
      </w:r>
    </w:p>
    <w:p>
      <w:pPr>
        <w:pStyle w:val="ListBullet"/>
      </w:pPr>
      <w:r>
        <w:rPr>
          <w:b w:val="0"/>
          <w:i w:val="0"/>
        </w:rPr>
        <w:t>Yampolskiy, Roman V., 141–145</w:t>
      </w:r>
    </w:p>
    <w:p>
      <w:pPr>
        <w:jc w:val="center"/>
      </w:pPr>
      <w:r>
        <w:drawing>
          <wp:inline xmlns:a="http://schemas.openxmlformats.org/drawingml/2006/main" xmlns:pic="http://schemas.openxmlformats.org/drawingml/2006/picture">
            <wp:extent cx="5753100" cy="8890000"/>
            <wp:docPr id="57" name="Picture 57"/>
            <wp:cNvGraphicFramePr>
              <a:graphicFrameLocks noChangeAspect="1"/>
            </wp:cNvGraphicFramePr>
            <a:graphic>
              <a:graphicData uri="http://schemas.openxmlformats.org/drawingml/2006/picture">
                <pic:pic>
                  <pic:nvPicPr>
                    <pic:cNvPr id="0" name="epub_img_6275797335303709484.jpg"/>
                    <pic:cNvPicPr/>
                  </pic:nvPicPr>
                  <pic:blipFill>
                    <a:blip r:embed="rId25"/>
                    <a:stretch>
                      <a:fillRect/>
                    </a:stretch>
                  </pic:blipFill>
                  <pic:spPr>
                    <a:xfrm>
                      <a:off x="0" y="0"/>
                      <a:ext cx="5753100" cy="8890000"/>
                    </a:xfrm>
                    <a:prstGeom prst="rect"/>
                  </pic:spPr>
                </pic:pic>
              </a:graphicData>
            </a:graphic>
          </wp:inline>
        </w:drawing>
      </w:r>
    </w:p>
    <w:p>
      <w:pPr>
        <w:jc w:val="center"/>
      </w:pPr>
      <w:r>
        <w:drawing>
          <wp:inline xmlns:a="http://schemas.openxmlformats.org/drawingml/2006/main" xmlns:pic="http://schemas.openxmlformats.org/drawingml/2006/picture">
            <wp:extent cx="6210300" cy="8890000"/>
            <wp:docPr id="58" name="Picture 58"/>
            <wp:cNvGraphicFramePr>
              <a:graphicFrameLocks noChangeAspect="1"/>
            </wp:cNvGraphicFramePr>
            <a:graphic>
              <a:graphicData uri="http://schemas.openxmlformats.org/drawingml/2006/picture">
                <pic:pic>
                  <pic:nvPicPr>
                    <pic:cNvPr id="0" name="epub_img_3977244183331434133.jpg"/>
                    <pic:cNvPicPr/>
                  </pic:nvPicPr>
                  <pic:blipFill>
                    <a:blip r:embed="rId34"/>
                    <a:stretch>
                      <a:fillRect/>
                    </a:stretch>
                  </pic:blipFill>
                  <pic:spPr>
                    <a:xfrm>
                      <a:off x="0" y="0"/>
                      <a:ext cx="62103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59" name="Picture 59"/>
            <wp:cNvGraphicFramePr>
              <a:graphicFrameLocks noChangeAspect="1"/>
            </wp:cNvGraphicFramePr>
            <a:graphic>
              <a:graphicData uri="http://schemas.openxmlformats.org/drawingml/2006/picture">
                <pic:pic>
                  <pic:nvPicPr>
                    <pic:cNvPr id="0" name="epub_img_1774953800478294781.jpg"/>
                    <pic:cNvPicPr/>
                  </pic:nvPicPr>
                  <pic:blipFill>
                    <a:blip r:embed="rId50"/>
                    <a:stretch>
                      <a:fillRect/>
                    </a:stretch>
                  </pic:blipFill>
                  <pic:spPr>
                    <a:xfrm>
                      <a:off x="0" y="0"/>
                      <a:ext cx="5930900" cy="8890000"/>
                    </a:xfrm>
                    <a:prstGeom prst="rect"/>
                  </pic:spPr>
                </pic:pic>
              </a:graphicData>
            </a:graphic>
          </wp:inline>
        </w:drawing>
      </w:r>
    </w:p>
    <w:p>
      <w:r>
        <w:rPr>
          <w:b/>
          <w:i w:val="0"/>
        </w:rPr>
        <w:t>Insights You Need from Harvard Business Review</w:t>
      </w:r>
    </w:p>
    <w:p>
      <w:r>
        <w:rPr>
          <w:b w:val="0"/>
          <w:i w:val="0"/>
        </w:rPr>
        <w:t>Business is changing. Will you adapt or be left behind?</w:t>
      </w:r>
    </w:p>
    <w:p>
      <w:r>
        <w:rPr>
          <w:b w:val="0"/>
          <w:i w:val="0"/>
        </w:rPr>
        <w:t xml:space="preserve">Get up to speed and deepen your understanding of the topics that are shaping your company’s future with the </w:t>
      </w:r>
      <w:r>
        <w:rPr>
          <w:b/>
          <w:i w:val="0"/>
        </w:rPr>
        <w:t>Insights You Need from Harvard Business Review</w:t>
      </w:r>
      <w:r>
        <w:rPr>
          <w:b w:val="0"/>
          <w:i w:val="0"/>
        </w:rPr>
        <w:t xml:space="preserve"> series. Featuring HBR’s smartest thinking on fast-moving issues—blockchain, cybersecurity, AI, and more—each book provides the foundational introduction and practical case studies your organization needs to compete today and collects the best research, interviews, and analysis to get it ready for tomorrow.</w:t>
      </w:r>
    </w:p>
    <w:p>
      <w:r>
        <w:rPr>
          <w:b w:val="0"/>
          <w:i w:val="0"/>
        </w:rPr>
        <w:t>You can’t afford to ignore how these issues will transform the landscape of business and society. The Insights You Need series will help you grasp these critical ideas—and prepare you and your company for the future.</w:t>
      </w:r>
    </w:p>
    <w:p>
      <w:r>
        <w:rPr>
          <w:b w:val="0"/>
          <w:i w:val="0"/>
        </w:rPr>
        <w:t>Books in the series include:</w:t>
      </w:r>
    </w:p>
    <w:p>
      <w:r>
        <w:rPr>
          <w:b w:val="0"/>
          <w:i/>
        </w:rPr>
        <w:t>Agile</w:t>
      </w:r>
    </w:p>
    <w:p>
      <w:r>
        <w:rPr>
          <w:b w:val="0"/>
          <w:i/>
        </w:rPr>
        <w:t>Artificial Intelligence</w:t>
      </w:r>
    </w:p>
    <w:p>
      <w:r>
        <w:rPr>
          <w:b w:val="0"/>
          <w:i/>
        </w:rPr>
        <w:t>Blockchain</w:t>
      </w:r>
    </w:p>
    <w:p>
      <w:r>
        <w:rPr>
          <w:b w:val="0"/>
          <w:i/>
        </w:rPr>
        <w:t>Climate Change</w:t>
      </w:r>
    </w:p>
    <w:p>
      <w:r>
        <w:rPr>
          <w:b w:val="0"/>
          <w:i/>
        </w:rPr>
        <w:t>Customer Data and Privacy</w:t>
      </w:r>
    </w:p>
    <w:p>
      <w:r>
        <w:rPr>
          <w:b w:val="0"/>
          <w:i/>
        </w:rPr>
        <w:t>Cybersecurity</w:t>
      </w:r>
    </w:p>
    <w:p>
      <w:r>
        <w:rPr>
          <w:b w:val="0"/>
          <w:i/>
        </w:rPr>
        <w:t>Monopolies and Tech Giants</w:t>
      </w:r>
    </w:p>
    <w:p>
      <w:r>
        <w:rPr>
          <w:b w:val="0"/>
          <w:i/>
        </w:rPr>
        <w:t>Strategic Analytics</w:t>
      </w:r>
    </w:p>
    <w:p>
      <w:r>
        <w:rPr>
          <w:b w:val="0"/>
          <w:i/>
        </w:rPr>
        <w:t>The Year in Tech, 2021</w:t>
      </w:r>
    </w:p>
    <w:p>
      <w:pPr>
        <w:jc w:val="center"/>
      </w:pPr>
      <w:r>
        <w:drawing>
          <wp:inline xmlns:a="http://schemas.openxmlformats.org/drawingml/2006/main" xmlns:pic="http://schemas.openxmlformats.org/drawingml/2006/picture">
            <wp:extent cx="6680200" cy="6680200"/>
            <wp:docPr id="60" name="Picture 60"/>
            <wp:cNvGraphicFramePr>
              <a:graphicFrameLocks noChangeAspect="1"/>
            </wp:cNvGraphicFramePr>
            <a:graphic>
              <a:graphicData uri="http://schemas.openxmlformats.org/drawingml/2006/picture">
                <pic:pic>
                  <pic:nvPicPr>
                    <pic:cNvPr id="0" name="epub_img_8874397201209072484.jpg"/>
                    <pic:cNvPicPr/>
                  </pic:nvPicPr>
                  <pic:blipFill>
                    <a:blip r:embed="rId10"/>
                    <a:stretch>
                      <a:fillRect/>
                    </a:stretch>
                  </pic:blipFill>
                  <pic:spPr>
                    <a:xfrm>
                      <a:off x="0" y="0"/>
                      <a:ext cx="6680200" cy="6680200"/>
                    </a:xfrm>
                    <a:prstGeom prst="rect"/>
                  </pic:spPr>
                </pic:pic>
              </a:graphicData>
            </a:graphic>
          </wp:inline>
        </w:drawing>
      </w:r>
    </w:p>
    <w:p>
      <w:r>
        <w:rPr>
          <w:b/>
          <w:i w:val="0"/>
        </w:rPr>
        <w:t>MONOPOLIES + TECH GIANTS</w:t>
      </w:r>
    </w:p>
    <w:p>
      <w:r>
        <w:rPr>
          <w:b w:val="0"/>
          <w:i w:val="0"/>
        </w:rPr>
        <w:t>Harvard Business Review Press</w:t>
      </w:r>
    </w:p>
    <w:p>
      <w:r>
        <w:rPr>
          <w:b w:val="0"/>
          <w:i w:val="0"/>
        </w:rPr>
        <w:t>Boston, Massachusetts</w:t>
      </w:r>
    </w:p>
    <w:p>
      <w:r>
        <w:rPr>
          <w:b/>
          <w:i w:val="0"/>
        </w:rPr>
        <w:t>HBR Press Quantity Sales Discounts</w:t>
      </w:r>
    </w:p>
    <w:p>
      <w:r>
        <w:rPr>
          <w:b w:val="0"/>
          <w:i w:val="0"/>
        </w:rPr>
        <w:t>Harvard Business Review Press titles are available at significant quantity discounts when purchased in bulk for client gifts, sales promotions, and premiums. Special editions, including books with corporate logos, customized covers, and letters from the company or CEO printed in the front matter, as well as excerpts of existing books, can also be created in large quantities for special needs.</w:t>
      </w:r>
    </w:p>
    <w:p>
      <w:r>
        <w:rPr>
          <w:b w:val="0"/>
          <w:i w:val="0"/>
        </w:rPr>
        <w:t>For details and discount information for both print and ebook formats, contact booksales@harvardbusiness.org, tel. 800-988-0886, or www.hbr.org/bulksales.</w:t>
      </w:r>
    </w:p>
    <w:p>
      <w:r>
        <w:rPr>
          <w:b w:val="0"/>
          <w:i w:val="0"/>
        </w:rPr>
        <w:t>Copyright 2020 Harvard Business School Publishing Corporation</w:t>
      </w:r>
    </w:p>
    <w:p>
      <w:r>
        <w:rPr>
          <w:b w:val="0"/>
          <w:i w:val="0"/>
        </w:rPr>
        <w:t>All rights reserved</w:t>
      </w:r>
    </w:p>
    <w:p>
      <w:r>
        <w:rPr>
          <w:b w:val="0"/>
          <w:i w:val="0"/>
        </w:rPr>
        <w:t>No part of this publication may be reproduced, stored in or introduced into a retrieval system, or transmitted, in any form, or by any means (electronic, mechanical, photocopying, recording, or otherwise), without the prior permission of the publisher. Requests for permission should be directed to permissions@harvardbusiness.org, or mailed to Permissions, Harvard Business School Publishing, 60 Harvard Way, Boston, Massachusetts 02163.</w:t>
      </w:r>
    </w:p>
    <w:p>
      <w:r>
        <w:rPr>
          <w:b w:val="0"/>
          <w:i w:val="0"/>
        </w:rPr>
        <w:t>The web addresses referenced in this book were live and correct at the time of the book’s publication but may be subject to change.</w:t>
      </w:r>
    </w:p>
    <w:p>
      <w:r>
        <w:rPr>
          <w:b w:val="0"/>
          <w:i w:val="0"/>
        </w:rPr>
        <w:t>Library of Congress Cataloging-in-Publication Data</w:t>
      </w:r>
    </w:p>
    <w:p>
      <w:r>
        <w:rPr>
          <w:b w:val="0"/>
          <w:i w:val="0"/>
        </w:rPr>
        <w:t>Title: Monopolies and tech giants.</w:t>
      </w:r>
    </w:p>
    <w:p>
      <w:r>
        <w:rPr>
          <w:b w:val="0"/>
          <w:i w:val="0"/>
        </w:rPr>
        <w:t>Other titles: Insights you need from Harvard Business Review.</w:t>
      </w:r>
    </w:p>
    <w:p>
      <w:r>
        <w:rPr>
          <w:b w:val="0"/>
          <w:i w:val="0"/>
        </w:rPr>
        <w:t>Description: Boston, Massachusetts : Harvard Business Review Press, [2020] | Series: Insights you need from Harvard Business Review | Includes index.</w:t>
      </w:r>
    </w:p>
    <w:p>
      <w:r>
        <w:rPr>
          <w:b w:val="0"/>
          <w:i w:val="0"/>
        </w:rPr>
        <w:t>Identifiers: LCCN 2019046753 (print) | LCCN 2019046754 (ebook) | ISBN 9781633699014 (paperback) | ISBN 9781633699021 (ebook)</w:t>
      </w:r>
    </w:p>
    <w:p>
      <w:r>
        <w:rPr>
          <w:b w:val="0"/>
          <w:i w:val="0"/>
        </w:rPr>
        <w:t>Subjects: LCSH: Monopolies. | Big business. | Technology—Economic aspects. | Competition. | Internet industry. | High technology industries.</w:t>
      </w:r>
    </w:p>
    <w:p>
      <w:r>
        <w:rPr>
          <w:b w:val="0"/>
          <w:i w:val="0"/>
        </w:rPr>
        <w:t>Classification: LCC HD2757.2 .M635 2020 (print) | LCC HD2757.2 (ebook) | DDC 338.8/2—dc23</w:t>
      </w:r>
    </w:p>
    <w:p>
      <w:r>
        <w:rPr>
          <w:b w:val="0"/>
          <w:i w:val="0"/>
        </w:rPr>
        <w:t>LC record available at https://lccn.loc.gov/2019046753</w:t>
      </w:r>
    </w:p>
    <w:p>
      <w:r>
        <w:rPr>
          <w:b w:val="0"/>
          <w:i w:val="0"/>
        </w:rPr>
        <w:t>LC ebook record available at https://lccn.loc.gov/2019046754</w:t>
      </w:r>
    </w:p>
    <w:p>
      <w:r>
        <w:rPr>
          <w:b w:val="0"/>
          <w:i w:val="0"/>
        </w:rPr>
        <w:t>ISBN: 978-1-63369-901-4</w:t>
      </w:r>
    </w:p>
    <w:p>
      <w:r>
        <w:rPr>
          <w:b w:val="0"/>
          <w:i w:val="0"/>
        </w:rPr>
        <w:t>eISBN: 978-1-63369-902-1</w:t>
      </w:r>
    </w:p>
    <w:p>
      <w:pPr>
        <w:pStyle w:val="Heading1"/>
      </w:pPr>
      <w:r>
        <w:rPr>
          <w:b/>
          <w:i w:val="0"/>
        </w:rPr>
        <w:t>Contents</w:t>
      </w:r>
    </w:p>
    <w:p>
      <w:pPr>
        <w:pStyle w:val="ListNumber"/>
      </w:pPr>
      <w:r>
        <w:rPr>
          <w:b/>
          <w:i w:val="0"/>
        </w:rPr>
        <w:t>Introduction</w:t>
      </w:r>
    </w:p>
    <w:p>
      <w:pPr>
        <w:pStyle w:val="ListNumber"/>
      </w:pPr>
      <w:r>
        <w:rPr>
          <w:b/>
          <w:i w:val="0"/>
        </w:rPr>
        <w:t>How Can You Compete Against World-Dominating Giants?</w:t>
      </w:r>
    </w:p>
    <w:p>
      <w:pPr>
        <w:pStyle w:val="ListNumber"/>
      </w:pPr>
      <w:r>
        <w:rPr>
          <w:b w:val="0"/>
          <w:i/>
        </w:rPr>
        <w:t>Start creating the future version of your company today.</w:t>
      </w:r>
    </w:p>
    <w:p>
      <w:pPr>
        <w:pStyle w:val="ListNumber"/>
      </w:pPr>
      <w:r>
        <w:rPr>
          <w:b/>
          <w:i w:val="0"/>
        </w:rPr>
        <w:t>Section 1</w:t>
      </w:r>
    </w:p>
    <w:p>
      <w:pPr>
        <w:pStyle w:val="ListNumber"/>
      </w:pPr>
      <w:r>
        <w:rPr>
          <w:b/>
          <w:i w:val="0"/>
        </w:rPr>
        <w:t>The Dominance of Mega-firms</w:t>
      </w:r>
    </w:p>
    <w:p>
      <w:pPr>
        <w:pStyle w:val="ListNumber"/>
      </w:pPr>
      <w:r>
        <w:rPr>
          <w:b/>
          <w:i w:val="0"/>
        </w:rPr>
        <w:t xml:space="preserve">  1.  Managing Our Hub Economy</w:t>
      </w:r>
    </w:p>
    <w:p>
      <w:pPr>
        <w:pStyle w:val="ListNumber"/>
      </w:pPr>
      <w:r>
        <w:rPr>
          <w:b w:val="0"/>
          <w:i/>
        </w:rPr>
        <w:t>Strategy, ethics, and network competition in the age of digital superpowers.</w:t>
      </w:r>
    </w:p>
    <w:p>
      <w:pPr>
        <w:pStyle w:val="ListNumber"/>
      </w:pPr>
      <w:r>
        <w:rPr>
          <w:b w:val="0"/>
          <w:i w:val="0"/>
        </w:rPr>
        <w:t>by Marco Iansiti and Karim R. Lakhani</w:t>
      </w:r>
    </w:p>
    <w:p>
      <w:pPr>
        <w:pStyle w:val="ListNumber"/>
      </w:pPr>
      <w:r>
        <w:rPr>
          <w:b/>
          <w:i w:val="0"/>
        </w:rPr>
        <w:t xml:space="preserve">  2.  Is Lack of Competition Strangling the U.S. Economy?</w:t>
      </w:r>
    </w:p>
    <w:p>
      <w:pPr>
        <w:pStyle w:val="ListNumber"/>
      </w:pPr>
      <w:r>
        <w:rPr>
          <w:b w:val="0"/>
          <w:i/>
        </w:rPr>
        <w:t>What industry concentration means for businesses and consumers.</w:t>
      </w:r>
    </w:p>
    <w:p>
      <w:pPr>
        <w:pStyle w:val="ListNumber"/>
      </w:pPr>
      <w:r>
        <w:rPr>
          <w:b w:val="0"/>
          <w:i w:val="0"/>
        </w:rPr>
        <w:t>by David Wessel</w:t>
      </w:r>
    </w:p>
    <w:p>
      <w:pPr>
        <w:pStyle w:val="ListNumber"/>
      </w:pPr>
      <w:r>
        <w:rPr>
          <w:b/>
          <w:i w:val="0"/>
        </w:rPr>
        <w:t>Section 2</w:t>
      </w:r>
    </w:p>
    <w:p>
      <w:pPr>
        <w:pStyle w:val="ListNumber"/>
      </w:pPr>
      <w:r>
        <w:rPr>
          <w:b/>
          <w:i w:val="0"/>
        </w:rPr>
        <w:t>The Future of Antitrust and Regulation</w:t>
      </w:r>
    </w:p>
    <w:p>
      <w:pPr>
        <w:pStyle w:val="ListNumber"/>
      </w:pPr>
      <w:r>
        <w:rPr>
          <w:b/>
          <w:i w:val="0"/>
        </w:rPr>
        <w:t xml:space="preserve">  3.  Why It’s a Bad Idea to Let a Few Tech Companies Monopolize Our Data</w:t>
      </w:r>
    </w:p>
    <w:p>
      <w:pPr>
        <w:pStyle w:val="ListNumber"/>
      </w:pPr>
      <w:r>
        <w:rPr>
          <w:b w:val="0"/>
          <w:i/>
        </w:rPr>
        <w:t>Updating the definition of monopoly for our digital age.</w:t>
      </w:r>
    </w:p>
    <w:p>
      <w:pPr>
        <w:pStyle w:val="ListNumber"/>
      </w:pPr>
      <w:r>
        <w:rPr>
          <w:b w:val="0"/>
          <w:i w:val="0"/>
        </w:rPr>
        <w:t>by Maurice E. Stucke</w:t>
      </w:r>
    </w:p>
    <w:p>
      <w:pPr>
        <w:pStyle w:val="ListNumber"/>
      </w:pPr>
      <w:r>
        <w:rPr>
          <w:b/>
          <w:i w:val="0"/>
        </w:rPr>
        <w:t xml:space="preserve">  4.  What the Future of U.S. Antitrust Should Look Like</w:t>
      </w:r>
    </w:p>
    <w:p>
      <w:pPr>
        <w:pStyle w:val="ListNumber"/>
      </w:pPr>
      <w:r>
        <w:rPr>
          <w:b w:val="0"/>
          <w:i/>
        </w:rPr>
        <w:t>It doesn’t need to be a partisan issue.</w:t>
      </w:r>
    </w:p>
    <w:p>
      <w:pPr>
        <w:pStyle w:val="ListNumber"/>
      </w:pPr>
      <w:r>
        <w:rPr>
          <w:b w:val="0"/>
          <w:i w:val="0"/>
        </w:rPr>
        <w:t>by William A. Galston and Clara Hendrickson</w:t>
      </w:r>
    </w:p>
    <w:p>
      <w:pPr>
        <w:pStyle w:val="ListNumber"/>
      </w:pPr>
      <w:r>
        <w:rPr>
          <w:b/>
          <w:i w:val="0"/>
        </w:rPr>
        <w:t xml:space="preserve">  5.  Don’t Break Up Facebook—Treat It Like a Utility</w:t>
      </w:r>
    </w:p>
    <w:p>
      <w:pPr>
        <w:pStyle w:val="ListNumber"/>
      </w:pPr>
      <w:r>
        <w:rPr>
          <w:b w:val="0"/>
          <w:i/>
        </w:rPr>
        <w:t>Facebook is a natural monopoly, so regulate it accordingly.</w:t>
      </w:r>
    </w:p>
    <w:p>
      <w:pPr>
        <w:pStyle w:val="ListNumber"/>
      </w:pPr>
      <w:r>
        <w:rPr>
          <w:b w:val="0"/>
          <w:i w:val="0"/>
        </w:rPr>
        <w:t>by Dipayan Ghosh</w:t>
      </w:r>
    </w:p>
    <w:p>
      <w:pPr>
        <w:pStyle w:val="ListNumber"/>
      </w:pPr>
      <w:r>
        <w:rPr>
          <w:b/>
          <w:i w:val="0"/>
        </w:rPr>
        <w:t xml:space="preserve">  6.  How More Regulation for U.S. Tech Could Backfire</w:t>
      </w:r>
    </w:p>
    <w:p>
      <w:pPr>
        <w:pStyle w:val="ListNumber"/>
      </w:pPr>
      <w:r>
        <w:rPr>
          <w:b w:val="0"/>
          <w:i/>
        </w:rPr>
        <w:t>Today’s rules haven’t caught up to innovation.</w:t>
      </w:r>
    </w:p>
    <w:p>
      <w:pPr>
        <w:pStyle w:val="ListNumber"/>
      </w:pPr>
      <w:r>
        <w:rPr>
          <w:b w:val="0"/>
          <w:i w:val="0"/>
        </w:rPr>
        <w:t>by Larry Downes</w:t>
      </w:r>
    </w:p>
    <w:p>
      <w:pPr>
        <w:pStyle w:val="ListNumber"/>
      </w:pPr>
      <w:r>
        <w:rPr>
          <w:b/>
          <w:i w:val="0"/>
        </w:rPr>
        <w:t>Section 3</w:t>
      </w:r>
    </w:p>
    <w:p>
      <w:pPr>
        <w:pStyle w:val="ListNumber"/>
      </w:pPr>
      <w:r>
        <w:rPr>
          <w:b/>
          <w:i w:val="0"/>
        </w:rPr>
        <w:t>Competing Against Giants</w:t>
      </w:r>
    </w:p>
    <w:p>
      <w:pPr>
        <w:pStyle w:val="ListNumber"/>
      </w:pPr>
      <w:r>
        <w:rPr>
          <w:b/>
          <w:i w:val="0"/>
        </w:rPr>
        <w:t xml:space="preserve">  7.  The Amazon–Whole Foods Deal Made Every Other Retailer’s Plan Obsolete</w:t>
      </w:r>
    </w:p>
    <w:p>
      <w:pPr>
        <w:pStyle w:val="ListNumber"/>
      </w:pPr>
      <w:r>
        <w:rPr>
          <w:b w:val="0"/>
          <w:i/>
        </w:rPr>
        <w:t>Retailers must learn to compete on agile innovation and expense management.</w:t>
      </w:r>
    </w:p>
    <w:p>
      <w:pPr>
        <w:pStyle w:val="ListNumber"/>
      </w:pPr>
      <w:r>
        <w:rPr>
          <w:b w:val="0"/>
          <w:i w:val="0"/>
        </w:rPr>
        <w:t>by Darrell K. Rigby</w:t>
      </w:r>
    </w:p>
    <w:p>
      <w:pPr>
        <w:pStyle w:val="ListNumber"/>
      </w:pPr>
      <w:r>
        <w:rPr>
          <w:b/>
          <w:i w:val="0"/>
        </w:rPr>
        <w:t xml:space="preserve">  8.  What Big Consumer Brands Can Do to Compete in a Digital Economy</w:t>
      </w:r>
    </w:p>
    <w:p>
      <w:pPr>
        <w:pStyle w:val="ListNumber"/>
      </w:pPr>
      <w:r>
        <w:rPr>
          <w:b w:val="0"/>
          <w:i/>
        </w:rPr>
        <w:t>Lessons from Xiaomi.</w:t>
      </w:r>
    </w:p>
    <w:p>
      <w:pPr>
        <w:pStyle w:val="ListNumber"/>
      </w:pPr>
      <w:r>
        <w:rPr>
          <w:b w:val="0"/>
          <w:i w:val="0"/>
        </w:rPr>
        <w:t>by Howard Yu</w:t>
      </w:r>
    </w:p>
    <w:p>
      <w:pPr>
        <w:pStyle w:val="ListNumber"/>
      </w:pPr>
      <w:r>
        <w:rPr>
          <w:b/>
          <w:i w:val="0"/>
        </w:rPr>
        <w:t xml:space="preserve">  9.  Crafting a Strategy in the Age of Giants</w:t>
      </w:r>
    </w:p>
    <w:p>
      <w:pPr>
        <w:pStyle w:val="ListNumber"/>
      </w:pPr>
      <w:r>
        <w:rPr>
          <w:b w:val="0"/>
          <w:i/>
        </w:rPr>
        <w:t>Four approaches when “build a moat” no longer applies.</w:t>
      </w:r>
    </w:p>
    <w:p>
      <w:pPr>
        <w:pStyle w:val="ListNumber"/>
      </w:pPr>
      <w:r>
        <w:rPr>
          <w:b w:val="0"/>
          <w:i w:val="0"/>
        </w:rPr>
        <w:t>Excerpts by Julian Birkinshaw, Walter Frick, Denise Lee Yohn, and Michael G. Jacobides</w:t>
      </w:r>
    </w:p>
    <w:p>
      <w:pPr>
        <w:pStyle w:val="ListNumber"/>
      </w:pPr>
      <w:r>
        <w:rPr>
          <w:b w:val="0"/>
          <w:i w:val="0"/>
        </w:rPr>
        <w:t xml:space="preserve"> </w:t>
      </w:r>
      <w:r>
        <w:rPr>
          <w:b/>
          <w:i w:val="0"/>
        </w:rPr>
        <w:t>10.  Who Will Win the Industrial Internet?</w:t>
      </w:r>
    </w:p>
    <w:p>
      <w:pPr>
        <w:pStyle w:val="ListNumber"/>
      </w:pPr>
      <w:r>
        <w:rPr>
          <w:b w:val="0"/>
          <w:i/>
        </w:rPr>
        <w:t>Industrial incumbents and digital natives both have a chance.</w:t>
      </w:r>
    </w:p>
    <w:p>
      <w:pPr>
        <w:pStyle w:val="ListNumber"/>
      </w:pPr>
      <w:r>
        <w:rPr>
          <w:b w:val="0"/>
          <w:i w:val="0"/>
        </w:rPr>
        <w:t>by Vijay Govindarajan</w:t>
      </w:r>
    </w:p>
    <w:p>
      <w:pPr>
        <w:pStyle w:val="ListNumber"/>
      </w:pPr>
      <w:r>
        <w:rPr>
          <w:b w:val="0"/>
          <w:i w:val="0"/>
        </w:rPr>
        <w:t xml:space="preserve"> </w:t>
      </w:r>
      <w:r>
        <w:rPr>
          <w:b/>
          <w:i w:val="0"/>
        </w:rPr>
        <w:t>11.  What to Learn from the Grocery Stores Holding Their Own Against Amazon</w:t>
      </w:r>
    </w:p>
    <w:p>
      <w:pPr>
        <w:pStyle w:val="ListNumber"/>
      </w:pPr>
      <w:r>
        <w:rPr>
          <w:b w:val="0"/>
          <w:i/>
        </w:rPr>
        <w:t>They know how to build customer loyalty.</w:t>
      </w:r>
    </w:p>
    <w:p>
      <w:pPr>
        <w:pStyle w:val="ListNumber"/>
      </w:pPr>
      <w:r>
        <w:rPr>
          <w:b w:val="0"/>
          <w:i w:val="0"/>
        </w:rPr>
        <w:t>by Amit Sharma</w:t>
      </w:r>
    </w:p>
    <w:p>
      <w:pPr>
        <w:pStyle w:val="ListNumber"/>
      </w:pPr>
      <w:r>
        <w:rPr>
          <w:b w:val="0"/>
          <w:i w:val="0"/>
        </w:rPr>
        <w:t>About the Contributors</w:t>
      </w:r>
    </w:p>
    <w:p>
      <w:pPr>
        <w:pStyle w:val="ListNumber"/>
      </w:pPr>
      <w:r>
        <w:rPr>
          <w:b w:val="0"/>
          <w:i w:val="0"/>
        </w:rPr>
        <w:t>Index</w:t>
      </w:r>
    </w:p>
    <w:p>
      <w:pPr>
        <w:pStyle w:val="Heading1"/>
      </w:pPr>
      <w:r>
        <w:rPr>
          <w:b/>
          <w:i w:val="0"/>
        </w:rPr>
        <w:t>Introduction</w:t>
      </w:r>
    </w:p>
    <w:p>
      <w:pPr>
        <w:pStyle w:val="Heading1"/>
      </w:pPr>
      <w:r>
        <w:rPr>
          <w:b/>
          <w:i w:val="0"/>
        </w:rPr>
        <w:t>HOW CAN YOU COMPETE AGAINST WORLD-DOMINATING GIANTS?</w:t>
      </w:r>
    </w:p>
    <w:p>
      <w:r>
        <w:rPr>
          <w:b w:val="0"/>
          <w:i w:val="0"/>
        </w:rPr>
        <w:t>This book isn’t another celebration of Apple’s genius or Amazon’s disciplined multidecade vision. Nor is it a breathless screed against Google’s anticompetitive practices or Facebook’s repeated policy disasters. You’ve probably read those books already, and they haven’t given you the answers you and your business need.</w:t>
      </w:r>
    </w:p>
    <w:p>
      <w:r>
        <w:rPr>
          <w:b w:val="0"/>
          <w:i w:val="0"/>
        </w:rPr>
        <w:t xml:space="preserve">The tech giants—love them, hate them, or just fear them—are here to stay and continuing to grow in power and influence. They’re using their sprawling networks and vast advantages in data collection and AI to expand into industries ranging from groceries to personal finance to education. They’re acquiring their competitors left and right, and pushing many more into bankruptcy. If you want your business to </w:t>
      </w:r>
      <w:r>
        <w:rPr>
          <w:b w:val="0"/>
          <w:i/>
        </w:rPr>
        <w:t>exist</w:t>
      </w:r>
      <w:r>
        <w:rPr>
          <w:b w:val="0"/>
          <w:i w:val="0"/>
        </w:rPr>
        <w:t xml:space="preserve"> in a few years, let alone to be thriving and growing, you need to be thinking now about how your company will fit in once the new tech monopolies have finished rewriting all the rules.</w:t>
      </w:r>
    </w:p>
    <w:p>
      <w:r>
        <w:rPr>
          <w:b w:val="0"/>
          <w:i w:val="0"/>
        </w:rPr>
        <w:t>You know them by many names: the frightful five, FAANGs, BATs, the big nine, the tech titans. There’s no comprehensive list, but it’s safe to say that Alibaba, Alphabet, Amazon, Apple, Baidu, Facebook, and Tencent are high among them. Microsoft seemed to be out of the club for a while, but it’s back (perhaps it was never really gone). Uber and Lyft were ascending into the pantheon until the grease-and-gridlock challenges of the transportation industry, a disappointing IPO, and good old-fashioned mismanagement lopped a few inches off their unicorn horns.</w:t>
      </w:r>
    </w:p>
    <w:p>
      <w:r>
        <w:rPr>
          <w:b w:val="0"/>
          <w:i w:val="0"/>
        </w:rPr>
        <w:t xml:space="preserve">Their leaders have been equally lionized and demonized in the business press and even on film. Steve Jobs is seen as both the patron saint of ecosystems and an autocratic leader no </w:t>
      </w:r>
      <w:r>
        <w:rPr>
          <w:b w:val="0"/>
          <w:i/>
        </w:rPr>
        <w:t>Harvard Business Review</w:t>
      </w:r>
      <w:r>
        <w:rPr>
          <w:b w:val="0"/>
          <w:i w:val="0"/>
        </w:rPr>
        <w:t xml:space="preserve"> reader from this decade would want to emulate. Mark Zuckerberg’s reputation has evolved from an idealistic, brilliant wunderkind into a petulant billionaire ostrich, willing to turn a blind eye to the real-world problems to retain Facebook’s share of advertising dollars. Their philanthropic ventures and side projects have at times been tinged with sci-fi fantasies (for example, Jeff Bezos’s plans for billions—or is it trillions?—of moon colonists). Yet some, like the Gates Foundation’s global health efforts, may one day be worthy of the Nobel Peace Prize.</w:t>
      </w:r>
    </w:p>
    <w:p>
      <w:r>
        <w:rPr>
          <w:b w:val="0"/>
          <w:i w:val="0"/>
        </w:rPr>
        <w:t xml:space="preserve">As their customers, both at work and at home, we can see the contradictions. We love their products. We hate what they do to our attention spans and to small businesses. We try, desperately, to make our companies more like them, even as the tech-bro culture and antiworker policies make us queasy. We break up with them. We come crawling back. We renounce and denounce them on their own platforms, delete our accounts, and are left with the nagging feeling that we can never really quit them. Even a small task like this—typing a dash—uses Apple hardware using Microsoft software on an Amazon Web Services cloud. Are you ever </w:t>
      </w:r>
      <w:r>
        <w:rPr>
          <w:b w:val="0"/>
          <w:i/>
        </w:rPr>
        <w:t>not</w:t>
      </w:r>
      <w:r>
        <w:rPr>
          <w:b w:val="0"/>
          <w:i w:val="0"/>
        </w:rPr>
        <w:t xml:space="preserve"> using them? Are they ever </w:t>
      </w:r>
      <w:r>
        <w:rPr>
          <w:b w:val="0"/>
          <w:i/>
        </w:rPr>
        <w:t>not</w:t>
      </w:r>
      <w:r>
        <w:rPr>
          <w:b w:val="0"/>
          <w:i w:val="0"/>
        </w:rPr>
        <w:t xml:space="preserve"> collecting your data and processing it with their AI engines? Their products are like oxygen. We can hold our breaths, but only briefly. Can your company compete against </w:t>
      </w:r>
      <w:r>
        <w:rPr>
          <w:b w:val="0"/>
          <w:i/>
        </w:rPr>
        <w:t>air</w:t>
      </w:r>
      <w:r>
        <w:rPr>
          <w:b w:val="0"/>
          <w:i w:val="0"/>
        </w:rPr>
        <w:t>?</w:t>
      </w:r>
    </w:p>
    <w:p>
      <w:r>
        <w:rPr>
          <w:b w:val="0"/>
          <w:i w:val="0"/>
        </w:rPr>
        <w:t>Against this backdrop, a “techlash” is taking place. The behemoths’ own rank-and-file employees are protesting in the streets, and some of their own founders are penning scathing statements to express their regret about what they helped create. Politicians across the spectrum worldwide are trying to land a solid punch on the mega-firms. Could new regulations or antitrust policies hinder their growth? So far, with each censure, the giants have paid up, tweaked their policies, and pushed ahead. Never before has a multibillion-dollar fine seemed so much like a slap on the wrist. Some of these firms have made concrete steps toward self-regulation, and a number demonstrate an understanding that they must lead responsibly for the good of their own ecosystems and for society. But don’t count on the slim hope that the public sector will swoop in to referee or break up big tech.</w:t>
      </w:r>
    </w:p>
    <w:p>
      <w:r>
        <w:rPr>
          <w:b w:val="0"/>
          <w:i/>
        </w:rPr>
        <w:t>Monopolies and Tech Giants: The Insights You Need from Harvard Business Review</w:t>
      </w:r>
      <w:r>
        <w:rPr>
          <w:b w:val="0"/>
          <w:i w:val="0"/>
        </w:rPr>
        <w:t xml:space="preserve"> will help you navigate this new business landscape. Section 1 explores the business and ethical implications of a few hub firms capturing a disproportionate share of value and shaping our economic futures. It presents a case study from the near future of what the automotive industry might look like when smart, connected cars are run by the tech giants’ software. Finally, it discusses the degree to which competition is being dampened due to consolidation across industries.</w:t>
      </w:r>
    </w:p>
    <w:p>
      <w:r>
        <w:rPr>
          <w:b w:val="0"/>
          <w:i w:val="0"/>
        </w:rPr>
        <w:t>Last century’s regulatory policies are not up to the task of reining in the excesses of today’s digital superpowers. Section 2 looks ahead to the future of antitrust. It covers the potential catastrophic consequences of a monopoly on personal data. You’ll read arguments for strengthening the traditional tools of antitrust enforcement, explorations of unconventional new techniques, and ideas about why government intervention might not achieve its intended effects.</w:t>
      </w:r>
    </w:p>
    <w:p>
      <w:r>
        <w:rPr>
          <w:b w:val="0"/>
          <w:i w:val="0"/>
        </w:rPr>
        <w:t>Section 3 gets to the heart of the matter: What should your business do, right now, to ensure its survival alongside the giants? They have changed the rules of strategy, and the choices you face aren’t simple. For some companies, the answer is to become bigger, broader, faster, more like the tech monopolies. Others will deliberately remain small and focused, honing a few unmatchable capabilities, brands, or services. Many will have to choose whether they’ll participate in the superpowers’ ecosystems or create (or buy) their own. And no matter the strength of your company now, it will have to find new ways to innovate and reinvent itself to keep pace with the ever-evolving mega-firms.</w:t>
      </w:r>
    </w:p>
    <w:p>
      <w:r>
        <w:rPr>
          <w:b w:val="0"/>
          <w:i w:val="0"/>
        </w:rPr>
        <w:t>Consider these questions as you prepare your company for the challenge:</w:t>
      </w:r>
    </w:p>
    <w:p>
      <w:pPr>
        <w:pStyle w:val="ListBullet"/>
      </w:pPr>
      <w:r>
        <w:rPr>
          <w:b w:val="0"/>
          <w:i w:val="0"/>
        </w:rPr>
        <w:t>What role do the tech giants play in your industry now? Have they already reshaped it?</w:t>
      </w:r>
    </w:p>
    <w:p>
      <w:pPr>
        <w:pStyle w:val="ListBullet"/>
      </w:pPr>
      <w:r>
        <w:rPr>
          <w:b w:val="0"/>
          <w:i w:val="0"/>
        </w:rPr>
        <w:t>Is the giants’ role in your industry primarily as a network creator or platform provider? Or do they provide products or services that compete directly with your offerings?</w:t>
      </w:r>
    </w:p>
    <w:p>
      <w:pPr>
        <w:pStyle w:val="ListBullet"/>
      </w:pPr>
      <w:r>
        <w:rPr>
          <w:b w:val="0"/>
          <w:i w:val="0"/>
        </w:rPr>
        <w:t>What capabilities and advantages do your company and other incumbents in your industry have that are preventing the superpowers from entering (or taking over) your industry? How durable are these advantages?</w:t>
      </w:r>
    </w:p>
    <w:p>
      <w:pPr>
        <w:pStyle w:val="ListBullet"/>
      </w:pPr>
      <w:r>
        <w:rPr>
          <w:b w:val="0"/>
          <w:i w:val="0"/>
        </w:rPr>
        <w:t>What role could domestic or international antitrust or data-privacy regulation play in your industry? Will it affect the largest and smallest companies in different ways?</w:t>
      </w:r>
    </w:p>
    <w:p>
      <w:r>
        <w:rPr>
          <w:b w:val="0"/>
          <w:i w:val="0"/>
        </w:rPr>
        <w:t xml:space="preserve">If you and your organization haven’t confronted these questions yet, let this book spark the conversations necessary to move you forward. Thriving in a business environment dominated by a handful of huge tech companies will require endless perseverance, grit, and imagination. The future version of </w:t>
      </w:r>
      <w:r>
        <w:rPr>
          <w:b w:val="0"/>
          <w:i/>
        </w:rPr>
        <w:t>your</w:t>
      </w:r>
      <w:r>
        <w:rPr>
          <w:b w:val="0"/>
          <w:i w:val="0"/>
        </w:rPr>
        <w:t xml:space="preserve"> company, the one that is holding its own against the tech giants and growing—or perhaps even challenging them on their own turf—may not look like what you see around you today. Start creating that future now.</w:t>
      </w:r>
    </w:p>
    <w:p>
      <w:pPr>
        <w:pStyle w:val="Heading1"/>
      </w:pPr>
      <w:r>
        <w:rPr>
          <w:b/>
          <w:i w:val="0"/>
        </w:rPr>
        <w:t>Section 1</w:t>
      </w:r>
    </w:p>
    <w:p>
      <w:pPr>
        <w:pStyle w:val="Heading1"/>
      </w:pPr>
      <w:r>
        <w:rPr>
          <w:b/>
          <w:i w:val="0"/>
        </w:rPr>
        <w:t>THE DOMINANCE OF MEGA-FIRMS</w:t>
      </w:r>
    </w:p>
    <w:p>
      <w:pPr>
        <w:pStyle w:val="Heading1"/>
      </w:pPr>
      <w:r>
        <w:rPr>
          <w:b/>
          <w:i w:val="0"/>
        </w:rPr>
        <w:t>1</w:t>
      </w:r>
    </w:p>
    <w:p>
      <w:pPr>
        <w:pStyle w:val="Heading1"/>
      </w:pPr>
      <w:r>
        <w:rPr>
          <w:b/>
          <w:i w:val="0"/>
        </w:rPr>
        <w:t>MANAGING OUR HUB ECONOMY</w:t>
      </w:r>
    </w:p>
    <w:p>
      <w:r>
        <w:rPr>
          <w:b w:val="0"/>
          <w:i w:val="0"/>
        </w:rPr>
        <w:t>by Marco Iansiti and Karim R. Lakhani</w:t>
      </w:r>
    </w:p>
    <w:p>
      <w:r>
        <w:rPr>
          <w:b w:val="0"/>
          <w:i w:val="0"/>
        </w:rPr>
        <w:t>The global economy is coalescing around a few digital superpowers. We see unmistakable evidence that a winner-take-all world is emerging in which a small number of “hub firms”—including Alibaba, Alphabet/Google, Amazon, Apple, Baidu, Facebook, Microsoft, and Tencent—occupy central positions. While creating real value for users, these companies are also capturing a disproportionate and expanding share of the value, and that’s shaping our collective economic future. The very same technologies that promised to democratize business are now threatening to make it more monopolistic.</w:t>
      </w:r>
    </w:p>
    <w:p>
      <w:r>
        <w:rPr>
          <w:b w:val="0"/>
          <w:i w:val="0"/>
        </w:rPr>
        <w:t>Beyond dominating individual markets, hub firms create and control essential connections in the networks that pervade our economy. Google’s Android and related technologies form “competitive bottlenecks”; that is, they own access to billions of mobile consumers that other product and service providers want to reach. Google can not only exact a toll on transactions but also influence the flow of information and the data collected. Amazon’s and Alibaba’s marketplaces also connect vast numbers of users with large numbers of retailers and manufacturers. Tencent’s WeChat messaging platform aggregates a billion global users and provides a critical source of consumer access for businesses offering online banking, entertainment, transportation, and other services. The more users who join these networks, the more attractive (and even necessary) it becomes for enterprises to offer their products and services through them. By driving increasing returns to scale and controlling crucial competitive bottlenecks, these digital superpowers can become even mightier, extract disproportionate value, and tip the global competitive balance.</w:t>
      </w:r>
    </w:p>
    <w:p>
      <w:r>
        <w:rPr>
          <w:b w:val="0"/>
          <w:i w:val="0"/>
        </w:rPr>
        <w:t>Hub firms don’t compete in a traditional fashion—vying with existing products or services, perhaps with improved features or lower cost. Rather, they take the network-based assets that have already reached scale in one setting and then use them to enter another industry and “re-architect” its competitive structure—transforming it from product-driven to network-driven. They plug adjacent industries into the same competitive bottlenecks they already control.</w:t>
      </w:r>
    </w:p>
    <w:p>
      <w:r>
        <w:rPr>
          <w:b w:val="0"/>
          <w:i w:val="0"/>
        </w:rPr>
        <w:t>For example, the Alibaba spin-off Ant Financial does not simply offer better payment services, a better credit card, or an improved investment management service; it builds on data from Alibaba’s already vast user base to commoditize traditional financial services and reorganize a good chunk of the Chinese financial sector around the Ant Financial platform. The three-year-old service already has over half a billion users and plans to expand well beyond China. Similarly, Google’s automotive strategy does not simply entail creating an improved car; it leverages technologies and data advantages (many already at scale from billions of mobile consumers and millions of advertisers) to change the structure of the auto industry itself. (Disclosure: Both of us work or have worked with some of the firms mentioned in this article.)</w:t>
      </w:r>
    </w:p>
    <w:p>
      <w:r>
        <w:rPr>
          <w:b w:val="0"/>
          <w:i w:val="0"/>
        </w:rPr>
        <w:t>If current trends continue, the hub economy will spread across more industries, further concentrating data, value, and power in the hands of a small number of firms employing a tiny fraction of the workforce. Disparity in firm valuation and individual wealth already causes widespread resentment. Over time, we can expect consumers, regulators, and even social movements to take an increasingly hostile stand against this concentration of value and economic connectivity. In a painfully ironic turn, after creating unprecedented opportunity across the global economy, digitization—and the trends it has given rise to—could exacerbate already dangerous levels of income inequality, undermine the economy, and even lead to social instability.</w:t>
      </w:r>
    </w:p>
    <w:p>
      <w:r>
        <w:rPr>
          <w:b w:val="0"/>
          <w:i w:val="0"/>
        </w:rPr>
        <w:t>Can these trends be reversed? We believe not. The “hub economy,” as we will argue, is here to stay. But most companies will not become hubs, and they will need to respond astutely to the growing concentration of hub power. Digitizing operating capabilities will not be enough. Digital messaging platforms, for example, have already dealt a blow to telecom service providers; investment advisers still face threats from online financial-services companies. To remain competitive, companies will need to use their assets and capabilities differently, transform their core businesses, develop new revenue opportunities, and identify areas that can be defended from encroaching hub firms and others rushing in from previously disconnected economic sectors. Some companies have started on this path—Comcast, with its Xfinity platform, is a notable example—but the majority, especially those in traditional sectors, still need to master the implications of network competition.</w:t>
      </w:r>
    </w:p>
    <w:p>
      <w:r>
        <w:rPr>
          <w:b w:val="0"/>
          <w:i w:val="0"/>
        </w:rPr>
        <w:t>Most importantly, the very same hub firms that are transforming our economy must be part of the solution—and their leaders must step up. As Mark Zuckerberg articulated in his Harvard commencement address in 2017, “we have a level of wealth inequality that hurts everyone.” Business as usual is not a good option. Witness the public concern about the roles that Facebook and Twitter played in the 2016 U.S. presidential election, Google’s challenges with global regulatory bodies, criticism of Uber’s culture and operating policies, and complaints that Airbnb’s rental practices are racially discriminatory and harmful to municipal housing stocks, rents, and pricing.</w:t>
      </w:r>
    </w:p>
    <w:p>
      <w:r>
        <w:rPr>
          <w:b w:val="0"/>
          <w:i w:val="0"/>
        </w:rPr>
        <w:t>Thoughtful hub strategies will create effective ways to share economic value, manage collective risks, and sustain the networks and communities we all ultimately depend on. If carmakers, major retailers, or media companies continue to go out of business, massive economic and social dislocation will ensue. And with governments and public opinion increasingly attuned to this problem, hub strategies that foster a more stable economy and united society will drive differentiation among the hub firms themselves.</w:t>
      </w:r>
    </w:p>
    <w:p>
      <w:r>
        <w:rPr>
          <w:b w:val="0"/>
          <w:i w:val="0"/>
        </w:rPr>
        <w:t>We are encouraged by Facebook’s response to the public outcry over “fake news”—hiring thousands of dedicated employees, shutting down tens of thousands of phony accounts, working with news sources to identify untrue claims, and offering guides for spotting false information. Similarly, Google’s YouTube division invests in engineering, artificial intelligence, and human resources and collaborates with NGOs to ensure that videos promoting political extremists and terrorists are taken down promptly.</w:t>
      </w:r>
    </w:p>
    <w:p>
      <w:r>
        <w:rPr>
          <w:b w:val="0"/>
          <w:i w:val="0"/>
        </w:rPr>
        <w:t>A real opportunity exists for hub firms to truly lead our economy. This will require hubs to fully consider the long-term societal impact of their decisions and to prioritize their ethical responsibilities to the large economic ecosystems that increasingly revolve around them. At the same time, the rest of us—whether in established enterprises or startups, in institutions or communities—will need to serve as checks and balances, helping to shape the hub economy by providing critical, informed input and, as needed, pushback.</w:t>
      </w:r>
    </w:p>
    <w:p>
      <w:pPr>
        <w:pStyle w:val="Heading2"/>
      </w:pPr>
      <w:r>
        <w:rPr>
          <w:b/>
          <w:i w:val="0"/>
        </w:rPr>
        <w:t>The Digital Domino Effect</w:t>
      </w:r>
    </w:p>
    <w:p>
      <w:r>
        <w:rPr>
          <w:b w:val="0"/>
          <w:i w:val="0"/>
        </w:rPr>
        <w:t>The emergence of economic hubs is rooted in three principles of digitization and network theory. The first is Moore’s law, which states that computer processing power will double approximately every two years. The implication is that performance improvements will continue driving the augmentation and replacement of human activity with digital tools. This affects any industry that has integrated computers into its operations—which pretty much covers the entire economy. And advances in machine learning and cloud computing have only reinforced this trend.</w:t>
      </w:r>
    </w:p>
    <w:p>
      <w:r>
        <w:rPr>
          <w:b w:val="0"/>
          <w:i w:val="0"/>
        </w:rPr>
        <w:t>The second principle involves connectivity. Most computing devices today have built-in network connectivity that allows them to communicate with one another. Modern digital technology enables the sharing of information at near-zero marginal cost, and digital networks are spreading rapidly. Metcalfe’s law states that a network’s value increases with the number of nodes (connection points) or users—the dynamic we think of as network effects. This means that digital technology is enabling significant growth in value across our economy, particularly as open-network connections allow for the recombination of business offerings, such as the migration from payment tools to the broader financial services and insurance that we’ve seen at Ant Financial.</w:t>
      </w:r>
    </w:p>
    <w:p>
      <w:r>
        <w:rPr>
          <w:b w:val="0"/>
          <w:i w:val="0"/>
        </w:rPr>
        <w:t>But while value is being created for everyone, value capture is getting more skewed and concentrated. This is because in networks, traffic begets more traffic, and as certain nodes become more heavily used, they attract additional attachments, which further increases their importance. This brings us to the third principle, a lesser-known dynamic originally posited by the physicist Albert-László Barabási: the notion that digital-network formation naturally leads to the emergence of positive feedback loops that create increasingly important, highly connected hubs. As digital networks carry more and more economic transactions, the economic power of network hubs, which connect consumers, firms, and even industries to one another, expands. Once a hub is highly connected (and enjoying increasing returns to scale) in one sector of the economy (such as mobile telecommunications), it will enjoy a crucial advantage as it begins to connect in a new sector (automobiles, for example). This can, in turn, drive more and more markets to tip, and the many players competing in traditionally separate industries get winnowed down to just a few hub firms that capture a growing share of the overall economic value created—a kind of digital domino effect.</w:t>
      </w:r>
    </w:p>
    <w:p>
      <w:r>
        <w:rPr>
          <w:b w:val="0"/>
          <w:i w:val="0"/>
        </w:rPr>
        <w:t>This phenomenon isn’t new. But in recent years, the high degree of digital connectivity has dramatically sped up the transformation. Just a few years ago, cell phone manufacturers competed head-to-head for industry leadership in a traditional product market without appreciable network effects. Competition led to innovation and differentiation, with a business model delivering healthy profitability at scale for a dozen or so major competitors. But with the introduction of iOS and Android, the industry began to tip away from its hardware centricity to network structures centered on these multisided platforms. The platforms connected smartphones to a large number of apps and services. Each new app makes the platform it sits on more valuable, creating a powerful network effect that in turn creates a more daunting barrier to entry for new players. Today Motorola, Nokia, BlackBerry, and Palm are out of the mobile phone business, and Google and Apple are extracting the lion’s share of the sector’s value. The value captured by the large majority of complementors—the app developers and third-party manufacturers—is generally modest at best.</w:t>
      </w:r>
    </w:p>
    <w:p>
      <w:r>
        <w:rPr>
          <w:b w:val="0"/>
          <w:i w:val="0"/>
        </w:rPr>
        <w:t>The domino effect is now spreading to other sectors and picking up speed. Music has already tipped to Apple, Google, and Spotify. E-commerce is following a similar path: Alibaba and Amazon are gaining more share and moving into traditional brick-and-mortar strongholds like groceries (witness Amazon’s acquisition of Whole Foods). We’ve already noted the growing power of WeChat in messaging and communications; along with Facebook and others, it’s challenging traditional telecom service providers. On-premise computer and software offerings are losing ground to the cloud services provided by Amazon, Microsoft, Google, and Alibaba. In financial services, the big players are Ant, Paytm, Ingenico, and the independent startup Wealthfront; in home entertainment, Amazon, Apple, Google, and Netflix dominate.</w:t>
      </w:r>
    </w:p>
    <w:p>
      <w:r>
        <w:rPr>
          <w:b w:val="0"/>
          <w:i w:val="0"/>
        </w:rPr>
        <w:t>Where are powerful hub firms likely to emerge next? Health care, industrial products, and agriculture are three contenders. But let’s examine how the digital domino effect could play out in another prime candidate, the automotive sector, which in the United States alone provides more than seven million jobs and generates close to a trillion dollars in yearly sales.</w:t>
      </w:r>
    </w:p>
    <w:p>
      <w:pPr>
        <w:pStyle w:val="Heading2"/>
      </w:pPr>
      <w:r>
        <w:rPr>
          <w:b/>
          <w:i w:val="0"/>
        </w:rPr>
        <w:t>Re-Architecting the Automotive Sector</w:t>
      </w:r>
    </w:p>
    <w:p>
      <w:r>
        <w:rPr>
          <w:b w:val="0"/>
          <w:i w:val="0"/>
        </w:rPr>
        <w:t>As with many other products and services, cars are now connected to digital networks, essentially becoming rolling information and transaction nodes. This connectivity is reshaping the structure of the automotive industry. When cars were merely products, car sales were the main prize. But a new source of value is emerging: the connection to consumers in transit. Americans spend almost an hour, on average, getting to and from work every day, and commutes keep getting longer. Auto manufacturers, responding to consumer demand, have already given hub firms access to dashboard screens in many cars; drivers can use Apple or Google apps on the car’s built-in display instead of on their smartphones. If consumers embrace self-driving vehicles, that one hour of consumer access could be worth hundreds of billions of dollars in the United States alone.</w:t>
      </w:r>
    </w:p>
    <w:p>
      <w:r>
        <w:rPr>
          <w:b w:val="0"/>
          <w:i w:val="0"/>
        </w:rPr>
        <w:t>Which companies will capitalize on the vast commercial potential of a new hour of free time for the world’s car commuters? Hub firms like Alphabet and Apple are first in line. They already have bottleneck assets like maps and advertising networks at scale, and both are ready to create super-relevant ads pinpointed to the car’s passengers and location. One logical add-on feature for autonomous vehicles would be a “Drive there” button that appears when an ad pops up (as already happens on Google’s Waze app); pressing it would order the car to head to the touted destination.</w:t>
      </w:r>
    </w:p>
    <w:p>
      <w:r>
        <w:rPr>
          <w:b w:val="0"/>
          <w:i w:val="0"/>
        </w:rPr>
        <w:t>In a future when people are no longer behind the wheel, cars will become less about the driving experience and more about the apps and services offered by automobiles as they ferry passengers around. Apart from a minority of cars actually driven for fun, differentiation will lessen, and the vehicle itself might well become commoditized. That will threaten manufacturers’ core business: The car features that buyers will care most about—software and networks—will be largely outside the automakers’ control, and their price premiums will go down.</w:t>
      </w:r>
    </w:p>
    <w:p>
      <w:r>
        <w:rPr>
          <w:b w:val="0"/>
          <w:i w:val="0"/>
        </w:rPr>
        <w:t>The transformation will also upend a range of connected sectors—including insurance, automotive repairs and maintenance, road construction, law enforcement, and infrastructure—as the digital dominos continue to fall. (See figure 1-1.)</w:t>
      </w:r>
    </w:p>
    <w:p>
      <w:r>
        <w:rPr>
          <w:b/>
          <w:i w:val="0"/>
        </w:rPr>
        <w:t>FIGURE 1-1</w:t>
      </w:r>
    </w:p>
    <w:p>
      <w:r>
        <w:rPr>
          <w:b/>
          <w:i w:val="0"/>
        </w:rPr>
        <w:t>The connected-car ecosystem</w:t>
      </w:r>
    </w:p>
    <w:p>
      <w:r>
        <w:rPr>
          <w:b w:val="0"/>
          <w:i/>
        </w:rPr>
        <w:t>Three software platforms—Android Auto, Apple CarPlay, and, to a lesser extent, OpenCar—dominate the market for integrating smartphone functionality into vehicles. They constitute powerful bottleneck assets because they have scores of supply-chain partners (left) and they enable other stakeholders (right) to reach consumers. (Note: The companies, apps, and regulators listed are selected examples only.)</w:t>
      </w:r>
    </w:p>
    <w:p>
      <w:pPr>
        <w:jc w:val="center"/>
      </w:pPr>
      <w:r>
        <w:drawing>
          <wp:inline xmlns:a="http://schemas.openxmlformats.org/drawingml/2006/main" xmlns:pic="http://schemas.openxmlformats.org/drawingml/2006/picture">
            <wp:extent cx="6680200" cy="7416800"/>
            <wp:docPr id="61" name="Picture 61"/>
            <wp:cNvGraphicFramePr>
              <a:graphicFrameLocks noChangeAspect="1"/>
            </wp:cNvGraphicFramePr>
            <a:graphic>
              <a:graphicData uri="http://schemas.openxmlformats.org/drawingml/2006/picture">
                <pic:pic>
                  <pic:nvPicPr>
                    <pic:cNvPr id="0" name="epub_img_5988838784802460288.jpg"/>
                    <pic:cNvPicPr/>
                  </pic:nvPicPr>
                  <pic:blipFill>
                    <a:blip r:embed="rId51"/>
                    <a:stretch>
                      <a:fillRect/>
                    </a:stretch>
                  </pic:blipFill>
                  <pic:spPr>
                    <a:xfrm>
                      <a:off x="0" y="0"/>
                      <a:ext cx="6680200" cy="7416800"/>
                    </a:xfrm>
                    <a:prstGeom prst="rect"/>
                  </pic:spPr>
                </pic:pic>
              </a:graphicData>
            </a:graphic>
          </wp:inline>
        </w:drawing>
      </w:r>
    </w:p>
    <w:p>
      <w:pPr>
        <w:jc w:val="center"/>
      </w:pPr>
      <w:r>
        <w:drawing>
          <wp:inline xmlns:a="http://schemas.openxmlformats.org/drawingml/2006/main" xmlns:pic="http://schemas.openxmlformats.org/drawingml/2006/picture">
            <wp:extent cx="6680200" cy="7416800"/>
            <wp:docPr id="62" name="Picture 62"/>
            <wp:cNvGraphicFramePr>
              <a:graphicFrameLocks noChangeAspect="1"/>
            </wp:cNvGraphicFramePr>
            <a:graphic>
              <a:graphicData uri="http://schemas.openxmlformats.org/drawingml/2006/picture">
                <pic:pic>
                  <pic:nvPicPr>
                    <pic:cNvPr id="0" name="epub_img_5988838784802460288.jpg"/>
                    <pic:cNvPicPr/>
                  </pic:nvPicPr>
                  <pic:blipFill>
                    <a:blip r:embed="rId51"/>
                    <a:stretch>
                      <a:fillRect/>
                    </a:stretch>
                  </pic:blipFill>
                  <pic:spPr>
                    <a:xfrm>
                      <a:off x="0" y="0"/>
                      <a:ext cx="6680200" cy="7416800"/>
                    </a:xfrm>
                    <a:prstGeom prst="rect"/>
                  </pic:spPr>
                </pic:pic>
              </a:graphicData>
            </a:graphic>
          </wp:inline>
        </w:drawing>
      </w:r>
    </w:p>
    <w:p>
      <w:r>
        <w:rPr>
          <w:b w:val="0"/>
          <w:i w:val="0"/>
        </w:rPr>
        <w:t>For existing auto manufacturers, the picture is grim but not hopeless. Some companies are exploring a pay-per-use model for their cars and are acquiring, launching, or partnering with car-as-a-service providers. GM, for one, invested $500 million in the ride-sharing service Lyft, and its luxury-car division is now offering a monthly car subscription service. Daimler launched a car-sharing business called car2go. Several manufacturers have also invested in their own research into driverless vehicles or partnered with external providers.</w:t>
      </w:r>
    </w:p>
    <w:p>
      <w:r>
        <w:rPr>
          <w:b w:val="0"/>
          <w:i w:val="0"/>
        </w:rPr>
        <w:t>Beyond these business-model experiments, automakers will need to play as the hubs do, by participating in the platform competition that will determine value capture in the sector. At least for the moment, alternatives to Google and Apple are scarce. One example is OpenCar, which was acquired by Inrix, a traditional auto supplier. Unlike Apple CarPlay and Google’s Android Auto, which limit automaker-specific customization and require access to proprietary car data, the OpenCar framework is fully controlled by the car manufacturer. To take on the established giants, we believe that OpenCar and Inrix will have to develop an effective advertising or commerce platform or adopt some other indirect monetization strategy—and to do that, they’ll probably need to partner with companies that have those capabilities.</w:t>
      </w:r>
    </w:p>
    <w:p>
      <w:r>
        <w:rPr>
          <w:b w:val="0"/>
          <w:i w:val="0"/>
        </w:rPr>
        <w:t>To reach the scale required to be competitive, automotive companies that were once fierce rivals may need to join together. Here Technologies, which provides precision mapping data and location services, is an interesting example. Here has its roots in Navteq, one of the early online mapping companies, which was first bought by Nokia and later acquired by a consortium of Volkswagen, BMW, and Daimler (the multibillion-dollar price tag may have been too high for any single carmaker to stomach). Here provides third-party developers with sophisticated tools and APIs for creating location-based ads and other services. The company represents an attempt by auto manufacturers to assemble a “federated” platform and, in doing so, neutralize the threat of a potential competitive bottleneck controlled by Google and Apple. The consortium could play a significant role in preventing automotive value capture from tipping completely toward existing hub firms.</w:t>
      </w:r>
    </w:p>
    <w:p>
      <w:r>
        <w:rPr>
          <w:b w:val="0"/>
          <w:i w:val="0"/>
        </w:rPr>
        <w:t>Of course, successful collaboration depends on a common, strongly felt commitment. So as traditional enterprises position themselves for a fight, they must understand how the competitive dynamics in their industries have shifted.</w:t>
      </w:r>
    </w:p>
    <w:p>
      <w:pPr>
        <w:pStyle w:val="Heading2"/>
      </w:pPr>
      <w:r>
        <w:rPr>
          <w:b/>
          <w:i w:val="0"/>
        </w:rPr>
        <w:t>Increasing Returns to Scale Are Hard to Beat</w:t>
      </w:r>
    </w:p>
    <w:p>
      <w:r>
        <w:rPr>
          <w:b w:val="0"/>
          <w:i w:val="0"/>
        </w:rPr>
        <w:t>Competitive advantage in many industries is moderated by decreasing returns to scale. In traditional product and service businesses, the value creation curve typically flattens out as the number of consumers increases, as we see in figure 1-2. A firm gains no particular advantage as its user base continues to increase beyond already efficient levels, which enables multiple competitors to coexist.</w:t>
      </w:r>
    </w:p>
    <w:p>
      <w:r>
        <w:rPr>
          <w:b w:val="0"/>
          <w:i w:val="0"/>
        </w:rPr>
        <w:t xml:space="preserve">Some digital technologies, however, exhibit </w:t>
      </w:r>
      <w:r>
        <w:rPr>
          <w:b w:val="0"/>
          <w:i/>
        </w:rPr>
        <w:t>increasing</w:t>
      </w:r>
      <w:r>
        <w:rPr>
          <w:b w:val="0"/>
          <w:i w:val="0"/>
        </w:rPr>
        <w:t xml:space="preserve"> returns to scale. A local advertising platform gets better and better as more and more users attract more and more ads. And as the number of ads increases, so does the ability to target the ads to the users, making individual ads more valuable. An advertising platform is thus similar to software platforms such as Windows, Linux, Android, and iOS, which exhibit increasing returns to scale—their growing value to consumers increases the number of available apps, while the value to app developers rises as the number of consumers rises. The more consumers, the greater the incentive for developers to build apps, and the more apps there are, the more motivated consumers are to use their digital devices.</w:t>
      </w:r>
    </w:p>
    <w:p>
      <w:r>
        <w:rPr>
          <w:b/>
          <w:i w:val="0"/>
        </w:rPr>
        <w:t>FIGURE 1-2</w:t>
      </w:r>
    </w:p>
    <w:p>
      <w:r>
        <w:rPr>
          <w:b/>
          <w:i w:val="0"/>
        </w:rPr>
        <w:t>Profiting from a growing customer base</w:t>
      </w:r>
    </w:p>
    <w:p>
      <w:r>
        <w:rPr>
          <w:b w:val="0"/>
          <w:i/>
        </w:rPr>
        <w:t>For traditional product and service businesses, gaining additional customers does not continue adding commensurate value after a certain point. However, many platform businesses (Amazon, Facebook, and the like) become more and more valuable as more people and companies use them, connect with one another, and create network effects.</w:t>
      </w:r>
    </w:p>
    <w:p>
      <w:pPr>
        <w:jc w:val="center"/>
      </w:pPr>
      <w:r>
        <w:drawing>
          <wp:inline xmlns:a="http://schemas.openxmlformats.org/drawingml/2006/main" xmlns:pic="http://schemas.openxmlformats.org/drawingml/2006/picture">
            <wp:extent cx="6680200" cy="6692900"/>
            <wp:docPr id="63" name="Picture 63"/>
            <wp:cNvGraphicFramePr>
              <a:graphicFrameLocks noChangeAspect="1"/>
            </wp:cNvGraphicFramePr>
            <a:graphic>
              <a:graphicData uri="http://schemas.openxmlformats.org/drawingml/2006/picture">
                <pic:pic>
                  <pic:nvPicPr>
                    <pic:cNvPr id="0" name="epub_img_38930396159113205.jpg"/>
                    <pic:cNvPicPr/>
                  </pic:nvPicPr>
                  <pic:blipFill>
                    <a:blip r:embed="rId52"/>
                    <a:stretch>
                      <a:fillRect/>
                    </a:stretch>
                  </pic:blipFill>
                  <pic:spPr>
                    <a:xfrm>
                      <a:off x="0" y="0"/>
                      <a:ext cx="6680200" cy="6692900"/>
                    </a:xfrm>
                    <a:prstGeom prst="rect"/>
                  </pic:spPr>
                </pic:pic>
              </a:graphicData>
            </a:graphic>
          </wp:inline>
        </w:drawing>
      </w:r>
    </w:p>
    <w:p>
      <w:r>
        <w:rPr>
          <w:b w:val="0"/>
          <w:i w:val="0"/>
        </w:rPr>
        <w:t>These considerations are important to the nature of hub competition. The economics of traditional decreasing returns make it possible for several competitors to coexist and provide differentiated value to attract users. That’s the dynamic in the auto industry today, with many car manufacturers competing with one another to offer a variety of differentiated products. But the increasing returns in digital assets like ad platforms (or possibly driverless-car technology) will heighten the advantage of the competitor with the largest scale, the largest network of users, or the most data. And this is where the hub firms will most likely leverage their large and growing lead—and cause value to concentrate around them.</w:t>
      </w:r>
    </w:p>
    <w:p>
      <w:r>
        <w:rPr>
          <w:b w:val="0"/>
          <w:i w:val="0"/>
        </w:rPr>
        <w:t>In contrast with traditional product and service businesses, network-based markets exhibiting increasing returns to scale will, over time, tip toward a narrow set of players. This implies that if a conventional decreasing-returns business (say, telecom or media) is threatened by a new type of competitor whose business model experiences increasing returns, the conventional player is in for a rough ride. With increasing returns to scale, a digital technology can provide a bottleneck to an entire industrial sector. And left alone, competitive bottlenecks dramatically skew value capture away from traditional firms.</w:t>
      </w:r>
    </w:p>
    <w:p>
      <w:pPr>
        <w:pStyle w:val="Heading2"/>
      </w:pPr>
      <w:r>
        <w:rPr>
          <w:b/>
          <w:i w:val="0"/>
        </w:rPr>
        <w:t>Pushing Back</w:t>
      </w:r>
    </w:p>
    <w:p>
      <w:r>
        <w:rPr>
          <w:b w:val="0"/>
          <w:i w:val="0"/>
        </w:rPr>
        <w:t>Hub firms often compete against one another. Microsoft has made substantial investments in augmented reality in an effort to create a new hub and counterbalance the power that Google and Apple wield in the mobile space. Facebook acquired Oculus to force a similar structural shift in the emerging field of virtual reality. And a battle is looming in the smart-home arena, as Google, Apple, Microsoft, and Samsung attempt to reduce Amazon’s early lead in voice-activated home technology.</w:t>
      </w:r>
    </w:p>
    <w:p>
      <w:r>
        <w:rPr>
          <w:b w:val="0"/>
          <w:i w:val="0"/>
        </w:rPr>
        <w:t>But how does the rest of the economy deal with the increasing returns to scale of hub firms? With enough foresight and investment, traditional firms can resist by becoming hubs themselves, as we are seeing especially in the internet of things (IoT) space. GE is the classic example of this approach, with its investment in the Predix platform and the creation of GE Digital. Other companies are following suit in different settings—for example, Verizon and Vodafone with their IoT platforms.</w:t>
      </w:r>
    </w:p>
    <w:p>
      <w:r>
        <w:rPr>
          <w:b w:val="0"/>
          <w:i w:val="0"/>
        </w:rPr>
        <w:t>Firms can also shape competition by investing to ensure that there are multiple hubs in each sector—and even influencing which ones win. They can organize to support less-established platforms, thus making a particular hub more viable and an industry sector more competitive in the long term. Deutsche Telekom, for instance, is partnering with Microsoft Azure (rather than Amazon Web Services) for cloud computing in Central Europe.</w:t>
      </w:r>
    </w:p>
    <w:p>
      <w:r>
        <w:rPr>
          <w:b w:val="0"/>
          <w:i w:val="0"/>
        </w:rPr>
        <w:t>Most importantly, the value generated by networks will change as firms compete, innovate, and respond to community and regulatory pressure. Multihoming—a practice enabling participants on one hub’s ecosystem to easily join another—can significantly mitigate the rise of hub power. For example, drivers and passengers routinely multihome across different ride-sharing platforms, often checking prices on Uber, Lyft, and Fasten to see which is offering the best deal. Retailers are starting to multihome across payment systems, supporting multiple solutions (such as Apple Pay, Google Wallet, and Samsung Pay). If multihoming is common, the market is less likely to tip to a single player, preserving competition and diffusing value capture. Indeed, companies will need to make their products and services available on multiple hubs and encourage the formation of new hubs to avoid being held hostage by one dominant player. Take the wireless-speaker manufacturer Sonos: It has ensured that its music system seamlessly integrates with as many music services as possible, including Apple Music, Amazon Music Unlimited, Google Play Music, Pandora, Spotify, and Tidal.</w:t>
      </w:r>
    </w:p>
    <w:p>
      <w:r>
        <w:rPr>
          <w:b w:val="0"/>
          <w:i w:val="0"/>
        </w:rPr>
        <w:t>Collective action can also restructure economic networks, shape value creation and capture, and ease competitive bottlenecks. In the 1990s the open-source community organized to compete against Microsoft Windows with the Linux operating system. That effort was actively supported by traditional players such as IBM and Hewlett-Packard and reinforced later by Google and Facebook. Today Linux (and Linux-related products) are firmly established in enterprises, consumer devices, and cloud computing. Similarly, the Mozilla open-source community and its Firefox browser broke Microsoft’s grip on navigating the internet. Even Apple, notorious for its proprietary approach, relies on open-source software for its core operating systems and web services, and the infamous iPhone jailbreaking craze demonstrated both the extraordinary demand for third-party apps and the burgeoning supply of them.</w:t>
      </w:r>
    </w:p>
    <w:p>
      <w:r>
        <w:rPr>
          <w:b w:val="0"/>
          <w:i w:val="0"/>
        </w:rPr>
        <w:t>Open source has grown beyond all expectations to create an increasingly essential legacy of common intellectual property, capabilities, and methodologies. Now collective action is going well beyond code sharing to include coordination on data aggregation, the use of common infrastructure, and the standardization of practices to further equilibrate the power of hubs. Efforts like OpenStreetMap are leading the way in maps, and Mozilla’s Common Voice project is crowdsourcing global voice data to open up the speech-recognition bottleneck.</w:t>
      </w:r>
    </w:p>
    <w:p>
      <w:r>
        <w:rPr>
          <w:b w:val="0"/>
          <w:i w:val="0"/>
        </w:rPr>
        <w:t>Collective action will be increasingly crucial to sustaining balance in the digital economy. As economic sectors coalesce into networks and as powerful hubs continue to form, other stakeholders will need to work together to ensure that hubs look after the interests of all network members. Cooperation will become more important for the rivals that orbit hubs; indeed, strategic joint action by companies that are not hubs may be the best competitive antidote to the rising power of hub firms.</w:t>
      </w:r>
    </w:p>
    <w:p>
      <w:r>
        <w:rPr>
          <w:b w:val="0"/>
          <w:i w:val="0"/>
        </w:rPr>
        <w:t>The public is also raising concerns about privacy, online tracking, cybersecurity, and data aggregation. Solutions being suggested include requirements for social network and data portability similar to the requirements for phone number portability that telecommunications regulators instituted to increase competition among phone service providers.</w:t>
      </w:r>
    </w:p>
    <w:p>
      <w:pPr>
        <w:pStyle w:val="Heading2"/>
      </w:pPr>
      <w:r>
        <w:rPr>
          <w:b/>
          <w:i w:val="0"/>
        </w:rPr>
        <w:t>The Ethics of Network Leadership</w:t>
      </w:r>
    </w:p>
    <w:p>
      <w:r>
        <w:rPr>
          <w:b w:val="0"/>
          <w:i w:val="0"/>
        </w:rPr>
        <w:t>The responsibility for sustaining our (digital) economy rests partly with the same leaders who are poised to control it. By developing such central positions of power and influence, hub firms have become de facto stewards of the long-term health of our economy. Leaders of hub companies need to realize that their organizations are analogous to “keystone” species in biological ecosystems—playing a critical role in maintaining their surroundings. Apple, Alibaba, Alphabet/Google, Amazon, and others that benefit disproportionately from the ecosystems they dominate have rational and ethical reasons to support the economic vitality of not just their direct participants but also the broader industries they serve. In particular, we argue that hub companies need to incorporate value sharing into their business models, along with value creation and value capture.</w:t>
      </w:r>
    </w:p>
    <w:p>
      <w:r>
        <w:rPr>
          <w:b w:val="0"/>
          <w:i w:val="0"/>
        </w:rPr>
        <w:t>Building and maintaining a healthy ecosystem is in the best interests of hub companies. Amazon and Alibaba claim millions of marketplace sellers, and they profit from every transaction those merchants make. Similarly, Google and Apple earn billions in revenue from the third-party apps that run on their platforms. Both companies already invest heavily in the developer community, providing programming frameworks, software tools, and opportunities and business models that enable developers to grow their businesses. But such efforts will need to be scaled up and refined as hub firms find themselves at the center of—and relying on—much larger and more-complex ecosystems. Preserving the strength and productivity of complementary communities should be a fundamental part of any hub firm’s strategy.</w:t>
      </w:r>
    </w:p>
    <w:p>
      <w:r>
        <w:rPr>
          <w:b w:val="0"/>
          <w:i w:val="0"/>
        </w:rPr>
        <w:t>Uber provides an interesting example of the repercussions of getting this wrong. Uber’s viability depends on its relations with its drivers and riders, who have often criticized the company’s practices. Under pressure from those communities—and from competitors that offer drivers the potential to earn more—Uber is making improvements. Still, its challenges suggest that no hub will maintain an advantage over the long term if it neglects the well-being of its ecosystem partners. Microsoft learned a hard lesson when it failed to maintain the health of its PC software ecosystem, losing out to the Linux community in cloud services.</w:t>
      </w:r>
    </w:p>
    <w:p>
      <w:r>
        <w:rPr>
          <w:b w:val="0"/>
          <w:i w:val="0"/>
        </w:rPr>
        <w:t>But network ethics are not just about financial considerations. Social concerns are equally important. Centralized platforms, such as Kiva for charitable impact investing and Airbnb for accommodation bookings, have been found to be susceptible to racial discrimination. In Airbnb’s case, external researchers convincingly demonstrated that African American guests were especially likely to have their reservation requests rejected. The pressure is now on Airbnb to fight bias both by educating its proprietors and by modifying certain platform features. Additionally, as Airbnb continues to grow, it must work to ensure that its hosts heed municipal regulations, lest they face a potentially devastating regulatory backlash.</w:t>
      </w:r>
    </w:p>
    <w:p>
      <w:r>
        <w:rPr>
          <w:b w:val="0"/>
          <w:i w:val="0"/>
        </w:rPr>
        <w:t>Indeed, if hubs do not promote the health and sustainability of the many firms and individuals in their networks, other forces will undoubtedly step in. Governments and regulators will increasingly act to encourage competition, protect consumer welfare, and foster economic stability. Consider the challenges Google faces in Europe, where regulators are concerned about the dominance of both its search advertising business and its Android platform.</w:t>
      </w:r>
    </w:p>
    <w:p>
      <w:r>
        <w:rPr>
          <w:b w:val="0"/>
          <w:i w:val="0"/>
        </w:rPr>
        <w:t>The centralizing forces of digitization are not going to slow down anytime soon. The emergence of powerful hub firms is well underway, and the threats to global economic well-being are unmistakable. All actors in the economy—but particularly the hub firms themselves—should work to sustain the entire ecosystem and observe new principles, for both strategic and ethical reasons. Otherwise, we are all in serious trouble.</w:t>
      </w:r>
    </w:p>
    <w:p>
      <w:r>
        <w:rPr>
          <w:b/>
          <w:i w:val="0"/>
        </w:rPr>
        <w:t>TAKEAWAYS</w:t>
      </w:r>
    </w:p>
    <w:p>
      <w:r>
        <w:rPr>
          <w:b w:val="0"/>
          <w:i w:val="0"/>
        </w:rPr>
        <w:t>A small number of digital superpowers have become “hub firms” that control access to billions of mobile customers coveted by all kinds of product and service providers. These hubs drive increasing returns to scale and claim a disproportionate share of the value being created in the global economy.</w:t>
      </w:r>
    </w:p>
    <w:p>
      <w:r>
        <w:rPr>
          <w:b w:val="0"/>
          <w:i w:val="0"/>
        </w:rPr>
        <w:t>✓   The hub economy will continue to spread across more industries, concentrating more power in the hands of a few.</w:t>
      </w:r>
    </w:p>
    <w:p>
      <w:r>
        <w:rPr>
          <w:b w:val="0"/>
          <w:i w:val="0"/>
        </w:rPr>
        <w:t>✓   As hubs proliferate and expand their reach, they will exacerbate economic inequality and threaten social stability. All stakeholders—traditional companies, startups, institutions, and communities—will need to change the way they do business.</w:t>
      </w:r>
    </w:p>
    <w:p>
      <w:r>
        <w:rPr>
          <w:b w:val="0"/>
          <w:i w:val="0"/>
        </w:rPr>
        <w:t>✓   Hub firms themselves must lead responsibly for the good of all, not just creating and capturing value but doing more to sustain other players in the ecosystem.</w:t>
      </w:r>
    </w:p>
    <w:p>
      <w:r>
        <w:rPr>
          <w:b w:val="0"/>
          <w:i/>
        </w:rPr>
        <w:t>Adapted from an article in</w:t>
      </w:r>
      <w:r>
        <w:rPr>
          <w:b w:val="0"/>
          <w:i w:val="0"/>
        </w:rPr>
        <w:t xml:space="preserve"> Harvard Business Review</w:t>
      </w:r>
      <w:r>
        <w:rPr>
          <w:b w:val="0"/>
          <w:i/>
        </w:rPr>
        <w:t>, September–October 2017 (product #R1705F).</w:t>
      </w:r>
    </w:p>
    <w:p>
      <w:pPr>
        <w:pStyle w:val="Heading1"/>
      </w:pPr>
      <w:r>
        <w:rPr>
          <w:b/>
          <w:i w:val="0"/>
        </w:rPr>
        <w:t>2</w:t>
      </w:r>
    </w:p>
    <w:p>
      <w:pPr>
        <w:pStyle w:val="Heading1"/>
      </w:pPr>
      <w:r>
        <w:rPr>
          <w:b/>
          <w:i w:val="0"/>
        </w:rPr>
        <w:t>IS LACK OF COMPETITION STRANGLING THE U.S. ECONOMY?</w:t>
      </w:r>
    </w:p>
    <w:p>
      <w:r>
        <w:rPr>
          <w:b w:val="0"/>
          <w:i w:val="0"/>
        </w:rPr>
        <w:t>by David Wessel</w:t>
      </w:r>
    </w:p>
    <w:p>
      <w:r>
        <w:rPr>
          <w:b w:val="0"/>
          <w:i w:val="0"/>
        </w:rPr>
        <w:t>Despite their undeniable popularity, Apple, Amazon, Google, and Facebook are drawing increasing scrutiny from economists, legal scholars, politicians, and policy wonks, who accuse these firms of using their size and strength to crush potential competitors. (Their clout caught the attention of European regulators long ago.) The tech giants pose unique challenges, but they also represent just one piece of a broader story: a troubling phenomenon of too little competition throughout the U.S. economy.</w:t>
      </w:r>
    </w:p>
    <w:p>
      <w:r>
        <w:rPr>
          <w:b w:val="0"/>
          <w:i w:val="0"/>
        </w:rPr>
        <w:t>There’s no question that most industries are becoming more concentrated. Big firms account for higher shares of industry revenue and are reaping historically large profits relative to their investment. This is not necessarily a bad thing. As an all-star quintet of economists—David Autor, David Dorn, Lawrence Katz, Christina Patterson, and John Van Reenen—points out, concentration and higher profits can be benign, perhaps even welcome, consequences of technological innovation. We now operate in a winner-take-most world, the argument goes, in which superstar firms with higher productivity capture a larger slice of the market; Amazon, Apple, Facebook, and Google have risen to the top because of their propensity to innovate. According to James Bessen of Boston University, the increasing share of revenue captured by the top firms in industries outside of high tech is explained by those firms’ adoption of proprietary, mission-critical information technology: They’re bigger because they’re better.</w:t>
      </w:r>
    </w:p>
    <w:p>
      <w:r>
        <w:rPr>
          <w:b w:val="0"/>
          <w:i w:val="0"/>
        </w:rPr>
        <w:t>Mounting evidence, however, strongly suggests that harmful forces are also at play. “Concentration could arise from anticompetitive forces,” Autor and his colleagues note, “whereby dominant firms are increasingly able to prevent actual and potential rivals from entering and expanding.” Indeed, research shows that incumbent firms in a wide range of industries—airlines, beer, pharmaceuticals, hospitals—are wielding market power in ways that prevent rivals from emerging and thriving. The winners are winning bigger, while the number of new startups is falling. With waning competitive pressure, productivity growth slows, wages stagnate, and the gap between winners and losers widens.</w:t>
      </w:r>
    </w:p>
    <w:p>
      <w:r>
        <w:rPr>
          <w:b w:val="0"/>
          <w:i w:val="0"/>
        </w:rPr>
        <w:t>The underlying problem is not “bigness” per se. Rather, it’s the combined effect of size, concentration, and, importantly, incumbent-friendly regulation on the healthy competition that propels economic growth. In this article, I examine the troubling effect of industry consolidation on competition. I then look at the role of antitrust law and regulation in shaping today’s economic environment and explore strategies to improve the flow of innovation, enhance dynamism in business and in labor markets, and ultimately deliver higher standards of living for all.</w:t>
      </w:r>
    </w:p>
    <w:p>
      <w:pPr>
        <w:pStyle w:val="Heading2"/>
      </w:pPr>
      <w:r>
        <w:rPr>
          <w:b/>
          <w:i w:val="0"/>
        </w:rPr>
        <w:t>The Warning Signs</w:t>
      </w:r>
    </w:p>
    <w:p>
      <w:r>
        <w:rPr>
          <w:b w:val="0"/>
          <w:i w:val="0"/>
        </w:rPr>
        <w:t>Ten years ago, the top four U.S. airlines collected 41% of the industry’s revenue. Today, they collect 65%. Although competition is stiff on the most heavily traveled air routes, 97% of routes between pairs of cities have so few competitors that standard antitrust metrics would deem them “highly concentrated.” In 1990, 65% of hospitals in metropolitan areas were “highly concentrated.” By 2016, 90% were. It’s a similar story in the beer business. Despite the proliferation of craft breweries, four brewers hold nearly 90% of the U.S. beer market.</w:t>
      </w:r>
    </w:p>
    <w:p>
      <w:r>
        <w:rPr>
          <w:b w:val="0"/>
          <w:i w:val="0"/>
        </w:rPr>
        <w:t xml:space="preserve">These are not isolated cases. In a 2002 study, Lawrence White, a New York University economist, concluded that economy-wide concentration had fallen from the beginning of the 1980s to the end of the 1990s. When he took another look, in 2017, the story had changed. With scholarly caution, he noted “a moderate but continued increase in aggregate concentration.” The </w:t>
      </w:r>
      <w:r>
        <w:rPr>
          <w:b w:val="0"/>
          <w:i/>
        </w:rPr>
        <w:t>Economist</w:t>
      </w:r>
      <w:r>
        <w:rPr>
          <w:b w:val="0"/>
          <w:i w:val="0"/>
        </w:rPr>
        <w:t>, using U.S. Economic Census data, found a similar trend. Of the 893 industries it examined—from dog food and battery makers to airlines and credit cards—two-thirds had grown more concentrated since 2007. Weighted by size of industry, the top four firms’ share of revenue had risen to 32% in 2012 from 26% in 1997.</w:t>
      </w:r>
    </w:p>
    <w:p>
      <w:r>
        <w:rPr>
          <w:b w:val="0"/>
          <w:i w:val="0"/>
        </w:rPr>
        <w:t>Clearly, industry concentration is on the rise. But does that mean there is less competition or that consumers are worse off? The best way to discern if increasing concentration is worrisome economically is to look at profits, investment, business dynamism, and prices. In most (though not all) cases, the data points to a lack of competition.</w:t>
      </w:r>
    </w:p>
    <w:p>
      <w:pPr>
        <w:pStyle w:val="Heading3"/>
      </w:pPr>
      <w:r>
        <w:rPr>
          <w:b w:val="0"/>
          <w:i w:val="0"/>
        </w:rPr>
        <w:t>Profits</w:t>
      </w:r>
    </w:p>
    <w:p>
      <w:r>
        <w:rPr>
          <w:b w:val="0"/>
          <w:i w:val="0"/>
        </w:rPr>
        <w:t>High and rising profits in an increasingly concentrated market are typically a sign of lessening competition and increased market power by dominant firms. Today, profits are up in industries in which a shrinking number of players have a growing share of the business. Recent research suggests that the average markup—the difference between the prices firms charge and products’ marginal cost—is rising in American business, and rising fastest for the most profitable firms. Using data for all publicly traded U.S. firms from 1950 to 2014, Jan De Loecker of Princeton and Jan Eeckhout of University College London found that markups rose from about 18% in 1980 to 67% in 2014. That’s good for shareholders, of course, but it’s not so good for consumers or the overall economy.</w:t>
      </w:r>
    </w:p>
    <w:p>
      <w:pPr>
        <w:pStyle w:val="Heading3"/>
      </w:pPr>
      <w:r>
        <w:rPr>
          <w:b w:val="0"/>
          <w:i w:val="0"/>
        </w:rPr>
        <w:t>Investment</w:t>
      </w:r>
    </w:p>
    <w:p>
      <w:r>
        <w:rPr>
          <w:b w:val="0"/>
          <w:i w:val="0"/>
        </w:rPr>
        <w:t>Another signal of declining competitive pressure is firms’ ability to increase profits without much investment; in competitive markets, companies are driven to invest more to stay ahead of their rivals. Business investment across the economy has perked up lately, but it is not as robust as one might expect given the surge in profits, the extraordinarily low cost of equity and debt, and the amount of cash on corporate balance sheets. Measured against GDP, corporate after-tax profits are almost double what they were 25 years ago—and higher than at any time since World War II—yet business investment as a share of GDP is up only 13% over the same period. “Investment is weak relative to profitability and valuation,” NYU’s Thomas Philippon and German Gutierrez concluded in a 2017 analysis built on the historical relationship between investment and the ratio of the market value of a company’s debt and equity to the replacement cost of its assets.</w:t>
      </w:r>
    </w:p>
    <w:p>
      <w:pPr>
        <w:pStyle w:val="Heading3"/>
      </w:pPr>
      <w:r>
        <w:rPr>
          <w:b w:val="0"/>
          <w:i w:val="0"/>
        </w:rPr>
        <w:t>Business dynamism</w:t>
      </w:r>
    </w:p>
    <w:p>
      <w:r>
        <w:rPr>
          <w:b w:val="0"/>
          <w:i w:val="0"/>
        </w:rPr>
        <w:t>In a healthy economy, companies continually are born, fail, expand, and contract, while new jobs are created and others are destroyed. A slowdown in business dynamism means that entrenched firms have less to fear from upstarts; as a result, the economy suffers as innovation slows and job growth stalls. In the United States, the rate of birth of new firms (as a percentage of all firms) fell from above 13% in the late 1980s to around 8% in 2015, according to the most recent official data. The number of jobs created by businesses less than a year old dropped from a peak of 4.7 million in the late 1990s to 3 million in 2015.</w:t>
      </w:r>
    </w:p>
    <w:p>
      <w:r>
        <w:rPr>
          <w:b w:val="0"/>
          <w:i w:val="0"/>
        </w:rPr>
        <w:t>John Haltiwanger, a University of Maryland economist, notes that the decline in dynamism in the United States originated in the retail sector in the 1980s and 1990s. But even as the number of retailers starting up and dying off plunged, the industry became more productive. This was dubbed “the Walmart effect,” because of the impact of the giant retailer not only on the efficiency of its industry but on the entire U.S. economy. Lately, though, declining dynamism has spread to the tech sector. That’s more worrisome, Haltiwanger says, because it portends slower productivity growth.</w:t>
      </w:r>
    </w:p>
    <w:p>
      <w:pPr>
        <w:pStyle w:val="Heading3"/>
      </w:pPr>
      <w:r>
        <w:rPr>
          <w:b w:val="0"/>
          <w:i w:val="0"/>
        </w:rPr>
        <w:t>Prices</w:t>
      </w:r>
    </w:p>
    <w:p>
      <w:r>
        <w:rPr>
          <w:b w:val="0"/>
          <w:i w:val="0"/>
        </w:rPr>
        <w:t>Economic theory suggests that oligopolies—industries in which a few firms dominate without much competition—lead to increases in price and reductions in output. In determining whether competition is on the decline, a review of prices by some researchers yields an inconclusive result. Sharat Ganapati of Dartmouth, for instance, looks at data from 1972 to 2012 and concludes that increased concentration in manufacturing is correlated with higher prices, which is consistent with declining competition, but also with stable output, which is not. Outside of manufacturing, industry concentration is correlated with higher output and stable prices, neither of which conforms to the theory of oligopoly and declining competition.</w:t>
      </w:r>
    </w:p>
    <w:p>
      <w:r>
        <w:rPr>
          <w:b w:val="0"/>
          <w:i w:val="0"/>
        </w:rPr>
        <w:t>The preponderance of evidence across the proliferating body of research suggests that industry consolidation is causing a troubling decline in competition, limiting the country’s capacity to innovate, create jobs, and sustain overall economic health.</w:t>
      </w:r>
    </w:p>
    <w:p>
      <w:pPr>
        <w:pStyle w:val="Heading2"/>
      </w:pPr>
      <w:r>
        <w:rPr>
          <w:b/>
          <w:i w:val="0"/>
        </w:rPr>
        <w:t>Heroes or Villains?</w:t>
      </w:r>
    </w:p>
    <w:p>
      <w:r>
        <w:rPr>
          <w:b w:val="0"/>
          <w:i w:val="0"/>
        </w:rPr>
        <w:t>Despite an overall picture of declining competition, it’s not always easy to determine whether or to what extent consumers in a particular industry are harmed by consolidation. Are companies that rise to the top “heroes” or “villains”?</w:t>
      </w:r>
    </w:p>
    <w:p>
      <w:r>
        <w:rPr>
          <w:b w:val="0"/>
          <w:i w:val="0"/>
        </w:rPr>
        <w:t>Consider Facebook and its 2017 acquisition of TBH (for “To Be Honest”), a mobile app popular with teenagers that allows them to anonymously answer questions about their friends. When Facebook snapped it up, the app was only two months old but had attracted more than 5 million users and logged more than a billion sent messages. TBH is only one of more than 60 such acquisitions by Facebook since 2010.</w:t>
      </w:r>
    </w:p>
    <w:p>
      <w:r>
        <w:rPr>
          <w:b w:val="0"/>
          <w:i w:val="0"/>
        </w:rPr>
        <w:t>Seen through the hero lens, the prospect of selling out to Facebook (or Google or Apple) offers many economic advantages. The promise of a generous payout is a huge incentive to innovative entrepreneurs. On a broader scale, the capacity of Facebook’s platform to spread innovation throughout the economy means that benefits from technological advances accrue faster and more broadly than they would in the hands of a startup. Seen through the villain lens, however, Facebook’s relentless swallowing up of promising young firms effectively squashes the potential of upstarts to become competitors. We’ll never know what TBH or Halli Labs or Orbitera or Instagram or WhatsApp or Oculus VR might have become had Facebook not absorbed them—or what companies might have been started had prospective founders not figured that it would be impossible to compete with Facebook.</w:t>
      </w:r>
    </w:p>
    <w:p>
      <w:r>
        <w:rPr>
          <w:b w:val="0"/>
          <w:i w:val="0"/>
        </w:rPr>
        <w:t>In some industries, concentration clearly is driven less by innovative superstars than by anticompetitive behavior. Consider beer. Despite the proliferation of craft breweries, two producers dominate the U.S. market: Anheuser-Busch InBev (Beck’s, Budweiser, Corona, Michelob, Stella Artois) and MillerCoors (Blue Moon, Coors, Miller, Molson). Recent research pins rising beer prices to greater concentration in the industry. When SABMiller and MolsonCoors (the number two and three brewers at the time) combined U.S. operations, in 2008, prices abruptly rose—and not only for their beers but also for those of competitor Anheuser-Busch. Economists Nathan Miller of Georgetown and Matthew Weinberg of Drexel estimated that prices were at least 6% and 8% higher than they would have been without the joint venture and suggested that the competing brewers coordinated pricing. In 2015, the Justice Department, citing corporate documents in its initial objection to a subsequent Anheuser-Busch acquisition, said the brewer’s strategic plan for pricing “reads like a how-to manual for successful price coordination.”</w:t>
      </w:r>
    </w:p>
    <w:p>
      <w:r>
        <w:rPr>
          <w:b w:val="0"/>
          <w:i w:val="0"/>
        </w:rPr>
        <w:t>Health care is another stark example. A wave of hospital mergers and consolidations across the country, driven in part by a push for better coordination of care and greater efficiency, has strengthened hospitals’ bargaining power relative to insurers’ without much sign of the hoped-for benefits in productivity. “Although provider concentration could produce efficiencies that benefit purchasers of health care services, the evidence does not point in that direction,” Berkeley’s Brent Fulton concludes in a 2017 review of the literature. Concentration in hospital markets is also associated with higher prices, with surges of up to 20% following mergers. A 2010 analysis found that the typical private-insurer payment for inpatient hospital stays in San Francisco (a highly concentrated market) was about 75% higher than in the more fragmented Los Angeles market.</w:t>
      </w:r>
    </w:p>
    <w:p>
      <w:r>
        <w:rPr>
          <w:b w:val="0"/>
          <w:i w:val="0"/>
        </w:rPr>
        <w:t>So are industry leaders heroes or villains? Probably a bit of both. “Most firms are actively engaged in protecting their source of competitive advantage through a mixture of innovation, lobbying, or both,” says Luigi Zingales of the University of Chicago. To the extent that firms are being driven to innovate, there is little to worry about. But when corporations use their market power to shape the policy and regulatory environment in ways that crush competition, problems arise. And unfortunately, there’s more than enough evidence to conclude that a substantial portion of the U.S. economy suffers from a lack of competition.</w:t>
      </w:r>
    </w:p>
    <w:p>
      <w:pPr>
        <w:pStyle w:val="Heading2"/>
      </w:pPr>
      <w:r>
        <w:rPr>
          <w:b/>
          <w:i w:val="0"/>
        </w:rPr>
        <w:t>Reshaping the Antitrust Framework</w:t>
      </w:r>
    </w:p>
    <w:p>
      <w:r>
        <w:rPr>
          <w:b w:val="0"/>
          <w:i w:val="0"/>
        </w:rPr>
        <w:t>In remedying the harmful effects of industry consolidation and declining competition, an obvious place to start is antitrust regulation and enforcement. The U.S. approach to antitrust has evolved significantly over the past century. In the 1950s and 1960s, many mergers—even ones that would have led to relatively modest increases in concentration—were routinely challenged, but in the 1970s the antitrust framework began to shift toward challenging many fewer mergers. Lawyer-judges Robert Bork and Richard Posner and Nobel laureate economists George Stigler and Oliver Williamson laid the intellectual foundation for this shift, which spread to the policy arena and the courts in the early 1980s.</w:t>
      </w:r>
    </w:p>
    <w:p>
      <w:r>
        <w:rPr>
          <w:b w:val="0"/>
          <w:i w:val="0"/>
        </w:rPr>
        <w:t>The more lenient approach relied on three ideas: that harm from increased concentration had to be weighed against the efficiencies to be achieved, that horizontal mergers between competitors were harmful only if they led to less output, and that vertical mergers between supplier and buyer generally were not a problem. This thinking solidified under the Reagan Justice Department, and for better or worse, the antitrust authorities stood by over the coming decades as the economy grew more concentrated. In the 2000s, under Barack Obama, the stance became somewhat more aggressive, but it remains unclear whether his executive orders to promote competitive markets, issued in the closing innings of his administration, were mere symbolism or a serious effort.</w:t>
      </w:r>
    </w:p>
    <w:p>
      <w:r>
        <w:rPr>
          <w:b w:val="0"/>
          <w:i w:val="0"/>
        </w:rPr>
        <w:t>It is time for antitrust authorities to renew their scrutiny of traditional mergers. A comprehensive review of retrospective studies of the thousands of mergers and joint ventures over the past 25 years by Northeastern University economist John Kwoka judged that antitrust authorities had been too tolerant both in letting certain types of mergers go unchallenged and in imposing conditions on mergers that were cleared. Prices following a subset of these mergers rose by an average of 4.3%, holding other factors constant, Kwoka found. The increases were particularly large in the airline and health care industries. “The diminished attention to mergers involving somewhat lower market shares and concentration appears to have resulted in approval of significantly more mergers that prove to be anticompetitive,” he wrote in a 2015 book.</w:t>
      </w:r>
    </w:p>
    <w:p>
      <w:r>
        <w:rPr>
          <w:b w:val="0"/>
          <w:i w:val="0"/>
        </w:rPr>
        <w:t xml:space="preserve">Kwoka’s meta-analysis suggests that antitrust authorities should be more inclined to block mergers in order to increase competition. Consider the wireless telephone business. In 2011, AT&amp;T sought to acquire a struggling competitor, T-Mobile USA, in a $39 billion deal that would have reduced the number of major competitors in the industry from four to three. Unable to overcome the opposition of the Obama administration, however, AT&amp;T abandoned the deal five months after announcing it. After the merger fell through, some argued that T-Mobile was doomed. It wasn’t. As writer Mark Rogowsky recounted in </w:t>
      </w:r>
      <w:r>
        <w:rPr>
          <w:b w:val="0"/>
          <w:i/>
        </w:rPr>
        <w:t>Forbes</w:t>
      </w:r>
      <w:r>
        <w:rPr>
          <w:b w:val="0"/>
          <w:i w:val="0"/>
        </w:rPr>
        <w:t>, “Within a year, T-Mobile hired John Legere as its new CEO and he threw out the business-as-usual approach. Legere dumped subsidies, lowered prices, offered more data and often poked fun at rivals.” T-Mobile thrived, signing up 4.4 million new subscribers in 2013. By 2017, competition among wireless carriers was so stiff that Federal Reserve chair Janet Yellen cited falling prices for cell phone service as a cause of low inflation.</w:t>
      </w:r>
    </w:p>
    <w:p>
      <w:r>
        <w:rPr>
          <w:b w:val="0"/>
          <w:i w:val="0"/>
        </w:rPr>
        <w:t>Antitrust authorities must also tackle the vexing question of what constitutes illegal “predatory” pricing in today’s market. Consider Amazon’s alleged use of below-cost pricing to pressure and ultimately acquire a potential competitor. After the e-commerce company Quidsi—the owner of Diapers.com—rejected a 2009 acquisition overture from Amazon, Amazon responded by cutting prices for diapers and other baby products by as much as 30% on its site and rolling out Amazon Mom, which offered discounts and free shipping. Quidsi struggled, flirted with Walmart, but eventually sold itself to Amazon. By 2012, Amazon had begun raising prices and had slashed the benefits of Amazon Mom.</w:t>
      </w:r>
    </w:p>
    <w:p>
      <w:r>
        <w:rPr>
          <w:b w:val="0"/>
          <w:i w:val="0"/>
        </w:rPr>
        <w:t>These are live issues. In 2015, for instance, the Federal Trade Commission considered whether the merger of real estate sites Zillow and Trulia would reduce both companies’ incentives to develop new features for consumers. The FTC decided that it wouldn’t, and the merger went through. But in the same year, FTC sought to block a merger between Steris and Synergy Health, the number two and three companies in the health care facility-sterilization business. Because Synergy didn’t do business in the United States at the time, the FTC argued, a merger would preclude any competition that might result from Synergy’s eventual entrance into the U.S. market. A federal judge disagreed, and the merger was consummated.</w:t>
      </w:r>
    </w:p>
    <w:p>
      <w:r>
        <w:rPr>
          <w:b w:val="0"/>
          <w:i w:val="0"/>
        </w:rPr>
        <w:t>Even-more-complicated issues will arise as the economy evolves. How should the authorities view the unprecedented power of the new digital giants to crush competitors? Should they be more skeptical about mergers that might lessen “potential competition,” which occurs when one firm buys another in an adjacent market (think Google’s acquisition of YouTube or Microsoft’s acquisition of LinkedIn)? How about when a big firm swallows a tiny firm that might have grown into a mighty oak?</w:t>
      </w:r>
    </w:p>
    <w:p>
      <w:r>
        <w:rPr>
          <w:b w:val="0"/>
          <w:i w:val="0"/>
        </w:rPr>
        <w:t>The argument for reexamining current merger guidelines—and, where appropriate, challenging the case law that is said to make Department of Justice and FTC lawyers reluctant to bring cases—is very strong. The economy is more concentrated. Evidence that there’s too little competition is accumulating. Acquisitions that in the past were too small to attract the usual antitrust scrutiny can eliminate potential competition, especially in a world where a company like WhatsApp can grow in just a few years to reach a billion users a day. Indeed, the power of new tech giants to use their potent networks and the vast amounts of data they collect to thwart competition is one of the biggest challenges facing antitrust authorities today.</w:t>
      </w:r>
    </w:p>
    <w:p>
      <w:pPr>
        <w:pStyle w:val="Heading2"/>
      </w:pPr>
      <w:r>
        <w:rPr>
          <w:b/>
          <w:i w:val="0"/>
        </w:rPr>
        <w:t>Rethinking Regulation</w:t>
      </w:r>
    </w:p>
    <w:p>
      <w:r>
        <w:rPr>
          <w:b w:val="0"/>
          <w:i w:val="0"/>
        </w:rPr>
        <w:t>The worrisome aspects of increasing industry consolidation can’t be addressed solely through antitrust enforcement. Policy makers also need to scrutinize regulations that restrict competition across the economy. Owing in part to incumbent firms’ influence in shaping policy to preserve their positions at the expense of startups and other would-be competitors, the United States is no longer held up as an exemplar of free markets and regulatory restraint. In fact, in a dramatic change from the late 1990s, the Organization for Economic Cooperation and Development says the U.S. now regulates product markets more heavily than many developed economies including Australia, Canada, France, Germany, and Japan.</w:t>
      </w:r>
    </w:p>
    <w:p>
      <w:r>
        <w:rPr>
          <w:b w:val="0"/>
          <w:i w:val="0"/>
        </w:rPr>
        <w:t>Take the pharmaceutical industry. Although the United States doesn’t regulate pharmaceutical prices, as most rich countries do, it offers makers of brand-name drugs patent protection, periods of exclusivity, and other ways to recoup their investment in expensive research that produces new drugs. Once those protections expire, however, prices theoretically should fall as makers of generics enter the market. And that does happen—sometimes.</w:t>
      </w:r>
    </w:p>
    <w:p>
      <w:r>
        <w:rPr>
          <w:b w:val="0"/>
          <w:i w:val="0"/>
        </w:rPr>
        <w:t>According to Yale economist Fiona Scott Morton, however, over the past 10 to 15 years “industry participants have managed to disable many of these competitive mechanisms and create niches in which drugs can be sold with little to no competition.” For example, the marketing of some drugs with particularly severe side effects is now very tightly controlled through the FDA’s Risk Evaluation and Mitigation Strategy, or REMS. The makers of those drugs, in some instances, cite the restrictions as a reason not to supply a generic maker with a sample to re-create the drugs. For example, it took Hikma Pharmaceuticals nearly seven years of litigation to get what it needed to produce, in accordance with REMS restrictions, a generic version of Jazz Pharmaceuticals’ major product, Xyrem, a $1-billion-a-year drug used to treat narcolepsy. The 2017 settlement allows Hikma to begin marketing the generic version only after January 1, 2023. Early in his tenure as President Trump’s FDA commissioner, Scott Gottlieb vowed to change the REMS rules to prevent drugmakers from using them to thwart generic competition and in 2018 announced a preliminary plan to do so.</w:t>
      </w:r>
    </w:p>
    <w:p>
      <w:r>
        <w:rPr>
          <w:b w:val="0"/>
          <w:i w:val="0"/>
        </w:rPr>
        <w:t>Regulations in the labor market, along with certain employer practices, can also conspire to constrain competition, by limiting workers’ ability to seek new or higher-paying jobs. As the famed economist Adam Smith warned, corporations continue to behave in ways that seek “always and everywhere in a sort of tacit, but constant and uniform combination, not to raise the wages of labor.” One way companies do this is by requiring workers to sign noncompete agreements. When enforced, these agreements inhibit a worker’s ability to switch jobs and constrain the ability of new firms to hire talent. Software engineers and CEOs are not the only ones affected by such regulations: Among employees earning $40,000 or less, about one in seven (13.5%) is bound by a noncompete. In an eyebrow-raising 2017 study, Princeton’s Alan Krueger and Orley Ashenfelter found that 58% of major chains (Burger King, Jiffy Lube, H&amp;R Block, and dozens more) restrict and sometimes prohibit one franchisee from hiring workers away from another, to the obvious detriment of people seeking to change jobs.</w:t>
      </w:r>
    </w:p>
    <w:p>
      <w:r>
        <w:rPr>
          <w:b w:val="0"/>
          <w:i w:val="0"/>
        </w:rPr>
        <w:t>The explosion of state occupational licensing rules also harms both workers and new entrants. In the 1960s, only 10% of U.S. workers had an occupational license. At last count, 22% do. Much of the increase is a result of states extending the occupations for which licenses are required. Some of the requirements are motivated by an urge to protect consumers, but others were clearly orchestrated through lobbying from trade associations eager to raise barriers to entry, limit the number of players in their profession, and raise prices. Louisiana requires florists to be licensed. Michigan requires 1,460 days of training for athletic trainers, but only 26 days for emergency medical technicians. California’s Board of Barbering and Cosmetology requires 1,600 hours of education and hands-on training before a person can take the licensing exam, and another 3,200 hours of apprenticeship and 220 hours of related training are required for licensure. States generally don’t recognize credentials issued by other states, making it hard for licensed workers to move across state lines and protecting existing license holders in any state.</w:t>
      </w:r>
    </w:p>
    <w:p>
      <w:r>
        <w:rPr>
          <w:b w:val="0"/>
          <w:i w:val="0"/>
        </w:rPr>
        <w:t>Such regulatory restraints on competition are coming under increasing scrutiny. The Federal Trade Commission has been in a long-running battle with dentists’ organizations over various state rules that limit the services hygienists and teeth-whitening clinics can offer. Creating a category of “dental therapists” to provide some routine services “could benefit consumers by increasing choice, competition and access to care, especially for the underserved,” the FTC said. The dentists are not happy.</w:t>
      </w:r>
    </w:p>
    <w:p>
      <w:r>
        <w:rPr>
          <w:b w:val="0"/>
          <w:i w:val="0"/>
        </w:rPr>
        <w:t>In 2014, under pressure from the Federal Communications Commission, the wireless phone industry finally agreed to allow consumers to unlock their cell phones if they wanted to change providers. And with bipartisan enthusiasm and the blessing of the Food and Drug Administration, Congress in 2017 instructed the FDA to make it easier for consumers to buy hearing aids at Costco and other retailers, just as they can buy reading glasses at nonspecialty stores such as CVS. The notion was to spur competition and lower prices, discouraging the practice of some audiologists of bundling an exam with the purchase of a hearing aid.</w:t>
      </w:r>
    </w:p>
    <w:p>
      <w:r>
        <w:rPr>
          <w:b w:val="0"/>
          <w:i w:val="0"/>
        </w:rPr>
        <w:t>This is a start, but regulators and policy makers have more work to do.</w:t>
      </w:r>
    </w:p>
    <w:p>
      <w:pPr>
        <w:pStyle w:val="Heading2"/>
      </w:pPr>
      <w:r>
        <w:rPr>
          <w:b/>
          <w:i w:val="0"/>
        </w:rPr>
        <w:t>The Way Forward</w:t>
      </w:r>
    </w:p>
    <w:p>
      <w:r>
        <w:rPr>
          <w:b w:val="0"/>
          <w:i w:val="0"/>
        </w:rPr>
        <w:t>Ultimately, curing what ails the U.S. economy requires political commitment and resolve to protect the robust competition that spurs productivity growth and improves American living standards, even when well-resourced interests resist.</w:t>
      </w:r>
    </w:p>
    <w:p>
      <w:r>
        <w:rPr>
          <w:b w:val="0"/>
          <w:i w:val="0"/>
        </w:rPr>
        <w:t>If we’re slow to take action to bolster competition—perhaps because incumbents successfully wield their power or because of a distaste for regulation of any sort—we risk diluting the dynamism of the economy and restricting the flow of innovations and new ideas, darkening the prospects for our children and grandchildren.</w:t>
      </w:r>
    </w:p>
    <w:p>
      <w:r>
        <w:rPr>
          <w:b/>
          <w:i w:val="0"/>
        </w:rPr>
        <w:t>TAKEAWAYS</w:t>
      </w:r>
    </w:p>
    <w:p>
      <w:r>
        <w:rPr>
          <w:b w:val="0"/>
          <w:i w:val="0"/>
        </w:rPr>
        <w:t>Tech giants are drawing increasing scrutiny from economists, legal scholars, politicians, and policy wonks, who accuse these firms of using their size and strength to crush potential competitors.</w:t>
      </w:r>
    </w:p>
    <w:p>
      <w:r>
        <w:rPr>
          <w:b w:val="0"/>
          <w:i w:val="0"/>
        </w:rPr>
        <w:t>✓   Economists are trying to understand whether the concentration of U.S. industries is bad for competition. Their findings point in many different directions—innovation superstars like Google have created winner-take-most markets largely by exploiting network effects, not through predatory behavior. Yet research from the wider economy uncovers classic signs of unhealthy concentration: rising profits, weak investment, and low business dynamism.</w:t>
      </w:r>
    </w:p>
    <w:p>
      <w:r>
        <w:rPr>
          <w:b w:val="0"/>
          <w:i w:val="0"/>
        </w:rPr>
        <w:t>✓   The U.S. approach to antitrust has evolved significantly; in the 1950s and 1960s, many mergers—even ones that would have led to relatively modest increases in industry concentration—were routinely challenged. Since the 1970s, however, the antitrust framework has shifted toward challenging many fewer mergers.</w:t>
      </w:r>
    </w:p>
    <w:p>
      <w:r>
        <w:rPr>
          <w:b w:val="0"/>
          <w:i w:val="0"/>
        </w:rPr>
        <w:t>✓   Regulators need to pay greater attention to protecting economic vitality and consumer well-being. It is time for another overhaul of antitrust regulations.</w:t>
      </w:r>
    </w:p>
    <w:p>
      <w:r>
        <w:rPr>
          <w:b w:val="0"/>
          <w:i/>
        </w:rPr>
        <w:t>Adapted from an article in</w:t>
      </w:r>
      <w:r>
        <w:rPr>
          <w:b w:val="0"/>
          <w:i w:val="0"/>
        </w:rPr>
        <w:t xml:space="preserve"> Harvard Business Review</w:t>
      </w:r>
      <w:r>
        <w:rPr>
          <w:b w:val="0"/>
          <w:i/>
        </w:rPr>
        <w:t>, March–April 2018 (product #R1802H).</w:t>
      </w:r>
    </w:p>
    <w:p>
      <w:pPr>
        <w:pStyle w:val="Heading1"/>
      </w:pPr>
      <w:r>
        <w:rPr>
          <w:b/>
          <w:i w:val="0"/>
        </w:rPr>
        <w:t>Section 2</w:t>
      </w:r>
    </w:p>
    <w:p>
      <w:pPr>
        <w:pStyle w:val="Heading1"/>
      </w:pPr>
      <w:r>
        <w:rPr>
          <w:b/>
          <w:i w:val="0"/>
        </w:rPr>
        <w:t>THE FUTURE OF ANTITRUST AND REGULATION</w:t>
      </w:r>
    </w:p>
    <w:p>
      <w:pPr>
        <w:pStyle w:val="Heading1"/>
      </w:pPr>
      <w:r>
        <w:rPr>
          <w:b/>
          <w:i w:val="0"/>
        </w:rPr>
        <w:t>3</w:t>
      </w:r>
    </w:p>
    <w:p>
      <w:pPr>
        <w:pStyle w:val="Heading1"/>
      </w:pPr>
      <w:r>
        <w:rPr>
          <w:b/>
          <w:i w:val="0"/>
        </w:rPr>
        <w:t>WHY IT’S A BAD IDEA TO LET A FEW TECH COMPANIES MONOPOLIZE OUR DATA</w:t>
      </w:r>
    </w:p>
    <w:p>
      <w:r>
        <w:rPr>
          <w:b w:val="0"/>
          <w:i w:val="0"/>
        </w:rPr>
        <w:t>by Maurice E. Stucke</w:t>
      </w:r>
    </w:p>
    <w:p>
      <w:r>
        <w:rPr>
          <w:b w:val="0"/>
          <w:i w:val="0"/>
        </w:rPr>
        <w:t>“It’s no good fighting an election campaign on the facts,” Cambridge Analytica’s managing director told an undercover reporter, “because actually it’s all about emotion.”1 To target U.S. voters and appeal to their hopes, neuroses, and fears, the political consulting firm needed to train its algorithm to predict and map personality traits. That required lots of personal data. So, to build these psychographic profiles, Cambridge Analytica enlisted a Cambridge University professor, whose app collected data on about 50 million Facebook users and their friends. Facebook, at that time, allowed app developers to collect this personal data. Facebook argued that Cambridge Analytica and the professor violated its data policies. But this was not the first time its policies were violated. Nor is it likely to be the last.</w:t>
      </w:r>
    </w:p>
    <w:p>
      <w:r>
        <w:rPr>
          <w:b w:val="0"/>
          <w:i w:val="0"/>
        </w:rPr>
        <w:t>This scandal came on the heels of Russia using Facebook, Google, and Twitter “to sow discord in the U.S. political system, including the 2016 U.S. presidential election.” It heightened concerns over today’s tech giants and the influence they have.</w:t>
      </w:r>
    </w:p>
    <w:p>
      <w:r>
        <w:rPr>
          <w:b w:val="0"/>
          <w:i w:val="0"/>
        </w:rPr>
        <w:t xml:space="preserve">That influence comes in part from data. Facebook, Google, Amazon, and similar companies are “data-opolies.” By that I mean companies that control a key platform, which, like a coral reef, attracts to its ecosystem users, sellers, advertisers, software developers, apps, and accessory makers. Apple and Google, for example, each control a popular mobile phone operating system platform (and key apps on that platform), Amazon controls the largest online merchant platform, and Facebook controls the largest social network platform. Through their leading platforms, a significant </w:t>
      </w:r>
      <w:r>
        <w:rPr>
          <w:b w:val="0"/>
          <w:i/>
        </w:rPr>
        <w:t>volume</w:t>
      </w:r>
      <w:r>
        <w:rPr>
          <w:b w:val="0"/>
          <w:i w:val="0"/>
        </w:rPr>
        <w:t xml:space="preserve"> and </w:t>
      </w:r>
      <w:r>
        <w:rPr>
          <w:b w:val="0"/>
          <w:i/>
        </w:rPr>
        <w:t>variety</w:t>
      </w:r>
      <w:r>
        <w:rPr>
          <w:b w:val="0"/>
          <w:i w:val="0"/>
        </w:rPr>
        <w:t xml:space="preserve"> of personal data flow. The </w:t>
      </w:r>
      <w:r>
        <w:rPr>
          <w:b w:val="0"/>
          <w:i/>
        </w:rPr>
        <w:t>velocity</w:t>
      </w:r>
      <w:r>
        <w:rPr>
          <w:b w:val="0"/>
          <w:i w:val="0"/>
        </w:rPr>
        <w:t xml:space="preserve"> in acquiring and exploiting this personal data can help these companies obtain significant market power.</w:t>
      </w:r>
    </w:p>
    <w:p>
      <w:r>
        <w:rPr>
          <w:b w:val="0"/>
          <w:i w:val="0"/>
        </w:rPr>
        <w:t>Is it OK for a few firms to possess so much data and thereby wield so much power? In the United States, at least, antitrust officials so far seem ambivalent about these data-opolies. They’re free, the thinking goes, so what’s the harm? But that reasoning is misguided. Data-opolies pose tremendous risks, for consumers, workers, competition, and the overall health of our democracy. Here’s why.</w:t>
      </w:r>
    </w:p>
    <w:p>
      <w:pPr>
        <w:pStyle w:val="Heading2"/>
      </w:pPr>
      <w:r>
        <w:rPr>
          <w:b/>
          <w:i w:val="0"/>
        </w:rPr>
        <w:t>Why U.S. Antitrust Isn’t Worried About Data-opolies</w:t>
      </w:r>
    </w:p>
    <w:p>
      <w:r>
        <w:rPr>
          <w:b w:val="0"/>
          <w:i w:val="0"/>
        </w:rPr>
        <w:t>The European competition authorities have recently brought actions against four data-opolies: Google, Apple, Facebook, and Amazon (or GAFA for short). The European Commission, for example, fined Google a record €2.42 billion for leveraging its monopoly in search to advance its comparative shopping service. The commission also preliminarily found Google to have abused its dominant position both with its Android mobile operating system and with AdSense. Facebook, Germany’s competition agency preliminarily found, abused its dominant position “by making the use of its social network conditional on its being allowed to limitlessly amass every kind of data generated by using third-party websites and merge it with the user’s Facebook account.”</w:t>
      </w:r>
    </w:p>
    <w:p>
      <w:r>
        <w:rPr>
          <w:b w:val="0"/>
          <w:i w:val="0"/>
        </w:rPr>
        <w:t>We will likely see more fines and other remedies in the next few years from the Europeans. But in the United States, the data-opolies largely escaped antitrust scrutiny under both the Obama and Bush administrations. Notably, while the European Commission found Google’s search bias to be anticompetitive, the U.S. Federal Trade Commission did not. From 2000 until 2017, the Department of Justice brought only one monopolization case in total, against anyone. (In contrast, the DOJ, between 1970 and 1972, brought 39 civil and 3 criminal cases against monopolies and oligopolies.)</w:t>
      </w:r>
    </w:p>
    <w:p>
      <w:r>
        <w:rPr>
          <w:b w:val="0"/>
          <w:i w:val="0"/>
        </w:rPr>
        <w:t>The head of the DOJ’s Antitrust Division recognized the enforcement gap between the United States and Europe. He noted his agency’s “particular concerns in digital markets.” But absent “demonstrable harm to competition and consumers,” the DOJ is “reluctant to impose special duties on digital platforms, out of [its] concern that special duties might stifle the very innovation that has created dynamic competition for the benefit of consumers.”2</w:t>
      </w:r>
    </w:p>
    <w:p>
      <w:r>
        <w:rPr>
          <w:b w:val="0"/>
          <w:i w:val="0"/>
        </w:rPr>
        <w:t>So, the divergence in antitrust enforcement may reflect differences over these data-opolies’ perceived harms. Ordinarily the harm from monopolies is higher prices, less output, or reduced quality. It superficially appears that data-opolies pose little, if any, risk of these harms. Unlike some pharmaceuticals, data-opolies do not charge consumers exorbitant prices. Most of Google’s and Facebook’s consumer products are ostensibly “free.” The data-opolies’ scale can also mean higher-quality products. The more people use a particular search engine, the more the search engine’s algorithm can learn users’ preferences, the more relevant the search results will likely be, which in turn will likely attract others to the search engine, and the positive feedback continues.</w:t>
      </w:r>
    </w:p>
    <w:p>
      <w:r>
        <w:rPr>
          <w:b w:val="0"/>
          <w:i w:val="0"/>
        </w:rPr>
        <w:t>As Robert Bork argued, there “is no coherent case for monopolization because a search engine, like Google, is free to consumers and they can switch to an alternative search engine with a click.”3</w:t>
      </w:r>
    </w:p>
    <w:p>
      <w:pPr>
        <w:pStyle w:val="Heading2"/>
      </w:pPr>
      <w:r>
        <w:rPr>
          <w:b/>
          <w:i w:val="0"/>
        </w:rPr>
        <w:t>How Data-opolies Harm</w:t>
      </w:r>
    </w:p>
    <w:p>
      <w:r>
        <w:rPr>
          <w:b w:val="0"/>
          <w:i w:val="0"/>
        </w:rPr>
        <w:t>But higher prices are not the only way for powerful companies to harm their consumers or the rest of society. Upon closer examination, data-opolies can pose at least eight potential harms.</w:t>
      </w:r>
    </w:p>
    <w:p>
      <w:pPr>
        <w:pStyle w:val="Heading3"/>
      </w:pPr>
      <w:r>
        <w:rPr>
          <w:b w:val="0"/>
          <w:i w:val="0"/>
        </w:rPr>
        <w:t>Lower-quality products with less privacy</w:t>
      </w:r>
    </w:p>
    <w:p>
      <w:r>
        <w:rPr>
          <w:b w:val="0"/>
          <w:i w:val="0"/>
        </w:rPr>
        <w:t xml:space="preserve">Companies, antitrust authorities increasingly recognize, can compete on privacy and protecting data. But without competition, data-opolies face less pressure. They can depress privacy protection </w:t>
      </w:r>
      <w:r>
        <w:rPr>
          <w:b w:val="0"/>
          <w:i/>
        </w:rPr>
        <w:t>below</w:t>
      </w:r>
      <w:r>
        <w:rPr>
          <w:b w:val="0"/>
          <w:i w:val="0"/>
        </w:rPr>
        <w:t xml:space="preserve"> competitive levels and collect personal data </w:t>
      </w:r>
      <w:r>
        <w:rPr>
          <w:b w:val="0"/>
          <w:i/>
        </w:rPr>
        <w:t>above</w:t>
      </w:r>
      <w:r>
        <w:rPr>
          <w:b w:val="0"/>
          <w:i w:val="0"/>
        </w:rPr>
        <w:t xml:space="preserve"> competitive levels. The collection of too much personal data can be the equivalent of charging an excessive price.</w:t>
      </w:r>
    </w:p>
    <w:p>
      <w:r>
        <w:rPr>
          <w:b w:val="0"/>
          <w:i w:val="0"/>
        </w:rPr>
        <w:t xml:space="preserve">Data-opolies can also fail to disclose </w:t>
      </w:r>
      <w:r>
        <w:rPr>
          <w:b w:val="0"/>
          <w:i/>
        </w:rPr>
        <w:t>what</w:t>
      </w:r>
      <w:r>
        <w:rPr>
          <w:b w:val="0"/>
          <w:i w:val="0"/>
        </w:rPr>
        <w:t xml:space="preserve"> data they collect and </w:t>
      </w:r>
      <w:r>
        <w:rPr>
          <w:b w:val="0"/>
          <w:i/>
        </w:rPr>
        <w:t>how</w:t>
      </w:r>
      <w:r>
        <w:rPr>
          <w:b w:val="0"/>
          <w:i w:val="0"/>
        </w:rPr>
        <w:t xml:space="preserve"> they will use the data. They face little competitive pressure to change their opaque privacy policies. Even if a data-opoly improves its privacy statement, so what? The current notice-and-consent regime is meaningless when there are no viable competitive alternatives and the bargaining power is so unequal.</w:t>
      </w:r>
    </w:p>
    <w:p>
      <w:pPr>
        <w:pStyle w:val="Heading3"/>
      </w:pPr>
      <w:r>
        <w:rPr>
          <w:b w:val="0"/>
          <w:i w:val="0"/>
        </w:rPr>
        <w:t>Surveillance and security risks</w:t>
      </w:r>
    </w:p>
    <w:p>
      <w:r>
        <w:rPr>
          <w:b w:val="0"/>
          <w:i w:val="0"/>
        </w:rPr>
        <w:t>In a monopolized market, personal data is concentrated in a few firms. Consumers have limited outside options that offer better privacy protection. This raises additional risks, including:</w:t>
      </w:r>
    </w:p>
    <w:p>
      <w:pPr>
        <w:pStyle w:val="ListBullet"/>
      </w:pPr>
      <w:r>
        <w:rPr>
          <w:b w:val="0"/>
          <w:i w:val="0"/>
        </w:rPr>
        <w:t>Government capture.  The fewer the number of firms controlling the personal data, the greater the potential risk that a government will “capture” the firm. Companies need things from government; governments often want access to data. When there are only a few firms, this can increase the likelihood of companies secretly cooperating with the government to provide access to data. China, for example, relies on its data-opolies to better monitor its population.</w:t>
      </w:r>
    </w:p>
    <w:p>
      <w:pPr>
        <w:pStyle w:val="ListBullet"/>
      </w:pPr>
      <w:r>
        <w:rPr>
          <w:b w:val="0"/>
          <w:i w:val="0"/>
        </w:rPr>
        <w:t>Covert surveillance.  Even if the government cannot capture a data-opoly, its rich data trove increases a government’s incentive to circumvent the data-opoly’s privacy protections to tap into the personal data. Even if the government can’t strike a deal to access the data directly, it may be able to do so covertly.</w:t>
      </w:r>
    </w:p>
    <w:p>
      <w:pPr>
        <w:pStyle w:val="ListBullet"/>
      </w:pPr>
      <w:r>
        <w:rPr>
          <w:b w:val="0"/>
          <w:i w:val="0"/>
        </w:rPr>
        <w:t>Implications of a data policy violation/security breach.  Data-opolies have greater incentives to prevent a breach than do typical firms. But with more personal data concentrated in fewer companies, hackers, marketers, and political consultants, among others, have even greater incentives to find ways to circumvent or breach the dominant firm’s security measures. The concentration of data means that if one of them is breached, the harm done could be orders of magnitude greater than with a normal company. While consumers may be outraged, a dominant firm has less reason to worry that consumers are switching to rivals.</w:t>
      </w:r>
    </w:p>
    <w:p>
      <w:pPr>
        <w:pStyle w:val="Heading3"/>
      </w:pPr>
      <w:r>
        <w:rPr>
          <w:b w:val="0"/>
          <w:i w:val="0"/>
        </w:rPr>
        <w:t>Wealth transfer to data-opolies</w:t>
      </w:r>
    </w:p>
    <w:p>
      <w:r>
        <w:rPr>
          <w:b w:val="0"/>
          <w:i w:val="0"/>
        </w:rPr>
        <w:t>Even when their products and services are ostensibly “free,” data-opolies can extract significant wealth in several ways that they otherwise couldn’t in a competitive market.</w:t>
      </w:r>
    </w:p>
    <w:p>
      <w:r>
        <w:rPr>
          <w:b w:val="0"/>
          <w:i w:val="0"/>
        </w:rPr>
        <w:t xml:space="preserve">First, data-opolies can extract wealth by getting personal data without having to pay for the data’s fair market value. The personal data collected may be worth far more than the cost of providing the free service. The fact that the service is free does not mean we are fairly compensated for our data. Thus, data-opolies have a strong economic incentive to maintain the status quo, in which users, as the </w:t>
      </w:r>
      <w:r>
        <w:rPr>
          <w:b w:val="0"/>
          <w:i/>
        </w:rPr>
        <w:t>MIT Technology Review</w:t>
      </w:r>
      <w:r>
        <w:rPr>
          <w:b w:val="0"/>
          <w:i w:val="0"/>
        </w:rPr>
        <w:t xml:space="preserve"> put it, “have little idea how much personal data they have provided, how it is used, and what it is worth.”4 If the public knew, and if they had viable alternatives, they might hold out for compensation.</w:t>
      </w:r>
    </w:p>
    <w:p>
      <w:r>
        <w:rPr>
          <w:b w:val="0"/>
          <w:i w:val="0"/>
        </w:rPr>
        <w:t>Second, something similar can happen with the content users create. Data-opolies can extract wealth by getting creative content from users for free. In a competitive market, users could conceivably demand compensation not only for their data but also for their contributions to YouTube and Facebook. With no viable alternatives, they cannot.</w:t>
      </w:r>
    </w:p>
    <w:p>
      <w:r>
        <w:rPr>
          <w:b w:val="0"/>
          <w:i w:val="0"/>
        </w:rPr>
        <w:t>Third, data-opolies can extract wealth from sellers upstream. One example is when data-opolies scrape valuable content from photographers, authors, musicians, and other websites and post it on their own platform. In this case, the wealth of the data-opolies comes at the expense of other businesses in their value chain.</w:t>
      </w:r>
    </w:p>
    <w:p>
      <w:r>
        <w:rPr>
          <w:b w:val="0"/>
          <w:i w:val="0"/>
        </w:rPr>
        <w:t>Fourth, data-opolies can extract our wealth indirectly, when their higher advertising fees are passed along in the prices for the advertised goods and services. If the data-opolies faced more competitors for their advertising services, ads could cost even less—and therefore so might the products being advertised.</w:t>
      </w:r>
    </w:p>
    <w:p>
      <w:r>
        <w:rPr>
          <w:b w:val="0"/>
          <w:i w:val="0"/>
        </w:rPr>
        <w:t>Finally, data-opolies can extract wealth from both sellers upstream and consumers downstream by facilitating or engaging in “behavioral discrimination,” a form of price discrimination based on past behavior—like, say, your internet browsing. They can use the personal data to get people to buy things they did not necessarily want at the highest price they are willing to pay.</w:t>
      </w:r>
    </w:p>
    <w:p>
      <w:r>
        <w:rPr>
          <w:b w:val="0"/>
          <w:i w:val="0"/>
        </w:rPr>
        <w:t>As data-opolies expand their platforms to digital personal assistants, the internet of things, and smart technologies, the concern is that their data advantage will increase their competitive advantage and market power. As a result, the data-opolies’ monopoly profits will likely increase, at our expense.</w:t>
      </w:r>
    </w:p>
    <w:p>
      <w:pPr>
        <w:pStyle w:val="Heading3"/>
      </w:pPr>
      <w:r>
        <w:rPr>
          <w:b w:val="0"/>
          <w:i w:val="0"/>
        </w:rPr>
        <w:t>Loss of trust</w:t>
      </w:r>
    </w:p>
    <w:p>
      <w:r>
        <w:rPr>
          <w:b w:val="0"/>
          <w:i w:val="0"/>
        </w:rPr>
        <w:t>Market economies rely on trust. For online markets to deliver their benefits, people must trust firms and their use of the personal data. But as technology evolves and more personal data is collected, we are increasingly aware that a few powerful firms are using our personal information for their own benefit, not ours. When data-opolies degrade privacy protections below competitive levels, some consumers will choose not “to share their data, to limit their data sharing with companies, or even to lie when providing information,” as the UK’s Competition and Markets Authority put it. Consumers may forgo the data-opolies’ services, which they otherwise would have used if privacy competition were robust. This loss would represent what economists call a deadweight welfare loss. In other words, as distrust increases, society overall becomes worse off.</w:t>
      </w:r>
    </w:p>
    <w:p>
      <w:pPr>
        <w:pStyle w:val="Heading3"/>
      </w:pPr>
      <w:r>
        <w:rPr>
          <w:b w:val="0"/>
          <w:i w:val="0"/>
        </w:rPr>
        <w:t>Significant costs on third parties</w:t>
      </w:r>
    </w:p>
    <w:p>
      <w:r>
        <w:rPr>
          <w:b w:val="0"/>
          <w:i w:val="0"/>
        </w:rPr>
        <w:t>Additionally, data-opolies that control a key platform, like a mobile phone operating system, can cheaply exclude rivals by:</w:t>
      </w:r>
    </w:p>
    <w:p>
      <w:pPr>
        <w:pStyle w:val="ListBullet"/>
      </w:pPr>
      <w:r>
        <w:rPr>
          <w:b w:val="0"/>
          <w:i w:val="0"/>
        </w:rPr>
        <w:t>Steering users and advertisers to their own products and services to the detriment of rival sellers on the platform (and contrary to consumers’ wishes)</w:t>
      </w:r>
    </w:p>
    <w:p>
      <w:pPr>
        <w:pStyle w:val="ListBullet"/>
      </w:pPr>
      <w:r>
        <w:rPr>
          <w:b w:val="0"/>
          <w:i w:val="0"/>
        </w:rPr>
        <w:t>Degrading an independent app’s functionality</w:t>
      </w:r>
    </w:p>
    <w:p>
      <w:pPr>
        <w:pStyle w:val="ListBullet"/>
      </w:pPr>
      <w:r>
        <w:rPr>
          <w:b w:val="0"/>
          <w:i w:val="0"/>
        </w:rPr>
        <w:t>Reducing traffic to an independent app by making it harder to find on its search engine or app store</w:t>
      </w:r>
    </w:p>
    <w:p>
      <w:r>
        <w:rPr>
          <w:b w:val="0"/>
          <w:i w:val="0"/>
        </w:rPr>
        <w:t xml:space="preserve">Data-opolies can also impose costs on companies seeking to protect our privacy interests. My book with Ariel Ezrachi, </w:t>
      </w:r>
      <w:r>
        <w:rPr>
          <w:b w:val="0"/>
          <w:i/>
        </w:rPr>
        <w:t>Virtual Competition</w:t>
      </w:r>
      <w:r>
        <w:rPr>
          <w:b w:val="0"/>
          <w:i w:val="0"/>
        </w:rPr>
        <w:t>, discusses the example of Google kicking the privacy app Disconnect out of its Android app store.</w:t>
      </w:r>
    </w:p>
    <w:p>
      <w:pPr>
        <w:pStyle w:val="Heading3"/>
      </w:pPr>
      <w:r>
        <w:rPr>
          <w:b w:val="0"/>
          <w:i w:val="0"/>
        </w:rPr>
        <w:t>Less innovation in markets dominated by data-opolies</w:t>
      </w:r>
    </w:p>
    <w:p>
      <w:r>
        <w:rPr>
          <w:b w:val="0"/>
          <w:i w:val="0"/>
        </w:rPr>
        <w:t xml:space="preserve">Data-opolies can chill innovation with a weapon that earlier monopolies lacked. Allen Grunes and I call it the “now-casting radar.” Our book </w:t>
      </w:r>
      <w:r>
        <w:rPr>
          <w:b w:val="0"/>
          <w:i/>
        </w:rPr>
        <w:t>Big Data and Competition Policy</w:t>
      </w:r>
      <w:r>
        <w:rPr>
          <w:b w:val="0"/>
          <w:i w:val="0"/>
        </w:rPr>
        <w:t xml:space="preserve"> explores how some platforms have a relative advantage in accessing and analyzing data to discern consumer trends well before others. Data-opolies can use their relative advantage to see what products or services are becoming more popular. With their now-casting radar, data-opolies can acquire or squelch these nascent competitive threats.</w:t>
      </w:r>
    </w:p>
    <w:p>
      <w:pPr>
        <w:pStyle w:val="Heading3"/>
      </w:pPr>
      <w:r>
        <w:rPr>
          <w:b w:val="0"/>
          <w:i w:val="0"/>
        </w:rPr>
        <w:t>Social and moral concerns</w:t>
      </w:r>
    </w:p>
    <w:p>
      <w:r>
        <w:rPr>
          <w:b w:val="0"/>
          <w:i w:val="0"/>
        </w:rPr>
        <w:t>Historically, antitrust has also been concerned with how monopolies can hinder individual autonomy. Data-opolies can also hurt individual autonomy. To start with, they can direct (and limit) opportunities for startups that subsist on their super-platform. This includes third-party sellers that rely on Amazon’s platform to reach consumers, newspapers, and journalists that depend on Facebook and Google to reach younger readers, and, as the European Commission’s Google Shopping Case explores, companies that depend on traffic from Google’s search engine.</w:t>
      </w:r>
    </w:p>
    <w:p>
      <w:r>
        <w:rPr>
          <w:b w:val="0"/>
          <w:i w:val="0"/>
        </w:rPr>
        <w:t xml:space="preserve">But the autonomy concerns go beyond the constellation of app developers, sellers, journalists, musicians, writers, photographers, and artists dependent on the data-opoly to reach users. Every individual’s autonomy is at stake. In 2018, the hedge fund Jana Partners joined the California State Teachers’ Retirement pension fund to demand that Apple do more to address the effects of its devices on children. As the </w:t>
      </w:r>
      <w:r>
        <w:rPr>
          <w:b w:val="0"/>
          <w:i/>
        </w:rPr>
        <w:t>Economist</w:t>
      </w:r>
      <w:r>
        <w:rPr>
          <w:b w:val="0"/>
          <w:i w:val="0"/>
        </w:rPr>
        <w:t xml:space="preserve"> noted, “You know you are in trouble if a Wall Street firm is lecturing you about morality.”5 The concern is that the data-opolies’ products are purposefully addictive and thereby eroding individuals’ ability to make free choices.</w:t>
      </w:r>
    </w:p>
    <w:p>
      <w:r>
        <w:rPr>
          <w:b w:val="0"/>
          <w:i w:val="0"/>
        </w:rPr>
        <w:t>An interesting counterargument worth noting is based on the interplay between monopoly power and competition. On the one hand, in monopolized markets, consumers have fewer competitive options. So, arguably, there is less need to addict them. On the other hand, data-opolies, like Facebook and Google, even without significant rivals, can increase profits by increasing our engagement with their products. So, data-opolies can have an incentive to exploit behavioral biases and imperfect willpower to addict users—whether watching YouTube videos or posting on Instagram.</w:t>
      </w:r>
    </w:p>
    <w:p>
      <w:pPr>
        <w:pStyle w:val="Heading3"/>
      </w:pPr>
      <w:r>
        <w:rPr>
          <w:b w:val="0"/>
          <w:i w:val="0"/>
        </w:rPr>
        <w:t>Political concerns</w:t>
      </w:r>
    </w:p>
    <w:p>
      <w:r>
        <w:rPr>
          <w:b w:val="0"/>
          <w:i w:val="0"/>
        </w:rPr>
        <w:t>Economic power often translates into political power. Unlike earlier monopolies, data-opolies, given how they interact with individuals, possess a more powerful tool: namely, the ability to affect the public debate and our perception of right and wrong.</w:t>
      </w:r>
    </w:p>
    <w:p>
      <w:r>
        <w:rPr>
          <w:b w:val="0"/>
          <w:i w:val="0"/>
        </w:rPr>
        <w:t>Many people now receive their news from social media platforms. But the news isn’t just passively transmitted. Data-opolies can affect how we feel and think. Facebook, for example, in an “emotional contagion” study, manipulated 689,003 users’ emotions by altering their news feed. Other risks of this sort include:6</w:t>
      </w:r>
    </w:p>
    <w:p>
      <w:pPr>
        <w:pStyle w:val="ListBullet"/>
      </w:pPr>
      <w:r>
        <w:rPr>
          <w:b w:val="0"/>
          <w:i w:val="0"/>
        </w:rPr>
        <w:t>Bias.  In filtering the information we receive based on our preferences, data-opolies can reduce the viewpoints we receive, thereby leading to “echo chambers” and “filter bubbles.”</w:t>
      </w:r>
    </w:p>
    <w:p>
      <w:pPr>
        <w:pStyle w:val="ListBullet"/>
      </w:pPr>
      <w:r>
        <w:rPr>
          <w:b w:val="0"/>
          <w:i w:val="0"/>
        </w:rPr>
        <w:t>Censorship. Data-opolies, through their platform, can control or block content that users receive, and enforce governmental censorship of political or religious information.</w:t>
      </w:r>
    </w:p>
    <w:p>
      <w:pPr>
        <w:pStyle w:val="ListBullet"/>
      </w:pPr>
      <w:r>
        <w:rPr>
          <w:b w:val="0"/>
          <w:i w:val="0"/>
        </w:rPr>
        <w:t>Manipulation. Data-opolies can promote stories that further their particular business or political interests, instead of their relevance or quality.</w:t>
      </w:r>
    </w:p>
    <w:p>
      <w:pPr>
        <w:pStyle w:val="Heading2"/>
      </w:pPr>
      <w:r>
        <w:rPr>
          <w:b/>
          <w:i w:val="0"/>
        </w:rPr>
        <w:t>Limiting the Power of Data-opolies</w:t>
      </w:r>
    </w:p>
    <w:p>
      <w:r>
        <w:rPr>
          <w:b w:val="0"/>
          <w:i w:val="0"/>
        </w:rPr>
        <w:t xml:space="preserve">Upon closer examination, data-opolies can actually be </w:t>
      </w:r>
      <w:r>
        <w:rPr>
          <w:b w:val="0"/>
          <w:i/>
        </w:rPr>
        <w:t>more</w:t>
      </w:r>
      <w:r>
        <w:rPr>
          <w:b w:val="0"/>
          <w:i w:val="0"/>
        </w:rPr>
        <w:t xml:space="preserve"> dangerous than traditional monopolies. They can affect not only our wallets but our privacy, autonomy, democracy, and well-being.</w:t>
      </w:r>
    </w:p>
    <w:p>
      <w:r>
        <w:rPr>
          <w:b w:val="0"/>
          <w:i w:val="0"/>
        </w:rPr>
        <w:t>Markets dominated by these data-opolies will not necessarily self-correct. Network effects, high switching costs for consumers (given the lack of data portability and user rights over their data), and weak privacy protection help data-opolies maintain their dominance.</w:t>
      </w:r>
    </w:p>
    <w:p>
      <w:r>
        <w:rPr>
          <w:b w:val="0"/>
          <w:i w:val="0"/>
        </w:rPr>
        <w:t>Luckily, global antitrust enforcement can help. The Reagan administration, in espousing the then-popular Chicago school of economic thought, discounted concerns about monopolies. The Supreme Court, relying on faulty economic reasoning, surmised that charging monopoly prices was “an important element of the free market system.” With the rise of the progressive, antimonopoly New Brandeis school, the pendulum is swinging the other way. Given the emergence of data-opolies, this is a welcome change.</w:t>
      </w:r>
    </w:p>
    <w:p>
      <w:r>
        <w:rPr>
          <w:b w:val="0"/>
          <w:i w:val="0"/>
        </w:rPr>
        <w:t>Nonetheless, global antitrust enforcement, while a necessary tool to deter these harms, is not sufficient. Antitrust enforcers must coordinate with privacy and consumer protection officials to ensure that the conditions for effective privacy competition and an inclusive economy are in place.</w:t>
      </w:r>
    </w:p>
    <w:p>
      <w:r>
        <w:rPr>
          <w:b/>
          <w:i w:val="0"/>
        </w:rPr>
        <w:t>TAKEAWAYS</w:t>
      </w:r>
    </w:p>
    <w:p>
      <w:r>
        <w:rPr>
          <w:b w:val="0"/>
          <w:i w:val="0"/>
        </w:rPr>
        <w:t>Many tech giants are “data-opolies.” The volume, variety, and velocity of personal data flows through these ecosystems help these companies gain significant market power. They control key platforms that attract users, sellers, advertisers, software developers, apps, and accessory makers to their ecosystems.</w:t>
      </w:r>
    </w:p>
    <w:p>
      <w:r>
        <w:rPr>
          <w:b w:val="0"/>
          <w:i w:val="0"/>
        </w:rPr>
        <w:t xml:space="preserve">✓   Data-opolies may actually be </w:t>
      </w:r>
      <w:r>
        <w:rPr>
          <w:b w:val="0"/>
          <w:i/>
        </w:rPr>
        <w:t>more</w:t>
      </w:r>
      <w:r>
        <w:rPr>
          <w:b w:val="0"/>
          <w:i w:val="0"/>
        </w:rPr>
        <w:t xml:space="preserve"> dangerous than traditional monopolies. They can affect not only consumers’ wallets but their privacy, autonomy, democracy, and well-being.</w:t>
      </w:r>
    </w:p>
    <w:p>
      <w:r>
        <w:rPr>
          <w:b w:val="0"/>
          <w:i w:val="0"/>
        </w:rPr>
        <w:t>✓   While European competition authorities have recently brought actions against four data-opolies, those tech companies have so far escaped antitrust scrutiny in the United States.</w:t>
      </w:r>
    </w:p>
    <w:p>
      <w:r>
        <w:rPr>
          <w:b w:val="0"/>
          <w:i w:val="0"/>
        </w:rPr>
        <w:t>✓   Allowing data-opolies to go unchecked introduces a number of potential harms including security risks, declining innovation, and social, moral, and political concerns.</w:t>
      </w:r>
    </w:p>
    <w:p>
      <w:pPr>
        <w:pStyle w:val="Heading4"/>
      </w:pPr>
      <w:r>
        <w:rPr>
          <w:b/>
          <w:i w:val="0"/>
        </w:rPr>
        <w:t>NOTES</w:t>
      </w:r>
    </w:p>
    <w:p>
      <w:pPr>
        <w:pStyle w:val="ListNumber"/>
      </w:pPr>
      <w:r>
        <w:rPr>
          <w:b w:val="0"/>
          <w:i w:val="0"/>
        </w:rPr>
        <w:t xml:space="preserve">1. David A. Graham, “Not Even Cambridge Analytica Believed Its Hype,” </w:t>
      </w:r>
      <w:r>
        <w:rPr>
          <w:b w:val="0"/>
          <w:i/>
        </w:rPr>
        <w:t>Atlantic</w:t>
      </w:r>
      <w:r>
        <w:rPr>
          <w:b w:val="0"/>
          <w:i w:val="0"/>
        </w:rPr>
        <w:t>, March 20, 2018, https://www.theatlantic.com/politics/archive/2018/03/cambridge-analyticas-self-own/556016/.</w:t>
      </w:r>
    </w:p>
    <w:p>
      <w:pPr>
        <w:pStyle w:val="ListNumber"/>
      </w:pPr>
      <w:r>
        <w:rPr>
          <w:b w:val="0"/>
          <w:i w:val="0"/>
        </w:rPr>
        <w:t>2. U.S. Department of Justice, “Assistant Attorney General Makan Delrahim Delivers Remarks at the College of Europe in Brussels,” press release, February 21, 2018, https://www.justice.gov/opa/speech/assistant-attorney-general-makan-delrahim-delivers-remarks-college-europe-brussels.</w:t>
      </w:r>
    </w:p>
    <w:p>
      <w:pPr>
        <w:pStyle w:val="ListNumber"/>
      </w:pPr>
      <w:r>
        <w:rPr>
          <w:b w:val="0"/>
          <w:i w:val="0"/>
        </w:rPr>
        <w:t xml:space="preserve">3. Robert H. Bork, “Antitrust and Google,” </w:t>
      </w:r>
      <w:r>
        <w:rPr>
          <w:b w:val="0"/>
          <w:i/>
        </w:rPr>
        <w:t>Chicago Tribune</w:t>
      </w:r>
      <w:r>
        <w:rPr>
          <w:b w:val="0"/>
          <w:i w:val="0"/>
        </w:rPr>
        <w:t>, April 6, 2012, https://www.chicagotribune.com/opinion/ct-xpm-2012-04-06-ct-perspec-0405-bork-20120406-story.html.</w:t>
      </w:r>
    </w:p>
    <w:p>
      <w:pPr>
        <w:pStyle w:val="ListNumber"/>
      </w:pPr>
      <w:r>
        <w:rPr>
          <w:b w:val="0"/>
          <w:i w:val="0"/>
        </w:rPr>
        <w:t xml:space="preserve">4. Tom Simonite, “If Facebook Can Profit from Your Data, Why Can’t You?” </w:t>
      </w:r>
      <w:r>
        <w:rPr>
          <w:b w:val="0"/>
          <w:i/>
        </w:rPr>
        <w:t>MIT Technology Review,</w:t>
      </w:r>
      <w:r>
        <w:rPr>
          <w:b w:val="0"/>
          <w:i w:val="0"/>
        </w:rPr>
        <w:t xml:space="preserve"> July 30, 2013, https://www.technologyreview.com/s/517356/if-facebook-can-profit-from-your-data-why-cant-you/.</w:t>
      </w:r>
    </w:p>
    <w:p>
      <w:pPr>
        <w:pStyle w:val="ListNumber"/>
      </w:pPr>
      <w:r>
        <w:rPr>
          <w:b w:val="0"/>
          <w:i w:val="0"/>
        </w:rPr>
        <w:t xml:space="preserve">5. Eve Smith, “The Techlash Against Amazon, Facebook and Google—and What They Can Do,” </w:t>
      </w:r>
      <w:r>
        <w:rPr>
          <w:b w:val="0"/>
          <w:i/>
        </w:rPr>
        <w:t>Economist</w:t>
      </w:r>
      <w:r>
        <w:rPr>
          <w:b w:val="0"/>
          <w:i w:val="0"/>
        </w:rPr>
        <w:t>, January 20, 2018, https://www.economist.com/briefing/2018/01/20/the-techlash-against-amazon-facebook-and-google-and-what-they-can-do.</w:t>
      </w:r>
    </w:p>
    <w:p>
      <w:pPr>
        <w:pStyle w:val="ListNumber"/>
      </w:pPr>
      <w:r>
        <w:rPr>
          <w:b w:val="0"/>
          <w:i w:val="0"/>
        </w:rPr>
        <w:t xml:space="preserve">6. Adam D. I. Kramer, Jamie E. Guillory, and Jeffrey T. Hancock, “Experimental Evidence of Massive-Scale Emotional Contagion Through Social Networks,” </w:t>
      </w:r>
      <w:r>
        <w:rPr>
          <w:b w:val="0"/>
          <w:i/>
        </w:rPr>
        <w:t>PNAS</w:t>
      </w:r>
      <w:r>
        <w:rPr>
          <w:b w:val="0"/>
          <w:i w:val="0"/>
        </w:rPr>
        <w:t xml:space="preserve"> 24, no. 111 (June 2, 2014).</w:t>
      </w:r>
    </w:p>
    <w:p>
      <w:r>
        <w:rPr>
          <w:b w:val="0"/>
          <w:i/>
        </w:rPr>
        <w:t>Adapted from “Here Are All the Reasons It’s a Bad Idea to Let a Few Tech Companies Monopolize Our Data,” on hbr.org, March 27, 2018 (product #H048R4).</w:t>
      </w:r>
    </w:p>
    <w:p>
      <w:pPr>
        <w:pStyle w:val="Heading1"/>
      </w:pPr>
      <w:r>
        <w:rPr>
          <w:b/>
          <w:i w:val="0"/>
        </w:rPr>
        <w:t>4</w:t>
      </w:r>
    </w:p>
    <w:p>
      <w:pPr>
        <w:pStyle w:val="Heading1"/>
      </w:pPr>
      <w:r>
        <w:rPr>
          <w:b/>
          <w:i w:val="0"/>
        </w:rPr>
        <w:t>WHAT THE FUTURE OF U.S. ANTITRUST SHOULD LOOK LIKE</w:t>
      </w:r>
    </w:p>
    <w:p>
      <w:r>
        <w:rPr>
          <w:b w:val="0"/>
          <w:i w:val="0"/>
        </w:rPr>
        <w:t>by William A. Galston and Clara Hendrickson</w:t>
      </w:r>
    </w:p>
    <w:p>
      <w:r>
        <w:rPr>
          <w:b w:val="0"/>
          <w:i w:val="0"/>
        </w:rPr>
        <w:t>Market concentration is rising while economic competition—the bedrock of a dynamic, free market economy—is under threat. No wonder the framework that has guided antitrust enforcement for the last four decades is coming under intense scrutiny.</w:t>
      </w:r>
    </w:p>
    <w:p>
      <w:r>
        <w:rPr>
          <w:b w:val="0"/>
          <w:i w:val="0"/>
        </w:rPr>
        <w:t>There are at least three schools of thought about the future of antitrust, each of which deserves consideration. To determine which one is best—and we do have a view—it’s helpful to review the growing evidence on why market concentration is so dangerous to the economy.</w:t>
      </w:r>
    </w:p>
    <w:p>
      <w:pPr>
        <w:pStyle w:val="Heading2"/>
      </w:pPr>
      <w:r>
        <w:rPr>
          <w:b/>
          <w:i w:val="0"/>
        </w:rPr>
        <w:t>The Perils of Industry Concentration</w:t>
      </w:r>
    </w:p>
    <w:p>
      <w:r>
        <w:rPr>
          <w:b w:val="0"/>
          <w:i w:val="0"/>
        </w:rPr>
        <w:t>A comprehensive study of recent mergers found that product prices rose postmerger in nearly two-thirds of cases. Price increases are particularly burdensome for individuals and families on the lower end of income distribution.</w:t>
      </w:r>
    </w:p>
    <w:p>
      <w:r>
        <w:rPr>
          <w:b w:val="0"/>
          <w:i w:val="0"/>
        </w:rPr>
        <w:t>Not only does economic consolidation exacerbate economic inequality among consumers, it also increases the economic disparities among workers. Top firms in concentrated sectors that enjoy abnormally high profits reward their employees with higher wages, a trend that is widening between-firm inequality.</w:t>
      </w:r>
    </w:p>
    <w:p>
      <w:r>
        <w:rPr>
          <w:b w:val="0"/>
          <w:i w:val="0"/>
        </w:rPr>
        <w:t>Growing market power has also harmed the forces of economic dynamism. Consolidation helps explain, in part, the declining formation of new firms. The same barriers to competition that have allowed incumbent firms to expand their market share make it costlier for new firms to get off the ground. Declining startup activity means fewer incumbents face displacement by new competitors. This lack of competition contributes to private-sector underinvestment.</w:t>
      </w:r>
    </w:p>
    <w:p>
      <w:r>
        <w:rPr>
          <w:b w:val="0"/>
          <w:i w:val="0"/>
        </w:rPr>
        <w:t>These trends deserve—and are beginning to receive—bipartisan attention. The Senate Subcommittee on Antitrust, Competition Policy and Consumer Rights convened a hearing on the subject. As testimony offered during the hearing made clear, the current debate features three different understandings of the purpose of antitrust legislation, and three different standards for judging when antitrust enforcement is warranted.</w:t>
      </w:r>
    </w:p>
    <w:p>
      <w:pPr>
        <w:pStyle w:val="Heading2"/>
      </w:pPr>
      <w:r>
        <w:rPr>
          <w:b/>
          <w:i w:val="0"/>
        </w:rPr>
        <w:t>Three Theories of Antitrust</w:t>
      </w:r>
    </w:p>
    <w:p>
      <w:r>
        <w:rPr>
          <w:b w:val="0"/>
          <w:i w:val="0"/>
        </w:rPr>
        <w:t xml:space="preserve">Both conservatives and progressives invoke “consumer welfare” as antitrust’s core concern, but they offer divergent interpretations of this concept. Guided by the late Robert Bork’s seminal work, </w:t>
      </w:r>
      <w:r>
        <w:rPr>
          <w:b w:val="0"/>
          <w:i/>
        </w:rPr>
        <w:t>The Antitrust Paradox</w:t>
      </w:r>
      <w:r>
        <w:rPr>
          <w:b w:val="0"/>
          <w:i w:val="0"/>
        </w:rPr>
        <w:t>, conservatives invoke a total welfare standard that regards efficiency-enhancing mergers as presumptively legitimate, no matter how those gains are allocated between consumers and producers. For their part, progressives also focus on the consequences for consumers, but employ a broader understanding of consumer welfare that encompasses quality, innovation, and choice as well as price.</w:t>
      </w:r>
    </w:p>
    <w:p>
      <w:r>
        <w:rPr>
          <w:b w:val="0"/>
          <w:i w:val="0"/>
        </w:rPr>
        <w:t>A third stance entered the fray more recently. Populists regard the consumer welfare standard as inadequate because it pays no attention to the political dimension of antitrust—in particular, to the connection between economic concentration and corporate political power. Reflecting a tradition extending back a century to the thinking of Louis D. Brandeis, populists believe that a multiplicity of businesses is preferable to a small number of large firms—for the health of local communities as well as economic sectors—even if consumers pay higher prices.</w:t>
      </w:r>
    </w:p>
    <w:p>
      <w:r>
        <w:rPr>
          <w:b w:val="0"/>
          <w:i w:val="0"/>
        </w:rPr>
        <w:t>Populists offer a plausible account of the historical record. From the beginning, antitrust legislation has reflected a wide range of concerns. Some advocates have objected to excessive economic concentration because of its effects on prices and competition. Others have emphasized the civic importance of preserving local businesses, protecting small producers against the superior market power of large corporations, and safeguarding political equality.</w:t>
      </w:r>
    </w:p>
    <w:p>
      <w:r>
        <w:rPr>
          <w:b w:val="0"/>
          <w:i w:val="0"/>
        </w:rPr>
        <w:t>Nonetheless, the populist stance has left both conservatives and progressives worried that a radical revision of the current framework would mean transforming antitrust into an arena of political contention without clear standards to guide administrators and judges, ultimately weakening the antitrust regime.</w:t>
      </w:r>
    </w:p>
    <w:p>
      <w:pPr>
        <w:pStyle w:val="Heading2"/>
      </w:pPr>
      <w:r>
        <w:rPr>
          <w:b/>
          <w:i w:val="0"/>
        </w:rPr>
        <w:t>The Best Way Forward</w:t>
      </w:r>
    </w:p>
    <w:p>
      <w:r>
        <w:rPr>
          <w:b w:val="0"/>
          <w:i w:val="0"/>
        </w:rPr>
        <w:t>Despite our sympathy for the populists’ historical understanding, we share these concerns. At the same time, we do not believe that the conservative interpretation of consumer welfare adequately reflects that animating purpose of antitrust legislation.</w:t>
      </w:r>
    </w:p>
    <w:p>
      <w:r>
        <w:rPr>
          <w:b w:val="0"/>
          <w:i w:val="0"/>
        </w:rPr>
        <w:t>The need to both craft clear, predictable rules and renew vigorous enforcement inclines us toward the progressive approach, and it shapes the four proposals at the heart of our recent report.1</w:t>
      </w:r>
    </w:p>
    <w:p>
      <w:r>
        <w:rPr>
          <w:b w:val="0"/>
          <w:i w:val="0"/>
        </w:rPr>
        <w:t>First, the antitrust agencies should reinvigorate the “structural presumption” against excessive sectoral concentration and tighten the enforcement standards for horizontal mergers. This includes lowering the threshold at which prospective mergers are subject to rigorous scrutiny. The current threshold at which antitrust scrutiny is triggered has failed to prevent harmful levels of concentration, as evidenced by the data outlined above. This permissive approach has directly contributed to rising concentration. The agencies should also rely on its “look-back” authority, reversing mergers if evidence emerges showing anticompetitive effects.</w:t>
      </w:r>
    </w:p>
    <w:p>
      <w:r>
        <w:rPr>
          <w:b w:val="0"/>
          <w:i w:val="0"/>
        </w:rPr>
        <w:t>Second, the agencies should update the Non-Horizontal Merger Guidelines to reflect the reality that vertical integration can have anticompetitive effects. Revisions might include dismissing the presumption that nonhorizontal mergers are pro-competitive, paying special attention to acquisitions by dominant firms, and placing the burden of proof on the merging parties to demonstrate pro-consumer effects. Updated guidelines should acknowledge that remedies that make merger approval contingent on meeting behavioral criteria (such as Google’s promise to the Federal Trade Commission not to pull content from user reviews from third-party sites) are often inadequate. Instead, as Makan Delrahim, assistant attorney general for the antitrust division of the U.S. Department of Justice, advocated in an address, the agencies should offer structural remedies, such as divestiture, as a substitute when needed.</w:t>
      </w:r>
    </w:p>
    <w:p>
      <w:r>
        <w:rPr>
          <w:b w:val="0"/>
          <w:i w:val="0"/>
        </w:rPr>
        <w:t>Third, U.S. antitrust enforcement needs a new regime to deal with predatory pricing. There are few tools to wield against American antitrust. When episodes such as Mylan’s 400% price hikes for its EpiPen product stoke public outrage, the government is forced to rely on hearings and public shaming to induce corporations to lower monopoly pricing, a strategy that often fails. A predatory pricing regime would also tackle price-cutting efforts that reduce but do not eliminate a dominant actor’s profit margin but can force weaker actors to capitulate, rendering the market less competitive. For example, after Amazon’s first attempt to acquire Quidsi was rejected, Amazon initiated a price war against Quidsi, a move that ultimately forced the competing e-commerce platform to merge with Amazon.</w:t>
      </w:r>
    </w:p>
    <w:p>
      <w:r>
        <w:rPr>
          <w:b w:val="0"/>
          <w:i w:val="0"/>
        </w:rPr>
        <w:t>Fourth, the transaction costs of antitrust enforcement should be reduced. This would include reinstating a rule that has allowed automatic appeals of district courts’ antitrust decisions to the Supreme Court, bypassing an entire level of appellate review. Expediting enforcement will alleviate the drain on agencies’ resources that results from the current lengthy process. The longer that monopoly abuses are allowed to persist, the more entrenched offenders become, and the more unlawful rents they can extract from consumers. Forcing firms to disgorge these ill-gotten gains after the fact is difficult at best, and there is no way of compensating potential entrepreneurs that monopolistic firms deterred from starting new businesses.</w:t>
      </w:r>
    </w:p>
    <w:p>
      <w:r>
        <w:rPr>
          <w:b w:val="0"/>
          <w:i w:val="0"/>
        </w:rPr>
        <w:t>These proposals, we conclude, will work best as the basis of a reformed 21st-century antitrust regime that can command bipartisan support.</w:t>
      </w:r>
    </w:p>
    <w:p>
      <w:r>
        <w:rPr>
          <w:b/>
          <w:i w:val="0"/>
        </w:rPr>
        <w:t>TAKEAWAYS</w:t>
      </w:r>
    </w:p>
    <w:p>
      <w:r>
        <w:rPr>
          <w:b w:val="0"/>
          <w:i w:val="0"/>
        </w:rPr>
        <w:t>Market consolidation is on the rise, bringing with it several negative economic consequences. It is exacerbating income inequality among consumers and increasing wage disparities among workers, further widening between-firm inequality.</w:t>
      </w:r>
    </w:p>
    <w:p>
      <w:r>
        <w:rPr>
          <w:b w:val="0"/>
          <w:i w:val="0"/>
        </w:rPr>
        <w:t>✓   The framework that has guided antitrust enforcement for the last four decades is coming under intense scrutiny, but there are multiple schools of thought regarding the best path forward.</w:t>
      </w:r>
    </w:p>
    <w:p>
      <w:r>
        <w:rPr>
          <w:b w:val="0"/>
          <w:i w:val="0"/>
        </w:rPr>
        <w:t>✓   Both conservatives and progressives invoke “consumer welfare” as antitrust’s core concern, but they offer divergent interpretations of this concept. Populists regard the consumer welfare standard as inadequate because it pays no attention to the political dimension of antitrust.</w:t>
      </w:r>
    </w:p>
    <w:p>
      <w:r>
        <w:rPr>
          <w:b w:val="0"/>
          <w:i w:val="0"/>
        </w:rPr>
        <w:t>✓   To reverse these troubling trends, antitrust agencies should:</w:t>
      </w:r>
    </w:p>
    <w:p>
      <w:pPr>
        <w:pStyle w:val="ListBullet"/>
      </w:pPr>
      <w:r>
        <w:rPr>
          <w:b w:val="0"/>
          <w:i w:val="0"/>
        </w:rPr>
        <w:t>Tighten the enforcement standards for horizontal mergers</w:t>
      </w:r>
    </w:p>
    <w:p>
      <w:pPr>
        <w:pStyle w:val="ListBullet"/>
      </w:pPr>
      <w:r>
        <w:rPr>
          <w:b w:val="0"/>
          <w:i w:val="0"/>
        </w:rPr>
        <w:t>Reverse mergers if evidence shows anticompetitive effects</w:t>
      </w:r>
    </w:p>
    <w:p>
      <w:pPr>
        <w:pStyle w:val="ListBullet"/>
      </w:pPr>
      <w:r>
        <w:rPr>
          <w:b w:val="0"/>
          <w:i w:val="0"/>
        </w:rPr>
        <w:t>Update their guidelines to reflect the reality that vertical integration can have anticompetitive effects</w:t>
      </w:r>
    </w:p>
    <w:p>
      <w:pPr>
        <w:pStyle w:val="ListBullet"/>
      </w:pPr>
      <w:r>
        <w:rPr>
          <w:b w:val="0"/>
          <w:i w:val="0"/>
        </w:rPr>
        <w:t>Develop new tools to deal with predatory pricing</w:t>
      </w:r>
    </w:p>
    <w:p>
      <w:pPr>
        <w:pStyle w:val="ListBullet"/>
      </w:pPr>
      <w:r>
        <w:rPr>
          <w:b w:val="0"/>
          <w:i w:val="0"/>
        </w:rPr>
        <w:t>Reduce the transaction costs of antitrust enforcement</w:t>
      </w:r>
    </w:p>
    <w:p>
      <w:pPr>
        <w:pStyle w:val="Heading4"/>
      </w:pPr>
      <w:r>
        <w:rPr>
          <w:b/>
          <w:i w:val="0"/>
        </w:rPr>
        <w:t>NOTE</w:t>
      </w:r>
    </w:p>
    <w:p>
      <w:pPr>
        <w:pStyle w:val="ListNumber"/>
      </w:pPr>
      <w:r>
        <w:rPr>
          <w:b w:val="0"/>
          <w:i w:val="0"/>
        </w:rPr>
        <w:t>1. William A. Galston and Clara Hendrickson, “A Policy at Peace with Itself: Antitrust Remedies for Our Concentrated, Uncompetitive Economy,” Brookings Institute, January 5, 2018, https://www.brookings.edu/research/a-policy-at-peace-with-itself-antitrust-remedies-for-our-concentrated-uncompetitive-economy/.</w:t>
      </w:r>
    </w:p>
    <w:p>
      <w:r>
        <w:rPr>
          <w:b w:val="0"/>
          <w:i/>
        </w:rPr>
        <w:t>Adapted from content posted on hbr.org, January 9, 2019 (product #H043T0).</w:t>
      </w:r>
    </w:p>
    <w:p>
      <w:pPr>
        <w:pStyle w:val="Heading1"/>
      </w:pPr>
      <w:r>
        <w:rPr>
          <w:b/>
          <w:i w:val="0"/>
        </w:rPr>
        <w:t>5</w:t>
      </w:r>
    </w:p>
    <w:p>
      <w:pPr>
        <w:pStyle w:val="Heading1"/>
      </w:pPr>
      <w:r>
        <w:rPr>
          <w:b/>
          <w:i w:val="0"/>
        </w:rPr>
        <w:t>DON’T BREAK UP FACEBOOK—TREAT IT LIKE A UTILITY</w:t>
      </w:r>
    </w:p>
    <w:p>
      <w:r>
        <w:rPr>
          <w:b w:val="0"/>
          <w:i w:val="0"/>
        </w:rPr>
        <w:t>by Dipayan Ghosh</w:t>
      </w:r>
    </w:p>
    <w:p>
      <w:r>
        <w:rPr>
          <w:b w:val="0"/>
          <w:i w:val="0"/>
        </w:rPr>
        <w:t>Recently Facebook cofounder Chris Hughes joined a chorus of voices (including presidential hopeful Elizabeth Warren, Texas senator Ted Cruz, and former Secretary of Labor Robert Reich) arguing that regulatory agencies should apply antitrust authority to or even “break up” the digital giant.1 Hughes positioned the move as a necessity to subvert the more insidious effects we have seen arise from Facebook and similar platforms, such as the spread of disinformation and hate speech. His argument drew a great deal of popular support from the broad public as well as sharp criticism from the competition policy establishment. The company itself also pushed back, with newly minted public policy executive Nick Clegg penning a comeback arguing that breaking up Facebook would only serve to punish an innovative company that has created tremendous economic value.2</w:t>
      </w:r>
    </w:p>
    <w:p>
      <w:r>
        <w:rPr>
          <w:b w:val="0"/>
          <w:i w:val="0"/>
        </w:rPr>
        <w:t>Critically, though, breaking up the company is not the only way to temper its destructive effects. I suggest an even more radical approach: I contend that Facebook and firms like it have become natural monopolies that necessitate a novel, stringent set of regulations to obstruct their capitalistic overreaches and protect the public against ingrained economic exploitation. While this option does not exclude the possibility of also pursuing a policy of breakup, I believe it is the more important objective and must take precedence. To understand why, we can apply rules of thumb from traditional competition and antitrust policy analysis, in which policy makers consider the economic dynamics of the industry in a stepwise manner.</w:t>
      </w:r>
    </w:p>
    <w:p>
      <w:r>
        <w:rPr>
          <w:b w:val="0"/>
          <w:i w:val="0"/>
        </w:rPr>
        <w:t>The first step is to consider whether the industry in which the company operates is “competitive.” To do so, the Justice Department’s antitrust division and the Federal Trade Commission typically consider the relative market share of the firm in question. (Which agency actually makes the determination depends on the particular circumstance.) There is no explicit threshold for how much market share a company can have before it is considered a monopoly, though the FTC typically does not scrutinize a company for monopoly power if it occupies less than 50% of a market, while the lowest-ever market share determined to result in monopoly power by the European Commission was 39.7%. If the market appears competitive, you typically leave it alone; if it isn’t (as, I would argue, is the case for the leading Silicon Valley digital giants), then you move to the next step of analysis.</w:t>
      </w:r>
    </w:p>
    <w:p>
      <w:r>
        <w:rPr>
          <w:b w:val="0"/>
          <w:i w:val="0"/>
        </w:rPr>
        <w:t>Let’s apply this to Facebook. The company’s industry can be hard to define because the company’s holdings and technological features change so quickly, as does the overall sector; the same can be said of the other large consumer internet firms. Given Facebook’s many platforms—including Messenger, WhatsApp, Instagram, and the big blue app—the firm covers social media, photo sharing, and messaging, among other industries. Given this, I contend that, in the United States, Facebook has a dominating presence in each of its consumer areas of activity. This suggests that the primary markets in which it operates services are indeed no longer competitive.</w:t>
      </w:r>
    </w:p>
    <w:p>
      <w:r>
        <w:rPr>
          <w:b w:val="0"/>
          <w:i w:val="0"/>
        </w:rPr>
        <w:t>Second, to move a competition policy inquiry forward in the United States, the company in question not only must be deemed to have excessive market share but must also be shown to use this market position to exploit the consumer—a standard that the judicial system has taken over time to mean consumer price hikes.</w:t>
      </w:r>
    </w:p>
    <w:p>
      <w:r>
        <w:rPr>
          <w:b w:val="0"/>
          <w:i w:val="0"/>
        </w:rPr>
        <w:t>Many experts have contended that companies like Facebook and Google do not engage in such exploitation, because consumers are not charged money for access to even the highest revenue-generating services such as social media and search. But this conclusion is wrong-headed. Various forms of currency have lubricated various markets throughout history. The currency extracted from individuals in the consumer internet context is typically not money, but a novel, complex combination of the individual’s personal data and attention. Given the market concentration exhibited by companies like Facebook and Google in their respective industry silos, one could suggest that these are pseudo-monopolistic firms that collect so much data and exploit so much of our attention in such invasive and questionable manners that they necessarily and systematically leave consumers in the lurch. As I discuss in a recent paper, these firms are two-sided platforms that have monopolized the consumer side; accordingly, they extract the end consumers’ currency on one side of the platform at extortionate monopoly rates, and exchange it for monetary revenue at tremendously high margins on the other side of the platform.3 It is this subtle but corrosive form of exploitation that policy makers should find most objectionable.</w:t>
      </w:r>
    </w:p>
    <w:p>
      <w:r>
        <w:rPr>
          <w:b w:val="0"/>
          <w:i w:val="0"/>
        </w:rPr>
        <w:t>The third step is to examine the market to see whether fledgling entrepreneurs and other firms could someday compete in the industry. If so, then you should pursue a series of pro-competition policies. These may range from issuing targeted regulations that narrowly protect consumers from certain forms of harm to actively breaking them up. This is what Hughes and others have suggested for Facebook.</w:t>
      </w:r>
    </w:p>
    <w:p>
      <w:r>
        <w:rPr>
          <w:b w:val="0"/>
          <w:i w:val="0"/>
        </w:rPr>
        <w:t>But if you cannot foresee any entrepreneur ever naturally competing with the incumbents, the prescription is entirely different. In this case, the firm is a “natural monopoly.” Railroads, roadways, and telecommunications firms have in the past been considered natural monopolies because their costs of infrastructure and other barriers to entry suggest there should be no more than one player in each of those particular markets. When policy makers reach such a conclusion about a firm, they typically first attempt to institute a set of rigorous utility-like regulations so that consumers are protected from exploitation before considering other ancillary forms of regulatory policy. For example, the federal government regulates telecommunications firms’ minimum levels of service for emergency calling and provides guidelines for their handling of consumer data.</w:t>
      </w:r>
    </w:p>
    <w:p>
      <w:r>
        <w:rPr>
          <w:b w:val="0"/>
          <w:i w:val="0"/>
        </w:rPr>
        <w:t>I believe that the consumer internet is a kind of natural monopoly. Its leading constituent firms consistently exhibit network effects: The networked services operated by Facebook, Amazon, and Google increase in value when more users use them. This meanwhile makes it extraordinarily difficult for new entrants to offer competitive levels of utility to consumers out of the gate. As with telecommunications before it, this industry now maintains impossibly high barriers to entry. The leading internet companies have gradually established intricate, proprietary physical and digital infrastructures through the placement of new physical networks, the cultivation of preferential access to broadband providers and content owners, and the creation of an exclusive consumer tracking-and-targeting regime that necessarily shuts out the competition from access to the market for consumer data and attention. Furthermore, if a new entrepreneur does develop an innovative idea that picks up to a degree, an internet monopoly can readily acquire or copy it, and integrate it into its existing infrastructure. Given this, I believe there is no capacity for a second firm to effectively compete against Facebook in the market silos it dominates or the other internet giants in theirs.</w:t>
      </w:r>
    </w:p>
    <w:p>
      <w:r>
        <w:rPr>
          <w:b w:val="0"/>
          <w:i w:val="0"/>
        </w:rPr>
        <w:t>Thus, while breaking up the firms may not be a bad idea, our first instinct should instead be to strike straight at the business model that makes these firms so dominant with clear and stringent regulations to protect the dynamism of markets and consumers themselves—not to mention the integrity of the media ecosystem and the openness of journalistic inquiry. Otherwise, companies like Facebook will likely continue to maintain and strengthen their monopoly positions, further building their hegemony over consumer data, industrial intelligence, and digital and physical infrastructure.</w:t>
      </w:r>
    </w:p>
    <w:p>
      <w:r>
        <w:rPr>
          <w:b w:val="0"/>
          <w:i w:val="0"/>
        </w:rPr>
        <w:t>If we agree that firms like Facebook are natural monopolies, we should then begin to consider utility regulations that can effectively hold them accountable to the public. In the past, the United States has given such designations to both private and public monopolies (including, for instance, electric utilities) that have variously resulted in the creation of new regulatory agencies to treat monopolistic overreach. In the case of consumer internet firms, such regulations could entail stricter standards concerning user privacy and data processing; clear and consistent investigations of any proposed merger, acquisition, or growth of business into parallel industries, especially in cases where excess concentration or market bottlenecks could result; complete transparency into the ways that the industry’s algorithms disseminate ads and content, particularly to marginalized classes of the population; taxes or stipulations to uplift public interests such as independent journalism and digital literacy; and minimum required investments in technologies that can detect and proactively act against obvious instances of hate speech and disinformation, among others.</w:t>
      </w:r>
    </w:p>
    <w:p>
      <w:r>
        <w:rPr>
          <w:b w:val="0"/>
          <w:i w:val="0"/>
        </w:rPr>
        <w:t>All of this need not mean we should not also pursue breaking up these firms. But doing so may not effectively address the harms wrought by consumer internet firms with immediate effect and is thus a lesser imperative. What the U.S. government should in fact pursue are the overreaches of a business model that has systemically subverted the public interest and perpetuated a series of negative externalities in our media and information ecosystem. The economic design of the United States rightly gives the capitalistic market free sway to innovate—but when such commercialization breeds exploitation of the individual, our nation has always taken action to protect our democratic interests ahead of the freedom of markets. The consumer internet should be no different.</w:t>
      </w:r>
    </w:p>
    <w:p>
      <w:r>
        <w:rPr>
          <w:b/>
          <w:i w:val="0"/>
        </w:rPr>
        <w:t>TAKEAWAYS</w:t>
      </w:r>
    </w:p>
    <w:p>
      <w:r>
        <w:rPr>
          <w:b w:val="0"/>
          <w:i w:val="0"/>
        </w:rPr>
        <w:t>A chorus of voices is arguing that regulatory agencies should apply antitrust authority to, or even break up, Facebook. But splitting up the company is not the only way to temper its most harmful effects.</w:t>
      </w:r>
    </w:p>
    <w:p>
      <w:r>
        <w:rPr>
          <w:b w:val="0"/>
          <w:i w:val="0"/>
        </w:rPr>
        <w:t>✓   Facebook and other internet giants could be named natural monopolies. The United States has taken this approach in many other industries with high barriers to entry such as electric utilities, telecoms, and railroads.</w:t>
      </w:r>
    </w:p>
    <w:p>
      <w:r>
        <w:rPr>
          <w:b w:val="0"/>
          <w:i w:val="0"/>
        </w:rPr>
        <w:t>✓   The natural monopoly designation would allow for the creation of new regulatory agencies to protect the public from economic exploitation by these companies.</w:t>
      </w:r>
    </w:p>
    <w:p>
      <w:r>
        <w:rPr>
          <w:b w:val="0"/>
          <w:i w:val="0"/>
        </w:rPr>
        <w:t>✓   In the case of consumer internet firms, such regulations could entail stricter standards concerning user privacy and data processing; complete transparency into the ways that the industry’s algorithms disseminate ads and content; and investments into technologies that can detect and proactively act against hate speech and disinformation.</w:t>
      </w:r>
    </w:p>
    <w:p>
      <w:pPr>
        <w:pStyle w:val="Heading4"/>
      </w:pPr>
      <w:r>
        <w:rPr>
          <w:b/>
          <w:i w:val="0"/>
        </w:rPr>
        <w:t>NOTES</w:t>
      </w:r>
    </w:p>
    <w:p>
      <w:pPr>
        <w:pStyle w:val="ListNumber"/>
      </w:pPr>
      <w:r>
        <w:rPr>
          <w:b w:val="0"/>
          <w:i w:val="0"/>
        </w:rPr>
        <w:t xml:space="preserve">1. Chris Hughes, “It’s Time to Break Up Facebook,” </w:t>
      </w:r>
      <w:r>
        <w:rPr>
          <w:b w:val="0"/>
          <w:i/>
        </w:rPr>
        <w:t>New York Times</w:t>
      </w:r>
      <w:r>
        <w:rPr>
          <w:b w:val="0"/>
          <w:i w:val="0"/>
        </w:rPr>
        <w:t>, May 9, 2019, https://www.nytimes.com/2019/05/09/opinion/sunday/chris-hughes-facebook-zuckerberg.html.</w:t>
      </w:r>
    </w:p>
    <w:p>
      <w:pPr>
        <w:pStyle w:val="ListNumber"/>
      </w:pPr>
      <w:r>
        <w:rPr>
          <w:b w:val="0"/>
          <w:i w:val="0"/>
        </w:rPr>
        <w:t xml:space="preserve">2. Nick Clegg, “Breaking Up Facebook Is Not the Answer,” </w:t>
      </w:r>
      <w:r>
        <w:rPr>
          <w:b w:val="0"/>
          <w:i/>
        </w:rPr>
        <w:t>New York Times</w:t>
      </w:r>
      <w:r>
        <w:rPr>
          <w:b w:val="0"/>
          <w:i w:val="0"/>
        </w:rPr>
        <w:t>, May 11, 2019, https://www.nytimes.com/2019/05/11/opinion/facebook-nick-clegg-chris-hughes.html.</w:t>
      </w:r>
    </w:p>
    <w:p>
      <w:pPr>
        <w:pStyle w:val="ListNumber"/>
      </w:pPr>
      <w:r>
        <w:rPr>
          <w:b w:val="0"/>
          <w:i w:val="0"/>
        </w:rPr>
        <w:t xml:space="preserve">3. Dipayan Ghosh, “A New Digital Social Contract to Encourage Internet Competition,” </w:t>
      </w:r>
      <w:r>
        <w:rPr>
          <w:b w:val="0"/>
          <w:i/>
        </w:rPr>
        <w:t>CPI Antitrust Chronicle</w:t>
      </w:r>
      <w:r>
        <w:rPr>
          <w:b w:val="0"/>
          <w:i w:val="0"/>
        </w:rPr>
        <w:t>, April 2019.</w:t>
      </w:r>
    </w:p>
    <w:p>
      <w:r>
        <w:rPr>
          <w:b w:val="0"/>
          <w:i/>
        </w:rPr>
        <w:t>Adapted from content posted on hbr.org, May 30, 2019 (product #H04YYW).</w:t>
      </w:r>
    </w:p>
    <w:p>
      <w:pPr>
        <w:pStyle w:val="Heading1"/>
      </w:pPr>
      <w:r>
        <w:rPr>
          <w:b/>
          <w:i w:val="0"/>
        </w:rPr>
        <w:t>6</w:t>
      </w:r>
    </w:p>
    <w:p>
      <w:pPr>
        <w:pStyle w:val="Heading1"/>
      </w:pPr>
      <w:r>
        <w:rPr>
          <w:b/>
          <w:i w:val="0"/>
        </w:rPr>
        <w:t>HOW MORE REGULATION FOR U.S. TECH COULD BACKFIRE</w:t>
      </w:r>
    </w:p>
    <w:p>
      <w:r>
        <w:rPr>
          <w:b w:val="0"/>
          <w:i w:val="0"/>
        </w:rPr>
        <w:t>by Larry Downes</w:t>
      </w:r>
    </w:p>
    <w:p>
      <w:r>
        <w:rPr>
          <w:b w:val="0"/>
          <w:i w:val="0"/>
        </w:rPr>
        <w:t>Over the past few years, tech companies have become lightning rods for everything from dissatisfaction over the 2016 U.S. presidential election to the possibility of a smartphone-driven dystopia.</w:t>
      </w:r>
    </w:p>
    <w:p>
      <w:r>
        <w:rPr>
          <w:b w:val="0"/>
          <w:i w:val="0"/>
        </w:rPr>
        <w:t>Innovation and its discontents are nothing new, of course, going back at least to the 18th century, when Luddites physically attacked industrial looms. Hostility to the internet appeared the moment the web became a commercial technology, threatening from the outset to upend traditional businesses and maybe even our deeply embedded beliefs about family, society, and government. George Mason University’s Adam Thierer, reviewing a resurgence of books about the “existential threat” of disruptive innovation, has detailed what he calls a “techno-panic template” in how we react to disruptive innovations that don’t fit into familiar categories.1</w:t>
      </w:r>
    </w:p>
    <w:p>
      <w:r>
        <w:rPr>
          <w:b w:val="0"/>
          <w:i w:val="0"/>
        </w:rPr>
        <w:t>But with the proliferation of new products and their reach ever deeper into our work, home, and personal lives, the relentless tech revolt shouldn’t really come as any surprise, especially to those of us in Silicon Valley.</w:t>
      </w:r>
    </w:p>
    <w:p>
      <w:r>
        <w:rPr>
          <w:b w:val="0"/>
          <w:i w:val="0"/>
        </w:rPr>
        <w:t>Still, the only solution critics can propose for our growing tech malaise is government intervention—usually expressed vaguely as “regulating tech” or “breaking up” the biggest and most successful internet companies. Breakups, which require a legal finding that the structure of a company is enabling anticompetitive behavior, seem now to have become a synonym for somehow crippling a successful enterprise.</w:t>
      </w:r>
    </w:p>
    <w:p>
      <w:r>
        <w:rPr>
          <w:b w:val="0"/>
          <w:i w:val="0"/>
        </w:rPr>
        <w:t>Of course, nobody thinks technology companies should be left unregulated. Tech companies, like any other enterprise, are already subject to a complex tangle of laws, varying based on industry and local authority. They all pay taxes, report their finances, disclose significant shareholders, and comply with the full range of employment, health and safety, advertising, intellectual property, consumer protection, and anticompetition laws, to name just a few.</w:t>
      </w:r>
    </w:p>
    <w:p>
      <w:r>
        <w:rPr>
          <w:b w:val="0"/>
          <w:i w:val="0"/>
        </w:rPr>
        <w:t>There are also specialized laws for tech, including limits on how internet companies can engage with children. In the United States, commercial drones must be registered with the Federal Aviation Administration. Genetic testing and other health-related devices must pass muster with the Food and Drug Administration. Increasingly, ride-sharing and casual rental services must meet some of the same standards and inspections as longtime transportation and hospitality incumbents.</w:t>
      </w:r>
    </w:p>
    <w:p>
      <w:r>
        <w:rPr>
          <w:b w:val="0"/>
          <w:i w:val="0"/>
        </w:rPr>
        <w:t>There are growing calls, likewise, to regulate social media and video platforms as if they were traditional print or broadcast news sources, even though doing so would almost certainly run afoul of the very free speech protections proponents are hoping to preserve.</w:t>
      </w:r>
    </w:p>
    <w:p>
      <w:r>
        <w:rPr>
          <w:b w:val="0"/>
          <w:i w:val="0"/>
        </w:rPr>
        <w:t>But perhaps what tech critics really want are more innovative rules. Traditional regulations, after all, were designed in response to earlier technologies and the market failures they generated. They don’t cover largely speculative and mostly future-looking concerns.</w:t>
      </w:r>
    </w:p>
    <w:p>
      <w:r>
        <w:rPr>
          <w:b w:val="0"/>
          <w:i w:val="0"/>
        </w:rPr>
        <w:t>What if, for example, artificial intelligence puts an entire generation out of work? What if genetic manipulations accidentally unravel the fabric of DNA, reversing evolution in one fell swoop? What if social media companies learn so much about us that they undermine—intentionally or otherwise—democratic institutions, creating a tyranny of unregulated big data controlled by a few unelected young CEOs?</w:t>
      </w:r>
    </w:p>
    <w:p>
      <w:r>
        <w:rPr>
          <w:b w:val="0"/>
          <w:i w:val="0"/>
        </w:rPr>
        <w:t>The problem with such speculation is that it is just that. In deliberative government, legislators and regulatory agencies must weigh the often-substantial costs of proposed limits against their likely benefit, balanced against the harm of simply leaving in place the current legal status quo.</w:t>
      </w:r>
    </w:p>
    <w:p>
      <w:r>
        <w:rPr>
          <w:b w:val="0"/>
          <w:i w:val="0"/>
        </w:rPr>
        <w:t>But there’s no scientific method for estimating the risk of prematurely shutting down experiments that could yield important discoveries. There’s no framework for preemptively regulating nascent industries and potential new technologies. By definition, they’ve caused no measurable harm.</w:t>
      </w:r>
    </w:p>
    <w:p>
      <w:r>
        <w:rPr>
          <w:b w:val="0"/>
          <w:i w:val="0"/>
        </w:rPr>
        <w:t xml:space="preserve">In particular, breaking up the most successful internet and cloud-based companies only looks like a solution. It isn’t. Antitrust is meant to punish dominant companies that use their leverage to raise costs for consumers. Yet the services provided by technology companies are often widely available at little or no cost. Many of the products and services of Amazon, Apple, Google, Facebook, and Microsoft—the internet giants referred to by the </w:t>
      </w:r>
      <w:r>
        <w:rPr>
          <w:b w:val="0"/>
          <w:i/>
        </w:rPr>
        <w:t>New York Times</w:t>
      </w:r>
      <w:r>
        <w:rPr>
          <w:b w:val="0"/>
          <w:i w:val="0"/>
        </w:rPr>
        <w:t xml:space="preserve"> as “the frightful five”—are free for consumers.</w:t>
      </w:r>
    </w:p>
    <w:p>
      <w:r>
        <w:rPr>
          <w:b w:val="0"/>
          <w:i w:val="0"/>
        </w:rPr>
        <w:t>More to the point, breakups almost always backfire. Think of the former AT&amp;T, which was regulated as a monopoly utility until 1982, when the government changed its mind and split the company into component long-distance and regional phone companies. The sum of the parts actually increased in value—except for the long-distance company, which faded in the face of unregulated new competitors.</w:t>
      </w:r>
    </w:p>
    <w:p>
      <w:r>
        <w:rPr>
          <w:b w:val="0"/>
          <w:i w:val="0"/>
        </w:rPr>
        <w:t>Then, over the next 20 years, the regional companies put themselves back together and, with economies of scale, reemerged as a mobile internet network and pay TV provider, competing with cable companies and fast-growing internet-based video services including YouTube, Amazon, and Netflix. What started as a regulatory punishment for AT&amp;T led to an even bigger network of companies.</w:t>
      </w:r>
    </w:p>
    <w:p>
      <w:r>
        <w:rPr>
          <w:b w:val="0"/>
          <w:i w:val="0"/>
        </w:rPr>
        <w:t>On the other hand, the constant threat of a forced divestiture can be disastrous for consumers and enterprise alike. IBM prevailed against multiple efforts to break it up along product lines but was so shaken by the decades-long experience that the company became dangerously timid about future innovations, missing the shifts first to client-server and then to internet-based computing architectures, nearly bankrupting the business.</w:t>
      </w:r>
    </w:p>
    <w:p>
      <w:r>
        <w:rPr>
          <w:b w:val="0"/>
          <w:i w:val="0"/>
        </w:rPr>
        <w:t>Microsoft, similarly, was so distracted by its multiyear fight to avoid breakup by both U.S. and European regulators that it lost essential momentum. It mostly missed out on the mobile revolution and hesitated in responding to open-source alternatives to operating systems, desktop applications, and other software apps that seriously eroded the company’s once-formidable competitive advantage.</w:t>
      </w:r>
    </w:p>
    <w:p>
      <w:r>
        <w:rPr>
          <w:b w:val="0"/>
          <w:i w:val="0"/>
        </w:rPr>
        <w:t>These examples hint at an alternative to random and unproven new forms of regulation for emerging technologies: simply waiting for the next generation of innovations and the entrepreneurs who wield them to disrupt the supposed monopolists right out of their disagreeable behaviors, sometimes fatally.</w:t>
      </w:r>
    </w:p>
    <w:p>
      <w:r>
        <w:rPr>
          <w:b w:val="0"/>
          <w:i w:val="0"/>
        </w:rPr>
        <w:t>It might seem that the companies in the frightful five have unbeatable leads in retailing and cloud services, social media, search, advertising, desktop operating systems, and mobile devices. But the landscape of business history is littered with the corpses of supposedly invulnerable giants. In our research on wildly successful enterprises that fail to find a second act, Paul Nunes and I note that the average life span of companies on the Standard &amp; Poor’s 500 has fallen from 67 years in the 1920s to just 15 years in 2018.</w:t>
      </w:r>
    </w:p>
    <w:p>
      <w:r>
        <w:rPr>
          <w:b w:val="0"/>
          <w:i w:val="0"/>
        </w:rPr>
        <w:t>In the early years of the internet age, a half-dozen companies were serially crowned the victor in search, only to be unseated by more innovative technology soon after. Yahoo and others gave way to Google, just as BlackBerry faded in response to the iPhone. Myspace (remember it?) collapsed at the introduction of Facebook, which, at the time, was little more than a bit of software from a college student. Napster lost in court (no new laws were needed for that), leaving Apple to define a working market for digital music. And who remembers the alarm bells rung in 2000 when then-dominant ISP America Online merged with content behemoth Time Warner?</w:t>
      </w:r>
    </w:p>
    <w:p>
      <w:r>
        <w:rPr>
          <w:b w:val="0"/>
          <w:i w:val="0"/>
        </w:rPr>
        <w:t>The best regulator of technology, it seems, is simply more technology. And despite fears that channels are blocked, markets are locked up, and gatekeepers have closed networks that the next generation of entrepreneurs need to reach their audience, somehow they do it anyway—often embarrassingly fast, whether the presumed tyrant being deposed is a longtime incumbent or last year’s startup darling.</w:t>
      </w:r>
    </w:p>
    <w:p>
      <w:r>
        <w:rPr>
          <w:b w:val="0"/>
          <w:i w:val="0"/>
        </w:rPr>
        <w:t>That, in any case, is the theory on which U.S. policy makers across the political spectrum have nurtured technology-based innovation since the founding of the republic. Taking the long view, it’s clearly been a winning strategy, especially when compared with the more invasive, command-and-control approach taken by the European Union, which continues to lag on every measure of the internet economy. (Europe’s strategy now seems to be little more than to hobble U.S. tech companies and hope for the best.) Or compared with China, which has built tech giants of its own, but only by limiting outside access to its singularly enormous local market. And always with the risk that too much success by Chinese entrepreneurs may one day crash headfirst into a political culture that is deeply uncomfortable with the internet’s openness.</w:t>
      </w:r>
    </w:p>
    <w:p>
      <w:r>
        <w:rPr>
          <w:b w:val="0"/>
          <w:i w:val="0"/>
        </w:rPr>
        <w:t>That solution—to stay the course, to continue leaving tech largely to its own correctives—is cold comfort to those who believe tomorrow’s problems, coming up fast in the rearview mirror, are both unprecedented and catastrophic.</w:t>
      </w:r>
    </w:p>
    <w:p>
      <w:r>
        <w:rPr>
          <w:b w:val="0"/>
          <w:i w:val="0"/>
        </w:rPr>
        <w:t>Yet, so far there’s no evidence supporting shrill predictions of a technology-driven apocalypse. Or that existing safeguards—both market and legal—won’t save us from our worst selves.</w:t>
      </w:r>
    </w:p>
    <w:p>
      <w:r>
        <w:rPr>
          <w:b w:val="0"/>
          <w:i w:val="0"/>
        </w:rPr>
        <w:t>Nor has tech’s growing list of critics proposed anything more specific than simply calling for “regulation” to save us. Perhaps that’s because effective remedies are incredibly hard to design.</w:t>
      </w:r>
    </w:p>
    <w:p>
      <w:r>
        <w:rPr>
          <w:b/>
          <w:i w:val="0"/>
        </w:rPr>
        <w:t>TAKEAWAYS</w:t>
      </w:r>
    </w:p>
    <w:p>
      <w:r>
        <w:rPr>
          <w:b w:val="0"/>
          <w:i w:val="0"/>
        </w:rPr>
        <w:t>The now-common calls to “regulate” and “break up” big tech companies may seem novel. But given the history of backlash against new technologies in general, and internet-based technologies in particular, the recent revolt against big tech companies comes as no surprise.</w:t>
      </w:r>
    </w:p>
    <w:p>
      <w:r>
        <w:rPr>
          <w:b w:val="0"/>
          <w:i w:val="0"/>
        </w:rPr>
        <w:t>✓   Effective regulatory remedies are incredibly hard to design, and tech’s growing list of critics haven’t proposed measures that will be up to the challenge.</w:t>
      </w:r>
    </w:p>
    <w:p>
      <w:r>
        <w:rPr>
          <w:b w:val="0"/>
          <w:i w:val="0"/>
        </w:rPr>
        <w:t>✓   What tech critics really want are more innovative rules. Traditional regulations were designed in response to earlier technologies and the market failures they generated. They don’t cover largely speculative and mostly future-looking concerns. There’s no framework for preemptively regulating nascent industries and potential new technologies.</w:t>
      </w:r>
    </w:p>
    <w:p>
      <w:r>
        <w:rPr>
          <w:b w:val="0"/>
          <w:i w:val="0"/>
        </w:rPr>
        <w:t>✓   Though it might seem that the tech giants have unbeatable leads in retailing and cloud services, social media, search, advertising, desktop operating systems, and mobile devices, the landscape of business history is littered with the corpses of invulnerable giants.</w:t>
      </w:r>
    </w:p>
    <w:p>
      <w:pPr>
        <w:pStyle w:val="Heading4"/>
      </w:pPr>
      <w:r>
        <w:rPr>
          <w:b/>
          <w:i w:val="0"/>
        </w:rPr>
        <w:t>NOTE</w:t>
      </w:r>
    </w:p>
    <w:p>
      <w:pPr>
        <w:pStyle w:val="ListNumber"/>
      </w:pPr>
      <w:r>
        <w:rPr>
          <w:b w:val="0"/>
          <w:i w:val="0"/>
        </w:rPr>
        <w:t xml:space="preserve">1. Adam Thierer, “Franklin Foer’s Tech-Panic Manifesto,” </w:t>
      </w:r>
      <w:r>
        <w:rPr>
          <w:b w:val="0"/>
          <w:i/>
        </w:rPr>
        <w:t>Reason</w:t>
      </w:r>
      <w:r>
        <w:rPr>
          <w:b w:val="0"/>
          <w:i w:val="0"/>
        </w:rPr>
        <w:t>, January 2018, http://reason.com/archives/2017/12/23/how-to-write-a-tech-panic-mani/.</w:t>
      </w:r>
    </w:p>
    <w:p>
      <w:r>
        <w:rPr>
          <w:b w:val="0"/>
          <w:i/>
        </w:rPr>
        <w:t>Adapted from content posted on hbr.org, February 9, 2018 (reprint #H045VE).</w:t>
      </w:r>
    </w:p>
    <w:p>
      <w:pPr>
        <w:pStyle w:val="Heading1"/>
      </w:pPr>
      <w:r>
        <w:rPr>
          <w:b/>
          <w:i w:val="0"/>
        </w:rPr>
        <w:t>Section 3</w:t>
      </w:r>
    </w:p>
    <w:p>
      <w:pPr>
        <w:pStyle w:val="Heading1"/>
      </w:pPr>
      <w:r>
        <w:rPr>
          <w:b/>
          <w:i w:val="0"/>
        </w:rPr>
        <w:t>COMPETING AGAINST GIANTS</w:t>
      </w:r>
    </w:p>
    <w:p>
      <w:pPr>
        <w:pStyle w:val="Heading1"/>
      </w:pPr>
      <w:r>
        <w:rPr>
          <w:b/>
          <w:i w:val="0"/>
        </w:rPr>
        <w:t>7</w:t>
      </w:r>
    </w:p>
    <w:p>
      <w:pPr>
        <w:pStyle w:val="Heading1"/>
      </w:pPr>
      <w:r>
        <w:rPr>
          <w:b/>
          <w:i w:val="0"/>
        </w:rPr>
        <w:t>THE</w:t>
      </w:r>
      <w:r>
        <w:rPr>
          <w:b w:val="0"/>
          <w:i w:val="0"/>
        </w:rPr>
        <w:t xml:space="preserve"> </w:t>
      </w:r>
      <w:r>
        <w:rPr>
          <w:b/>
          <w:i w:val="0"/>
        </w:rPr>
        <w:t>AMAZON–WHOLE</w:t>
      </w:r>
      <w:r>
        <w:rPr>
          <w:b w:val="0"/>
          <w:i w:val="0"/>
        </w:rPr>
        <w:t xml:space="preserve"> </w:t>
      </w:r>
      <w:r>
        <w:rPr>
          <w:b/>
          <w:i w:val="0"/>
        </w:rPr>
        <w:t>FOODS DEAL MADE EVERY OTHER RETAILER’S PLAN OBSOLETE</w:t>
      </w:r>
    </w:p>
    <w:p>
      <w:r>
        <w:rPr>
          <w:b w:val="0"/>
          <w:i w:val="0"/>
        </w:rPr>
        <w:t>by Darrell K. Rigby</w:t>
      </w:r>
    </w:p>
    <w:p>
      <w:r>
        <w:rPr>
          <w:b w:val="0"/>
          <w:i w:val="0"/>
        </w:rPr>
        <w:t>When Amazon announced it would acquire Whole Foods Market, Amazon’s stock price rose 2.4% on the news, increasing its market capitalization by $11 billion. At the same time, the price of SuperValu plummeted 14.4%, Kroger dropped 9.2%, and Sprouts fell 6.3%. You could almost hear the three-year plans of every grocer, and nearly every other traditional retailer, grinding through the shredding machines.</w:t>
      </w:r>
    </w:p>
    <w:p>
      <w:r>
        <w:rPr>
          <w:b w:val="0"/>
          <w:i w:val="0"/>
        </w:rPr>
        <w:t>Nobody in the industry should be surprised that the future of retailing is moving toward a fusion of digital and physical experiences. However, Amazon’s announcement made the nature and speed of that movement far more challenging. Too many traditional retailers have built their plans on three questionable premises: (1) they can add digital capabilities faster than Amazon can add stores; (2) Amazon’s competitive space (e-commerce) is still constrained to a small percentage of U.S. retail sales; and (3) store-based retailers could profitably transition to a digital world by growing e-commerce sales cautiously enough to avoid diluting earnings and cannibalizing higher-margin store sales, while retreating to the most profitable stores and product categories that would be hardest for Amazon to attack. Until Amazon’s announcement, food was considered such a safe haven.</w:t>
      </w:r>
    </w:p>
    <w:p>
      <w:r>
        <w:rPr>
          <w:b w:val="0"/>
          <w:i w:val="0"/>
        </w:rPr>
        <w:t>Now it’s clear that Amazon aims to sell customers everything, and therefore no retail spaces are safe. If Amazon can acquire its way into groceries, what will prevent it from entering department stores—as Alibaba has done in China—or furniture and appliance stores, electronics stores, or even drugstores? Moreover, if Amazon decides to use groceries to increase the frequency of customer deliveries, imagine the range of products it could quickly and profitably pile onto home delivery vehicles (or perhaps even provide for customer pickup). From now on, the only viable retail strategy is to try to advance and merge digital and physical capabilities faster and better than Amazon does. That means retailers must learn to compete head-on with Amazon in two fundamental capabilities: agile innovation and expense management.</w:t>
      </w:r>
    </w:p>
    <w:p>
      <w:r>
        <w:rPr>
          <w:b w:val="0"/>
          <w:i w:val="0"/>
        </w:rPr>
        <w:t>Amazon’s greatest competitive advantage is not its e-commerce network; it is its innovation engine. To understand this strength, take a look at the sample of innovations in figure 7-1. The successes were impressive even before 2007, when Amazon was smaller than Bed Bath &amp; Beyond, J.C. Penney, or SuperValu are today. Back in 2005, Amazon Prime was conceived, developed, and launched in about two months. Note also the innovation efforts that Amazon has abandoned (highlighted in bold in the figure and making up about 25% of this sample). Many retailers would consider these failures, but most of them contributed valuable learning toward eventual hits. For example, Amazon abandoned Auctions and zShops, yet both laid the groundwork for the enormous success of Amazon Marketplace.</w:t>
      </w:r>
    </w:p>
    <w:p>
      <w:r>
        <w:rPr>
          <w:b/>
          <w:i w:val="0"/>
        </w:rPr>
        <w:t>FIGURE 7-1</w:t>
      </w:r>
    </w:p>
    <w:p>
      <w:r>
        <w:rPr>
          <w:b/>
          <w:i w:val="0"/>
        </w:rPr>
        <w:t>A sampling of Amazon’s innovations over time</w:t>
      </w:r>
    </w:p>
    <w:p>
      <w:r>
        <w:rPr>
          <w:b w:val="0"/>
          <w:i/>
        </w:rPr>
        <w:t>The company has abandoned about a quarter of them.</w:t>
      </w:r>
    </w:p>
    <w:p>
      <w:pPr>
        <w:jc w:val="center"/>
      </w:pPr>
      <w:r>
        <w:drawing>
          <wp:inline xmlns:a="http://schemas.openxmlformats.org/drawingml/2006/main" xmlns:pic="http://schemas.openxmlformats.org/drawingml/2006/picture">
            <wp:extent cx="6680200" cy="7594600"/>
            <wp:docPr id="64" name="Picture 64"/>
            <wp:cNvGraphicFramePr>
              <a:graphicFrameLocks noChangeAspect="1"/>
            </wp:cNvGraphicFramePr>
            <a:graphic>
              <a:graphicData uri="http://schemas.openxmlformats.org/drawingml/2006/picture">
                <pic:pic>
                  <pic:nvPicPr>
                    <pic:cNvPr id="0" name="epub_img_3692906592712743167.jpg"/>
                    <pic:cNvPicPr/>
                  </pic:nvPicPr>
                  <pic:blipFill>
                    <a:blip r:embed="rId53"/>
                    <a:stretch>
                      <a:fillRect/>
                    </a:stretch>
                  </pic:blipFill>
                  <pic:spPr>
                    <a:xfrm>
                      <a:off x="0" y="0"/>
                      <a:ext cx="6680200" cy="7594600"/>
                    </a:xfrm>
                    <a:prstGeom prst="rect"/>
                  </pic:spPr>
                </pic:pic>
              </a:graphicData>
            </a:graphic>
          </wp:inline>
        </w:drawing>
      </w:r>
    </w:p>
    <w:p>
      <w:pPr>
        <w:jc w:val="center"/>
      </w:pPr>
      <w:r>
        <w:drawing>
          <wp:inline xmlns:a="http://schemas.openxmlformats.org/drawingml/2006/main" xmlns:pic="http://schemas.openxmlformats.org/drawingml/2006/picture">
            <wp:extent cx="6680200" cy="7594600"/>
            <wp:docPr id="65" name="Picture 65"/>
            <wp:cNvGraphicFramePr>
              <a:graphicFrameLocks noChangeAspect="1"/>
            </wp:cNvGraphicFramePr>
            <a:graphic>
              <a:graphicData uri="http://schemas.openxmlformats.org/drawingml/2006/picture">
                <pic:pic>
                  <pic:nvPicPr>
                    <pic:cNvPr id="0" name="epub_img_3692906592712743167.jpg"/>
                    <pic:cNvPicPr/>
                  </pic:nvPicPr>
                  <pic:blipFill>
                    <a:blip r:embed="rId53"/>
                    <a:stretch>
                      <a:fillRect/>
                    </a:stretch>
                  </pic:blipFill>
                  <pic:spPr>
                    <a:xfrm>
                      <a:off x="0" y="0"/>
                      <a:ext cx="6680200" cy="7594600"/>
                    </a:xfrm>
                    <a:prstGeom prst="rect"/>
                  </pic:spPr>
                </pic:pic>
              </a:graphicData>
            </a:graphic>
          </wp:inline>
        </w:drawing>
      </w:r>
    </w:p>
    <w:p>
      <w:r>
        <w:rPr>
          <w:b w:val="0"/>
          <w:i/>
        </w:rPr>
        <w:t>Source: Bain &amp; Co. analysis of Amazon.com</w:t>
      </w:r>
    </w:p>
    <w:p>
      <w:r>
        <w:rPr>
          <w:b w:val="0"/>
          <w:i w:val="0"/>
        </w:rPr>
        <w:t>To compete with Amazon’s relentless flow of innovations, traditional retailers have no choice but to relearn how to innovate like the successful startups they once were. This innovation in innovation requires moving from predictive plans (based on increasingly unpredictable market conditions) to adaptive, agile innovation teams. Agile innovation teams are small. Amazon CEO Jeff Bezos famously believes that if you can’t feed a team with two pizzas, it is too large. They’re also multidisciplinary (with all the digital and physical skills to complete the task), are self-governing, and are geared for rapid pivots rather than predictable straightaways. These teams value creative working environments more than hierarchical bureaucracies, working prototypes over excessive documentation, customer collaboration over fixed specifications, and response to change over adherence to plans.</w:t>
      </w:r>
    </w:p>
    <w:p>
      <w:r>
        <w:rPr>
          <w:b w:val="0"/>
          <w:i w:val="0"/>
        </w:rPr>
        <w:t>Yet many traditional retailers still lack the digital expertise and the right focus to make their teams succeed. Three out of four consumers say that they want more technology in stores and are more likely to visit stores that use technology effectively. But one major cross-industry study found that 70% of consumers feel that companies are getting the digital experience wrong. Indeed, many retailers are guilty of offering splashy virtual reality rooms, digital displays, and voice commands that consumers say don’t work as expected, are not convenient, are hard to use, and are confusing. While executives aim to give consumers an increased sense of control and appeal to the most digitally savvy, consumers say they want technology that simply saves them time, increases convenience, and gets faster results.</w:t>
      </w:r>
    </w:p>
    <w:p>
      <w:r>
        <w:rPr>
          <w:b w:val="0"/>
          <w:i w:val="0"/>
        </w:rPr>
        <w:t>A few smaller retailers, including Warby Parker and Rebecca Minkoff, are frequently cited for getting the digital- physical fusion right. Some major players have invested to raise their game. Walmart, for example, made digitally focused acquisitions including Jet.com (with its Smart Cart algorithms), Bonobos, and Moosejaw to acquire technology, talent, and customers. It has developed next-gen stores, installed pickup towers and an automated online grocery pickup facility, rolled out Walmart Pay and Scan &amp; Go technologies allowing customers to avoid checkout lines, and touted free two-day shipping for online orders, even testing associate deliveries of those orders. Most important, it is changing the culture, increasing the pace of innovation, obsessing over customer experience, and improving results.</w:t>
      </w:r>
    </w:p>
    <w:p>
      <w:r>
        <w:rPr>
          <w:b w:val="0"/>
          <w:i w:val="0"/>
        </w:rPr>
        <w:t>But there are two major challenges for traditional retailers hoping to accelerate their innovation engines: First, it’s expensive; second, many retailers have delayed innovation funding for so long that the “strategic debt” seems overwhelming.</w:t>
      </w:r>
    </w:p>
    <w:p>
      <w:r>
        <w:rPr>
          <w:b w:val="0"/>
          <w:i w:val="0"/>
        </w:rPr>
        <w:t>To give you a sense of the expense required, Amazon reported in one recent year that it spent over $16 billion (11.8% of sales) on “technology and content.” This is not all innovation R&amp;D or IT, but it’s mostly that. Meanwhile, Gartner reports that retail and wholesale companies spend about 1.5% of sales on IT. (Most of my retail clients seem to fall into the 2%–3% range.) Research and advisory firm IHL Group asked top retail CIOs how much their IT budgets are currently increasing and how much they should increase to compete against Amazon. The answer: Budgets are growing by 4.7% but would need to increase 87% to 237% to start closing the gap.1</w:t>
      </w:r>
    </w:p>
    <w:p>
      <w:r>
        <w:rPr>
          <w:b w:val="0"/>
          <w:i w:val="0"/>
        </w:rPr>
        <w:t>How will retailers find this kind of money? By reallocating spending away from people and activities that matter more to managers than to customers. An effective approach applies the same kinds of agile innovation teams that develop new products to the improvement of processes and business models. Retailers love to say that “retail is detail,” but perfecting increasingly irrelevant business models is wasting money that is desperately needed to fund innovative growth. Substantial amounts of money often lie fallow in the debilitating layers of approval required for innovations or other urgent decisions, in the artificial accuracy of trying to make perfect predictions, and in manual processes that could be done better, faster, and cheaper with machine learning.</w:t>
      </w:r>
    </w:p>
    <w:p>
      <w:r>
        <w:rPr>
          <w:b w:val="0"/>
          <w:i w:val="0"/>
        </w:rPr>
        <w:t>The retail world has learned the limitations of predictive planning compared with adaptive innovation in an increasingly unpredictable market. Going forward, retailers will need to rapidly and radically adapt their lists of strategic initiatives, the prioritization and sequencing of those initiatives, as well as the speed and funding of their execution. We’ll know traditional retailers are getting it right when announcements of breakthrough innovations start driving up their stock prices, finally raising doubts about Amazon’s ability to respond.</w:t>
      </w:r>
    </w:p>
    <w:p>
      <w:r>
        <w:rPr>
          <w:b/>
          <w:i w:val="0"/>
        </w:rPr>
        <w:t>TAKEAWAYS</w:t>
      </w:r>
    </w:p>
    <w:p>
      <w:r>
        <w:rPr>
          <w:b w:val="0"/>
          <w:i w:val="0"/>
        </w:rPr>
        <w:t>Amazon’s acquisition of Whole Foods Market showed that tech giants can enter and reshape nearly any industry without warning. How can retailers compete?</w:t>
      </w:r>
    </w:p>
    <w:p>
      <w:r>
        <w:rPr>
          <w:b w:val="0"/>
          <w:i w:val="0"/>
        </w:rPr>
        <w:t>✓   Retailers must try to advance and merge digital and physical capabilities faster and better than Amazon and best the powerhouse in two fundamental capabilities: agile innovation and expense management.</w:t>
      </w:r>
    </w:p>
    <w:p>
      <w:r>
        <w:rPr>
          <w:b w:val="0"/>
          <w:i w:val="0"/>
        </w:rPr>
        <w:t>✓   To compete with Amazon’s relentless flow of innovations, traditional retailers need to relearn how to innovate like the successful startups they once were, moving from predictive plans to adaptive, agile innovation teams.</w:t>
      </w:r>
    </w:p>
    <w:p>
      <w:r>
        <w:rPr>
          <w:b w:val="0"/>
          <w:i w:val="0"/>
        </w:rPr>
        <w:t>✓   Retailers will need to invest radically more in R&amp;D to compete head-on with the tech giants. To free up the resources necessary, they will need to reallocate spending away from activities that don’t matter to customers.</w:t>
      </w:r>
    </w:p>
    <w:p>
      <w:pPr>
        <w:pStyle w:val="Heading4"/>
      </w:pPr>
      <w:r>
        <w:rPr>
          <w:b/>
          <w:i w:val="0"/>
        </w:rPr>
        <w:t>NOTE</w:t>
      </w:r>
    </w:p>
    <w:p>
      <w:pPr>
        <w:pStyle w:val="ListNumber"/>
      </w:pPr>
      <w:r>
        <w:rPr>
          <w:b w:val="0"/>
          <w:i w:val="0"/>
        </w:rPr>
        <w:t>1. Greg Buzek, “Amazon Has a TIGIR by the Tail,” IHL Group Analyst Corner, January 25, 2017, https://www.ihlservices.com/news/analyst-corner/2017/01/amazon-has-a-tigir-by-the-tail/.</w:t>
      </w:r>
    </w:p>
    <w:p>
      <w:r>
        <w:rPr>
          <w:b w:val="0"/>
          <w:i/>
        </w:rPr>
        <w:t>Adapted from “The Amazon–Whole Foods Deal Means Every Other Retailer’s Three-Year Plan Is Obsolete,” on hbr.org, June 21, 2017 (product #H03QOS).</w:t>
      </w:r>
    </w:p>
    <w:p>
      <w:pPr>
        <w:pStyle w:val="Heading1"/>
      </w:pPr>
      <w:r>
        <w:rPr>
          <w:b/>
          <w:i w:val="0"/>
        </w:rPr>
        <w:t>8</w:t>
      </w:r>
    </w:p>
    <w:p>
      <w:pPr>
        <w:pStyle w:val="Heading1"/>
      </w:pPr>
      <w:r>
        <w:rPr>
          <w:b/>
          <w:i w:val="0"/>
        </w:rPr>
        <w:t>WHAT BIG CONSUMER BRANDS CAN DO TO COMPETE IN A DIGITAL ECONOMY</w:t>
      </w:r>
    </w:p>
    <w:p>
      <w:r>
        <w:rPr>
          <w:b w:val="0"/>
          <w:i w:val="0"/>
        </w:rPr>
        <w:t>by Howard Yu</w:t>
      </w:r>
    </w:p>
    <w:p>
      <w:r>
        <w:rPr>
          <w:b w:val="0"/>
          <w:i w:val="0"/>
        </w:rPr>
        <w:t>No industry is failing faster than retail. The 125-year- old Sears—once the world’s largest retailer—filed for bankruptcy. The public has more or less come to expect the shuttering of stores such as Macy’s, Sears, Toys “R” Us, Kmart, Kohl’s, J.C. Penney, and Barnes &amp; Noble. The ones that manage to escape are discount chains—such as T.J. Maxx and Marshalls—which compete aggressively on price.</w:t>
      </w:r>
    </w:p>
    <w:p>
      <w:r>
        <w:rPr>
          <w:b w:val="0"/>
          <w:i w:val="0"/>
        </w:rPr>
        <w:t>Price competition hurts. It also hurts the brands sold inside the stores, which in part explains why consumer product giants like Procter &amp; Gamble are seeing their sales stagnate for products like Tide detergent, Gillette razors, Pampers diapers, and Crest toothpaste.</w:t>
      </w:r>
    </w:p>
    <w:p>
      <w:r>
        <w:rPr>
          <w:b w:val="0"/>
          <w:i w:val="0"/>
        </w:rPr>
        <w:t>A report by the consultancy BCG documented a general decline in sales among consumer packaged goods (CPG) companies in the United States during 2017, with midsized and large companies losing market share and small companies increasing theirs.1 Consultancy Catalina also revealed that 90 of the 100 top brands had all lost market share. In dollar terms, small players—defined as those with sales of less than $1 billion—grabbed approximately $15 billion in sales from their larger peers between 2012 and 2017.</w:t>
      </w:r>
    </w:p>
    <w:p>
      <w:r>
        <w:rPr>
          <w:b w:val="0"/>
          <w:i w:val="0"/>
        </w:rPr>
        <w:t>Shoppers now purchase more online, making fewer trips to stores and seeing fewer in-store promotions. A small but trendy razor club with a hip logo, Harry’s, attracts more Instagram followers and product subscriptions through its website than a fully stocked Gillette aisle in a supermarket ever could. And so Harry’s grew 35% year-on-year over a three-year period, three times faster than the industry average, commanding 9% of all online razor sales.</w:t>
      </w:r>
    </w:p>
    <w:p>
      <w:r>
        <w:rPr>
          <w:b w:val="0"/>
          <w:i w:val="0"/>
        </w:rPr>
        <w:t>Whereas the Gillette aisle in the local supermarket targets exactly one neighborhood, Harry’s website reaches millions. Harry’s bolsters the subscription habits of its recurring consumers, whereas Gillette relies on in-store impulse buying. When someone buys a razor in a store, Gillette has no clue who’s buying what and when; Harry’s knows it all.</w:t>
      </w:r>
    </w:p>
    <w:p>
      <w:r>
        <w:rPr>
          <w:b w:val="0"/>
          <w:i w:val="0"/>
        </w:rPr>
        <w:t>Newcomers like Harry’s still represent only a fraction of the overall market, but they’ve captured the majority of the growth in that time—a defining feature of disruptive innovation. That’s why P&amp;G has been restructuring for 20 years “without much to show for it,” according to one former finance manager. No matter how well P&amp;G reorganizes itself, it can’t reverse the decline from $83 billion in sales in 2008 to $65 billion in 2017 without learning some new tricks.</w:t>
      </w:r>
    </w:p>
    <w:p>
      <w:r>
        <w:rPr>
          <w:b w:val="0"/>
          <w:i w:val="0"/>
        </w:rPr>
        <w:t xml:space="preserve">The </w:t>
      </w:r>
      <w:r>
        <w:rPr>
          <w:b w:val="0"/>
          <w:i/>
        </w:rPr>
        <w:t>Wall Street Journal</w:t>
      </w:r>
      <w:r>
        <w:rPr>
          <w:b w:val="0"/>
          <w:i w:val="0"/>
        </w:rPr>
        <w:t xml:space="preserve"> reported that the sluggish sales of Johnson &amp; Johnson baby shampoo have forced the company to make a desperate bet.2 J&amp;J will take out the yellow dye from its iconic golden-hued baby shampoo and make it clear. Whether this will help J&amp;J in the long run, no one knows. But the sluggish sales reflect the same dynamics that P&amp;G has been facing: market share lost to smaller brands, overreliance on traditional retailers, and an inability to create direct relationships with consumers at a time when e-commerce is exploding.</w:t>
      </w:r>
    </w:p>
    <w:p>
      <w:r>
        <w:rPr>
          <w:b w:val="0"/>
          <w:i w:val="0"/>
        </w:rPr>
        <w:t>P&amp;G went to war to clean up the online ad market and used its pull as the world’s biggest advertiser to squeeze out more information about the effectiveness of digital ads for Google and Facebook. It slashed digital ad expenditures by more than $200 million and issued an ultimatum for tech firms to become more transparent. That’s a good start. But it also needs a new vision.</w:t>
      </w:r>
    </w:p>
    <w:p>
      <w:r>
        <w:rPr>
          <w:b w:val="0"/>
          <w:i w:val="0"/>
        </w:rPr>
        <w:t>Activist investor Nelson Peltz, who sits on P&amp;G’s board, has such a vision. He argued that P&amp;G “must acknowledge that others will inevitably come up with new ideas, new opportunities for growth, and new products that are on-trend with consumers.” He also suggested that “P&amp;G must be proficient at acquiring small, mid-size, and local brands and using its R&amp;D and marketing clout to take them to the next level.”3</w:t>
      </w:r>
    </w:p>
    <w:p>
      <w:r>
        <w:rPr>
          <w:b w:val="0"/>
          <w:i w:val="0"/>
        </w:rPr>
        <w:t>What Peltz suggested is exactly what Xiaomi is already doing.</w:t>
      </w:r>
    </w:p>
    <w:p>
      <w:pPr>
        <w:pStyle w:val="Heading2"/>
      </w:pPr>
      <w:r>
        <w:rPr>
          <w:b/>
          <w:i w:val="0"/>
        </w:rPr>
        <w:t>Xiaomi’s Startup Incubator</w:t>
      </w:r>
    </w:p>
    <w:p>
      <w:r>
        <w:rPr>
          <w:b w:val="0"/>
          <w:i w:val="0"/>
        </w:rPr>
        <w:t>By March 2016, Chinese smartphone maker Xiaomi had invested in some 55 startups, generating products from power banks to air purifiers. Of these companies, 29 were incubated from the ground up by Xiaomi, and four were already unicorns worth over $1 billion. What Xiaomi offers to startups is a combination of funding and incubation by “taking non-controlling shares” and “leaving maximum interests to the startups” so that “they are much more incentivized and willing to fight on the front line,” explained Liu De, cofounder and vice president of Xiaomi.4</w:t>
      </w:r>
    </w:p>
    <w:p>
      <w:r>
        <w:rPr>
          <w:b w:val="0"/>
          <w:i w:val="0"/>
        </w:rPr>
        <w:t>Startups typically get access to Xiaomi’s brand and distribution—its online channel, its app, and its 300 offline stores. As a result, Xiaomi is poised as not only a low-cost phone maker but also an emerging powerhouse among the makers of the all-important “connected home devices.” “Our ecosystem even gives customers unusual new products that they never knew existed,” said Wang Xiang, Xiaomi’s senior vice president, referring to the company’s Bluetooth speaker, internet-enabled rice cooker, and air purifier (the first affordable one in China)—products that the company claims are not only best in class but also cost less than their existing counterparts.5</w:t>
      </w:r>
    </w:p>
    <w:p>
      <w:r>
        <w:rPr>
          <w:b w:val="0"/>
          <w:i w:val="0"/>
        </w:rPr>
        <w:t>P&amp;G should follow suit. It can no longer be a mere “industrial corporation with a future based on technology” but rather must become a house of startup brands that runs pop-up stores, makes home deliveries, celebrates communities with parties, fosters subscription models, and curates compelling product personas, all while gathering comprehensive consumer data to guide new product innovation. In effect, it becomes a sort of coherent conglomerate. It makes a lot of bets, owns numerous largely separate businesses, but uses a few key centralized capabilities like branding and retail distribution to provide each of its subsidiaries with something independent CPG companies can’t match.</w:t>
      </w:r>
    </w:p>
    <w:p>
      <w:r>
        <w:rPr>
          <w:b w:val="0"/>
          <w:i w:val="0"/>
        </w:rPr>
        <w:t>This structure would better enable P&amp;G to copy what scrappy upstarts like Harry’s or Warby Parker do. These startups, despite being manufacturers, digitalize all customer touchpoints (like Netflix), control the user experience by forward-integrating into the brick-and-mortar realm (like Amazon buying Whole Foods), and then run data analytics to optimize merchandise mix and inform product innovation (like Alibaba’s Taobao).</w:t>
      </w:r>
    </w:p>
    <w:p>
      <w:r>
        <w:rPr>
          <w:b w:val="0"/>
          <w:i w:val="0"/>
        </w:rPr>
        <w:t>So, are such steps too bold for a CPG giant from Cincinnati? The 180-year-old house of brands hasn’t managed to survive this long without making bold steps in the past.</w:t>
      </w:r>
    </w:p>
    <w:p>
      <w:r>
        <w:rPr>
          <w:b w:val="0"/>
          <w:i w:val="0"/>
        </w:rPr>
        <w:t>When the first boxes of Tide went on sale in 1946, it was the first synthetic detergent that could deep-clean clothing “without making colors dull or dingy.” Before Tide, all soaps were “naturally” made by heating animal or vegetable fats with water and an alkali base. The benefits of a synthetic detergent that made “white clothes look whiter” were so apparent that within just three years, Tide outstripped all other brands on the market and became the number-one detergent. In the wake of Tide’s introduction, P&amp;G would “no longer be a soap company” but “would become an industrial corporation with its future based on technology,” its technical staff body tripling that of the pre-Tide year of 1945.</w:t>
      </w:r>
    </w:p>
    <w:p>
      <w:r>
        <w:rPr>
          <w:b w:val="0"/>
          <w:i w:val="0"/>
        </w:rPr>
        <w:t>But inside P&amp;G, managers had feared the new products might cannibalize their beloved Ivory soap. Only Chairman William Cooper Procter, the last family manager of P&amp;G, remained a staunch supporter of synthetic detergents. In a memorable remark addressed to his staff, he said, “[T]his [synthetic detergent] may ruin the soap business. But if anybody is going to ruin the soap business, it had better be Procter &amp; Gamble.”</w:t>
      </w:r>
    </w:p>
    <w:p>
      <w:r>
        <w:rPr>
          <w:b w:val="0"/>
          <w:i w:val="0"/>
        </w:rPr>
        <w:t>P&amp;G made bold moves to save itself in the past. Now it just needs to rediscover that chairman’s mentality. And that might well go for any consumer brand, not least P&amp;G, looking to escape the utter ruins of the retail wasteland.</w:t>
      </w:r>
    </w:p>
    <w:p>
      <w:r>
        <w:rPr>
          <w:b/>
          <w:i w:val="0"/>
        </w:rPr>
        <w:t>TAKEAWAYS</w:t>
      </w:r>
    </w:p>
    <w:p>
      <w:r>
        <w:rPr>
          <w:b w:val="0"/>
          <w:i w:val="0"/>
        </w:rPr>
        <w:t>Large consumer packaged goods (CPG) companies like P&amp;G are losing market share to new entrants. They are challenged by an overreliance on traditional retailers and an inability to create direct relationships with consumers at a time when e-commerce is exploding.</w:t>
      </w:r>
    </w:p>
    <w:p>
      <w:r>
        <w:rPr>
          <w:b w:val="0"/>
          <w:i w:val="0"/>
        </w:rPr>
        <w:t>✓   To grow outside traditional retail, CPG companies can learn from their new competitors by running pop-up stores, making home deliveries, celebrating communities, fostering subscription models, and curating compelling product personas, all while gathering comprehensive consumer data to guide new product innovation.</w:t>
      </w:r>
    </w:p>
    <w:p>
      <w:r>
        <w:rPr>
          <w:b w:val="0"/>
          <w:i w:val="0"/>
        </w:rPr>
        <w:t>✓   CPG companies should become a sort of coherent conglomerate. They must make a lot of bets, own numerous, largely separate businesses, but use a few key centralized capabilities like branding and retail distribution to provide each of their subsidiaries with something their competitors can’t match.</w:t>
      </w:r>
    </w:p>
    <w:p>
      <w:r>
        <w:rPr>
          <w:b w:val="0"/>
          <w:i w:val="0"/>
        </w:rPr>
        <w:t>✓   CPG companies can learn from Xiaomi, the Chinese smartphone maker that placed bets by investing in some 55 startups. The result? Twenty-nine took off and four are already unicorns worth over $1 billion.</w:t>
      </w:r>
    </w:p>
    <w:p>
      <w:pPr>
        <w:pStyle w:val="Heading4"/>
      </w:pPr>
      <w:r>
        <w:rPr>
          <w:b/>
          <w:i w:val="0"/>
        </w:rPr>
        <w:t>NOTES</w:t>
      </w:r>
    </w:p>
    <w:p>
      <w:pPr>
        <w:pStyle w:val="ListNumber"/>
      </w:pPr>
      <w:r>
        <w:rPr>
          <w:b w:val="0"/>
          <w:i w:val="0"/>
        </w:rPr>
        <w:t>1. Peri Edelstein et al., “What the Fastest-Growing CPG Companies Do Differently,” BCG, June 14, 2018, https://www.bcg.com/en-us/publications/2018/what-fastest-growing-consumer-packaged-goods-companies-do-differently.aspx.</w:t>
      </w:r>
    </w:p>
    <w:p>
      <w:pPr>
        <w:pStyle w:val="ListNumber"/>
      </w:pPr>
      <w:r>
        <w:rPr>
          <w:b w:val="0"/>
          <w:i w:val="0"/>
        </w:rPr>
        <w:t xml:space="preserve">2. Jonathan D. Rockoff, “Bringing Up Baby’s Market Share at J&amp;J,” </w:t>
      </w:r>
      <w:r>
        <w:rPr>
          <w:b w:val="0"/>
          <w:i/>
        </w:rPr>
        <w:t>Wall Street Journal</w:t>
      </w:r>
      <w:r>
        <w:rPr>
          <w:b w:val="0"/>
          <w:i w:val="0"/>
        </w:rPr>
        <w:t>, October 27, 2018, https://www.wsj.com/articles/bringing-up-babys-market-share-at-j-j-1540612886.</w:t>
      </w:r>
    </w:p>
    <w:p>
      <w:pPr>
        <w:pStyle w:val="ListNumber"/>
      </w:pPr>
      <w:r>
        <w:rPr>
          <w:b w:val="0"/>
          <w:i w:val="0"/>
        </w:rPr>
        <w:t>3. Trian Partners, “Revitalize P&amp;G Together,” white paper, September 6, 2017, https://trianpartners.com/content/uploads/2017/01/Trian-PG-White-Paper-9.6.17-1.pdf.</w:t>
      </w:r>
    </w:p>
    <w:p>
      <w:pPr>
        <w:pStyle w:val="ListNumber"/>
      </w:pPr>
      <w:r>
        <w:rPr>
          <w:b w:val="0"/>
          <w:i w:val="0"/>
        </w:rPr>
        <w:t xml:space="preserve">4. Rita Liao, “Inside Xiaomi: The Perks and Perils of Startups That Join Its Ecosystem,” </w:t>
      </w:r>
      <w:r>
        <w:rPr>
          <w:b w:val="0"/>
          <w:i/>
        </w:rPr>
        <w:t>Tech in Asia</w:t>
      </w:r>
      <w:r>
        <w:rPr>
          <w:b w:val="0"/>
          <w:i w:val="0"/>
        </w:rPr>
        <w:t>, March 26, 2018, https://www.techinasia.com/xiaomi-ecosystem.</w:t>
      </w:r>
    </w:p>
    <w:p>
      <w:pPr>
        <w:pStyle w:val="ListNumber"/>
      </w:pPr>
      <w:r>
        <w:rPr>
          <w:b w:val="0"/>
          <w:i w:val="0"/>
        </w:rPr>
        <w:t>5. Shoshanna Delventhal, “How Xiaomi Makes Money,” Investopedia, July 30, 2019, https://www.investopedia.com/news/how-xiaomi-makes-money/#ixzz5F8e000tB.</w:t>
      </w:r>
    </w:p>
    <w:p>
      <w:r>
        <w:rPr>
          <w:b w:val="0"/>
          <w:i/>
        </w:rPr>
        <w:t>Adapted from content posted on hbr.org, December 4, 2018 (product #H04OF9).</w:t>
      </w:r>
    </w:p>
    <w:p>
      <w:pPr>
        <w:pStyle w:val="Heading1"/>
      </w:pPr>
      <w:r>
        <w:rPr>
          <w:b/>
          <w:i w:val="0"/>
        </w:rPr>
        <w:t>9</w:t>
      </w:r>
    </w:p>
    <w:p>
      <w:pPr>
        <w:pStyle w:val="Heading1"/>
      </w:pPr>
      <w:r>
        <w:rPr>
          <w:b/>
          <w:i w:val="0"/>
        </w:rPr>
        <w:t>CRAFTING A STRATEGY IN THE AGE OF GIANTS</w:t>
      </w:r>
    </w:p>
    <w:p>
      <w:r>
        <w:rPr>
          <w:b w:val="0"/>
          <w:i w:val="0"/>
        </w:rPr>
        <w:t>Classic strategic concepts like the five forces, blue oceans, and core competencies are familiar, brilliant, and useful, but they aren’t the final word in competition. The rules of strategy have never been static and the ascent of the tech giants is reshaping them once again. As always, no approach is one-size-fits-all. For some companies, the answer will be to become bigger, broader, faster, and more like the tech monopolies. Others will need to remain focused deliberately, honing a few unmatchable capabilities, brands, or services. The four short pieces that follow will help you rethink your company’s strategy to compete and win among the giants.</w:t>
      </w:r>
    </w:p>
    <w:p>
      <w:r>
        <w:rPr>
          <w:b/>
          <w:i w:val="0"/>
        </w:rPr>
        <w:t>THE OLD AND NEW RULES OF COMPETITIVE ADVANTAGE</w:t>
      </w:r>
    </w:p>
    <w:p>
      <w:r>
        <w:rPr>
          <w:b w:val="0"/>
          <w:i w:val="0"/>
        </w:rPr>
        <w:t>by Julian Birkinshaw</w:t>
      </w:r>
    </w:p>
    <w:p>
      <w:r>
        <w:rPr>
          <w:b w:val="0"/>
          <w:i w:val="0"/>
        </w:rPr>
        <w:t>Warren Buffett is famous for investing in businesses that have what strategists call “deep moats.” The moat is what protects the business from competitors. Sometimes it is based on access to a scarce resource or ownership of a patent, sometimes it is based on customer loyalty and a strong brand, and sometimes it is an artifact of government regulation.</w:t>
      </w:r>
    </w:p>
    <w:p>
      <w:r>
        <w:rPr>
          <w:b w:val="0"/>
          <w:i w:val="0"/>
        </w:rPr>
        <w:t>How do you build a moat? One approach is to position your business skillfully, by finding an industry with high entry barriers and then differentiating your product to keep customers hooked in. The other approach is to focus on your underlying assets and capabilities, to invest in those assets that are rare, valuable, and hard for competitors to imitate.</w:t>
      </w:r>
    </w:p>
    <w:p>
      <w:r>
        <w:rPr>
          <w:b w:val="0"/>
          <w:i w:val="0"/>
        </w:rPr>
        <w:t>These two worldviews—market positioning and the resource-based view—have dominated how we have thought about competitive advantage for 40 years.</w:t>
      </w:r>
    </w:p>
    <w:p>
      <w:r>
        <w:rPr>
          <w:b w:val="0"/>
          <w:i w:val="0"/>
        </w:rPr>
        <w:t>But the rapid growth of business ecosystems in recent years challenges this thinking. Most of these ecosystem orchestrators, like Google, Alibaba, and Uber, don’t make the things they sell; they exist to link others together, and this makes the old positioning-based logic less relevant. And, of course, they don’t have many assets, either. They create value through relationships and networks, not through physical goods or infrastructure, so arguments built around asset ownership are equally challenging. These firms are also looking to grow the market—by increasing the flow of people and goods—rather than to capture as much of the existing market as possible.</w:t>
      </w:r>
    </w:p>
    <w:p>
      <w:r>
        <w:rPr>
          <w:b w:val="0"/>
          <w:i w:val="0"/>
        </w:rPr>
        <w:t>In other words, they don’t care much for the moat-based logic of competitive advantage. I think a more apt metaphor for these firms may be the logic of the turnstile: They want to get as many players involved in their ecosystem as possible, and to get them interacting according to rules they have shaped. Of course, there are many ways these companies make money—committees, membership fees, advertising sales, and so on—but the key point with all these business models is that they work better when the ecosystem is larger. That’s why the turnstile metaphor is useful.</w:t>
      </w:r>
    </w:p>
    <w:p>
      <w:r>
        <w:rPr>
          <w:b w:val="0"/>
          <w:i w:val="0"/>
        </w:rPr>
        <w:t>This shift from moats to turnstiles can be hard to grasp. For most business strategists, it is second nature to protect your existing assets and to keep competition at bay. But a pure-play orchestrator is happy to open up to competition and to share its intellectual property, as long as that keeps the ecosystem growing. Its aim is to maximize the number of people coming through the turnstile, rather than to increase the height of the fence or the width of the moat.</w:t>
      </w:r>
    </w:p>
    <w:p>
      <w:r>
        <w:rPr>
          <w:b/>
          <w:i w:val="0"/>
        </w:rPr>
        <w:t>NETFLIX’S ANSWER TO COMPETING WITH AMAZON</w:t>
      </w:r>
    </w:p>
    <w:p>
      <w:r>
        <w:rPr>
          <w:b w:val="0"/>
          <w:i w:val="0"/>
        </w:rPr>
        <w:t>by Walter Frick</w:t>
      </w:r>
    </w:p>
    <w:p>
      <w:r>
        <w:rPr>
          <w:b w:val="0"/>
          <w:i w:val="0"/>
        </w:rPr>
        <w:t>Amazon doesn’t just want to be the place where you do your online shopping. It wants to be where you watch TV, how you interact with your home, the infrastructure behind your favorite websites—even the place where you do whatever offline shopping is left after its e-commerce behemoth is done gobbling up brick-and-mortar retail.</w:t>
      </w:r>
    </w:p>
    <w:p>
      <w:r>
        <w:rPr>
          <w:b w:val="0"/>
          <w:i w:val="0"/>
        </w:rPr>
        <w:t>But is the only strategy in our winner-take-all era to get as big as possible, to aspire to eventually serve everyone, and to meet their every need?</w:t>
      </w:r>
    </w:p>
    <w:p>
      <w:r>
        <w:rPr>
          <w:b w:val="0"/>
          <w:i w:val="0"/>
        </w:rPr>
        <w:t>Netflix’s Reed Hastings doesn’t think so. Of course, Netflix is no mom-and-pop operation. But in a telling interview with Recode, Hastings explicitly rejected the Bezos approach of strategy-as-world-domination. When asked why Netflix has no plans to add live sports, he explained:</w:t>
      </w:r>
    </w:p>
    <w:p>
      <w:pPr>
        <w:pStyle w:val="Quote"/>
      </w:pPr>
      <w:r>
        <w:rPr>
          <w:b w:val="0"/>
          <w:i w:val="0"/>
        </w:rPr>
        <w:br/>
      </w:r>
      <w:r>
        <w:rPr>
          <w:b w:val="0"/>
          <w:i/>
        </w:rPr>
        <w:t>We’re not trying to meet all needs. So, Amazon’s business strategy is super broad. Meet all needs. I mean, the stuff that will be in Prime in 5 or 10 years will be amazing, right? And so we can’t try to be that—we’ll never be as good as them at what they’re trying to be. What we can be is the emotional connection brand, like HBO or Netflix. So, think of it as they’re trying to be Walmart, we’re trying to be Starbucks. So, super focused on one thing that people are very passionate about.1</w:t>
      </w:r>
      <w:r>
        <w:rPr>
          <w:b w:val="0"/>
          <w:i w:val="0"/>
        </w:rPr>
        <w:br/>
      </w:r>
    </w:p>
    <w:p>
      <w:r>
        <w:rPr>
          <w:b w:val="0"/>
          <w:i w:val="0"/>
        </w:rPr>
        <w:t xml:space="preserve">Michael Porter would approve. “The essence of strategy is choosing what </w:t>
      </w:r>
      <w:r>
        <w:rPr>
          <w:b w:val="0"/>
          <w:i/>
        </w:rPr>
        <w:t>not</w:t>
      </w:r>
      <w:r>
        <w:rPr>
          <w:b w:val="0"/>
          <w:i w:val="0"/>
        </w:rPr>
        <w:t xml:space="preserve"> to do,” he writes in his 1996 classic “What Is Strategy?” In Porter’s view, sustainable competitive advantage depends on trade-offs, including the fact that it’s difficult for one company to serve all customers across a wide range of needs. “A company known for delivering one kind of value may lack credibility and confuse customers—or even undermine its reputation—if it delivers another kind of value or attempts to deliver two inconsistent things at the same time,” Porter writes.</w:t>
      </w:r>
    </w:p>
    <w:p>
      <w:r>
        <w:rPr>
          <w:b w:val="0"/>
          <w:i w:val="0"/>
        </w:rPr>
        <w:t>Hastings is betting that Porter’s rules haven’t been repealed. Do strategic trade-offs really limit Amazon’s ability to compete with Netflix? It’s hard to say. Maybe digital technology and the changing economies of scale really have changed the nature of competition. But for most companies, trying to compete on scale with tech’s frightful five is a losing gambit. And if you were to bet on which firms would manage to thrive alongside the giants, you could do worse than picking ones like Netflix, where the CEO is thinking hard about trade-offs and differentiation.</w:t>
      </w:r>
    </w:p>
    <w:p>
      <w:r>
        <w:rPr>
          <w:b w:val="0"/>
          <w:i w:val="0"/>
        </w:rPr>
        <w:t xml:space="preserve">In an era where a small number of huge companies have unprecedented reach and control, Porter’s central question seems more important than ever: What </w:t>
      </w:r>
      <w:r>
        <w:rPr>
          <w:b w:val="0"/>
          <w:i/>
        </w:rPr>
        <w:t>won’t</w:t>
      </w:r>
      <w:r>
        <w:rPr>
          <w:b w:val="0"/>
          <w:i w:val="0"/>
        </w:rPr>
        <w:t xml:space="preserve"> you be?</w:t>
      </w:r>
    </w:p>
    <w:p>
      <w:r>
        <w:rPr>
          <w:b/>
          <w:i w:val="0"/>
        </w:rPr>
        <w:t>WALMART WON’T STAY ON TOP IF ITS STRATEGY IS “COPY AMAZON”</w:t>
      </w:r>
    </w:p>
    <w:p>
      <w:r>
        <w:rPr>
          <w:b w:val="0"/>
          <w:i w:val="0"/>
        </w:rPr>
        <w:t>by Denise Lee Yohn</w:t>
      </w:r>
    </w:p>
    <w:p>
      <w:r>
        <w:rPr>
          <w:b w:val="0"/>
          <w:i w:val="0"/>
        </w:rPr>
        <w:t>Walmart has made a series of moves to fight Amazon and grow its e-commerce business. It purchased Jet.com and installed Jet’s founder, Marc Lore, as head of its e-commerce division. It has also been acquiring e-commerce niche players, including Shoebuy and outdoor gear retailer Moosejaw, and digital technology companies, such as search experts Adchemy and cloud platform OneOps.</w:t>
      </w:r>
    </w:p>
    <w:p>
      <w:r>
        <w:rPr>
          <w:b w:val="0"/>
          <w:i w:val="0"/>
        </w:rPr>
        <w:t>Walmart does need to shore up its e-commerce capabilities, but its attempts to out-Amazon Amazon aren’t a winning strategy. For one thing, by offering the new shipping service, Walmart is really only playing catch-up. Lore himself described free shipping as table stakes. And Amazon is adding new benefits to Prime membership continuously.</w:t>
      </w:r>
    </w:p>
    <w:p>
      <w:r>
        <w:rPr>
          <w:b w:val="0"/>
          <w:i w:val="0"/>
        </w:rPr>
        <w:t>Walmart can’t compete with Amazon Prime’s value proposition, at least not yet. Walmart’s acquisitions of e-commerce companies and digital technologies, and the talent that comes along with them, enable it to get better at this, but Amazon will continue to improve too.</w:t>
      </w:r>
    </w:p>
    <w:p>
      <w:r>
        <w:rPr>
          <w:b w:val="0"/>
          <w:i w:val="0"/>
        </w:rPr>
        <w:t xml:space="preserve">Trying to beat Amazon at its own game is not only likely to fail, it’s also not in Walmart’s best interests. Walmart has perhaps the best physical distribution and retail network </w:t>
      </w:r>
      <w:r>
        <w:rPr>
          <w:b w:val="0"/>
          <w:i/>
        </w:rPr>
        <w:t>in the world</w:t>
      </w:r>
      <w:r>
        <w:rPr>
          <w:b w:val="0"/>
          <w:i w:val="0"/>
        </w:rPr>
        <w:t>. It needs to be competitive on digital channels, sure. But, more important, it should excel at brick-and-mortar. Improving the in-store experience, promoting omnichannel shopping and fulfillment options, and developing in-person service innovations are avenues that leverage its brand equity and core competencies—and they’re approaches that would put Amazon at a disadvantage. Walmart should invest to advance its strongest competitive advantage: its physical stores.</w:t>
      </w:r>
    </w:p>
    <w:p>
      <w:r>
        <w:rPr>
          <w:b w:val="0"/>
          <w:i w:val="0"/>
        </w:rPr>
        <w:t xml:space="preserve">The company’s obsession with competing with Amazon also seems to have taken Walmart’s focus off its brand identity in everyday low prices. In its announcements and ads about the new free shipping service, product prices have not been mentioned. Walmart has held a low-price leadership position from its start. Now, in some cases, it can often offer </w:t>
      </w:r>
      <w:r>
        <w:rPr>
          <w:b w:val="0"/>
          <w:i/>
        </w:rPr>
        <w:t>lower</w:t>
      </w:r>
      <w:r>
        <w:rPr>
          <w:b w:val="0"/>
          <w:i w:val="0"/>
        </w:rPr>
        <w:t xml:space="preserve"> prices than Amazon because Jet.com’s operating model doesn’t rely on holding inventory. But the company has not initially elected to make its new pricing capabilities or its long-standing low prices part of its marketing efforts for e-commerce.</w:t>
      </w:r>
    </w:p>
    <w:p>
      <w:r>
        <w:rPr>
          <w:b w:val="0"/>
          <w:i w:val="0"/>
        </w:rPr>
        <w:t>Many companies feel a pull to imitate the practices of successful rivals. But this rarely ends well. Core competencies stagnate, customers become confused, and the opportunity to lead instead of follow is squandered.</w:t>
      </w:r>
    </w:p>
    <w:p>
      <w:r>
        <w:rPr>
          <w:b/>
          <w:i w:val="0"/>
        </w:rPr>
        <w:t>IN THE ECOSYSTEM ECONOMY, WHAT’S YOUR STRATEGY?</w:t>
      </w:r>
    </w:p>
    <w:p>
      <w:r>
        <w:rPr>
          <w:b w:val="0"/>
          <w:i w:val="0"/>
        </w:rPr>
        <w:t>by Michael G. Jacobides</w:t>
      </w:r>
    </w:p>
    <w:p>
      <w:r>
        <w:rPr>
          <w:b w:val="0"/>
          <w:i w:val="0"/>
        </w:rPr>
        <w:t>Many firms assume they should be the focus and chief architect of any ecosystem they create. That’s not necessarily the case; sometimes you are better off sharing the role or being a complementor.</w:t>
      </w:r>
    </w:p>
    <w:p>
      <w:r>
        <w:rPr>
          <w:b w:val="0"/>
          <w:i w:val="0"/>
        </w:rPr>
        <w:t>If you lack the qualifications to build an ecosystem but have an IP-protected product or service that could anchor one, your best bet most likely involves attracting the interest of a large company that could buy into or license your idea. If a small-scale HVAC installer had come up with a remotely controllable thermostat, it probably could not have attracted the ecosystem of complementors that Google did. But it could have approached Google with the idea and served as a complementor while benefiting from licensing revenue. For many medium-size firms, a key strategy is to embed in many ecosystems. LIFX, for instance, connects with customers through Amazon’s Alexa, Google Home, and Apple HomeKit.</w:t>
      </w:r>
    </w:p>
    <w:p>
      <w:r>
        <w:rPr>
          <w:b w:val="0"/>
          <w:i w:val="0"/>
        </w:rPr>
        <w:t>Even if you bring a great product or service to the party and have the organizational and cultural capabilities to attract complementors, it might make sense to orchestrate in partnership with another firm in order to reach critical mass. Daimler and BMW recently announced plans to jointly create a managed-mobility ecosystem combining car sharing, ride hailing, parking, and other services. Concerned about disruption from firms such as Uber and Lyft, the automakers decided to collaborate on high-end services anchored to their brands—their chief differentiator and element of value, which a wholesale migration to mobility-as-a-service (MaaS) might well erode.</w:t>
      </w:r>
    </w:p>
    <w:p>
      <w:r>
        <w:rPr>
          <w:b w:val="0"/>
          <w:i w:val="0"/>
        </w:rPr>
        <w:t>A big company can also buy into an ecosystem, which can be particularly helpful if its contribution is interchangeable with other firms’ offerings. Toyota recently invested $1.5 billion in the Southeast Asian ride-hailing company Grab, reasoning that MaaS will drive demand for reliable low-cost cars. That partnership, the company hopes, will give Toyota not just a direct edge as a car supplier but also an understanding of car usage patterns that could confer an advantage over rivals such as Hyundai and Nissan.</w:t>
      </w:r>
    </w:p>
    <w:p>
      <w:r>
        <w:rPr>
          <w:b/>
          <w:i w:val="0"/>
        </w:rPr>
        <w:t>TAKEAWAYS</w:t>
      </w:r>
    </w:p>
    <w:p>
      <w:r>
        <w:rPr>
          <w:b w:val="0"/>
          <w:i w:val="0"/>
        </w:rPr>
        <w:t>While the hub economy may be upending some of the last century’s rules of strategy—and even the last decade’s—it remains as important as ever for companies to understand their unique strategic advantages and opportunities.</w:t>
      </w:r>
    </w:p>
    <w:p>
      <w:r>
        <w:rPr>
          <w:b w:val="0"/>
          <w:i w:val="0"/>
        </w:rPr>
        <w:t>✓   The “build a moat” logic of competitive advantage often no longer applies when you are working with large business ecosystems and platforms. A “turnstile” metaphor for allowing more companies to coexist in an ecosystem is more appropriate.</w:t>
      </w:r>
    </w:p>
    <w:p>
      <w:r>
        <w:rPr>
          <w:b w:val="0"/>
          <w:i w:val="0"/>
        </w:rPr>
        <w:t xml:space="preserve">✓   Aspiring to be a giant is not a winning strategy for most companies. To thrive among the giants, smaller companies should think hard about trade-offs, differentiation, and deciding what they </w:t>
      </w:r>
      <w:r>
        <w:rPr>
          <w:b w:val="0"/>
          <w:i/>
        </w:rPr>
        <w:t>won’t</w:t>
      </w:r>
      <w:r>
        <w:rPr>
          <w:b w:val="0"/>
          <w:i w:val="0"/>
        </w:rPr>
        <w:t xml:space="preserve"> be.</w:t>
      </w:r>
    </w:p>
    <w:p>
      <w:r>
        <w:rPr>
          <w:b w:val="0"/>
          <w:i w:val="0"/>
        </w:rPr>
        <w:t>✓   Simply imitating the practices of successful rivals can result in the stagnation of core competencies and cause customer confusion. Instead, companies should continue to invest in their unique competitive advantages.</w:t>
      </w:r>
    </w:p>
    <w:p>
      <w:r>
        <w:rPr>
          <w:b w:val="0"/>
          <w:i w:val="0"/>
        </w:rPr>
        <w:t>✓   Companies may assume that they need to be the chief architect of any ecosystem in which they participate—but often they’re better off sharing the role, being a complementor, or buying into a jointly owned ecosystem.</w:t>
      </w:r>
    </w:p>
    <w:p>
      <w:pPr>
        <w:pStyle w:val="Heading4"/>
      </w:pPr>
      <w:r>
        <w:rPr>
          <w:b/>
          <w:i w:val="0"/>
        </w:rPr>
        <w:t>NOTE</w:t>
      </w:r>
    </w:p>
    <w:p>
      <w:pPr>
        <w:pStyle w:val="ListNumber"/>
      </w:pPr>
      <w:r>
        <w:rPr>
          <w:b w:val="0"/>
          <w:i w:val="0"/>
        </w:rPr>
        <w:t>1. Kurt Wagner, “Netflix CEO Reed Hastings: The Full Code Interview Video,” Vox, June 4, 2017, https://www.vox.com/2017/6/4/15730694/watch-netflix-ceo-reed-hastings-binge-watching-movies-tv-sports-code-interview-video.</w:t>
      </w:r>
    </w:p>
    <w:p>
      <w:r>
        <w:rPr>
          <w:b w:val="0"/>
          <w:i/>
        </w:rPr>
        <w:t>Adapted from “Ecosystem Businesses Are Changing the Rules of Strategy,” on hbr.org, August 8, 2019 (product #H053C3); “How Can Companies Compete with Amazon? Netflix Has the Answer,” on hbr.org, June 19, 2017 (product #H03QOI); “Walmart Won’t Stay on Top If Its Strategy Is ‘Copy Amazon’,” on hbr.org, March 21, 2017 (product #H03JHR); and “In the Ecosystem Economy, What’s Your Strategy?” in</w:t>
      </w:r>
      <w:r>
        <w:rPr>
          <w:b w:val="0"/>
          <w:i w:val="0"/>
        </w:rPr>
        <w:t xml:space="preserve"> Harvard Business Review</w:t>
      </w:r>
      <w:r>
        <w:rPr>
          <w:b w:val="0"/>
          <w:i/>
        </w:rPr>
        <w:t>, September–October 2019 (product #R1905J).</w:t>
      </w:r>
    </w:p>
    <w:p>
      <w:pPr>
        <w:pStyle w:val="Heading1"/>
      </w:pPr>
      <w:r>
        <w:rPr>
          <w:b/>
          <w:i w:val="0"/>
        </w:rPr>
        <w:t>10</w:t>
      </w:r>
    </w:p>
    <w:p>
      <w:pPr>
        <w:pStyle w:val="Heading1"/>
      </w:pPr>
      <w:r>
        <w:rPr>
          <w:b/>
          <w:i w:val="0"/>
        </w:rPr>
        <w:t>WHO WILL WIN THE INDUSTRIAL INTERNET?</w:t>
      </w:r>
    </w:p>
    <w:p>
      <w:r>
        <w:rPr>
          <w:b w:val="0"/>
          <w:i w:val="0"/>
        </w:rPr>
        <w:t>by Vijay Govindarajan</w:t>
      </w:r>
    </w:p>
    <w:p>
      <w:r>
        <w:rPr>
          <w:b w:val="0"/>
          <w:i w:val="0"/>
        </w:rPr>
        <w:t>Just the announcement that Jeff Bezos, Warren Buffett, and Jamie Dimon will be entering the health-care space sent shock waves to industry incumbents such as CVS, Cigna, and UnitedHealth. It also put a fundamental question back on the agendas of CEOs in other industries: Will software eat the world, as Marc Andreessen famously quipped? Is this a warning shot that signals that other legacy industrial companies, such as Ford, Deere, and Rolls-Royce, are also at increased risk of being disrupted?</w:t>
      </w:r>
    </w:p>
    <w:p>
      <w:r>
        <w:rPr>
          <w:b w:val="0"/>
          <w:i w:val="0"/>
        </w:rPr>
        <w:t>To start to answer that question, let’s tally up the score. There are three types of products today. Digital natives (Amazon, Google, Facebook, Microsoft, IBM) have gained competitive advantage in the first two, and the jury is still out on the third:</w:t>
      </w:r>
    </w:p>
    <w:p>
      <w:pPr>
        <w:pStyle w:val="ListBullet"/>
      </w:pPr>
      <w:r>
        <w:rPr>
          <w:b w:val="0"/>
          <w:i w:val="0"/>
        </w:rPr>
        <w:t>Type 1:  These are “pure” information goods, where digital natives rule. An example would be Google in search, or Facebook in social networking. Their business models benefit from internet connectivity, and they enjoy tremendous network effects.</w:t>
      </w:r>
    </w:p>
    <w:p>
      <w:pPr>
        <w:pStyle w:val="ListBullet"/>
      </w:pPr>
      <w:r>
        <w:rPr>
          <w:b w:val="0"/>
          <w:i w:val="0"/>
        </w:rPr>
        <w:t>Type 2:  These are once-analog products that have now been converted into digital products, such as photography, books, and music. Here too, digital natives dominate. These products are typically sold as a service via digital distribution platforms (Audible.com for books, Spotify for music, Netflix for movies).</w:t>
      </w:r>
    </w:p>
    <w:p>
      <w:pPr>
        <w:pStyle w:val="ListBullet"/>
      </w:pPr>
      <w:r>
        <w:rPr>
          <w:b w:val="0"/>
          <w:i w:val="0"/>
        </w:rPr>
        <w:t>Type 3:  Then there are products where the input-output efficiency and reliability of the physical components are still critical, but digital is becoming an integral part of the product itself (in effect, computers are being put inside products). This is the world of the internet of things (IoT) and the industrial internet.</w:t>
      </w:r>
    </w:p>
    <w:p>
      <w:r>
        <w:rPr>
          <w:b w:val="0"/>
          <w:i w:val="0"/>
        </w:rPr>
        <w:t>Manufacturing-heavy companies such as Caterpillar, Ford, and Rolls-Royce compete in this world. An aircraft engine is unlikely to become a purely digital product any time soon. Such products have three components: physical, “smart” (sensors, controls, microprocessors, software, and enhanced user interface), and connectivity (one machine connected to another machine; one machine connected to many machines; and many machines connected to each other in a system).</w:t>
      </w:r>
    </w:p>
    <w:p>
      <w:r>
        <w:rPr>
          <w:b w:val="0"/>
          <w:i w:val="0"/>
        </w:rPr>
        <w:t>Digital natives have already disrupted industries such as media, publishing, travel, music, and photography. But who is likely to assume leadership in creating and capturing economic value in Type 3 products: Digital natives or industry incumbents? Ford or Tesla? Rolls-Royce or IBM? Caterpillar or Microsoft? A combination of Amazon, Berkshire Hathaway, and JPMorgan Chase or UnitedHealth?</w:t>
      </w:r>
    </w:p>
    <w:p>
      <w:pPr>
        <w:pStyle w:val="Heading2"/>
      </w:pPr>
      <w:r>
        <w:rPr>
          <w:b/>
          <w:i w:val="0"/>
        </w:rPr>
        <w:t>The Challenges for Digital Natives</w:t>
      </w:r>
    </w:p>
    <w:p>
      <w:r>
        <w:rPr>
          <w:b w:val="0"/>
          <w:i w:val="0"/>
        </w:rPr>
        <w:t>Value will no doubt be created in the era of smart, connected machines. We don’t expect Amazon or Microsoft or IBM to design, make, and market agricultural tractors, aircraft engines, or MR scanners. The question really is: Can digital natives develop software-enabled solutions that siphon off significant value from industrial hardware? The answer is yes. But it won’t be easy. It will require tremendous amounts of investments in building new capabilities for hardware companies like HP, Cisco, Dell, Samsung, and Lenovo; established software companies like Facebook, Google, Amazon, and Microsoft; and startups. In particular, there are three barriers they must overcome:</w:t>
      </w:r>
    </w:p>
    <w:p>
      <w:pPr>
        <w:pStyle w:val="Heading3"/>
      </w:pPr>
      <w:r>
        <w:rPr>
          <w:b w:val="0"/>
          <w:i w:val="0"/>
        </w:rPr>
        <w:t>1. The physics of the hardware</w:t>
      </w:r>
    </w:p>
    <w:p>
      <w:r>
        <w:rPr>
          <w:b w:val="0"/>
          <w:i w:val="0"/>
        </w:rPr>
        <w:t>Companies like Rolls-Royce design and manufacture jet engines. These are very complicated machines. There is hard science behind these machines. That’s much different from digital natives like Airbnb where marketing is more important than technical expertise.</w:t>
      </w:r>
    </w:p>
    <w:p>
      <w:r>
        <w:rPr>
          <w:b w:val="0"/>
          <w:i w:val="0"/>
        </w:rPr>
        <w:t>Industry incumbents have expertise in the material sciences, for instance. Further, scientific knowledge keeps improving over time. They have made heavy R&amp;D investments—both basic and applied—to remain at the cutting edge of the physics of the hardware. Much of this scientific knowledge is protected by patents.</w:t>
      </w:r>
    </w:p>
    <w:p>
      <w:r>
        <w:rPr>
          <w:b w:val="0"/>
          <w:i w:val="0"/>
        </w:rPr>
        <w:t>Mastery of hard science is a prerequisite to develop software-based solutions on the hardware. These companies’ superior product/domain knowledge provides them the comparative advantage to model the asset’s performance and write high-end/high-value-added software applications. A pure digital company can write commodity software applications. But it must acquire enough capabilities on the physics to write sophisticated apps that improve assets’ performance.</w:t>
      </w:r>
    </w:p>
    <w:p>
      <w:pPr>
        <w:pStyle w:val="Heading3"/>
      </w:pPr>
      <w:r>
        <w:rPr>
          <w:b w:val="0"/>
          <w:i w:val="0"/>
        </w:rPr>
        <w:t>2. Customer intimacy</w:t>
      </w:r>
    </w:p>
    <w:p>
      <w:r>
        <w:rPr>
          <w:b w:val="0"/>
          <w:i w:val="0"/>
        </w:rPr>
        <w:t>Industrial giants have well-established brands, have built strong customer relationships, and have signed long-term service contracts. They’ve won customers’ trust, which is why customers are willing to share data. Digital natives can work with industrial customers, but they have to first earn their trust; they must build capabilities to understand customer operations; they must match the industrials’ cumulative learning from customer interactions; they must learn to ask for the right data; and they have to hire experts in several verticals that can turn data into insights.</w:t>
      </w:r>
    </w:p>
    <w:p>
      <w:pPr>
        <w:pStyle w:val="Heading3"/>
      </w:pPr>
      <w:r>
        <w:rPr>
          <w:b w:val="0"/>
          <w:i w:val="0"/>
        </w:rPr>
        <w:t>3. Difficulty in sharing risks</w:t>
      </w:r>
    </w:p>
    <w:p>
      <w:r>
        <w:rPr>
          <w:b w:val="0"/>
          <w:i w:val="0"/>
        </w:rPr>
        <w:t>Industrial incumbents have product knowledge, customer relationships, and field engineers on customer sites. Companies like Rolls-Royce can, therefore, offer outcome deals where they guarantee customer outcomes (for example, zero downtime, higher speed, more fuel efficiency, zero operator error, greater reliability) and share risks and rewards with customers. It would be very hard for Amazon or Google to guarantee customer outcomes and take risks with businesses whose operations they know little about.</w:t>
      </w:r>
    </w:p>
    <w:p>
      <w:pPr>
        <w:pStyle w:val="Heading2"/>
      </w:pPr>
      <w:r>
        <w:rPr>
          <w:b/>
          <w:i w:val="0"/>
        </w:rPr>
        <w:t>The Challenges for Industrial Giants</w:t>
      </w:r>
    </w:p>
    <w:p>
      <w:r>
        <w:rPr>
          <w:b w:val="0"/>
          <w:i w:val="0"/>
        </w:rPr>
        <w:t>Can the industrial giants lead in the industrial internet? The answer is yes. But it won’t be easy for them, either. They too have three significant barriers to overcome.</w:t>
      </w:r>
    </w:p>
    <w:p>
      <w:pPr>
        <w:pStyle w:val="Heading3"/>
      </w:pPr>
      <w:r>
        <w:rPr>
          <w:b w:val="0"/>
          <w:i w:val="0"/>
        </w:rPr>
        <w:t>1. Software talent</w:t>
      </w:r>
    </w:p>
    <w:p>
      <w:r>
        <w:rPr>
          <w:b w:val="0"/>
          <w:i w:val="0"/>
        </w:rPr>
        <w:t>The IT talent in industrial companies can execute projects oriented toward process efficiency and cost reduction. That talent is ill-suited to develop new, breakthrough software products that offer superior customer outcomes. To that end, they must be able to attract world-class innovators and software engineers. Do young tech employees consider, say, Rolls-Royce, the same way as Facebook and Google? Not really. If so, how can the industrial giants compete to attract the best talent?</w:t>
      </w:r>
    </w:p>
    <w:p>
      <w:pPr>
        <w:pStyle w:val="Heading3"/>
      </w:pPr>
      <w:r>
        <w:rPr>
          <w:b w:val="0"/>
          <w:i w:val="0"/>
        </w:rPr>
        <w:t>2. Digital culture</w:t>
      </w:r>
    </w:p>
    <w:p>
      <w:r>
        <w:rPr>
          <w:b w:val="0"/>
          <w:i w:val="0"/>
        </w:rPr>
        <w:t>Industrial businesses and digital businesses operate with completely different principles. The characteristics of hardware businesses include a long product development cycle, Six Sigma efficiency, and a long sales cycle. Software businesses have different characteristics: a short product development cycle, flexibility, and a short sales cycle. The industrials must build a digital culture based on concepts like lean, agile, simplicity, responsiveness, and speed. That’s a tall order for an established enterprise.</w:t>
      </w:r>
    </w:p>
    <w:p>
      <w:pPr>
        <w:pStyle w:val="Heading3"/>
      </w:pPr>
      <w:r>
        <w:rPr>
          <w:b w:val="0"/>
          <w:i w:val="0"/>
        </w:rPr>
        <w:t>3. The incumbent’s dilemma</w:t>
      </w:r>
    </w:p>
    <w:p>
      <w:r>
        <w:rPr>
          <w:b w:val="0"/>
          <w:i w:val="0"/>
        </w:rPr>
        <w:t>Digital has the potential to disrupt industrial businesses. There are three ways digital strategy can cannibalize core industrial business. First, data and insights can help improve the productivity of machines; digital, therefore, has the potential to cannibalize future hardware sales. Second, data and insights increase the reliability of machines; digital therefore has the potential to cannibalize future service revenues. Third, software subscriptions and licenses might enable customers to do self-service. Current customers could terminate or renegotiate service contracts, and potential customers might not enter into service contracts at all. In short, it is very difficult for a company to disrupt itself.</w:t>
      </w:r>
    </w:p>
    <w:p>
      <w:r>
        <w:rPr>
          <w:b w:val="0"/>
          <w:i w:val="0"/>
        </w:rPr>
        <w:t>The future of the industrial internet will involve partnerships across a variety of players including tech companies and industrial companies. The key issue: Who will assume the leadership position to extract maximum economic value in such an ecosystem? Will industrial companies take the lead? Or will the digital natives take the lead? Both have a chance.</w:t>
      </w:r>
    </w:p>
    <w:p>
      <w:r>
        <w:rPr>
          <w:b w:val="0"/>
          <w:i w:val="0"/>
        </w:rPr>
        <w:t>If I were a betting man, I would place my bets on tech giants over industry incumbents. One factor that will favor digital companies in the industrial internet is the technological and scientific breakthroughs that level the playing field for newcomers. For example, breakthroughs in battery technology made electric cars possible. Electric cars are much simpler to design than cars with internal combustion engines, allowing Tesla and BYD to enter the market despite Ford’s decades of expertise. Since electrification and driverless cars go together, other tech companies such as Google, Baidu, Apple, and Lyft will also be able to enter the automotive market. Similar technological changes in jet engines and agricultural tractors can allow tech giants to gain a foothold in these industries as well.</w:t>
      </w:r>
    </w:p>
    <w:p>
      <w:r>
        <w:rPr>
          <w:b w:val="0"/>
          <w:i w:val="0"/>
        </w:rPr>
        <w:t>More importantly, Amazon or Google has the resources to acquire the capabilities to master the physics and acquire customer relationships and compete with the industrial giants in the industrial internet. They have enough resources to buy them, if needed.</w:t>
      </w:r>
    </w:p>
    <w:p>
      <w:r>
        <w:rPr>
          <w:b w:val="0"/>
          <w:i w:val="0"/>
        </w:rPr>
        <w:t>Among the tech giants, Amazon is a likely winner in the industrial internet. It has successfully fused physical with digital. Amazon understands the economic laws of analog products and is not afraid of massive up-front investments and slower growth. Its acquisition of Whole Foods and experiments with Amazon Go grocery stores are an example. Amazon is the one company everyone’s scared of, even industrial giants.</w:t>
      </w:r>
    </w:p>
    <w:p>
      <w:r>
        <w:rPr>
          <w:b/>
          <w:i w:val="0"/>
        </w:rPr>
        <w:t>TAKEAWAYS</w:t>
      </w:r>
    </w:p>
    <w:p>
      <w:r>
        <w:rPr>
          <w:b w:val="0"/>
          <w:i w:val="0"/>
        </w:rPr>
        <w:t>Tech giants have already disrupted industries from media to travel. But it’s still too early to declare a winner in the race for the industrial internet: products that have physical components, “smart” components, and connectivity.</w:t>
      </w:r>
    </w:p>
    <w:p>
      <w:r>
        <w:rPr>
          <w:b w:val="0"/>
          <w:i w:val="0"/>
        </w:rPr>
        <w:t>✓   If digital natives want to lead in the industrial internet, they need to overcome three barriers: the physics of the hardware, earning customer trust, and difficulty in sharing risks with partners they know little about.</w:t>
      </w:r>
    </w:p>
    <w:p>
      <w:r>
        <w:rPr>
          <w:b w:val="0"/>
          <w:i w:val="0"/>
        </w:rPr>
        <w:t>✓   Industrial giants need to overcome three different barriers: attracting software talent, learning and operating a digital culture, and unwillingness to risk cannibalizing their core businesses.</w:t>
      </w:r>
    </w:p>
    <w:p>
      <w:r>
        <w:rPr>
          <w:b w:val="0"/>
          <w:i w:val="0"/>
        </w:rPr>
        <w:t>✓   Amazon is a likely winner in the industrial internet, as it has already successfully fused physical with digital. Amazon understands the economic laws of analog products and is not afraid of massive up-front investments and slower growth.</w:t>
      </w:r>
    </w:p>
    <w:p>
      <w:r>
        <w:rPr>
          <w:b w:val="0"/>
          <w:i/>
        </w:rPr>
        <w:t>Adapted from “Can Anyone Stop Amazon from Winning the Industrial Internet?” on hbr.org, February 2, 2018 (product #H0459N).</w:t>
      </w:r>
    </w:p>
    <w:p>
      <w:pPr>
        <w:pStyle w:val="Heading1"/>
      </w:pPr>
      <w:r>
        <w:rPr>
          <w:b/>
          <w:i w:val="0"/>
        </w:rPr>
        <w:t>11</w:t>
      </w:r>
    </w:p>
    <w:p>
      <w:pPr>
        <w:pStyle w:val="Heading1"/>
      </w:pPr>
      <w:r>
        <w:rPr>
          <w:b/>
          <w:i w:val="0"/>
        </w:rPr>
        <w:t>WHAT TO LEARN FROM THE GROCERY STORES HOLDING THEIR OWN AGAINST AMAZON</w:t>
      </w:r>
    </w:p>
    <w:p>
      <w:r>
        <w:rPr>
          <w:b w:val="0"/>
          <w:i w:val="0"/>
        </w:rPr>
        <w:t>by Amit Sharma</w:t>
      </w:r>
    </w:p>
    <w:p>
      <w:r>
        <w:rPr>
          <w:b w:val="0"/>
          <w:i w:val="0"/>
        </w:rPr>
        <w:t>The fight for the U.S. grocery industry has just begun. Amazon has shaken up the playing field, but traditional grocers have been slow to embrace technologies for online ordering, fulfillment, and delivery. Today online orders make up just 2% of grocery sales (in retail overall, the number is 10%). But e-commerce is quickly growing: Some analysts estimate that by 2025, 20% of grocery purchases will be made online.</w:t>
      </w:r>
    </w:p>
    <w:p>
      <w:r>
        <w:rPr>
          <w:b w:val="0"/>
          <w:i w:val="0"/>
        </w:rPr>
        <w:t>And although Amazon/Whole Foods looms large, the e-commerce giant is far from the decided winner. In 2018, Walmart, Kroger, Costco, and Target drove down costs and introduced delivery capabilities in new regions, cutting into Amazon’s market share. Meanwhile, new business models thrived. Instacart, for example, secured a $7.6 billion valuation and a loyal following by building a platform for grocery delivery and partnering with more than 300 retailers.</w:t>
      </w:r>
    </w:p>
    <w:p>
      <w:r>
        <w:rPr>
          <w:b w:val="0"/>
          <w:i w:val="0"/>
        </w:rPr>
        <w:t>Instacart’s success underscores what may be the most important point about the grocery industry’s current state: Most shoppers today are not loyal to a single store or chain. The nature of customer loyalty is changing as shoppers get more comfortable buying groceries online—prioritizing convenience, choice, and ease over physical proximity to a store. As consumers become more sophisticated, retailers need to inspire lasting loyalty across their customer base. To do it, they should offer flexibility, proactively communicate about order status and other details, and build emotional connections with shoppers.</w:t>
      </w:r>
    </w:p>
    <w:p>
      <w:r>
        <w:rPr>
          <w:b w:val="0"/>
          <w:i w:val="0"/>
        </w:rPr>
        <w:t>Flexibility is a big factor in repeat purchases, because consumers want to shop on their terms. In a study by my company, Narvar, 80% of shoppers said they’re more likely to buy repeatedly from retailers that offer a range of convenient, flexible delivery options. Only 3% said such options have no impact on their likelihood to buy again. Shoppers want to choose when and how they get their groceries, whether it’s same-day delivery; in-store, curbside, or drive-through pickup; or delivery to a convenient location, like a school or an office building. Grocers should aim to be able to bring products to their customers no matter where they are.</w:t>
      </w:r>
    </w:p>
    <w:p>
      <w:r>
        <w:rPr>
          <w:b w:val="0"/>
          <w:i w:val="0"/>
        </w:rPr>
        <w:t>Walmart offers the leading example of this strategy. The company uses its dense network of stores as fulfillment centers and trains thousands of personal shoppers to pick high-quality meat and produce. On Walmart.com or through the Walmart Grocery app, shoppers can reserve a time for free pickup at their local store and have their groceries brought to their car. Walmart invested significantly in last-mile grocery delivery, partnering with companies including Postmates, DoorDash, and Uber to expand its same-day delivery service from 6 metro areas to more than 100.</w:t>
      </w:r>
    </w:p>
    <w:p>
      <w:r>
        <w:rPr>
          <w:b w:val="0"/>
          <w:i w:val="0"/>
        </w:rPr>
        <w:t>These investments seem to be paying off. The company grabbed market share from Amazon and outperformed analyst expectations. In a 2018 survey, more consumers said they shop exclusively at Walmart than at any other retailer except Amazon.1 And during the last quarter of 2018, Walmart’s digital sales rose 43%, which the company attributed to two things: strong growth in grocery delivery and pickup services and a broader product selection on its website.</w:t>
      </w:r>
    </w:p>
    <w:p>
      <w:r>
        <w:rPr>
          <w:b w:val="0"/>
          <w:i w:val="0"/>
        </w:rPr>
        <w:t>Communication is another important, and often overlooked, part of keeping customers happy. As people have grown accustomed to constant text conversations and Slack messages, they’ve come to expect brands to always be available, too. They want timely, accurate, and helpful information; some may prefer emails with recipes and promotions, while others may want pertinent updates through text messages or push notifications. Grocers should ask customers for permission to message them through different formats and give them control over how often and in what ways they receive information.</w:t>
      </w:r>
    </w:p>
    <w:p>
      <w:r>
        <w:rPr>
          <w:b w:val="0"/>
          <w:i w:val="0"/>
        </w:rPr>
        <w:t>Proactive communication pays dividends in loyalty: Our study found that 81% of people are more likely to purchase again from a retailer that keeps them updated on the progress of an order. Shoppers want to be kept in the loop, so it’s particularly important that companies reach out if something goes wrong.</w:t>
      </w:r>
    </w:p>
    <w:p>
      <w:r>
        <w:rPr>
          <w:b w:val="0"/>
          <w:i w:val="0"/>
        </w:rPr>
        <w:t>Grocers can learn from innovators that are building direct lines of communication with their customers. They might take inspiration from the direct-to-consumer e-commerce startup Iris Nova, whose Dirty Lemon brand sells wellness drinks with ingredients like charcoal and turmeric. Iris Nova is on track to reach $100 million in revenue by 2021, driven by its text-based ordering system. Once customers register their account with a phone number, they can order by simply sending a text message. Since the company was founded in 2015, 90% of its orders have been processed through text. Once a customer orders, Dirty Lemon texts back to confirm the shipment and then sends delivery updates the same way, using the occasional emoji to create a casual rapport that works for its brand and younger-skewing audience.</w:t>
      </w:r>
    </w:p>
    <w:p>
      <w:r>
        <w:rPr>
          <w:b w:val="0"/>
          <w:i w:val="0"/>
        </w:rPr>
        <w:t>Another example is Honey Baked Ham, which ships 700,000 hams every year, primarily around the holidays. (Disclosure: Honey Baked Ham is a client of Narvar.) The company takes steps to assure customers they’re in good hands every step of the way. After customers click “buy,” they receive a branded shipping confirmation from Honey Baked Ham, rather than a generic email from a carrier. Customers can click through to a tracking page that includes product recommendations and tips for storing and serving their ham. In 2017, Honey Baked Ham boosted its revenue by $2 million over three months by communicating directly with customers and reducing “Where is my order?” inquiries.</w:t>
      </w:r>
    </w:p>
    <w:p>
      <w:r>
        <w:rPr>
          <w:b w:val="0"/>
          <w:i w:val="0"/>
        </w:rPr>
        <w:t>Emotional connection is another driver of loyalty; our survey found that 50% of consumers are more likely to buy again from a brand that connects with them emotionally or reflects their values. While good communication and flexibility are foundational to loyalty, grocers should also consider how they’re making customers feel. A 2018 consumer survey by C Space found that shoppers were more likely to recommend and purchase repeatedly from brands that made them feel respected and understood.2 The study also found that these measures of positive emotion were correlated with a company’s growth.</w:t>
      </w:r>
    </w:p>
    <w:p>
      <w:r>
        <w:rPr>
          <w:b w:val="0"/>
          <w:i w:val="0"/>
        </w:rPr>
        <w:t xml:space="preserve">And people </w:t>
      </w:r>
      <w:r>
        <w:rPr>
          <w:b w:val="0"/>
          <w:i/>
        </w:rPr>
        <w:t>are</w:t>
      </w:r>
      <w:r>
        <w:rPr>
          <w:b w:val="0"/>
          <w:i w:val="0"/>
        </w:rPr>
        <w:t xml:space="preserve"> emotionally connected to grocers, as utilitarian as grocery shopping may seem. For example, Trader Joe’s, which ranked highly in the C Space study, inspires loyalty by creating an enjoyable shopping atmosphere. A 2018 Forrester survey of 287 brands rated Trader Joe’s first in positive customer experiences, and the company regularly outranks other grocery chains in sales per square foot. Trader Joe’s fans closely follow new product releases, request stores in their towns, and have even created their own community on Reddit.</w:t>
      </w:r>
    </w:p>
    <w:p>
      <w:r>
        <w:rPr>
          <w:b w:val="0"/>
          <w:i w:val="0"/>
        </w:rPr>
        <w:t>Trader Joe’s doesn’t offer grocery delivery, but it has created such a personal and enjoyable shopping experience that customers actually want to visit its stores. Everything at Trader Joe’s is designed to make grocery shopping feel more friendly, personal, and laid-back, including its flexible return policies, free samples, quirky product labels, fast checkout, and helpful employees. The associates, called “crew members,” are happy—Trader Joe’s has made Glassdoor’s list of Top 100 Best Places to Work five times since 2010—and create a feeling of community by talking with shoppers and recommending their favorite products. “Friendliness and service” earned Trader Joe’s the top ranking in a 2018 study of shoppers’ favorite grocery brands.3</w:t>
      </w:r>
    </w:p>
    <w:p>
      <w:r>
        <w:rPr>
          <w:b w:val="0"/>
          <w:i w:val="0"/>
        </w:rPr>
        <w:t>Grocers need to offer their customers more than points-based customer loyalty programs, which are no longer a competitive differentiator. Most grocery chains offer similar benefits and do little to foster an emotional connection between a shopper and a brand. A study by Accenture found that 78% of shoppers abandon loyalty programs after signing up.</w:t>
      </w:r>
    </w:p>
    <w:p>
      <w:r>
        <w:rPr>
          <w:b w:val="0"/>
          <w:i w:val="0"/>
        </w:rPr>
        <w:t>By investing in the factors that build long-lasting loyalty instead of transactional programs that most people ignore, grocers can attract repeat buyers and brand advocates. As shoppers expect more from the brands they do business with, they will prioritize their experience with a company, both online and in person, over everything else. The companies that offer people the most flexibility, communicate directly and effectively, and connect with them emotionally will emerge as the winners.</w:t>
      </w:r>
    </w:p>
    <w:p>
      <w:r>
        <w:rPr>
          <w:b/>
          <w:i w:val="0"/>
        </w:rPr>
        <w:t>TAKEAWAYS</w:t>
      </w:r>
    </w:p>
    <w:p>
      <w:r>
        <w:rPr>
          <w:b w:val="0"/>
          <w:i w:val="0"/>
        </w:rPr>
        <w:t>Even though Amazon acquired Whole Foods Market, there is plenty of room for smaller grocers to thrive in the fight for the U.S. grocery industry. Other industries can learn from these stores as they reinvent themselves to maintain their positions amid the tech giants.</w:t>
      </w:r>
    </w:p>
    <w:p>
      <w:r>
        <w:rPr>
          <w:b w:val="0"/>
          <w:i w:val="0"/>
        </w:rPr>
        <w:t>✓   Grocery shoppers want options, especially around how and where they receive deliveries. They value personalized, proactive communication from stores and want grocers to make them feel good, whether that comes from friendly employees, welcoming store layouts, or generous return policies. Grocers that invest in these have the greatest chance of fending off new entrants.</w:t>
      </w:r>
    </w:p>
    <w:p>
      <w:r>
        <w:rPr>
          <w:b w:val="0"/>
          <w:i w:val="0"/>
        </w:rPr>
        <w:t>✓   Across industries, customers increasingly expect more from the brands they do business with, and their loyalty is influenced by their experiences, both online and in person. By moving away from transactional relationships and toward building connections with customers, companies can attract repeat buyers and brand advocates.</w:t>
      </w:r>
    </w:p>
    <w:p>
      <w:r>
        <w:rPr>
          <w:b w:val="0"/>
          <w:i w:val="0"/>
        </w:rPr>
        <w:t>✓   Companies that offer the most flexibility, communicate directly and effectively, and connect with them emotionally will emerge as the winners.</w:t>
      </w:r>
    </w:p>
    <w:p>
      <w:pPr>
        <w:pStyle w:val="Heading4"/>
      </w:pPr>
      <w:r>
        <w:rPr>
          <w:b/>
          <w:i w:val="0"/>
        </w:rPr>
        <w:t>NOTES</w:t>
      </w:r>
    </w:p>
    <w:p>
      <w:pPr>
        <w:pStyle w:val="ListNumber"/>
      </w:pPr>
      <w:r>
        <w:rPr>
          <w:b w:val="0"/>
          <w:i w:val="0"/>
        </w:rPr>
        <w:t xml:space="preserve">1. Adam Blair, “Study: Amazon and Walmart Top Retail Loyalty List,” </w:t>
      </w:r>
      <w:r>
        <w:rPr>
          <w:b w:val="0"/>
          <w:i/>
        </w:rPr>
        <w:t>Retail TouchPoints</w:t>
      </w:r>
      <w:r>
        <w:rPr>
          <w:b w:val="0"/>
          <w:i w:val="0"/>
        </w:rPr>
        <w:t>, July 2, 2018, https://www.retailtouchpoints.com/features/trend-watch/study-amazon-and-walmart-top-retail-loyalty-list.</w:t>
      </w:r>
    </w:p>
    <w:p>
      <w:pPr>
        <w:pStyle w:val="ListNumber"/>
      </w:pPr>
      <w:r>
        <w:rPr>
          <w:b w:val="0"/>
          <w:i w:val="0"/>
        </w:rPr>
        <w:t>2. “Customer, Experienced,” C Space, October 2018, https://learn.cspace.com/hubfs/C_Space_Reports/CUSTOMER_EXPERIENCED_2018.pdf.</w:t>
      </w:r>
    </w:p>
    <w:p>
      <w:pPr>
        <w:pStyle w:val="ListNumber"/>
      </w:pPr>
      <w:r>
        <w:rPr>
          <w:b w:val="0"/>
          <w:i w:val="0"/>
        </w:rPr>
        <w:t xml:space="preserve">3. Philip Cop, “Trader Joe’s Success Formula and What Can Other Retailers Learn from It,” </w:t>
      </w:r>
      <w:r>
        <w:rPr>
          <w:b w:val="0"/>
          <w:i/>
        </w:rPr>
        <w:t>TotalRetail</w:t>
      </w:r>
      <w:r>
        <w:rPr>
          <w:b w:val="0"/>
          <w:i w:val="0"/>
        </w:rPr>
        <w:t>, September 6, 2018, https://www.mytotalretail.com/article/trader-joes-success-formula-and-what-can-other-retailers-can-learn-from-it/.</w:t>
      </w:r>
    </w:p>
    <w:p>
      <w:r>
        <w:rPr>
          <w:b w:val="0"/>
          <w:i/>
        </w:rPr>
        <w:t>Adapted from “What the Grocery Stores Holding Their Own Against Amazon Are Doing Right,” on hbr.org, April 12, 2019 (product #H04WGO).</w:t>
      </w:r>
    </w:p>
    <w:p>
      <w:pPr>
        <w:pStyle w:val="Heading1"/>
      </w:pPr>
      <w:r>
        <w:rPr>
          <w:b/>
          <w:i w:val="0"/>
        </w:rPr>
        <w:t>About the Contributors</w:t>
      </w:r>
    </w:p>
    <w:p>
      <w:r>
        <w:rPr>
          <w:b/>
          <w:i w:val="0"/>
        </w:rPr>
        <w:t>JULIAN BIRKINSHAW</w:t>
      </w:r>
      <w:r>
        <w:rPr>
          <w:b w:val="0"/>
          <w:i w:val="0"/>
        </w:rPr>
        <w:t xml:space="preserve"> is Deputy Dean and Professor of Strategy and Entrepreneurship at the London Business School. He is the author of </w:t>
      </w:r>
      <w:r>
        <w:rPr>
          <w:b w:val="0"/>
          <w:i/>
        </w:rPr>
        <w:t>Fast/Forward: Make Your Company Fit for the Future</w:t>
      </w:r>
      <w:r>
        <w:rPr>
          <w:b w:val="0"/>
          <w:i w:val="0"/>
        </w:rPr>
        <w:t>.</w:t>
      </w:r>
    </w:p>
    <w:p>
      <w:r>
        <w:rPr>
          <w:b/>
          <w:i w:val="0"/>
        </w:rPr>
        <w:t>LARRY DOWNES</w:t>
      </w:r>
      <w:r>
        <w:rPr>
          <w:b w:val="0"/>
          <w:i w:val="0"/>
        </w:rPr>
        <w:t xml:space="preserve"> is a coauthor of </w:t>
      </w:r>
      <w:r>
        <w:rPr>
          <w:b w:val="0"/>
          <w:i/>
        </w:rPr>
        <w:t>Pivot to the Future: Discovering Value and Creating Growth in a Disrupted World</w:t>
      </w:r>
      <w:r>
        <w:rPr>
          <w:b w:val="0"/>
          <w:i w:val="0"/>
        </w:rPr>
        <w:t xml:space="preserve">. His earlier books include </w:t>
      </w:r>
      <w:r>
        <w:rPr>
          <w:b w:val="0"/>
          <w:i/>
        </w:rPr>
        <w:t>Big Bang Disruption</w:t>
      </w:r>
      <w:r>
        <w:rPr>
          <w:b w:val="0"/>
          <w:i w:val="0"/>
        </w:rPr>
        <w:t xml:space="preserve">, </w:t>
      </w:r>
      <w:r>
        <w:rPr>
          <w:b w:val="0"/>
          <w:i/>
        </w:rPr>
        <w:t>The Laws of Disruption</w:t>
      </w:r>
      <w:r>
        <w:rPr>
          <w:b w:val="0"/>
          <w:i w:val="0"/>
        </w:rPr>
        <w:t xml:space="preserve">, and </w:t>
      </w:r>
      <w:r>
        <w:rPr>
          <w:b w:val="0"/>
          <w:i/>
        </w:rPr>
        <w:t>Unleashing the Killer App</w:t>
      </w:r>
      <w:r>
        <w:rPr>
          <w:b w:val="0"/>
          <w:i w:val="0"/>
        </w:rPr>
        <w:t xml:space="preserve"> (Harvard Business School Press, 2000).</w:t>
      </w:r>
    </w:p>
    <w:p>
      <w:r>
        <w:rPr>
          <w:b/>
          <w:i w:val="0"/>
        </w:rPr>
        <w:t>WALTER FRICK</w:t>
      </w:r>
      <w:r>
        <w:rPr>
          <w:b w:val="0"/>
          <w:i w:val="0"/>
        </w:rPr>
        <w:t xml:space="preserve"> is an editor at Quartz and was formerly the deputy editor of hbr.org.</w:t>
      </w:r>
    </w:p>
    <w:p>
      <w:r>
        <w:rPr>
          <w:b/>
          <w:i w:val="0"/>
        </w:rPr>
        <w:t>WILLIAM A. GALSTON</w:t>
      </w:r>
      <w:r>
        <w:rPr>
          <w:b w:val="0"/>
          <w:i w:val="0"/>
        </w:rPr>
        <w:t xml:space="preserve"> is a senior fellow at the Brookings Institution. He spent nearly three decades teaching and conducting political science research at the University of Texas and the University of Maryland. He has participated in six presidential campaigns and spent two and a half years in the Clinton White House.</w:t>
      </w:r>
    </w:p>
    <w:p>
      <w:r>
        <w:rPr>
          <w:b/>
          <w:i w:val="0"/>
        </w:rPr>
        <w:t>DIPAYAN GHOSH</w:t>
      </w:r>
      <w:r>
        <w:rPr>
          <w:b w:val="0"/>
          <w:i w:val="0"/>
        </w:rPr>
        <w:t xml:space="preserve"> is a Shorenstein Fellow and codirector of the Platform Accountability Project at the Harvard Kennedy School. He was a technology and economic policy adviser in the Obama White House, and formerly served as an adviser on privacy and public policy issues at Facebook. He is the author of </w:t>
      </w:r>
      <w:r>
        <w:rPr>
          <w:b w:val="0"/>
          <w:i/>
        </w:rPr>
        <w:t>Terms of Disservice</w:t>
      </w:r>
      <w:r>
        <w:rPr>
          <w:b w:val="0"/>
          <w:i w:val="0"/>
        </w:rPr>
        <w:t>. Follow him on Twitter @ghoshd7.</w:t>
      </w:r>
    </w:p>
    <w:p>
      <w:r>
        <w:rPr>
          <w:b/>
          <w:i w:val="0"/>
        </w:rPr>
        <w:t>VIJAY GOVINDARAJAN</w:t>
      </w:r>
      <w:r>
        <w:rPr>
          <w:b w:val="0"/>
          <w:i w:val="0"/>
        </w:rPr>
        <w:t xml:space="preserve"> is the Coxe Distinguished Professor of Management at Dartmouth’s Tuck School of Business. He is the author of </w:t>
      </w:r>
      <w:r>
        <w:rPr>
          <w:b w:val="0"/>
          <w:i/>
        </w:rPr>
        <w:t>The Three-Box Solution</w:t>
      </w:r>
      <w:r>
        <w:rPr>
          <w:b w:val="0"/>
          <w:i w:val="0"/>
        </w:rPr>
        <w:t xml:space="preserve"> and </w:t>
      </w:r>
      <w:r>
        <w:rPr>
          <w:b w:val="0"/>
          <w:i/>
        </w:rPr>
        <w:t>The Three-Box Solution Playbook</w:t>
      </w:r>
      <w:r>
        <w:rPr>
          <w:b w:val="0"/>
          <w:i w:val="0"/>
        </w:rPr>
        <w:t xml:space="preserve"> (Harvard Business Review Press, 2016, 2020).</w:t>
      </w:r>
    </w:p>
    <w:p>
      <w:r>
        <w:rPr>
          <w:b/>
          <w:i w:val="0"/>
        </w:rPr>
        <w:t>CLARA HENDRICKSON</w:t>
      </w:r>
      <w:r>
        <w:rPr>
          <w:b w:val="0"/>
          <w:i w:val="0"/>
        </w:rPr>
        <w:t xml:space="preserve"> is a research assistant at the Brookings Institution.</w:t>
      </w:r>
    </w:p>
    <w:p>
      <w:r>
        <w:rPr>
          <w:b/>
          <w:i w:val="0"/>
        </w:rPr>
        <w:t>MARCO IANSITI</w:t>
      </w:r>
      <w:r>
        <w:rPr>
          <w:b w:val="0"/>
          <w:i w:val="0"/>
        </w:rPr>
        <w:t xml:space="preserve"> is the David Sarnoff Professor of Business Administration at Harvard Business School, where he heads the Technology and Operations Management Unit and the Digital Initiative. He has advised many companies in the technology sector, including Microsoft, Facebook, and Amazon. He is a coauthor, with Karim R. Lakhani, of </w:t>
      </w:r>
      <w:r>
        <w:rPr>
          <w:b w:val="0"/>
          <w:i/>
        </w:rPr>
        <w:t>Competing in the Age of AI</w:t>
      </w:r>
      <w:r>
        <w:rPr>
          <w:b w:val="0"/>
          <w:i w:val="0"/>
        </w:rPr>
        <w:t xml:space="preserve"> (Harvard Business Review Press, 2020).</w:t>
      </w:r>
    </w:p>
    <w:p>
      <w:r>
        <w:rPr>
          <w:b/>
          <w:i w:val="0"/>
        </w:rPr>
        <w:t>MICHAEL G. JACOBIDES</w:t>
      </w:r>
      <w:r>
        <w:rPr>
          <w:b w:val="0"/>
          <w:i w:val="0"/>
        </w:rPr>
        <w:t xml:space="preserve"> holds the Sir Donald Gordon Chair for Entrepreneurship and Innovation at the London Business School.</w:t>
      </w:r>
    </w:p>
    <w:p>
      <w:r>
        <w:rPr>
          <w:b/>
          <w:i w:val="0"/>
        </w:rPr>
        <w:t>KARIM R. LAKHANI</w:t>
      </w:r>
      <w:r>
        <w:rPr>
          <w:b w:val="0"/>
          <w:i w:val="0"/>
        </w:rPr>
        <w:t xml:space="preserve"> is the Charles Edward Wilson Professor of Business Administration and the Dorothy and Michael Hintze Fellow at Harvard Business School. He is also the founding director of the Harvard Innovation Science Laboratory. He is a coauthor, with Marco Iansiti, of </w:t>
      </w:r>
      <w:r>
        <w:rPr>
          <w:b w:val="0"/>
          <w:i/>
        </w:rPr>
        <w:t>Competing in the Age of AI</w:t>
      </w:r>
      <w:r>
        <w:rPr>
          <w:b w:val="0"/>
          <w:i w:val="0"/>
        </w:rPr>
        <w:t xml:space="preserve"> (Harvard Business Review Press, 2020).</w:t>
      </w:r>
    </w:p>
    <w:p>
      <w:r>
        <w:rPr>
          <w:b/>
          <w:i w:val="0"/>
        </w:rPr>
        <w:t>DARRELL K. RIGBY</w:t>
      </w:r>
      <w:r>
        <w:rPr>
          <w:b w:val="0"/>
          <w:i w:val="0"/>
        </w:rPr>
        <w:t xml:space="preserve"> is a partner in the Boston office of Bain &amp; Company. He heads the firm’s global innovation practice. He is a coauthor of </w:t>
      </w:r>
      <w:r>
        <w:rPr>
          <w:b w:val="0"/>
          <w:i/>
        </w:rPr>
        <w:t>Doing Agile Right: Transformation Without Chaos</w:t>
      </w:r>
      <w:r>
        <w:rPr>
          <w:b w:val="0"/>
          <w:i w:val="0"/>
        </w:rPr>
        <w:t xml:space="preserve"> (Harvard Business Review Press, 2020).</w:t>
      </w:r>
    </w:p>
    <w:p>
      <w:r>
        <w:rPr>
          <w:b/>
          <w:i w:val="0"/>
        </w:rPr>
        <w:t>AMIT SHARMA</w:t>
      </w:r>
      <w:r>
        <w:rPr>
          <w:b w:val="0"/>
          <w:i w:val="0"/>
        </w:rPr>
        <w:t xml:space="preserve"> is the founder and CEO of Narvar, a post-purchase experience platform, and a former executive at Apple and Walmart.</w:t>
      </w:r>
    </w:p>
    <w:p>
      <w:r>
        <w:rPr>
          <w:b/>
          <w:i w:val="0"/>
        </w:rPr>
        <w:t>MAURICE E. STUCKE</w:t>
      </w:r>
      <w:r>
        <w:rPr>
          <w:b w:val="0"/>
          <w:i w:val="0"/>
        </w:rPr>
        <w:t xml:space="preserve"> is a cofounder of the Konkurrenz Group and a law professor at the University of Tennessee.</w:t>
      </w:r>
    </w:p>
    <w:p>
      <w:r>
        <w:rPr>
          <w:b/>
          <w:i w:val="0"/>
        </w:rPr>
        <w:t>DAVID WESSEL</w:t>
      </w:r>
      <w:r>
        <w:rPr>
          <w:b w:val="0"/>
          <w:i w:val="0"/>
        </w:rPr>
        <w:t xml:space="preserve"> is a senior fellow in economic studies at the Brookings Institution and director of the Hutchins Center on Fiscal and Monetary Policy, which he joined after 30 years on the staff of the </w:t>
      </w:r>
      <w:r>
        <w:rPr>
          <w:b w:val="0"/>
          <w:i/>
        </w:rPr>
        <w:t>Wall Street Journal</w:t>
      </w:r>
      <w:r>
        <w:rPr>
          <w:b w:val="0"/>
          <w:i w:val="0"/>
        </w:rPr>
        <w:t xml:space="preserve">. He is the author of two </w:t>
      </w:r>
      <w:r>
        <w:rPr>
          <w:b w:val="0"/>
          <w:i/>
        </w:rPr>
        <w:t>New York Times</w:t>
      </w:r>
      <w:r>
        <w:rPr>
          <w:b w:val="0"/>
          <w:i w:val="0"/>
        </w:rPr>
        <w:t xml:space="preserve"> best-sellers: </w:t>
      </w:r>
      <w:r>
        <w:rPr>
          <w:b w:val="0"/>
          <w:i/>
        </w:rPr>
        <w:t>In Fed We Trust: Ben Bernanke’s War on the Great Panic</w:t>
      </w:r>
      <w:r>
        <w:rPr>
          <w:b w:val="0"/>
          <w:i w:val="0"/>
        </w:rPr>
        <w:t xml:space="preserve"> (2009) and </w:t>
      </w:r>
      <w:r>
        <w:rPr>
          <w:b w:val="0"/>
          <w:i/>
        </w:rPr>
        <w:t>Red Ink: Inside the High Stakes Politics of the Federal Budget</w:t>
      </w:r>
      <w:r>
        <w:rPr>
          <w:b w:val="0"/>
          <w:i w:val="0"/>
        </w:rPr>
        <w:t xml:space="preserve"> (2012) and has shared two Pulitzer Prizes.</w:t>
      </w:r>
    </w:p>
    <w:p>
      <w:r>
        <w:rPr>
          <w:b/>
          <w:i w:val="0"/>
        </w:rPr>
        <w:t>DENISE LEE YOHN</w:t>
      </w:r>
      <w:r>
        <w:rPr>
          <w:b w:val="0"/>
          <w:i w:val="0"/>
        </w:rPr>
        <w:t xml:space="preserve"> is a leading authority on positioning great brands and building exceptional organizations and has 25 years of experience working with world-class brands including Sony and Frito-Lay. Denise is a consultant, speaker, and author of </w:t>
      </w:r>
      <w:r>
        <w:rPr>
          <w:b w:val="0"/>
          <w:i/>
        </w:rPr>
        <w:t>What Great Brands Do: The Seven Brand-Building Principles That Separate the Best from the Rest</w:t>
      </w:r>
      <w:r>
        <w:rPr>
          <w:b w:val="0"/>
          <w:i w:val="0"/>
        </w:rPr>
        <w:t xml:space="preserve"> and </w:t>
      </w:r>
      <w:r>
        <w:rPr>
          <w:b w:val="0"/>
          <w:i/>
        </w:rPr>
        <w:t>FUSION: How Integrating Brand and Culture Powers the World’s Greatest Companies</w:t>
      </w:r>
      <w:r>
        <w:rPr>
          <w:b w:val="0"/>
          <w:i w:val="0"/>
        </w:rPr>
        <w:t>.</w:t>
      </w:r>
    </w:p>
    <w:p>
      <w:r>
        <w:rPr>
          <w:b/>
          <w:i w:val="0"/>
        </w:rPr>
        <w:t>HOWARD YU</w:t>
      </w:r>
      <w:r>
        <w:rPr>
          <w:b w:val="0"/>
          <w:i w:val="0"/>
        </w:rPr>
        <w:t xml:space="preserve"> is the author of </w:t>
      </w:r>
      <w:r>
        <w:rPr>
          <w:b w:val="0"/>
          <w:i/>
        </w:rPr>
        <w:t>LEAP: How to Thrive in a World Where Everything Can Be Copied</w:t>
      </w:r>
      <w:r>
        <w:rPr>
          <w:b w:val="0"/>
          <w:i w:val="0"/>
        </w:rPr>
        <w:t>, and LEGO professor of management and innovation at the IMD business school in Switzerland. In 2015, Yu was featured in Poets &amp; Quants as one of the Best 40 Under 40 Professors. He was shortlisted for the 2017 Thinkers50 Innovation Award, and in 2018 appeared on the Thinkers50 Radar list of 30 management thinkers “most likely to shape the future of how organizations are managed and led.”</w:t>
      </w:r>
    </w:p>
    <w:p>
      <w:pPr>
        <w:pStyle w:val="Heading1"/>
      </w:pPr>
      <w:r>
        <w:rPr>
          <w:b/>
          <w:i w:val="0"/>
        </w:rPr>
        <w:t>Index</w:t>
      </w:r>
    </w:p>
    <w:p>
      <w:pPr>
        <w:pStyle w:val="ListBullet"/>
      </w:pPr>
      <w:r>
        <w:rPr>
          <w:b w:val="0"/>
          <w:i w:val="0"/>
        </w:rPr>
        <w:t>Adchemy, 129</w:t>
      </w:r>
    </w:p>
    <w:p>
      <w:pPr>
        <w:pStyle w:val="ListBullet"/>
      </w:pPr>
      <w:r>
        <w:rPr>
          <w:b w:val="0"/>
          <w:i w:val="0"/>
        </w:rPr>
        <w:t>AdSense, 56</w:t>
      </w:r>
    </w:p>
    <w:p>
      <w:pPr>
        <w:pStyle w:val="ListBullet"/>
      </w:pPr>
      <w:r>
        <w:rPr>
          <w:b w:val="0"/>
          <w:i w:val="0"/>
        </w:rPr>
        <w:t>advertising platforms, 17, 19, 61, 116</w:t>
      </w:r>
    </w:p>
    <w:p>
      <w:pPr>
        <w:pStyle w:val="ListBullet"/>
      </w:pPr>
      <w:r>
        <w:rPr>
          <w:b w:val="0"/>
          <w:i w:val="0"/>
        </w:rPr>
        <w:t>Airbnb, 7, 25, 138</w:t>
      </w:r>
    </w:p>
    <w:p>
      <w:pPr>
        <w:pStyle w:val="ListBullet"/>
      </w:pPr>
      <w:r>
        <w:rPr>
          <w:b w:val="0"/>
          <w:i w:val="0"/>
        </w:rPr>
        <w:t>airline industry, 31–32</w:t>
      </w:r>
    </w:p>
    <w:p>
      <w:pPr>
        <w:pStyle w:val="ListBullet"/>
      </w:pPr>
      <w:r>
        <w:rPr>
          <w:b w:val="0"/>
          <w:i w:val="0"/>
        </w:rPr>
        <w:t>Alibaba, xii, 3, 4, 5, 11, 23–24, 104</w:t>
      </w:r>
    </w:p>
    <w:p>
      <w:pPr>
        <w:pStyle w:val="ListBullet"/>
      </w:pPr>
      <w:r>
        <w:rPr>
          <w:b w:val="0"/>
          <w:i w:val="0"/>
        </w:rPr>
        <w:t xml:space="preserve">Alphabet, xii, 3, 13, 23–24. </w:t>
      </w:r>
      <w:r>
        <w:rPr>
          <w:b w:val="0"/>
          <w:i/>
        </w:rPr>
        <w:t>See also</w:t>
      </w:r>
      <w:r>
        <w:rPr>
          <w:b w:val="0"/>
          <w:i w:val="0"/>
        </w:rPr>
        <w:t xml:space="preserve"> Google</w:t>
      </w:r>
    </w:p>
    <w:p>
      <w:pPr>
        <w:pStyle w:val="ListBullet"/>
      </w:pPr>
      <w:r>
        <w:rPr>
          <w:b w:val="0"/>
          <w:i w:val="0"/>
        </w:rPr>
        <w:t>Amazon, xii, 3, 4, 11, 94, 95</w:t>
      </w:r>
    </w:p>
    <w:p>
      <w:pPr>
        <w:pStyle w:val="ListBullet"/>
      </w:pPr>
      <w:r>
        <w:rPr>
          <w:b w:val="0"/>
          <w:i w:val="0"/>
        </w:rPr>
        <w:t>cloud services of, 11</w:t>
      </w:r>
    </w:p>
    <w:p>
      <w:pPr>
        <w:pStyle w:val="ListBullet"/>
      </w:pPr>
      <w:r>
        <w:rPr>
          <w:b w:val="0"/>
          <w:i w:val="0"/>
        </w:rPr>
        <w:t>competing against, 103–111, 126–131</w:t>
      </w:r>
    </w:p>
    <w:p>
      <w:pPr>
        <w:pStyle w:val="ListBullet"/>
      </w:pPr>
      <w:r>
        <w:rPr>
          <w:b w:val="0"/>
          <w:i w:val="0"/>
        </w:rPr>
        <w:t>as data-opoly, 54–55</w:t>
      </w:r>
    </w:p>
    <w:p>
      <w:pPr>
        <w:pStyle w:val="ListBullet"/>
      </w:pPr>
      <w:r>
        <w:rPr>
          <w:b w:val="0"/>
          <w:i w:val="0"/>
        </w:rPr>
        <w:t>grocery industry and, 103–111, 143, 145–153</w:t>
      </w:r>
    </w:p>
    <w:p>
      <w:pPr>
        <w:pStyle w:val="ListBullet"/>
      </w:pPr>
      <w:r>
        <w:rPr>
          <w:b w:val="0"/>
          <w:i w:val="0"/>
        </w:rPr>
        <w:t>home entertainment and, 12</w:t>
      </w:r>
    </w:p>
    <w:p>
      <w:pPr>
        <w:pStyle w:val="ListBullet"/>
      </w:pPr>
      <w:r>
        <w:rPr>
          <w:b w:val="0"/>
          <w:i w:val="0"/>
        </w:rPr>
        <w:t>industrial internet and, 137–138, 143</w:t>
      </w:r>
    </w:p>
    <w:p>
      <w:pPr>
        <w:pStyle w:val="ListBullet"/>
      </w:pPr>
      <w:r>
        <w:rPr>
          <w:b w:val="0"/>
          <w:i w:val="0"/>
        </w:rPr>
        <w:t>innovation by, 105–107</w:t>
      </w:r>
    </w:p>
    <w:p>
      <w:pPr>
        <w:pStyle w:val="ListBullet"/>
      </w:pPr>
      <w:r>
        <w:rPr>
          <w:b w:val="0"/>
          <w:i w:val="0"/>
        </w:rPr>
        <w:t>investments by, 108–109</w:t>
      </w:r>
    </w:p>
    <w:p>
      <w:pPr>
        <w:pStyle w:val="ListBullet"/>
      </w:pPr>
      <w:r>
        <w:rPr>
          <w:b w:val="0"/>
          <w:i w:val="0"/>
        </w:rPr>
        <w:t>predatory pricing by, 42, 77</w:t>
      </w:r>
    </w:p>
    <w:p>
      <w:pPr>
        <w:pStyle w:val="ListBullet"/>
      </w:pPr>
      <w:r>
        <w:rPr>
          <w:b w:val="0"/>
          <w:i w:val="0"/>
        </w:rPr>
        <w:t>revenue of, 24</w:t>
      </w:r>
    </w:p>
    <w:p>
      <w:pPr>
        <w:pStyle w:val="ListBullet"/>
      </w:pPr>
      <w:r>
        <w:rPr>
          <w:b w:val="0"/>
          <w:i w:val="0"/>
        </w:rPr>
        <w:t>role of, 23–24</w:t>
      </w:r>
    </w:p>
    <w:p>
      <w:pPr>
        <w:pStyle w:val="ListBullet"/>
      </w:pPr>
      <w:r>
        <w:rPr>
          <w:b w:val="0"/>
          <w:i w:val="0"/>
        </w:rPr>
        <w:t>scrutiny of, 29</w:t>
      </w:r>
    </w:p>
    <w:p>
      <w:pPr>
        <w:pStyle w:val="ListBullet"/>
      </w:pPr>
      <w:r>
        <w:rPr>
          <w:b w:val="0"/>
          <w:i w:val="0"/>
        </w:rPr>
        <w:t>smart homes and, 20</w:t>
      </w:r>
    </w:p>
    <w:p>
      <w:pPr>
        <w:pStyle w:val="ListBullet"/>
      </w:pPr>
      <w:r>
        <w:rPr>
          <w:b w:val="0"/>
          <w:i w:val="0"/>
        </w:rPr>
        <w:t>strategy of, 126–127</w:t>
      </w:r>
    </w:p>
    <w:p>
      <w:pPr>
        <w:pStyle w:val="ListBullet"/>
      </w:pPr>
      <w:r>
        <w:rPr>
          <w:b w:val="0"/>
          <w:i w:val="0"/>
        </w:rPr>
        <w:t>success of, 30</w:t>
      </w:r>
    </w:p>
    <w:p>
      <w:pPr>
        <w:pStyle w:val="ListBullet"/>
      </w:pPr>
      <w:r>
        <w:rPr>
          <w:b w:val="0"/>
          <w:i w:val="0"/>
        </w:rPr>
        <w:t>third-party sellers on, 64</w:t>
      </w:r>
    </w:p>
    <w:p>
      <w:pPr>
        <w:pStyle w:val="ListBullet"/>
      </w:pPr>
      <w:r>
        <w:rPr>
          <w:b w:val="0"/>
          <w:i w:val="0"/>
        </w:rPr>
        <w:t>Whole Foods acquisition by, 103–111, 143</w:t>
      </w:r>
    </w:p>
    <w:p>
      <w:pPr>
        <w:pStyle w:val="ListBullet"/>
      </w:pPr>
      <w:r>
        <w:rPr>
          <w:b w:val="0"/>
          <w:i w:val="0"/>
        </w:rPr>
        <w:t>Amazon Prime, 105, 127, 129</w:t>
      </w:r>
    </w:p>
    <w:p>
      <w:pPr>
        <w:pStyle w:val="ListBullet"/>
      </w:pPr>
      <w:r>
        <w:rPr>
          <w:b w:val="0"/>
          <w:i w:val="0"/>
        </w:rPr>
        <w:t>Amazon Web Services, 20</w:t>
      </w:r>
    </w:p>
    <w:p>
      <w:pPr>
        <w:pStyle w:val="ListBullet"/>
      </w:pPr>
      <w:r>
        <w:rPr>
          <w:b w:val="0"/>
          <w:i w:val="0"/>
        </w:rPr>
        <w:t>America Online, 97</w:t>
      </w:r>
    </w:p>
    <w:p>
      <w:pPr>
        <w:pStyle w:val="ListBullet"/>
      </w:pPr>
      <w:r>
        <w:rPr>
          <w:b w:val="0"/>
          <w:i w:val="0"/>
        </w:rPr>
        <w:t>Andreesen, Marc, 135</w:t>
      </w:r>
    </w:p>
    <w:p>
      <w:pPr>
        <w:pStyle w:val="ListBullet"/>
      </w:pPr>
      <w:r>
        <w:rPr>
          <w:b w:val="0"/>
          <w:i w:val="0"/>
        </w:rPr>
        <w:t>Android technology, 4, 11, 14, 15, 17, 55–56</w:t>
      </w:r>
    </w:p>
    <w:p>
      <w:pPr>
        <w:pStyle w:val="ListBullet"/>
      </w:pPr>
      <w:r>
        <w:rPr>
          <w:b w:val="0"/>
          <w:i w:val="0"/>
        </w:rPr>
        <w:t>Anheuser-Busch InBev, 37–38</w:t>
      </w:r>
    </w:p>
    <w:p>
      <w:pPr>
        <w:pStyle w:val="ListBullet"/>
      </w:pPr>
      <w:r>
        <w:rPr>
          <w:b w:val="0"/>
          <w:i w:val="0"/>
        </w:rPr>
        <w:t>Ant Financial, 5, 9, 12</w:t>
      </w:r>
    </w:p>
    <w:p>
      <w:pPr>
        <w:pStyle w:val="ListBullet"/>
      </w:pPr>
      <w:r>
        <w:rPr>
          <w:b w:val="0"/>
          <w:i w:val="0"/>
        </w:rPr>
        <w:t>anticompetitive forces, 30–31</w:t>
      </w:r>
    </w:p>
    <w:p>
      <w:pPr>
        <w:pStyle w:val="ListBullet"/>
      </w:pPr>
      <w:r>
        <w:rPr>
          <w:b w:val="0"/>
          <w:i w:val="0"/>
        </w:rPr>
        <w:t>antitrust regulation, xiv–xv</w:t>
      </w:r>
    </w:p>
    <w:p>
      <w:pPr>
        <w:pStyle w:val="ListBullet"/>
      </w:pPr>
      <w:r>
        <w:rPr>
          <w:b w:val="0"/>
          <w:i w:val="0"/>
        </w:rPr>
        <w:t>data-opolies and, 55–57, 67</w:t>
      </w:r>
    </w:p>
    <w:p>
      <w:pPr>
        <w:pStyle w:val="ListBullet"/>
      </w:pPr>
      <w:r>
        <w:rPr>
          <w:b w:val="0"/>
          <w:i w:val="0"/>
        </w:rPr>
        <w:t>Facebook and, 81–90</w:t>
      </w:r>
    </w:p>
    <w:p>
      <w:pPr>
        <w:pStyle w:val="ListBullet"/>
      </w:pPr>
      <w:r>
        <w:rPr>
          <w:b w:val="0"/>
          <w:i w:val="0"/>
        </w:rPr>
        <w:t>future of U.S., 71–79</w:t>
      </w:r>
    </w:p>
    <w:p>
      <w:pPr>
        <w:pStyle w:val="ListBullet"/>
      </w:pPr>
      <w:r>
        <w:rPr>
          <w:b w:val="0"/>
          <w:i w:val="0"/>
        </w:rPr>
        <w:t>global, 67</w:t>
      </w:r>
    </w:p>
    <w:p>
      <w:pPr>
        <w:pStyle w:val="ListBullet"/>
      </w:pPr>
      <w:r>
        <w:rPr>
          <w:b w:val="0"/>
          <w:i w:val="0"/>
        </w:rPr>
        <w:t>predatory pricing and, 76–77</w:t>
      </w:r>
    </w:p>
    <w:p>
      <w:pPr>
        <w:pStyle w:val="ListBullet"/>
      </w:pPr>
      <w:r>
        <w:rPr>
          <w:b w:val="0"/>
          <w:i w:val="0"/>
        </w:rPr>
        <w:t>reshaping, 39–44</w:t>
      </w:r>
    </w:p>
    <w:p>
      <w:pPr>
        <w:pStyle w:val="ListBullet"/>
      </w:pPr>
      <w:r>
        <w:rPr>
          <w:b w:val="0"/>
          <w:i w:val="0"/>
        </w:rPr>
        <w:t>tech giants and, 94–95</w:t>
      </w:r>
    </w:p>
    <w:p>
      <w:pPr>
        <w:pStyle w:val="ListBullet"/>
      </w:pPr>
      <w:r>
        <w:rPr>
          <w:b w:val="0"/>
          <w:i w:val="0"/>
        </w:rPr>
        <w:t>theories of, 73–74</w:t>
      </w:r>
    </w:p>
    <w:p>
      <w:pPr>
        <w:pStyle w:val="ListBullet"/>
      </w:pPr>
      <w:r>
        <w:rPr>
          <w:b w:val="0"/>
          <w:i w:val="0"/>
        </w:rPr>
        <w:t>Apple, xii, 3, 19, 65, 94</w:t>
      </w:r>
    </w:p>
    <w:p>
      <w:pPr>
        <w:pStyle w:val="ListBullet"/>
      </w:pPr>
      <w:r>
        <w:rPr>
          <w:b w:val="0"/>
          <w:i w:val="0"/>
        </w:rPr>
        <w:t>automotive sector and, 13, 143</w:t>
      </w:r>
    </w:p>
    <w:p>
      <w:pPr>
        <w:pStyle w:val="ListBullet"/>
      </w:pPr>
      <w:r>
        <w:rPr>
          <w:b w:val="0"/>
          <w:i w:val="0"/>
        </w:rPr>
        <w:t>cell phone industry and, 11</w:t>
      </w:r>
    </w:p>
    <w:p>
      <w:pPr>
        <w:pStyle w:val="ListBullet"/>
      </w:pPr>
      <w:r>
        <w:rPr>
          <w:b w:val="0"/>
          <w:i w:val="0"/>
        </w:rPr>
        <w:t>as data-opoly, 54–55</w:t>
      </w:r>
    </w:p>
    <w:p>
      <w:pPr>
        <w:pStyle w:val="ListBullet"/>
      </w:pPr>
      <w:r>
        <w:rPr>
          <w:b w:val="0"/>
          <w:i w:val="0"/>
        </w:rPr>
        <w:t>home entertainment and, 12</w:t>
      </w:r>
    </w:p>
    <w:p>
      <w:pPr>
        <w:pStyle w:val="ListBullet"/>
      </w:pPr>
      <w:r>
        <w:rPr>
          <w:b w:val="0"/>
          <w:i w:val="0"/>
        </w:rPr>
        <w:t>iOS, 11, 17</w:t>
      </w:r>
    </w:p>
    <w:p>
      <w:pPr>
        <w:pStyle w:val="ListBullet"/>
      </w:pPr>
      <w:r>
        <w:rPr>
          <w:b w:val="0"/>
          <w:i w:val="0"/>
        </w:rPr>
        <w:t>iPhones, 22, 96</w:t>
      </w:r>
    </w:p>
    <w:p>
      <w:pPr>
        <w:pStyle w:val="ListBullet"/>
      </w:pPr>
      <w:r>
        <w:rPr>
          <w:b w:val="0"/>
          <w:i w:val="0"/>
        </w:rPr>
        <w:t>music industry and, 11, 97</w:t>
      </w:r>
    </w:p>
    <w:p>
      <w:pPr>
        <w:pStyle w:val="ListBullet"/>
      </w:pPr>
      <w:r>
        <w:rPr>
          <w:b w:val="0"/>
          <w:i w:val="0"/>
        </w:rPr>
        <w:t>open-source community and, 22</w:t>
      </w:r>
    </w:p>
    <w:p>
      <w:pPr>
        <w:pStyle w:val="ListBullet"/>
      </w:pPr>
      <w:r>
        <w:rPr>
          <w:b w:val="0"/>
          <w:i w:val="0"/>
        </w:rPr>
        <w:t>revenue of, 24</w:t>
      </w:r>
    </w:p>
    <w:p>
      <w:pPr>
        <w:pStyle w:val="ListBullet"/>
      </w:pPr>
      <w:r>
        <w:rPr>
          <w:b w:val="0"/>
          <w:i w:val="0"/>
        </w:rPr>
        <w:t>role of, 23–24</w:t>
      </w:r>
    </w:p>
    <w:p>
      <w:pPr>
        <w:pStyle w:val="ListBullet"/>
      </w:pPr>
      <w:r>
        <w:rPr>
          <w:b w:val="0"/>
          <w:i w:val="0"/>
        </w:rPr>
        <w:t>scrutiny of, 29</w:t>
      </w:r>
    </w:p>
    <w:p>
      <w:pPr>
        <w:pStyle w:val="ListBullet"/>
      </w:pPr>
      <w:r>
        <w:rPr>
          <w:b w:val="0"/>
          <w:i w:val="0"/>
        </w:rPr>
        <w:t>smart homes and, 20</w:t>
      </w:r>
    </w:p>
    <w:p>
      <w:pPr>
        <w:pStyle w:val="ListBullet"/>
      </w:pPr>
      <w:r>
        <w:rPr>
          <w:b w:val="0"/>
          <w:i w:val="0"/>
        </w:rPr>
        <w:t>success of, 30</w:t>
      </w:r>
    </w:p>
    <w:p>
      <w:pPr>
        <w:pStyle w:val="ListBullet"/>
      </w:pPr>
      <w:r>
        <w:rPr>
          <w:b w:val="0"/>
          <w:i w:val="0"/>
        </w:rPr>
        <w:t>Apple CarPlay, 14, 15</w:t>
      </w:r>
    </w:p>
    <w:p>
      <w:pPr>
        <w:pStyle w:val="ListBullet"/>
      </w:pPr>
      <w:r>
        <w:rPr>
          <w:b w:val="0"/>
          <w:i w:val="0"/>
        </w:rPr>
        <w:t>Apple Pay, 21</w:t>
      </w:r>
    </w:p>
    <w:p>
      <w:pPr>
        <w:pStyle w:val="ListBullet"/>
      </w:pPr>
      <w:r>
        <w:rPr>
          <w:b w:val="0"/>
          <w:i w:val="0"/>
        </w:rPr>
        <w:t>apps, 11, 13, 17, 63</w:t>
      </w:r>
    </w:p>
    <w:p>
      <w:pPr>
        <w:pStyle w:val="ListBullet"/>
      </w:pPr>
      <w:r>
        <w:rPr>
          <w:b w:val="0"/>
          <w:i w:val="0"/>
        </w:rPr>
        <w:t>Ashenfelter, Orley, 46</w:t>
      </w:r>
    </w:p>
    <w:p>
      <w:pPr>
        <w:pStyle w:val="ListBullet"/>
      </w:pPr>
      <w:r>
        <w:rPr>
          <w:b w:val="0"/>
          <w:i w:val="0"/>
        </w:rPr>
        <w:t>AT&amp;T, 41, 95</w:t>
      </w:r>
    </w:p>
    <w:p>
      <w:pPr>
        <w:pStyle w:val="ListBullet"/>
      </w:pPr>
      <w:r>
        <w:rPr>
          <w:b w:val="0"/>
          <w:i w:val="0"/>
        </w:rPr>
        <w:t>automotive sector, 5, 12–16, 18–19, 132–133, 142–143</w:t>
      </w:r>
    </w:p>
    <w:p>
      <w:pPr>
        <w:pStyle w:val="ListBullet"/>
      </w:pPr>
      <w:r>
        <w:rPr>
          <w:b w:val="0"/>
          <w:i w:val="0"/>
        </w:rPr>
        <w:t>autonomy, 64–65</w:t>
      </w:r>
    </w:p>
    <w:p>
      <w:pPr>
        <w:pStyle w:val="ListBullet"/>
      </w:pPr>
      <w:r>
        <w:rPr>
          <w:b w:val="0"/>
          <w:i w:val="0"/>
        </w:rPr>
        <w:t>Autor, David, 30–31</w:t>
      </w:r>
    </w:p>
    <w:p>
      <w:pPr>
        <w:pStyle w:val="ListBullet"/>
      </w:pPr>
      <w:r>
        <w:rPr>
          <w:b w:val="0"/>
          <w:i w:val="0"/>
        </w:rPr>
        <w:t>Baidu, xii, 3, 143</w:t>
      </w:r>
    </w:p>
    <w:p>
      <w:pPr>
        <w:pStyle w:val="ListBullet"/>
      </w:pPr>
      <w:r>
        <w:rPr>
          <w:b w:val="0"/>
          <w:i w:val="0"/>
        </w:rPr>
        <w:t>Barabási, Albert-László, 10</w:t>
      </w:r>
    </w:p>
    <w:p>
      <w:pPr>
        <w:pStyle w:val="ListBullet"/>
      </w:pPr>
      <w:r>
        <w:rPr>
          <w:b w:val="0"/>
          <w:i w:val="0"/>
        </w:rPr>
        <w:t>Barnes &amp; Noble, 113</w:t>
      </w:r>
    </w:p>
    <w:p>
      <w:pPr>
        <w:pStyle w:val="ListBullet"/>
      </w:pPr>
      <w:r>
        <w:rPr>
          <w:b w:val="0"/>
          <w:i w:val="0"/>
        </w:rPr>
        <w:t>barriers to entry, 11, 47, 72, 85, 86, 124</w:t>
      </w:r>
    </w:p>
    <w:p>
      <w:pPr>
        <w:pStyle w:val="ListBullet"/>
      </w:pPr>
      <w:r>
        <w:rPr>
          <w:b w:val="0"/>
          <w:i w:val="0"/>
        </w:rPr>
        <w:t>beer industry, 32, 37–38</w:t>
      </w:r>
    </w:p>
    <w:p>
      <w:pPr>
        <w:pStyle w:val="ListBullet"/>
      </w:pPr>
      <w:r>
        <w:rPr>
          <w:b w:val="0"/>
          <w:i w:val="0"/>
        </w:rPr>
        <w:t>behavioral discrimination, 61</w:t>
      </w:r>
    </w:p>
    <w:p>
      <w:pPr>
        <w:pStyle w:val="ListBullet"/>
      </w:pPr>
      <w:r>
        <w:rPr>
          <w:b w:val="0"/>
          <w:i w:val="0"/>
        </w:rPr>
        <w:t>Bessen, James, 30</w:t>
      </w:r>
    </w:p>
    <w:p>
      <w:pPr>
        <w:pStyle w:val="ListBullet"/>
      </w:pPr>
      <w:r>
        <w:rPr>
          <w:b w:val="0"/>
          <w:i w:val="0"/>
        </w:rPr>
        <w:t xml:space="preserve">Bezos, Jeff, xiii, 107, 127, 135. </w:t>
      </w:r>
      <w:r>
        <w:rPr>
          <w:b w:val="0"/>
          <w:i/>
        </w:rPr>
        <w:t>See also</w:t>
      </w:r>
      <w:r>
        <w:rPr>
          <w:b w:val="0"/>
          <w:i w:val="0"/>
        </w:rPr>
        <w:t xml:space="preserve"> Amazon</w:t>
      </w:r>
    </w:p>
    <w:p>
      <w:pPr>
        <w:pStyle w:val="ListBullet"/>
      </w:pPr>
      <w:r>
        <w:rPr>
          <w:b w:val="0"/>
          <w:i w:val="0"/>
        </w:rPr>
        <w:t>bias, 66</w:t>
      </w:r>
    </w:p>
    <w:p>
      <w:pPr>
        <w:pStyle w:val="ListBullet"/>
      </w:pPr>
      <w:r>
        <w:rPr>
          <w:b w:val="0"/>
          <w:i w:val="0"/>
        </w:rPr>
        <w:t>Birkinshaw, Julian, 124–126</w:t>
      </w:r>
    </w:p>
    <w:p>
      <w:pPr>
        <w:pStyle w:val="ListBullet"/>
      </w:pPr>
      <w:r>
        <w:rPr>
          <w:b w:val="0"/>
          <w:i w:val="0"/>
        </w:rPr>
        <w:t>Blackberry, 11, 96</w:t>
      </w:r>
    </w:p>
    <w:p>
      <w:pPr>
        <w:pStyle w:val="ListBullet"/>
      </w:pPr>
      <w:r>
        <w:rPr>
          <w:b w:val="0"/>
          <w:i w:val="0"/>
        </w:rPr>
        <w:t>BMW, 16, 132</w:t>
      </w:r>
    </w:p>
    <w:p>
      <w:pPr>
        <w:pStyle w:val="ListBullet"/>
      </w:pPr>
      <w:r>
        <w:rPr>
          <w:b w:val="0"/>
          <w:i w:val="0"/>
        </w:rPr>
        <w:t>Bonobos, 108</w:t>
      </w:r>
    </w:p>
    <w:p>
      <w:pPr>
        <w:pStyle w:val="ListBullet"/>
      </w:pPr>
      <w:r>
        <w:rPr>
          <w:b w:val="0"/>
          <w:i w:val="0"/>
        </w:rPr>
        <w:t>Bork, Robert, 40, 57, 73</w:t>
      </w:r>
    </w:p>
    <w:p>
      <w:pPr>
        <w:pStyle w:val="ListBullet"/>
      </w:pPr>
      <w:r>
        <w:rPr>
          <w:b w:val="0"/>
          <w:i w:val="0"/>
        </w:rPr>
        <w:t>Brandeis, Louis D., 74</w:t>
      </w:r>
    </w:p>
    <w:p>
      <w:pPr>
        <w:pStyle w:val="ListBullet"/>
      </w:pPr>
      <w:r>
        <w:rPr>
          <w:b w:val="0"/>
          <w:i w:val="0"/>
        </w:rPr>
        <w:t>brick-and-mortar stores, 11, 118, 126, 130</w:t>
      </w:r>
    </w:p>
    <w:p>
      <w:pPr>
        <w:pStyle w:val="ListBullet"/>
      </w:pPr>
      <w:r>
        <w:rPr>
          <w:b w:val="0"/>
          <w:i w:val="0"/>
        </w:rPr>
        <w:t>Buffett, Warren, 124, 135</w:t>
      </w:r>
    </w:p>
    <w:p>
      <w:pPr>
        <w:pStyle w:val="ListBullet"/>
      </w:pPr>
      <w:r>
        <w:rPr>
          <w:b w:val="0"/>
          <w:i w:val="0"/>
        </w:rPr>
        <w:t>Bush administration (2001–2009), 56</w:t>
      </w:r>
    </w:p>
    <w:p>
      <w:pPr>
        <w:pStyle w:val="ListBullet"/>
      </w:pPr>
      <w:r>
        <w:rPr>
          <w:b w:val="0"/>
          <w:i w:val="0"/>
        </w:rPr>
        <w:t>business dynamism, 34–35</w:t>
      </w:r>
    </w:p>
    <w:p>
      <w:pPr>
        <w:pStyle w:val="ListBullet"/>
      </w:pPr>
      <w:r>
        <w:rPr>
          <w:b w:val="0"/>
          <w:i w:val="0"/>
        </w:rPr>
        <w:t>business investment, 33–34, 108–109, 116–119</w:t>
      </w:r>
    </w:p>
    <w:p>
      <w:pPr>
        <w:pStyle w:val="ListBullet"/>
      </w:pPr>
      <w:r>
        <w:rPr>
          <w:b w:val="0"/>
          <w:i w:val="0"/>
        </w:rPr>
        <w:t>business strategy, 123–134</w:t>
      </w:r>
    </w:p>
    <w:p>
      <w:pPr>
        <w:pStyle w:val="ListBullet"/>
      </w:pPr>
      <w:r>
        <w:rPr>
          <w:b w:val="0"/>
          <w:i w:val="0"/>
        </w:rPr>
        <w:t>BYD, 142</w:t>
      </w:r>
    </w:p>
    <w:p>
      <w:pPr>
        <w:pStyle w:val="ListBullet"/>
      </w:pPr>
      <w:r>
        <w:rPr>
          <w:b w:val="0"/>
          <w:i w:val="0"/>
        </w:rPr>
        <w:t>Cambridge Analytica, 53–54</w:t>
      </w:r>
    </w:p>
    <w:p>
      <w:pPr>
        <w:pStyle w:val="ListBullet"/>
      </w:pPr>
      <w:r>
        <w:rPr>
          <w:b w:val="0"/>
          <w:i w:val="0"/>
        </w:rPr>
        <w:t>car-sharing services, 15</w:t>
      </w:r>
    </w:p>
    <w:p>
      <w:pPr>
        <w:pStyle w:val="ListBullet"/>
      </w:pPr>
      <w:r>
        <w:rPr>
          <w:b w:val="0"/>
          <w:i w:val="0"/>
        </w:rPr>
        <w:t>car2go, 15</w:t>
      </w:r>
    </w:p>
    <w:p>
      <w:pPr>
        <w:pStyle w:val="ListBullet"/>
      </w:pPr>
      <w:r>
        <w:rPr>
          <w:b w:val="0"/>
          <w:i w:val="0"/>
        </w:rPr>
        <w:t>Caterpillar, 137</w:t>
      </w:r>
    </w:p>
    <w:p>
      <w:pPr>
        <w:pStyle w:val="ListBullet"/>
      </w:pPr>
      <w:r>
        <w:rPr>
          <w:b w:val="0"/>
          <w:i w:val="0"/>
        </w:rPr>
        <w:t>cell phone industry, 10–11, 47–48</w:t>
      </w:r>
    </w:p>
    <w:p>
      <w:pPr>
        <w:pStyle w:val="ListBullet"/>
      </w:pPr>
      <w:r>
        <w:rPr>
          <w:b w:val="0"/>
          <w:i w:val="0"/>
        </w:rPr>
        <w:t>censorship, 66</w:t>
      </w:r>
    </w:p>
    <w:p>
      <w:pPr>
        <w:pStyle w:val="ListBullet"/>
      </w:pPr>
      <w:r>
        <w:rPr>
          <w:b w:val="0"/>
          <w:i w:val="0"/>
        </w:rPr>
        <w:t>Chicago school of economic thought, 67</w:t>
      </w:r>
    </w:p>
    <w:p>
      <w:pPr>
        <w:pStyle w:val="ListBullet"/>
      </w:pPr>
      <w:r>
        <w:rPr>
          <w:b w:val="0"/>
          <w:i w:val="0"/>
        </w:rPr>
        <w:t>China, 59, 97–98</w:t>
      </w:r>
    </w:p>
    <w:p>
      <w:pPr>
        <w:pStyle w:val="ListBullet"/>
      </w:pPr>
      <w:r>
        <w:rPr>
          <w:b w:val="0"/>
          <w:i w:val="0"/>
        </w:rPr>
        <w:t>Cigna, 135</w:t>
      </w:r>
    </w:p>
    <w:p>
      <w:pPr>
        <w:pStyle w:val="ListBullet"/>
      </w:pPr>
      <w:r>
        <w:rPr>
          <w:b w:val="0"/>
          <w:i w:val="0"/>
        </w:rPr>
        <w:t>Clegg, Nick, 82</w:t>
      </w:r>
    </w:p>
    <w:p>
      <w:pPr>
        <w:pStyle w:val="ListBullet"/>
      </w:pPr>
      <w:r>
        <w:rPr>
          <w:b w:val="0"/>
          <w:i w:val="0"/>
        </w:rPr>
        <w:t>cloud computing, 9, 11, 20</w:t>
      </w:r>
    </w:p>
    <w:p>
      <w:pPr>
        <w:pStyle w:val="ListBullet"/>
      </w:pPr>
      <w:r>
        <w:rPr>
          <w:b w:val="0"/>
          <w:i w:val="0"/>
        </w:rPr>
        <w:t>collaboration, 16</w:t>
      </w:r>
    </w:p>
    <w:p>
      <w:pPr>
        <w:pStyle w:val="ListBullet"/>
      </w:pPr>
      <w:r>
        <w:rPr>
          <w:b w:val="0"/>
          <w:i w:val="0"/>
        </w:rPr>
        <w:t>collective action, 21–23</w:t>
      </w:r>
    </w:p>
    <w:p>
      <w:pPr>
        <w:pStyle w:val="ListBullet"/>
      </w:pPr>
      <w:r>
        <w:rPr>
          <w:b w:val="0"/>
          <w:i w:val="0"/>
        </w:rPr>
        <w:t>Comcast, 6</w:t>
      </w:r>
    </w:p>
    <w:p>
      <w:pPr>
        <w:pStyle w:val="ListBullet"/>
      </w:pPr>
      <w:r>
        <w:rPr>
          <w:b w:val="0"/>
          <w:i w:val="0"/>
        </w:rPr>
        <w:t>Common Voice project, 22</w:t>
      </w:r>
    </w:p>
    <w:p>
      <w:pPr>
        <w:pStyle w:val="ListBullet"/>
      </w:pPr>
      <w:r>
        <w:rPr>
          <w:b w:val="0"/>
          <w:i w:val="0"/>
        </w:rPr>
        <w:t>communication, 148–149</w:t>
      </w:r>
    </w:p>
    <w:p>
      <w:pPr>
        <w:pStyle w:val="ListBullet"/>
      </w:pPr>
      <w:r>
        <w:rPr>
          <w:b w:val="0"/>
          <w:i w:val="0"/>
        </w:rPr>
        <w:t>competition</w:t>
      </w:r>
    </w:p>
    <w:p>
      <w:pPr>
        <w:pStyle w:val="ListBullet"/>
      </w:pPr>
      <w:r>
        <w:rPr>
          <w:b w:val="0"/>
          <w:i w:val="0"/>
        </w:rPr>
        <w:t>against Amazon, 103–111, 126–131</w:t>
      </w:r>
    </w:p>
    <w:p>
      <w:pPr>
        <w:pStyle w:val="ListBullet"/>
      </w:pPr>
      <w:r>
        <w:rPr>
          <w:b w:val="0"/>
          <w:i w:val="0"/>
        </w:rPr>
        <w:t>decline in, 71</w:t>
      </w:r>
    </w:p>
    <w:p>
      <w:pPr>
        <w:pStyle w:val="ListBullet"/>
      </w:pPr>
      <w:r>
        <w:rPr>
          <w:b w:val="0"/>
          <w:i w:val="0"/>
        </w:rPr>
        <w:t>hub firms and, 4–5, 18–23</w:t>
      </w:r>
    </w:p>
    <w:p>
      <w:pPr>
        <w:pStyle w:val="ListBullet"/>
      </w:pPr>
      <w:r>
        <w:rPr>
          <w:b w:val="0"/>
          <w:i w:val="0"/>
        </w:rPr>
        <w:t>industry concentration and, 31–36</w:t>
      </w:r>
    </w:p>
    <w:p>
      <w:pPr>
        <w:pStyle w:val="ListBullet"/>
      </w:pPr>
      <w:r>
        <w:rPr>
          <w:b w:val="0"/>
          <w:i w:val="0"/>
        </w:rPr>
        <w:t>innovation and, 10–11</w:t>
      </w:r>
    </w:p>
    <w:p>
      <w:pPr>
        <w:pStyle w:val="ListBullet"/>
      </w:pPr>
      <w:r>
        <w:rPr>
          <w:b w:val="0"/>
          <w:i w:val="0"/>
        </w:rPr>
        <w:t>lack of, and U.S. economy, 29–50, 72</w:t>
      </w:r>
    </w:p>
    <w:p>
      <w:pPr>
        <w:pStyle w:val="ListBullet"/>
      </w:pPr>
      <w:r>
        <w:rPr>
          <w:b w:val="0"/>
          <w:i w:val="0"/>
        </w:rPr>
        <w:t>market, 82–85</w:t>
      </w:r>
    </w:p>
    <w:p>
      <w:pPr>
        <w:pStyle w:val="ListBullet"/>
      </w:pPr>
      <w:r>
        <w:rPr>
          <w:b w:val="0"/>
          <w:i w:val="0"/>
        </w:rPr>
        <w:t>monopolies and, 65</w:t>
      </w:r>
    </w:p>
    <w:p>
      <w:pPr>
        <w:pStyle w:val="ListBullet"/>
      </w:pPr>
      <w:r>
        <w:rPr>
          <w:b w:val="0"/>
          <w:i w:val="0"/>
        </w:rPr>
        <w:t>price-based, 114</w:t>
      </w:r>
    </w:p>
    <w:p>
      <w:pPr>
        <w:pStyle w:val="ListBullet"/>
      </w:pPr>
      <w:r>
        <w:rPr>
          <w:b w:val="0"/>
          <w:i w:val="0"/>
        </w:rPr>
        <w:t>regulatory constraints on, 44–48</w:t>
      </w:r>
    </w:p>
    <w:p>
      <w:pPr>
        <w:pStyle w:val="ListBullet"/>
      </w:pPr>
      <w:r>
        <w:rPr>
          <w:b w:val="0"/>
          <w:i w:val="0"/>
        </w:rPr>
        <w:t>in retail sector, 103–111, 113–121</w:t>
      </w:r>
    </w:p>
    <w:p>
      <w:pPr>
        <w:pStyle w:val="ListBullet"/>
      </w:pPr>
      <w:r>
        <w:rPr>
          <w:b w:val="0"/>
          <w:i w:val="0"/>
        </w:rPr>
        <w:t>tech giants and, xi–xvi, 96–97, 103–111</w:t>
      </w:r>
    </w:p>
    <w:p>
      <w:pPr>
        <w:pStyle w:val="ListBullet"/>
      </w:pPr>
      <w:r>
        <w:rPr>
          <w:b w:val="0"/>
          <w:i w:val="0"/>
        </w:rPr>
        <w:t>competitive advantage, 17, 39, 62, 105, 124–128, 130, 136</w:t>
      </w:r>
    </w:p>
    <w:p>
      <w:pPr>
        <w:pStyle w:val="ListBullet"/>
      </w:pPr>
      <w:r>
        <w:rPr>
          <w:b w:val="0"/>
          <w:i w:val="0"/>
        </w:rPr>
        <w:t>competitive bottlenecks, 4–5, 16, 19</w:t>
      </w:r>
    </w:p>
    <w:p>
      <w:pPr>
        <w:pStyle w:val="ListBullet"/>
      </w:pPr>
      <w:r>
        <w:rPr>
          <w:b w:val="0"/>
          <w:i w:val="0"/>
        </w:rPr>
        <w:t>complementors, 131–132</w:t>
      </w:r>
    </w:p>
    <w:p>
      <w:pPr>
        <w:pStyle w:val="ListBullet"/>
      </w:pPr>
      <w:r>
        <w:rPr>
          <w:b w:val="0"/>
          <w:i w:val="0"/>
        </w:rPr>
        <w:t>connected-car ecosystem, 14</w:t>
      </w:r>
    </w:p>
    <w:p>
      <w:pPr>
        <w:pStyle w:val="ListBullet"/>
      </w:pPr>
      <w:r>
        <w:rPr>
          <w:b w:val="0"/>
          <w:i w:val="0"/>
        </w:rPr>
        <w:t>connectivity, 9</w:t>
      </w:r>
    </w:p>
    <w:p>
      <w:pPr>
        <w:pStyle w:val="ListBullet"/>
      </w:pPr>
      <w:r>
        <w:rPr>
          <w:b w:val="0"/>
          <w:i w:val="0"/>
        </w:rPr>
        <w:t>conservatives, 73, 74, 75</w:t>
      </w:r>
    </w:p>
    <w:p>
      <w:pPr>
        <w:pStyle w:val="ListBullet"/>
      </w:pPr>
      <w:r>
        <w:rPr>
          <w:b w:val="0"/>
          <w:i w:val="0"/>
        </w:rPr>
        <w:t>consumer packaged goods (CPG) companies, 114–120</w:t>
      </w:r>
    </w:p>
    <w:p>
      <w:pPr>
        <w:pStyle w:val="ListBullet"/>
      </w:pPr>
      <w:r>
        <w:rPr>
          <w:b w:val="0"/>
          <w:i w:val="0"/>
        </w:rPr>
        <w:t>consumer trends, 64</w:t>
      </w:r>
    </w:p>
    <w:p>
      <w:pPr>
        <w:pStyle w:val="ListBullet"/>
      </w:pPr>
      <w:r>
        <w:rPr>
          <w:b w:val="0"/>
          <w:i w:val="0"/>
        </w:rPr>
        <w:t>consumer welfare, 73–75</w:t>
      </w:r>
    </w:p>
    <w:p>
      <w:pPr>
        <w:pStyle w:val="ListBullet"/>
      </w:pPr>
      <w:r>
        <w:rPr>
          <w:b w:val="0"/>
          <w:i w:val="0"/>
        </w:rPr>
        <w:t>content creation, 61</w:t>
      </w:r>
    </w:p>
    <w:p>
      <w:pPr>
        <w:pStyle w:val="ListBullet"/>
      </w:pPr>
      <w:r>
        <w:rPr>
          <w:b w:val="0"/>
          <w:i w:val="0"/>
        </w:rPr>
        <w:t>cooperation, 22–23</w:t>
      </w:r>
    </w:p>
    <w:p>
      <w:pPr>
        <w:pStyle w:val="ListBullet"/>
      </w:pPr>
      <w:r>
        <w:rPr>
          <w:b w:val="0"/>
          <w:i w:val="0"/>
        </w:rPr>
        <w:t>Costco, 146</w:t>
      </w:r>
    </w:p>
    <w:p>
      <w:pPr>
        <w:pStyle w:val="ListBullet"/>
      </w:pPr>
      <w:r>
        <w:rPr>
          <w:b w:val="0"/>
          <w:i w:val="0"/>
        </w:rPr>
        <w:t>covert surveillance, 59</w:t>
      </w:r>
    </w:p>
    <w:p>
      <w:pPr>
        <w:pStyle w:val="ListBullet"/>
      </w:pPr>
      <w:r>
        <w:rPr>
          <w:b w:val="0"/>
          <w:i w:val="0"/>
        </w:rPr>
        <w:t>creative content, 61</w:t>
      </w:r>
    </w:p>
    <w:p>
      <w:pPr>
        <w:pStyle w:val="ListBullet"/>
      </w:pPr>
      <w:r>
        <w:rPr>
          <w:b w:val="0"/>
          <w:i w:val="0"/>
        </w:rPr>
        <w:t>Cruz, Ted, 81</w:t>
      </w:r>
    </w:p>
    <w:p>
      <w:pPr>
        <w:pStyle w:val="ListBullet"/>
      </w:pPr>
      <w:r>
        <w:rPr>
          <w:b w:val="0"/>
          <w:i w:val="0"/>
        </w:rPr>
        <w:t>customer base, growth of, 17–18</w:t>
      </w:r>
    </w:p>
    <w:p>
      <w:pPr>
        <w:pStyle w:val="ListBullet"/>
      </w:pPr>
      <w:r>
        <w:rPr>
          <w:b w:val="0"/>
          <w:i w:val="0"/>
        </w:rPr>
        <w:t>customer communication, 148–149</w:t>
      </w:r>
    </w:p>
    <w:p>
      <w:pPr>
        <w:pStyle w:val="ListBullet"/>
      </w:pPr>
      <w:r>
        <w:rPr>
          <w:b w:val="0"/>
          <w:i w:val="0"/>
        </w:rPr>
        <w:t>customer data, 117–118</w:t>
      </w:r>
    </w:p>
    <w:p>
      <w:pPr>
        <w:pStyle w:val="ListBullet"/>
      </w:pPr>
      <w:r>
        <w:rPr>
          <w:b w:val="0"/>
          <w:i w:val="0"/>
        </w:rPr>
        <w:t>customer loyalty, 146–151</w:t>
      </w:r>
    </w:p>
    <w:p>
      <w:pPr>
        <w:pStyle w:val="ListBullet"/>
      </w:pPr>
      <w:r>
        <w:rPr>
          <w:b w:val="0"/>
          <w:i w:val="0"/>
        </w:rPr>
        <w:t>customer relationships, 139</w:t>
      </w:r>
    </w:p>
    <w:p>
      <w:pPr>
        <w:pStyle w:val="ListBullet"/>
      </w:pPr>
      <w:r>
        <w:rPr>
          <w:b w:val="0"/>
          <w:i w:val="0"/>
        </w:rPr>
        <w:t>CVS, 135</w:t>
      </w:r>
    </w:p>
    <w:p>
      <w:pPr>
        <w:pStyle w:val="ListBullet"/>
      </w:pPr>
      <w:r>
        <w:rPr>
          <w:b w:val="0"/>
          <w:i w:val="0"/>
        </w:rPr>
        <w:t>cybersecurity, 23</w:t>
      </w:r>
    </w:p>
    <w:p>
      <w:pPr>
        <w:pStyle w:val="ListBullet"/>
      </w:pPr>
      <w:r>
        <w:rPr>
          <w:b w:val="0"/>
          <w:i w:val="0"/>
        </w:rPr>
        <w:t>Daimler, 15, 16, 132</w:t>
      </w:r>
    </w:p>
    <w:p>
      <w:pPr>
        <w:pStyle w:val="ListBullet"/>
      </w:pPr>
      <w:r>
        <w:rPr>
          <w:b w:val="0"/>
          <w:i w:val="0"/>
        </w:rPr>
        <w:t>data</w:t>
      </w:r>
    </w:p>
    <w:p>
      <w:pPr>
        <w:pStyle w:val="ListBullet"/>
      </w:pPr>
      <w:r>
        <w:rPr>
          <w:b w:val="0"/>
          <w:i w:val="0"/>
        </w:rPr>
        <w:t>collection of, 58</w:t>
      </w:r>
    </w:p>
    <w:p>
      <w:pPr>
        <w:pStyle w:val="ListBullet"/>
      </w:pPr>
      <w:r>
        <w:rPr>
          <w:b w:val="0"/>
          <w:i w:val="0"/>
        </w:rPr>
        <w:t>control over, 53–69</w:t>
      </w:r>
    </w:p>
    <w:p>
      <w:pPr>
        <w:pStyle w:val="ListBullet"/>
      </w:pPr>
      <w:r>
        <w:rPr>
          <w:b w:val="0"/>
          <w:i w:val="0"/>
        </w:rPr>
        <w:t>customer, 117–118</w:t>
      </w:r>
    </w:p>
    <w:p>
      <w:pPr>
        <w:pStyle w:val="ListBullet"/>
      </w:pPr>
      <w:r>
        <w:rPr>
          <w:b w:val="0"/>
          <w:i w:val="0"/>
        </w:rPr>
        <w:t>personal, 53–69, 84</w:t>
      </w:r>
    </w:p>
    <w:p>
      <w:pPr>
        <w:pStyle w:val="ListBullet"/>
      </w:pPr>
      <w:r>
        <w:rPr>
          <w:b w:val="0"/>
          <w:i w:val="0"/>
        </w:rPr>
        <w:t>data aggregation, 22, 23</w:t>
      </w:r>
    </w:p>
    <w:p>
      <w:pPr>
        <w:pStyle w:val="ListBullet"/>
      </w:pPr>
      <w:r>
        <w:rPr>
          <w:b w:val="0"/>
          <w:i w:val="0"/>
        </w:rPr>
        <w:t>data-opolies, 53–69</w:t>
      </w:r>
    </w:p>
    <w:p>
      <w:pPr>
        <w:pStyle w:val="ListBullet"/>
      </w:pPr>
      <w:r>
        <w:rPr>
          <w:b w:val="0"/>
          <w:i w:val="0"/>
        </w:rPr>
        <w:t>harm from, 57–66</w:t>
      </w:r>
    </w:p>
    <w:p>
      <w:pPr>
        <w:pStyle w:val="ListBullet"/>
      </w:pPr>
      <w:r>
        <w:rPr>
          <w:b w:val="0"/>
          <w:i w:val="0"/>
        </w:rPr>
        <w:t>innovation and, 63–64</w:t>
      </w:r>
    </w:p>
    <w:p>
      <w:pPr>
        <w:pStyle w:val="ListBullet"/>
      </w:pPr>
      <w:r>
        <w:rPr>
          <w:b w:val="0"/>
          <w:i w:val="0"/>
        </w:rPr>
        <w:t>limiting power of, 66–67</w:t>
      </w:r>
    </w:p>
    <w:p>
      <w:pPr>
        <w:pStyle w:val="ListBullet"/>
      </w:pPr>
      <w:r>
        <w:rPr>
          <w:b w:val="0"/>
          <w:i w:val="0"/>
        </w:rPr>
        <w:t>loss of trust and, 62</w:t>
      </w:r>
    </w:p>
    <w:p>
      <w:pPr>
        <w:pStyle w:val="ListBullet"/>
      </w:pPr>
      <w:r>
        <w:rPr>
          <w:b w:val="0"/>
          <w:i w:val="0"/>
        </w:rPr>
        <w:t>political concerns with, 65–66</w:t>
      </w:r>
    </w:p>
    <w:p>
      <w:pPr>
        <w:pStyle w:val="ListBullet"/>
      </w:pPr>
      <w:r>
        <w:rPr>
          <w:b w:val="0"/>
          <w:i w:val="0"/>
        </w:rPr>
        <w:t>privacy issues and, 58</w:t>
      </w:r>
    </w:p>
    <w:p>
      <w:pPr>
        <w:pStyle w:val="ListBullet"/>
      </w:pPr>
      <w:r>
        <w:rPr>
          <w:b w:val="0"/>
          <w:i w:val="0"/>
        </w:rPr>
        <w:t>security breaches at, 59–60</w:t>
      </w:r>
    </w:p>
    <w:p>
      <w:pPr>
        <w:pStyle w:val="ListBullet"/>
      </w:pPr>
      <w:r>
        <w:rPr>
          <w:b w:val="0"/>
          <w:i w:val="0"/>
        </w:rPr>
        <w:t>social and moral issues with, 64–65</w:t>
      </w:r>
    </w:p>
    <w:p>
      <w:pPr>
        <w:pStyle w:val="ListBullet"/>
      </w:pPr>
      <w:r>
        <w:rPr>
          <w:b w:val="0"/>
          <w:i w:val="0"/>
        </w:rPr>
        <w:t>surveillance and security risks of, 58–60</w:t>
      </w:r>
    </w:p>
    <w:p>
      <w:pPr>
        <w:pStyle w:val="ListBullet"/>
      </w:pPr>
      <w:r>
        <w:rPr>
          <w:b w:val="0"/>
          <w:i w:val="0"/>
        </w:rPr>
        <w:t>third parties and, 63</w:t>
      </w:r>
    </w:p>
    <w:p>
      <w:pPr>
        <w:pStyle w:val="ListBullet"/>
      </w:pPr>
      <w:r>
        <w:rPr>
          <w:b w:val="0"/>
          <w:i w:val="0"/>
        </w:rPr>
        <w:t>U.S. anti-trust authorities and, 55–57</w:t>
      </w:r>
    </w:p>
    <w:p>
      <w:pPr>
        <w:pStyle w:val="ListBullet"/>
      </w:pPr>
      <w:r>
        <w:rPr>
          <w:b w:val="0"/>
          <w:i w:val="0"/>
        </w:rPr>
        <w:t>wealth transfer to, 60–62</w:t>
      </w:r>
    </w:p>
    <w:p>
      <w:pPr>
        <w:pStyle w:val="ListBullet"/>
      </w:pPr>
      <w:r>
        <w:rPr>
          <w:b w:val="0"/>
          <w:i w:val="0"/>
        </w:rPr>
        <w:t>data policy violations, 59–60</w:t>
      </w:r>
    </w:p>
    <w:p>
      <w:pPr>
        <w:pStyle w:val="ListBullet"/>
      </w:pPr>
      <w:r>
        <w:rPr>
          <w:b w:val="0"/>
          <w:i w:val="0"/>
        </w:rPr>
        <w:t>data portability, 23</w:t>
      </w:r>
    </w:p>
    <w:p>
      <w:pPr>
        <w:pStyle w:val="ListBullet"/>
      </w:pPr>
      <w:r>
        <w:rPr>
          <w:b w:val="0"/>
          <w:i w:val="0"/>
        </w:rPr>
        <w:t>De, Liu, 117</w:t>
      </w:r>
    </w:p>
    <w:p>
      <w:pPr>
        <w:pStyle w:val="ListBullet"/>
      </w:pPr>
      <w:r>
        <w:rPr>
          <w:b w:val="0"/>
          <w:i w:val="0"/>
        </w:rPr>
        <w:t>decreasing returns to scale, 17, 18, 19</w:t>
      </w:r>
    </w:p>
    <w:p>
      <w:pPr>
        <w:pStyle w:val="ListBullet"/>
      </w:pPr>
      <w:r>
        <w:rPr>
          <w:b w:val="0"/>
          <w:i w:val="0"/>
        </w:rPr>
        <w:t>“deep moats,” 124</w:t>
      </w:r>
    </w:p>
    <w:p>
      <w:pPr>
        <w:pStyle w:val="ListBullet"/>
      </w:pPr>
      <w:r>
        <w:rPr>
          <w:b w:val="0"/>
          <w:i w:val="0"/>
        </w:rPr>
        <w:t>De Loecker, Jan, 33</w:t>
      </w:r>
    </w:p>
    <w:p>
      <w:pPr>
        <w:pStyle w:val="ListBullet"/>
      </w:pPr>
      <w:r>
        <w:rPr>
          <w:b w:val="0"/>
          <w:i w:val="0"/>
        </w:rPr>
        <w:t>Delrahim, Makan, 76</w:t>
      </w:r>
    </w:p>
    <w:p>
      <w:pPr>
        <w:pStyle w:val="ListBullet"/>
      </w:pPr>
      <w:r>
        <w:rPr>
          <w:b w:val="0"/>
          <w:i w:val="0"/>
        </w:rPr>
        <w:t>Department of Justice (DOJ), 56, 82</w:t>
      </w:r>
    </w:p>
    <w:p>
      <w:pPr>
        <w:pStyle w:val="ListBullet"/>
      </w:pPr>
      <w:r>
        <w:rPr>
          <w:b w:val="0"/>
          <w:i w:val="0"/>
        </w:rPr>
        <w:t>department stores, 113</w:t>
      </w:r>
    </w:p>
    <w:p>
      <w:pPr>
        <w:pStyle w:val="ListBullet"/>
      </w:pPr>
      <w:r>
        <w:rPr>
          <w:b w:val="0"/>
          <w:i w:val="0"/>
        </w:rPr>
        <w:t>Deutsche Telekom, 20</w:t>
      </w:r>
    </w:p>
    <w:p>
      <w:pPr>
        <w:pStyle w:val="ListBullet"/>
      </w:pPr>
      <w:r>
        <w:rPr>
          <w:b w:val="0"/>
          <w:i w:val="0"/>
        </w:rPr>
        <w:t>differentiation, 127–128</w:t>
      </w:r>
    </w:p>
    <w:p>
      <w:pPr>
        <w:pStyle w:val="ListBullet"/>
      </w:pPr>
      <w:r>
        <w:rPr>
          <w:b w:val="0"/>
          <w:i w:val="0"/>
        </w:rPr>
        <w:t>digital culture, 141</w:t>
      </w:r>
    </w:p>
    <w:p>
      <w:pPr>
        <w:pStyle w:val="ListBullet"/>
      </w:pPr>
      <w:r>
        <w:rPr>
          <w:b w:val="0"/>
          <w:i w:val="0"/>
        </w:rPr>
        <w:t>digital domino effect, 8–12</w:t>
      </w:r>
    </w:p>
    <w:p>
      <w:pPr>
        <w:pStyle w:val="ListBullet"/>
      </w:pPr>
      <w:r>
        <w:rPr>
          <w:b w:val="0"/>
          <w:i w:val="0"/>
        </w:rPr>
        <w:t>digital economy, 22–23, 113–121</w:t>
      </w:r>
    </w:p>
    <w:p>
      <w:pPr>
        <w:pStyle w:val="ListBullet"/>
      </w:pPr>
      <w:r>
        <w:rPr>
          <w:b w:val="0"/>
          <w:i w:val="0"/>
        </w:rPr>
        <w:t>digital natives, 136–144</w:t>
      </w:r>
    </w:p>
    <w:p>
      <w:pPr>
        <w:pStyle w:val="ListBullet"/>
      </w:pPr>
      <w:r>
        <w:rPr>
          <w:b w:val="0"/>
          <w:i w:val="0"/>
        </w:rPr>
        <w:t>digital-physical fusion, 107–108</w:t>
      </w:r>
    </w:p>
    <w:p>
      <w:pPr>
        <w:pStyle w:val="ListBullet"/>
      </w:pPr>
      <w:r>
        <w:rPr>
          <w:b w:val="0"/>
          <w:i w:val="0"/>
        </w:rPr>
        <w:t>digitization, 6, 8–9</w:t>
      </w:r>
    </w:p>
    <w:p>
      <w:pPr>
        <w:pStyle w:val="ListBullet"/>
      </w:pPr>
      <w:r>
        <w:rPr>
          <w:b w:val="0"/>
          <w:i w:val="0"/>
        </w:rPr>
        <w:t>Dimon, Jamie, 135</w:t>
      </w:r>
    </w:p>
    <w:p>
      <w:pPr>
        <w:pStyle w:val="ListBullet"/>
      </w:pPr>
      <w:r>
        <w:rPr>
          <w:b w:val="0"/>
          <w:i w:val="0"/>
        </w:rPr>
        <w:t>Dirty Lemon, 148–149</w:t>
      </w:r>
    </w:p>
    <w:p>
      <w:pPr>
        <w:pStyle w:val="ListBullet"/>
      </w:pPr>
      <w:r>
        <w:rPr>
          <w:b w:val="0"/>
          <w:i w:val="0"/>
        </w:rPr>
        <w:t>Disconnect, 63</w:t>
      </w:r>
    </w:p>
    <w:p>
      <w:pPr>
        <w:pStyle w:val="ListBullet"/>
      </w:pPr>
      <w:r>
        <w:rPr>
          <w:b w:val="0"/>
          <w:i w:val="0"/>
        </w:rPr>
        <w:t>discount chains, 113–114</w:t>
      </w:r>
    </w:p>
    <w:p>
      <w:pPr>
        <w:pStyle w:val="ListBullet"/>
      </w:pPr>
      <w:r>
        <w:rPr>
          <w:b w:val="0"/>
          <w:i w:val="0"/>
        </w:rPr>
        <w:t>discrimination, 25</w:t>
      </w:r>
    </w:p>
    <w:p>
      <w:pPr>
        <w:pStyle w:val="ListBullet"/>
      </w:pPr>
      <w:r>
        <w:rPr>
          <w:b w:val="0"/>
          <w:i w:val="0"/>
        </w:rPr>
        <w:t>disinformation, 81</w:t>
      </w:r>
    </w:p>
    <w:p>
      <w:pPr>
        <w:pStyle w:val="ListBullet"/>
      </w:pPr>
      <w:r>
        <w:rPr>
          <w:b w:val="0"/>
          <w:i w:val="0"/>
        </w:rPr>
        <w:t>disruptive innovation, 92, 115</w:t>
      </w:r>
    </w:p>
    <w:p>
      <w:pPr>
        <w:pStyle w:val="ListBullet"/>
      </w:pPr>
      <w:r>
        <w:rPr>
          <w:b w:val="0"/>
          <w:i w:val="0"/>
        </w:rPr>
        <w:t>Dorn, David, 30</w:t>
      </w:r>
    </w:p>
    <w:p>
      <w:pPr>
        <w:pStyle w:val="ListBullet"/>
      </w:pPr>
      <w:r>
        <w:rPr>
          <w:b w:val="0"/>
          <w:i w:val="0"/>
        </w:rPr>
        <w:t>Downes, Larry, 91–99</w:t>
      </w:r>
    </w:p>
    <w:p>
      <w:pPr>
        <w:pStyle w:val="ListBullet"/>
      </w:pPr>
      <w:r>
        <w:rPr>
          <w:b w:val="0"/>
          <w:i w:val="0"/>
        </w:rPr>
        <w:t>drug prices, 44–45</w:t>
      </w:r>
    </w:p>
    <w:p>
      <w:pPr>
        <w:pStyle w:val="ListBullet"/>
      </w:pPr>
      <w:r>
        <w:rPr>
          <w:b w:val="0"/>
          <w:i w:val="0"/>
        </w:rPr>
        <w:t>e-commerce, 11, 104, 114–115, 129–130, 145–146</w:t>
      </w:r>
    </w:p>
    <w:p>
      <w:pPr>
        <w:pStyle w:val="ListBullet"/>
      </w:pPr>
      <w:r>
        <w:rPr>
          <w:b w:val="0"/>
          <w:i w:val="0"/>
        </w:rPr>
        <w:t>economic disparities, 5–7, 72</w:t>
      </w:r>
    </w:p>
    <w:p>
      <w:pPr>
        <w:pStyle w:val="ListBullet"/>
      </w:pPr>
      <w:r>
        <w:rPr>
          <w:b w:val="0"/>
          <w:i w:val="0"/>
        </w:rPr>
        <w:t>economic dynamism, 72</w:t>
      </w:r>
    </w:p>
    <w:p>
      <w:pPr>
        <w:pStyle w:val="ListBullet"/>
      </w:pPr>
      <w:r>
        <w:rPr>
          <w:b w:val="0"/>
          <w:i w:val="0"/>
        </w:rPr>
        <w:t>economic theories, 67</w:t>
      </w:r>
    </w:p>
    <w:p>
      <w:pPr>
        <w:pStyle w:val="ListBullet"/>
      </w:pPr>
      <w:r>
        <w:rPr>
          <w:b w:val="0"/>
          <w:i/>
        </w:rPr>
        <w:t>Economist</w:t>
      </w:r>
      <w:r>
        <w:rPr>
          <w:b w:val="0"/>
          <w:i w:val="0"/>
        </w:rPr>
        <w:t>, 32</w:t>
      </w:r>
    </w:p>
    <w:p>
      <w:pPr>
        <w:pStyle w:val="ListBullet"/>
      </w:pPr>
      <w:r>
        <w:rPr>
          <w:b w:val="0"/>
          <w:i w:val="0"/>
        </w:rPr>
        <w:t>ecosystem economy, 131–133</w:t>
      </w:r>
    </w:p>
    <w:p>
      <w:pPr>
        <w:pStyle w:val="ListBullet"/>
      </w:pPr>
      <w:r>
        <w:rPr>
          <w:b w:val="0"/>
          <w:i w:val="0"/>
        </w:rPr>
        <w:t>Eeckhout, Jan, 33</w:t>
      </w:r>
    </w:p>
    <w:p>
      <w:pPr>
        <w:pStyle w:val="ListBullet"/>
      </w:pPr>
      <w:r>
        <w:rPr>
          <w:b w:val="0"/>
          <w:i w:val="0"/>
        </w:rPr>
        <w:t>elections, 7, 53–54</w:t>
      </w:r>
    </w:p>
    <w:p>
      <w:pPr>
        <w:pStyle w:val="ListBullet"/>
      </w:pPr>
      <w:r>
        <w:rPr>
          <w:b w:val="0"/>
          <w:i w:val="0"/>
        </w:rPr>
        <w:t>electric cars, 142–143</w:t>
      </w:r>
    </w:p>
    <w:p>
      <w:pPr>
        <w:pStyle w:val="ListBullet"/>
      </w:pPr>
      <w:r>
        <w:rPr>
          <w:b w:val="0"/>
          <w:i w:val="0"/>
        </w:rPr>
        <w:t>emotional connections, 149–150</w:t>
      </w:r>
    </w:p>
    <w:p>
      <w:pPr>
        <w:pStyle w:val="ListBullet"/>
      </w:pPr>
      <w:r>
        <w:rPr>
          <w:b w:val="0"/>
          <w:i w:val="0"/>
        </w:rPr>
        <w:t>emotional contagion, 66</w:t>
      </w:r>
    </w:p>
    <w:p>
      <w:pPr>
        <w:pStyle w:val="ListBullet"/>
      </w:pPr>
      <w:r>
        <w:rPr>
          <w:b w:val="0"/>
          <w:i w:val="0"/>
        </w:rPr>
        <w:t>entrepreneurs, 37</w:t>
      </w:r>
    </w:p>
    <w:p>
      <w:pPr>
        <w:pStyle w:val="ListBullet"/>
      </w:pPr>
      <w:r>
        <w:rPr>
          <w:b w:val="0"/>
          <w:i w:val="0"/>
        </w:rPr>
        <w:t>EpiPen, 76</w:t>
      </w:r>
    </w:p>
    <w:p>
      <w:pPr>
        <w:pStyle w:val="ListBullet"/>
      </w:pPr>
      <w:r>
        <w:rPr>
          <w:b w:val="0"/>
          <w:i w:val="0"/>
        </w:rPr>
        <w:t>ethics, of network leadership, 23–26</w:t>
      </w:r>
    </w:p>
    <w:p>
      <w:pPr>
        <w:pStyle w:val="ListBullet"/>
      </w:pPr>
      <w:r>
        <w:rPr>
          <w:b w:val="0"/>
          <w:i w:val="0"/>
        </w:rPr>
        <w:t>European Commission, 55–56, 64, 83</w:t>
      </w:r>
    </w:p>
    <w:p>
      <w:pPr>
        <w:pStyle w:val="ListBullet"/>
      </w:pPr>
      <w:r>
        <w:rPr>
          <w:b w:val="0"/>
          <w:i w:val="0"/>
        </w:rPr>
        <w:t>European regulators, 29, 55–56, 97</w:t>
      </w:r>
    </w:p>
    <w:p>
      <w:pPr>
        <w:pStyle w:val="ListBullet"/>
      </w:pPr>
      <w:r>
        <w:rPr>
          <w:b w:val="0"/>
          <w:i w:val="0"/>
        </w:rPr>
        <w:t>Ezrachi, Ariel, 63</w:t>
      </w:r>
    </w:p>
    <w:p>
      <w:pPr>
        <w:pStyle w:val="ListBullet"/>
      </w:pPr>
      <w:r>
        <w:rPr>
          <w:b w:val="0"/>
          <w:i w:val="0"/>
        </w:rPr>
        <w:t>Facebook, xii, xiii, 3, 11, 21, 64, 94, 96–97</w:t>
      </w:r>
    </w:p>
    <w:p>
      <w:pPr>
        <w:pStyle w:val="ListBullet"/>
      </w:pPr>
      <w:r>
        <w:rPr>
          <w:b w:val="0"/>
          <w:i w:val="0"/>
        </w:rPr>
        <w:t>breaking up of, 81–90</w:t>
      </w:r>
    </w:p>
    <w:p>
      <w:pPr>
        <w:pStyle w:val="ListBullet"/>
      </w:pPr>
      <w:r>
        <w:rPr>
          <w:b w:val="0"/>
          <w:i w:val="0"/>
        </w:rPr>
        <w:t>business model of, 136</w:t>
      </w:r>
    </w:p>
    <w:p>
      <w:pPr>
        <w:pStyle w:val="ListBullet"/>
      </w:pPr>
      <w:r>
        <w:rPr>
          <w:b w:val="0"/>
          <w:i w:val="0"/>
        </w:rPr>
        <w:t>data from, 54</w:t>
      </w:r>
    </w:p>
    <w:p>
      <w:pPr>
        <w:pStyle w:val="ListBullet"/>
      </w:pPr>
      <w:r>
        <w:rPr>
          <w:b w:val="0"/>
          <w:i w:val="0"/>
        </w:rPr>
        <w:t>as data-opoly, 54–55, 65</w:t>
      </w:r>
    </w:p>
    <w:p>
      <w:pPr>
        <w:pStyle w:val="ListBullet"/>
      </w:pPr>
      <w:r>
        <w:rPr>
          <w:b w:val="0"/>
          <w:i w:val="0"/>
        </w:rPr>
        <w:t>emotional contagion and, 66</w:t>
      </w:r>
    </w:p>
    <w:p>
      <w:pPr>
        <w:pStyle w:val="ListBullet"/>
      </w:pPr>
      <w:r>
        <w:rPr>
          <w:b w:val="0"/>
          <w:i w:val="0"/>
        </w:rPr>
        <w:t>European regulators and, 56</w:t>
      </w:r>
    </w:p>
    <w:p>
      <w:pPr>
        <w:pStyle w:val="ListBullet"/>
      </w:pPr>
      <w:r>
        <w:rPr>
          <w:b w:val="0"/>
          <w:i w:val="0"/>
        </w:rPr>
        <w:t>market concentration of, 83–85</w:t>
      </w:r>
    </w:p>
    <w:p>
      <w:pPr>
        <w:pStyle w:val="ListBullet"/>
      </w:pPr>
      <w:r>
        <w:rPr>
          <w:b w:val="0"/>
          <w:i w:val="0"/>
        </w:rPr>
        <w:t>presidential election and, 7, 54</w:t>
      </w:r>
    </w:p>
    <w:p>
      <w:pPr>
        <w:pStyle w:val="ListBullet"/>
      </w:pPr>
      <w:r>
        <w:rPr>
          <w:b w:val="0"/>
          <w:i w:val="0"/>
        </w:rPr>
        <w:t>response to “fake news” scandal, 7–8</w:t>
      </w:r>
    </w:p>
    <w:p>
      <w:pPr>
        <w:pStyle w:val="ListBullet"/>
      </w:pPr>
      <w:r>
        <w:rPr>
          <w:b w:val="0"/>
          <w:i w:val="0"/>
        </w:rPr>
        <w:t>scrutiny of, 29</w:t>
      </w:r>
    </w:p>
    <w:p>
      <w:pPr>
        <w:pStyle w:val="ListBullet"/>
      </w:pPr>
      <w:r>
        <w:rPr>
          <w:b w:val="0"/>
          <w:i w:val="0"/>
        </w:rPr>
        <w:t>success of, 30</w:t>
      </w:r>
    </w:p>
    <w:p>
      <w:pPr>
        <w:pStyle w:val="ListBullet"/>
      </w:pPr>
      <w:r>
        <w:rPr>
          <w:b w:val="0"/>
          <w:i w:val="0"/>
        </w:rPr>
        <w:t>TBH acquisition by, 36–37</w:t>
      </w:r>
    </w:p>
    <w:p>
      <w:pPr>
        <w:pStyle w:val="ListBullet"/>
      </w:pPr>
      <w:r>
        <w:rPr>
          <w:b w:val="0"/>
          <w:i w:val="0"/>
        </w:rPr>
        <w:t>virtual reality and, 20</w:t>
      </w:r>
    </w:p>
    <w:p>
      <w:pPr>
        <w:pStyle w:val="ListBullet"/>
      </w:pPr>
      <w:r>
        <w:rPr>
          <w:b w:val="0"/>
          <w:i w:val="0"/>
        </w:rPr>
        <w:t>“fake news,” 7–8</w:t>
      </w:r>
    </w:p>
    <w:p>
      <w:pPr>
        <w:pStyle w:val="ListBullet"/>
      </w:pPr>
      <w:r>
        <w:rPr>
          <w:b w:val="0"/>
          <w:i w:val="0"/>
        </w:rPr>
        <w:t>Fasten, 21</w:t>
      </w:r>
    </w:p>
    <w:p>
      <w:pPr>
        <w:pStyle w:val="ListBullet"/>
      </w:pPr>
      <w:r>
        <w:rPr>
          <w:b w:val="0"/>
          <w:i w:val="0"/>
        </w:rPr>
        <w:t>Federal Aviation Administration (FAA), 93</w:t>
      </w:r>
    </w:p>
    <w:p>
      <w:pPr>
        <w:pStyle w:val="ListBullet"/>
      </w:pPr>
      <w:r>
        <w:rPr>
          <w:b w:val="0"/>
          <w:i w:val="0"/>
        </w:rPr>
        <w:t>Federal Communications Commission (FCC), 47–48</w:t>
      </w:r>
    </w:p>
    <w:p>
      <w:pPr>
        <w:pStyle w:val="ListBullet"/>
      </w:pPr>
      <w:r>
        <w:rPr>
          <w:b w:val="0"/>
          <w:i w:val="0"/>
        </w:rPr>
        <w:t>Federal Trade Commission (FTC), 42–43, 47, 56, 76, 82–83</w:t>
      </w:r>
    </w:p>
    <w:p>
      <w:pPr>
        <w:pStyle w:val="ListBullet"/>
      </w:pPr>
      <w:r>
        <w:rPr>
          <w:b w:val="0"/>
          <w:i w:val="0"/>
        </w:rPr>
        <w:t>financial services, 5, 6, 9, 11–12</w:t>
      </w:r>
    </w:p>
    <w:p>
      <w:pPr>
        <w:pStyle w:val="ListBullet"/>
      </w:pPr>
      <w:r>
        <w:rPr>
          <w:b w:val="0"/>
          <w:i w:val="0"/>
        </w:rPr>
        <w:t>Firefox, 22</w:t>
      </w:r>
    </w:p>
    <w:p>
      <w:pPr>
        <w:pStyle w:val="ListBullet"/>
      </w:pPr>
      <w:r>
        <w:rPr>
          <w:b w:val="0"/>
          <w:i w:val="0"/>
        </w:rPr>
        <w:t>flexibility, 146–147</w:t>
      </w:r>
    </w:p>
    <w:p>
      <w:pPr>
        <w:pStyle w:val="ListBullet"/>
      </w:pPr>
      <w:r>
        <w:rPr>
          <w:b w:val="0"/>
          <w:i w:val="0"/>
        </w:rPr>
        <w:t>Food and Drug Administration (FDA), 45, 48</w:t>
      </w:r>
    </w:p>
    <w:p>
      <w:pPr>
        <w:pStyle w:val="ListBullet"/>
      </w:pPr>
      <w:r>
        <w:rPr>
          <w:b w:val="0"/>
          <w:i w:val="0"/>
        </w:rPr>
        <w:t>Ford, 135, 137, 142</w:t>
      </w:r>
    </w:p>
    <w:p>
      <w:pPr>
        <w:pStyle w:val="ListBullet"/>
      </w:pPr>
      <w:r>
        <w:rPr>
          <w:b w:val="0"/>
          <w:i w:val="0"/>
        </w:rPr>
        <w:t>Frick, Walter, 126–128</w:t>
      </w:r>
    </w:p>
    <w:p>
      <w:pPr>
        <w:pStyle w:val="ListBullet"/>
      </w:pPr>
      <w:r>
        <w:rPr>
          <w:b w:val="0"/>
          <w:i w:val="0"/>
        </w:rPr>
        <w:t>Fulton, Brent, 38</w:t>
      </w:r>
    </w:p>
    <w:p>
      <w:pPr>
        <w:pStyle w:val="ListBullet"/>
      </w:pPr>
      <w:r>
        <w:rPr>
          <w:b w:val="0"/>
          <w:i w:val="0"/>
        </w:rPr>
        <w:t>Galston, William A., 71–79</w:t>
      </w:r>
    </w:p>
    <w:p>
      <w:pPr>
        <w:pStyle w:val="ListBullet"/>
      </w:pPr>
      <w:r>
        <w:rPr>
          <w:b w:val="0"/>
          <w:i w:val="0"/>
        </w:rPr>
        <w:t>Ganapati, Sharat, 36</w:t>
      </w:r>
    </w:p>
    <w:p>
      <w:pPr>
        <w:pStyle w:val="ListBullet"/>
      </w:pPr>
      <w:r>
        <w:rPr>
          <w:b w:val="0"/>
          <w:i w:val="0"/>
        </w:rPr>
        <w:t>Gates Foundation, xiii</w:t>
      </w:r>
    </w:p>
    <w:p>
      <w:pPr>
        <w:pStyle w:val="ListBullet"/>
      </w:pPr>
      <w:r>
        <w:rPr>
          <w:b w:val="0"/>
          <w:i w:val="0"/>
        </w:rPr>
        <w:t>GE Digital, 20</w:t>
      </w:r>
    </w:p>
    <w:p>
      <w:pPr>
        <w:pStyle w:val="ListBullet"/>
      </w:pPr>
      <w:r>
        <w:rPr>
          <w:b w:val="0"/>
          <w:i w:val="0"/>
        </w:rPr>
        <w:t>General Electric (GE), 20</w:t>
      </w:r>
    </w:p>
    <w:p>
      <w:pPr>
        <w:pStyle w:val="ListBullet"/>
      </w:pPr>
      <w:r>
        <w:rPr>
          <w:b w:val="0"/>
          <w:i w:val="0"/>
        </w:rPr>
        <w:t>General Motors (GM), 15</w:t>
      </w:r>
    </w:p>
    <w:p>
      <w:pPr>
        <w:pStyle w:val="ListBullet"/>
      </w:pPr>
      <w:r>
        <w:rPr>
          <w:b w:val="0"/>
          <w:i w:val="0"/>
        </w:rPr>
        <w:t>generic drugs, 44–45</w:t>
      </w:r>
    </w:p>
    <w:p>
      <w:pPr>
        <w:pStyle w:val="ListBullet"/>
      </w:pPr>
      <w:r>
        <w:rPr>
          <w:b w:val="0"/>
          <w:i w:val="0"/>
        </w:rPr>
        <w:t>Ghosh, Dipayan, 81–90</w:t>
      </w:r>
    </w:p>
    <w:p>
      <w:pPr>
        <w:pStyle w:val="ListBullet"/>
      </w:pPr>
      <w:r>
        <w:rPr>
          <w:b w:val="0"/>
          <w:i w:val="0"/>
        </w:rPr>
        <w:t>Gillette, 114–115</w:t>
      </w:r>
    </w:p>
    <w:p>
      <w:pPr>
        <w:pStyle w:val="ListBullet"/>
      </w:pPr>
      <w:r>
        <w:rPr>
          <w:b w:val="0"/>
          <w:i w:val="0"/>
        </w:rPr>
        <w:t>global economy, 3</w:t>
      </w:r>
    </w:p>
    <w:p>
      <w:pPr>
        <w:pStyle w:val="ListBullet"/>
      </w:pPr>
      <w:r>
        <w:rPr>
          <w:b w:val="0"/>
          <w:i w:val="0"/>
        </w:rPr>
        <w:t>Google, 3, 4, 19, 63, 76, 94, 96, 132</w:t>
      </w:r>
    </w:p>
    <w:p>
      <w:pPr>
        <w:pStyle w:val="ListBullet"/>
      </w:pPr>
      <w:r>
        <w:rPr>
          <w:b w:val="0"/>
          <w:i w:val="0"/>
        </w:rPr>
        <w:t>automotive strategy of, 5, 143</w:t>
      </w:r>
    </w:p>
    <w:p>
      <w:pPr>
        <w:pStyle w:val="ListBullet"/>
      </w:pPr>
      <w:r>
        <w:rPr>
          <w:b w:val="0"/>
          <w:i w:val="0"/>
        </w:rPr>
        <w:t>business model of, 136</w:t>
      </w:r>
    </w:p>
    <w:p>
      <w:pPr>
        <w:pStyle w:val="ListBullet"/>
      </w:pPr>
      <w:r>
        <w:rPr>
          <w:b w:val="0"/>
          <w:i w:val="0"/>
        </w:rPr>
        <w:t>cell phone industry and, 11</w:t>
      </w:r>
    </w:p>
    <w:p>
      <w:pPr>
        <w:pStyle w:val="ListBullet"/>
      </w:pPr>
      <w:r>
        <w:rPr>
          <w:b w:val="0"/>
          <w:i w:val="0"/>
        </w:rPr>
        <w:t>cloud services of, 11</w:t>
      </w:r>
    </w:p>
    <w:p>
      <w:pPr>
        <w:pStyle w:val="ListBullet"/>
      </w:pPr>
      <w:r>
        <w:rPr>
          <w:b w:val="0"/>
          <w:i w:val="0"/>
        </w:rPr>
        <w:t>as data-opoly, 54–55, 65</w:t>
      </w:r>
    </w:p>
    <w:p>
      <w:pPr>
        <w:pStyle w:val="ListBullet"/>
      </w:pPr>
      <w:r>
        <w:rPr>
          <w:b w:val="0"/>
          <w:i w:val="0"/>
        </w:rPr>
        <w:t>home entertainment and, 12</w:t>
      </w:r>
    </w:p>
    <w:p>
      <w:pPr>
        <w:pStyle w:val="ListBullet"/>
      </w:pPr>
      <w:r>
        <w:rPr>
          <w:b w:val="0"/>
          <w:i w:val="0"/>
        </w:rPr>
        <w:t>industrial internet and, 143</w:t>
      </w:r>
    </w:p>
    <w:p>
      <w:pPr>
        <w:pStyle w:val="ListBullet"/>
      </w:pPr>
      <w:r>
        <w:rPr>
          <w:b w:val="0"/>
          <w:i w:val="0"/>
        </w:rPr>
        <w:t>market concentration of, 84–85</w:t>
      </w:r>
    </w:p>
    <w:p>
      <w:pPr>
        <w:pStyle w:val="ListBullet"/>
      </w:pPr>
      <w:r>
        <w:rPr>
          <w:b w:val="0"/>
          <w:i w:val="0"/>
        </w:rPr>
        <w:t>music industry and, 11</w:t>
      </w:r>
    </w:p>
    <w:p>
      <w:pPr>
        <w:pStyle w:val="ListBullet"/>
      </w:pPr>
      <w:r>
        <w:rPr>
          <w:b w:val="0"/>
          <w:i w:val="0"/>
        </w:rPr>
        <w:t>open-source community and, 21</w:t>
      </w:r>
    </w:p>
    <w:p>
      <w:pPr>
        <w:pStyle w:val="ListBullet"/>
      </w:pPr>
      <w:r>
        <w:rPr>
          <w:b w:val="0"/>
          <w:i w:val="0"/>
        </w:rPr>
        <w:t>presidential election and, 54</w:t>
      </w:r>
    </w:p>
    <w:p>
      <w:pPr>
        <w:pStyle w:val="ListBullet"/>
      </w:pPr>
      <w:r>
        <w:rPr>
          <w:b w:val="0"/>
          <w:i w:val="0"/>
        </w:rPr>
        <w:t>regulators and, 7, 25, 55–56, 64</w:t>
      </w:r>
    </w:p>
    <w:p>
      <w:pPr>
        <w:pStyle w:val="ListBullet"/>
      </w:pPr>
      <w:r>
        <w:rPr>
          <w:b w:val="0"/>
          <w:i w:val="0"/>
        </w:rPr>
        <w:t>revenue of, 24</w:t>
      </w:r>
    </w:p>
    <w:p>
      <w:pPr>
        <w:pStyle w:val="ListBullet"/>
      </w:pPr>
      <w:r>
        <w:rPr>
          <w:b w:val="0"/>
          <w:i w:val="0"/>
        </w:rPr>
        <w:t>role of, 23–24</w:t>
      </w:r>
    </w:p>
    <w:p>
      <w:pPr>
        <w:pStyle w:val="ListBullet"/>
      </w:pPr>
      <w:r>
        <w:rPr>
          <w:b w:val="0"/>
          <w:i w:val="0"/>
        </w:rPr>
        <w:t>scrutiny of, 29</w:t>
      </w:r>
    </w:p>
    <w:p>
      <w:pPr>
        <w:pStyle w:val="ListBullet"/>
      </w:pPr>
      <w:r>
        <w:rPr>
          <w:b w:val="0"/>
          <w:i w:val="0"/>
        </w:rPr>
        <w:t>smart homes and, 20</w:t>
      </w:r>
    </w:p>
    <w:p>
      <w:pPr>
        <w:pStyle w:val="ListBullet"/>
      </w:pPr>
      <w:r>
        <w:rPr>
          <w:b w:val="0"/>
          <w:i w:val="0"/>
        </w:rPr>
        <w:t>success of, 30</w:t>
      </w:r>
    </w:p>
    <w:p>
      <w:pPr>
        <w:pStyle w:val="ListBullet"/>
      </w:pPr>
      <w:r>
        <w:rPr>
          <w:b w:val="0"/>
          <w:i w:val="0"/>
        </w:rPr>
        <w:t>YouTube, 8, 43</w:t>
      </w:r>
    </w:p>
    <w:p>
      <w:pPr>
        <w:pStyle w:val="ListBullet"/>
      </w:pPr>
      <w:r>
        <w:rPr>
          <w:b w:val="0"/>
          <w:i w:val="0"/>
        </w:rPr>
        <w:t>Google Wallet, 21</w:t>
      </w:r>
    </w:p>
    <w:p>
      <w:pPr>
        <w:pStyle w:val="ListBullet"/>
      </w:pPr>
      <w:r>
        <w:rPr>
          <w:b w:val="0"/>
          <w:i w:val="0"/>
        </w:rPr>
        <w:t>Gottlieb, Scott, 45</w:t>
      </w:r>
    </w:p>
    <w:p>
      <w:pPr>
        <w:pStyle w:val="ListBullet"/>
      </w:pPr>
      <w:r>
        <w:rPr>
          <w:b w:val="0"/>
          <w:i w:val="0"/>
        </w:rPr>
        <w:t>government capture, 59</w:t>
      </w:r>
    </w:p>
    <w:p>
      <w:pPr>
        <w:pStyle w:val="ListBullet"/>
      </w:pPr>
      <w:r>
        <w:rPr>
          <w:b w:val="0"/>
          <w:i w:val="0"/>
        </w:rPr>
        <w:t xml:space="preserve">government regulations. </w:t>
      </w:r>
      <w:r>
        <w:rPr>
          <w:b w:val="0"/>
          <w:i/>
        </w:rPr>
        <w:t>See</w:t>
      </w:r>
      <w:r>
        <w:rPr>
          <w:b w:val="0"/>
          <w:i w:val="0"/>
        </w:rPr>
        <w:t xml:space="preserve"> regulations</w:t>
      </w:r>
    </w:p>
    <w:p>
      <w:pPr>
        <w:pStyle w:val="ListBullet"/>
      </w:pPr>
      <w:r>
        <w:rPr>
          <w:b w:val="0"/>
          <w:i w:val="0"/>
        </w:rPr>
        <w:t>government surveillance, 59</w:t>
      </w:r>
    </w:p>
    <w:p>
      <w:pPr>
        <w:pStyle w:val="ListBullet"/>
      </w:pPr>
      <w:r>
        <w:rPr>
          <w:b w:val="0"/>
          <w:i w:val="0"/>
        </w:rPr>
        <w:t>Govindarajan, Vijay, 135–144</w:t>
      </w:r>
    </w:p>
    <w:p>
      <w:pPr>
        <w:pStyle w:val="ListBullet"/>
      </w:pPr>
      <w:r>
        <w:rPr>
          <w:b w:val="0"/>
          <w:i w:val="0"/>
        </w:rPr>
        <w:t>Grab, 132–133</w:t>
      </w:r>
    </w:p>
    <w:p>
      <w:pPr>
        <w:pStyle w:val="ListBullet"/>
      </w:pPr>
      <w:r>
        <w:rPr>
          <w:b w:val="0"/>
          <w:i w:val="0"/>
        </w:rPr>
        <w:t>grocery industry, 103–111, 143, 145–153</w:t>
      </w:r>
    </w:p>
    <w:p>
      <w:pPr>
        <w:pStyle w:val="ListBullet"/>
      </w:pPr>
      <w:r>
        <w:rPr>
          <w:b w:val="0"/>
          <w:i w:val="0"/>
        </w:rPr>
        <w:t>Grunes, Allen, 63–64</w:t>
      </w:r>
    </w:p>
    <w:p>
      <w:pPr>
        <w:pStyle w:val="ListBullet"/>
      </w:pPr>
      <w:r>
        <w:rPr>
          <w:b w:val="0"/>
          <w:i w:val="0"/>
        </w:rPr>
        <w:t>Gutierrez, German, 34</w:t>
      </w:r>
    </w:p>
    <w:p>
      <w:pPr>
        <w:pStyle w:val="ListBullet"/>
      </w:pPr>
      <w:r>
        <w:rPr>
          <w:b w:val="0"/>
          <w:i w:val="0"/>
        </w:rPr>
        <w:t>Haltiwanger, John, 35</w:t>
      </w:r>
    </w:p>
    <w:p>
      <w:pPr>
        <w:pStyle w:val="ListBullet"/>
      </w:pPr>
      <w:r>
        <w:rPr>
          <w:b w:val="0"/>
          <w:i w:val="0"/>
        </w:rPr>
        <w:t>hardware, 138–139</w:t>
      </w:r>
    </w:p>
    <w:p>
      <w:pPr>
        <w:pStyle w:val="ListBullet"/>
      </w:pPr>
      <w:r>
        <w:rPr>
          <w:b w:val="0"/>
          <w:i w:val="0"/>
        </w:rPr>
        <w:t>Harry’s, 114–115, 118</w:t>
      </w:r>
    </w:p>
    <w:p>
      <w:pPr>
        <w:pStyle w:val="ListBullet"/>
      </w:pPr>
      <w:r>
        <w:rPr>
          <w:b w:val="0"/>
          <w:i w:val="0"/>
        </w:rPr>
        <w:t>Hastings, Reed, 127, 128</w:t>
      </w:r>
    </w:p>
    <w:p>
      <w:pPr>
        <w:pStyle w:val="ListBullet"/>
      </w:pPr>
      <w:r>
        <w:rPr>
          <w:b w:val="0"/>
          <w:i w:val="0"/>
        </w:rPr>
        <w:t>hate speech, 81</w:t>
      </w:r>
    </w:p>
    <w:p>
      <w:pPr>
        <w:pStyle w:val="ListBullet"/>
      </w:pPr>
      <w:r>
        <w:rPr>
          <w:b w:val="0"/>
          <w:i w:val="0"/>
        </w:rPr>
        <w:t>health care, 38–39, 42–43, 135</w:t>
      </w:r>
    </w:p>
    <w:p>
      <w:pPr>
        <w:pStyle w:val="ListBullet"/>
      </w:pPr>
      <w:r>
        <w:rPr>
          <w:b w:val="0"/>
          <w:i w:val="0"/>
        </w:rPr>
        <w:t>hearing aids, 48</w:t>
      </w:r>
    </w:p>
    <w:p>
      <w:pPr>
        <w:pStyle w:val="ListBullet"/>
      </w:pPr>
      <w:r>
        <w:rPr>
          <w:b w:val="0"/>
          <w:i w:val="0"/>
        </w:rPr>
        <w:t>Hendrickson, Clara, 71–79</w:t>
      </w:r>
    </w:p>
    <w:p>
      <w:pPr>
        <w:pStyle w:val="ListBullet"/>
      </w:pPr>
      <w:r>
        <w:rPr>
          <w:b w:val="0"/>
          <w:i w:val="0"/>
        </w:rPr>
        <w:t>Here Technologies, 16</w:t>
      </w:r>
    </w:p>
    <w:p>
      <w:pPr>
        <w:pStyle w:val="ListBullet"/>
      </w:pPr>
      <w:r>
        <w:rPr>
          <w:b w:val="0"/>
          <w:i w:val="0"/>
        </w:rPr>
        <w:t>Hewlett-Packard, 21</w:t>
      </w:r>
    </w:p>
    <w:p>
      <w:pPr>
        <w:pStyle w:val="ListBullet"/>
      </w:pPr>
      <w:r>
        <w:rPr>
          <w:b w:val="0"/>
          <w:i w:val="0"/>
        </w:rPr>
        <w:t>Hikma Pharmaceuticals, 45</w:t>
      </w:r>
    </w:p>
    <w:p>
      <w:pPr>
        <w:pStyle w:val="ListBullet"/>
      </w:pPr>
      <w:r>
        <w:rPr>
          <w:b w:val="0"/>
          <w:i w:val="0"/>
        </w:rPr>
        <w:t>Honey Baked Ham, 149</w:t>
      </w:r>
    </w:p>
    <w:p>
      <w:pPr>
        <w:pStyle w:val="ListBullet"/>
      </w:pPr>
      <w:r>
        <w:rPr>
          <w:b w:val="0"/>
          <w:i w:val="0"/>
        </w:rPr>
        <w:t>horizontal mergers, 40, 75</w:t>
      </w:r>
    </w:p>
    <w:p>
      <w:pPr>
        <w:pStyle w:val="ListBullet"/>
      </w:pPr>
      <w:r>
        <w:rPr>
          <w:b w:val="0"/>
          <w:i w:val="0"/>
        </w:rPr>
        <w:t>hub economy, 3–27</w:t>
      </w:r>
    </w:p>
    <w:p>
      <w:pPr>
        <w:pStyle w:val="ListBullet"/>
      </w:pPr>
      <w:r>
        <w:rPr>
          <w:b w:val="0"/>
          <w:i w:val="0"/>
        </w:rPr>
        <w:t>automotive sector and, 12–16</w:t>
      </w:r>
    </w:p>
    <w:p>
      <w:pPr>
        <w:pStyle w:val="ListBullet"/>
      </w:pPr>
      <w:r>
        <w:rPr>
          <w:b w:val="0"/>
          <w:i w:val="0"/>
        </w:rPr>
        <w:t>balance in, 22–23</w:t>
      </w:r>
    </w:p>
    <w:p>
      <w:pPr>
        <w:pStyle w:val="ListBullet"/>
      </w:pPr>
      <w:r>
        <w:rPr>
          <w:b w:val="0"/>
          <w:i w:val="0"/>
        </w:rPr>
        <w:t>digital domino effect and, 8–12</w:t>
      </w:r>
    </w:p>
    <w:p>
      <w:pPr>
        <w:pStyle w:val="ListBullet"/>
      </w:pPr>
      <w:r>
        <w:rPr>
          <w:b w:val="0"/>
          <w:i w:val="0"/>
        </w:rPr>
        <w:t>ethics, 23–26</w:t>
      </w:r>
    </w:p>
    <w:p>
      <w:pPr>
        <w:pStyle w:val="ListBullet"/>
      </w:pPr>
      <w:r>
        <w:rPr>
          <w:b w:val="0"/>
          <w:i w:val="0"/>
        </w:rPr>
        <w:t>increasing returns to scale in, 4, 17–19, 20</w:t>
      </w:r>
    </w:p>
    <w:p>
      <w:pPr>
        <w:pStyle w:val="ListBullet"/>
      </w:pPr>
      <w:r>
        <w:rPr>
          <w:b w:val="0"/>
          <w:i w:val="0"/>
        </w:rPr>
        <w:t>multihoming in, 20–21</w:t>
      </w:r>
    </w:p>
    <w:p>
      <w:pPr>
        <w:pStyle w:val="ListBullet"/>
      </w:pPr>
      <w:r>
        <w:rPr>
          <w:b w:val="0"/>
          <w:i w:val="0"/>
        </w:rPr>
        <w:t>spread of, 5–6</w:t>
      </w:r>
    </w:p>
    <w:p>
      <w:pPr>
        <w:pStyle w:val="ListBullet"/>
      </w:pPr>
      <w:r>
        <w:rPr>
          <w:b w:val="0"/>
          <w:i w:val="0"/>
        </w:rPr>
        <w:t>strategy in, 123–134</w:t>
      </w:r>
    </w:p>
    <w:p>
      <w:pPr>
        <w:pStyle w:val="ListBullet"/>
      </w:pPr>
      <w:r>
        <w:rPr>
          <w:b w:val="0"/>
          <w:i w:val="0"/>
        </w:rPr>
        <w:t>hub firms, 3–27</w:t>
      </w:r>
    </w:p>
    <w:p>
      <w:pPr>
        <w:pStyle w:val="ListBullet"/>
      </w:pPr>
      <w:r>
        <w:rPr>
          <w:b w:val="0"/>
          <w:i w:val="0"/>
        </w:rPr>
        <w:t>competition with, 4–5, 18–23</w:t>
      </w:r>
    </w:p>
    <w:p>
      <w:pPr>
        <w:pStyle w:val="ListBullet"/>
      </w:pPr>
      <w:r>
        <w:rPr>
          <w:b w:val="0"/>
          <w:i w:val="0"/>
        </w:rPr>
        <w:t>domination by, 3–6</w:t>
      </w:r>
    </w:p>
    <w:p>
      <w:pPr>
        <w:pStyle w:val="ListBullet"/>
      </w:pPr>
      <w:r>
        <w:rPr>
          <w:b w:val="0"/>
          <w:i w:val="0"/>
        </w:rPr>
        <w:t>investment in, 20</w:t>
      </w:r>
    </w:p>
    <w:p>
      <w:pPr>
        <w:pStyle w:val="ListBullet"/>
      </w:pPr>
      <w:r>
        <w:rPr>
          <w:b w:val="0"/>
          <w:i w:val="0"/>
        </w:rPr>
        <w:t>leadership by, 7–8, 23–26</w:t>
      </w:r>
    </w:p>
    <w:p>
      <w:pPr>
        <w:pStyle w:val="ListBullet"/>
      </w:pPr>
      <w:r>
        <w:rPr>
          <w:b w:val="0"/>
          <w:i w:val="0"/>
        </w:rPr>
        <w:t>Hughes, Chris, 81, 85</w:t>
      </w:r>
    </w:p>
    <w:p>
      <w:pPr>
        <w:pStyle w:val="ListBullet"/>
      </w:pPr>
      <w:r>
        <w:rPr>
          <w:b w:val="0"/>
          <w:i w:val="0"/>
        </w:rPr>
        <w:t>Iansiti, Marco, 3–27</w:t>
      </w:r>
    </w:p>
    <w:p>
      <w:pPr>
        <w:pStyle w:val="ListBullet"/>
      </w:pPr>
      <w:r>
        <w:rPr>
          <w:b w:val="0"/>
          <w:i w:val="0"/>
        </w:rPr>
        <w:t>IBM, 21, 95, 138</w:t>
      </w:r>
    </w:p>
    <w:p>
      <w:pPr>
        <w:pStyle w:val="ListBullet"/>
      </w:pPr>
      <w:r>
        <w:rPr>
          <w:b w:val="0"/>
          <w:i w:val="0"/>
        </w:rPr>
        <w:t>income inequality, 5–6, 7, 72</w:t>
      </w:r>
    </w:p>
    <w:p>
      <w:pPr>
        <w:pStyle w:val="ListBullet"/>
      </w:pPr>
      <w:r>
        <w:rPr>
          <w:b w:val="0"/>
          <w:i w:val="0"/>
        </w:rPr>
        <w:t>increasing returns to scale, 4, 17–19, 20</w:t>
      </w:r>
    </w:p>
    <w:p>
      <w:pPr>
        <w:pStyle w:val="ListBullet"/>
      </w:pPr>
      <w:r>
        <w:rPr>
          <w:b w:val="0"/>
          <w:i w:val="0"/>
        </w:rPr>
        <w:t>incumbent firms</w:t>
      </w:r>
    </w:p>
    <w:p>
      <w:pPr>
        <w:pStyle w:val="ListBullet"/>
      </w:pPr>
      <w:r>
        <w:rPr>
          <w:b w:val="0"/>
          <w:i w:val="0"/>
        </w:rPr>
        <w:t>anticompetitive forces and, 30–31</w:t>
      </w:r>
    </w:p>
    <w:p>
      <w:pPr>
        <w:pStyle w:val="ListBullet"/>
      </w:pPr>
      <w:r>
        <w:rPr>
          <w:b w:val="0"/>
          <w:i w:val="0"/>
        </w:rPr>
        <w:t>industrial, 137–144</w:t>
      </w:r>
    </w:p>
    <w:p>
      <w:pPr>
        <w:pStyle w:val="ListBullet"/>
      </w:pPr>
      <w:r>
        <w:rPr>
          <w:b w:val="0"/>
          <w:i w:val="0"/>
        </w:rPr>
        <w:t>policy shaping by, 44</w:t>
      </w:r>
    </w:p>
    <w:p>
      <w:pPr>
        <w:pStyle w:val="ListBullet"/>
      </w:pPr>
      <w:r>
        <w:rPr>
          <w:b w:val="0"/>
          <w:i w:val="0"/>
        </w:rPr>
        <w:t>power of, 48</w:t>
      </w:r>
    </w:p>
    <w:p>
      <w:pPr>
        <w:pStyle w:val="ListBullet"/>
      </w:pPr>
      <w:r>
        <w:rPr>
          <w:b w:val="0"/>
          <w:i w:val="0"/>
        </w:rPr>
        <w:t>industrial companies, 135–144</w:t>
      </w:r>
    </w:p>
    <w:p>
      <w:pPr>
        <w:pStyle w:val="ListBullet"/>
      </w:pPr>
      <w:r>
        <w:rPr>
          <w:b w:val="0"/>
          <w:i w:val="0"/>
        </w:rPr>
        <w:t>industrial internet, 135–144</w:t>
      </w:r>
    </w:p>
    <w:p>
      <w:pPr>
        <w:pStyle w:val="ListBullet"/>
      </w:pPr>
      <w:r>
        <w:rPr>
          <w:b w:val="0"/>
          <w:i w:val="0"/>
        </w:rPr>
        <w:t>industry concentration</w:t>
      </w:r>
    </w:p>
    <w:p>
      <w:pPr>
        <w:pStyle w:val="ListBullet"/>
      </w:pPr>
      <w:r>
        <w:rPr>
          <w:b w:val="0"/>
          <w:i w:val="0"/>
        </w:rPr>
        <w:t>antitrust regulation and, 39–44, 75</w:t>
      </w:r>
    </w:p>
    <w:p>
      <w:pPr>
        <w:pStyle w:val="ListBullet"/>
      </w:pPr>
      <w:r>
        <w:rPr>
          <w:b w:val="0"/>
          <w:i w:val="0"/>
        </w:rPr>
        <w:t>dangers of, 72–73</w:t>
      </w:r>
    </w:p>
    <w:p>
      <w:pPr>
        <w:pStyle w:val="ListBullet"/>
      </w:pPr>
      <w:r>
        <w:rPr>
          <w:b w:val="0"/>
          <w:i w:val="0"/>
        </w:rPr>
        <w:t>prices and, 36–39</w:t>
      </w:r>
    </w:p>
    <w:p>
      <w:pPr>
        <w:pStyle w:val="ListBullet"/>
      </w:pPr>
      <w:r>
        <w:rPr>
          <w:b w:val="0"/>
          <w:i w:val="0"/>
        </w:rPr>
        <w:t>problem of, 30–36, 71</w:t>
      </w:r>
    </w:p>
    <w:p>
      <w:pPr>
        <w:pStyle w:val="ListBullet"/>
      </w:pPr>
      <w:r>
        <w:rPr>
          <w:b w:val="0"/>
          <w:i w:val="0"/>
        </w:rPr>
        <w:t>regulations and, 44–48</w:t>
      </w:r>
    </w:p>
    <w:p>
      <w:pPr>
        <w:pStyle w:val="ListBullet"/>
      </w:pPr>
      <w:r>
        <w:rPr>
          <w:b w:val="0"/>
          <w:i w:val="0"/>
        </w:rPr>
        <w:t>inequality</w:t>
      </w:r>
    </w:p>
    <w:p>
      <w:pPr>
        <w:pStyle w:val="ListBullet"/>
      </w:pPr>
      <w:r>
        <w:rPr>
          <w:b w:val="0"/>
          <w:i w:val="0"/>
        </w:rPr>
        <w:t>between-firm, 72–73</w:t>
      </w:r>
    </w:p>
    <w:p>
      <w:pPr>
        <w:pStyle w:val="ListBullet"/>
      </w:pPr>
      <w:r>
        <w:rPr>
          <w:b w:val="0"/>
          <w:i w:val="0"/>
        </w:rPr>
        <w:t>income, 5–7</w:t>
      </w:r>
    </w:p>
    <w:p>
      <w:pPr>
        <w:pStyle w:val="ListBullet"/>
      </w:pPr>
      <w:r>
        <w:rPr>
          <w:b w:val="0"/>
          <w:i w:val="0"/>
        </w:rPr>
        <w:t>information</w:t>
      </w:r>
    </w:p>
    <w:p>
      <w:pPr>
        <w:pStyle w:val="ListBullet"/>
      </w:pPr>
      <w:r>
        <w:rPr>
          <w:b w:val="0"/>
          <w:i w:val="0"/>
        </w:rPr>
        <w:t>control over flow of, 4</w:t>
      </w:r>
    </w:p>
    <w:p>
      <w:pPr>
        <w:pStyle w:val="ListBullet"/>
      </w:pPr>
      <w:r>
        <w:rPr>
          <w:b w:val="0"/>
          <w:i w:val="0"/>
        </w:rPr>
        <w:t>sharing of, 9</w:t>
      </w:r>
    </w:p>
    <w:p>
      <w:pPr>
        <w:pStyle w:val="ListBullet"/>
      </w:pPr>
      <w:r>
        <w:rPr>
          <w:b w:val="0"/>
          <w:i w:val="0"/>
        </w:rPr>
        <w:t>information goods, 136</w:t>
      </w:r>
    </w:p>
    <w:p>
      <w:pPr>
        <w:pStyle w:val="ListBullet"/>
      </w:pPr>
      <w:r>
        <w:rPr>
          <w:b w:val="0"/>
          <w:i w:val="0"/>
        </w:rPr>
        <w:t>information technology, 30, 108–109</w:t>
      </w:r>
    </w:p>
    <w:p>
      <w:pPr>
        <w:pStyle w:val="ListBullet"/>
      </w:pPr>
      <w:r>
        <w:rPr>
          <w:b w:val="0"/>
          <w:i w:val="0"/>
        </w:rPr>
        <w:t>Ingenico, 12</w:t>
      </w:r>
    </w:p>
    <w:p>
      <w:pPr>
        <w:pStyle w:val="ListBullet"/>
      </w:pPr>
      <w:r>
        <w:rPr>
          <w:b w:val="0"/>
          <w:i w:val="0"/>
        </w:rPr>
        <w:t>innovation, 10–11, 30, 37, 39</w:t>
      </w:r>
    </w:p>
    <w:p>
      <w:pPr>
        <w:pStyle w:val="ListBullet"/>
      </w:pPr>
      <w:r>
        <w:rPr>
          <w:b w:val="0"/>
          <w:i w:val="0"/>
        </w:rPr>
        <w:t>by Amazon, 105–107</w:t>
      </w:r>
    </w:p>
    <w:p>
      <w:pPr>
        <w:pStyle w:val="ListBullet"/>
      </w:pPr>
      <w:r>
        <w:rPr>
          <w:b w:val="0"/>
          <w:i w:val="0"/>
        </w:rPr>
        <w:t>backlash against, 91–92</w:t>
      </w:r>
    </w:p>
    <w:p>
      <w:pPr>
        <w:pStyle w:val="ListBullet"/>
      </w:pPr>
      <w:r>
        <w:rPr>
          <w:b w:val="0"/>
          <w:i w:val="0"/>
        </w:rPr>
        <w:t>disruptive, 92, 115</w:t>
      </w:r>
    </w:p>
    <w:p>
      <w:pPr>
        <w:pStyle w:val="ListBullet"/>
      </w:pPr>
      <w:r>
        <w:rPr>
          <w:b w:val="0"/>
          <w:i w:val="0"/>
        </w:rPr>
        <w:t>impact of data-opolies on, 63–64</w:t>
      </w:r>
    </w:p>
    <w:p>
      <w:pPr>
        <w:pStyle w:val="ListBullet"/>
      </w:pPr>
      <w:r>
        <w:rPr>
          <w:b w:val="0"/>
          <w:i w:val="0"/>
        </w:rPr>
        <w:t>investment in, 108–109</w:t>
      </w:r>
    </w:p>
    <w:p>
      <w:pPr>
        <w:pStyle w:val="ListBullet"/>
      </w:pPr>
      <w:r>
        <w:rPr>
          <w:b w:val="0"/>
          <w:i w:val="0"/>
        </w:rPr>
        <w:t>regulation of, 93–98</w:t>
      </w:r>
    </w:p>
    <w:p>
      <w:pPr>
        <w:pStyle w:val="ListBullet"/>
      </w:pPr>
      <w:r>
        <w:rPr>
          <w:b w:val="0"/>
          <w:i w:val="0"/>
        </w:rPr>
        <w:t>in retail sector, 105–110</w:t>
      </w:r>
    </w:p>
    <w:p>
      <w:pPr>
        <w:pStyle w:val="ListBullet"/>
      </w:pPr>
      <w:r>
        <w:rPr>
          <w:b w:val="0"/>
          <w:i w:val="0"/>
        </w:rPr>
        <w:t>teams, 107</w:t>
      </w:r>
    </w:p>
    <w:p>
      <w:pPr>
        <w:pStyle w:val="ListBullet"/>
      </w:pPr>
      <w:r>
        <w:rPr>
          <w:b w:val="0"/>
          <w:i w:val="0"/>
        </w:rPr>
        <w:t>technology, 142–143</w:t>
      </w:r>
    </w:p>
    <w:p>
      <w:pPr>
        <w:pStyle w:val="ListBullet"/>
      </w:pPr>
      <w:r>
        <w:rPr>
          <w:b w:val="0"/>
          <w:i w:val="0"/>
        </w:rPr>
        <w:t>Inrix, 15</w:t>
      </w:r>
    </w:p>
    <w:p>
      <w:pPr>
        <w:pStyle w:val="ListBullet"/>
      </w:pPr>
      <w:r>
        <w:rPr>
          <w:b w:val="0"/>
          <w:i w:val="0"/>
        </w:rPr>
        <w:t>Instacart, 146</w:t>
      </w:r>
    </w:p>
    <w:p>
      <w:pPr>
        <w:pStyle w:val="ListBullet"/>
      </w:pPr>
      <w:r>
        <w:rPr>
          <w:b w:val="0"/>
          <w:i w:val="0"/>
        </w:rPr>
        <w:t>internet</w:t>
      </w:r>
    </w:p>
    <w:p>
      <w:pPr>
        <w:pStyle w:val="ListBullet"/>
      </w:pPr>
      <w:r>
        <w:rPr>
          <w:b w:val="0"/>
          <w:i w:val="0"/>
        </w:rPr>
        <w:t>backlash against, 91–92</w:t>
      </w:r>
    </w:p>
    <w:p>
      <w:pPr>
        <w:pStyle w:val="ListBullet"/>
      </w:pPr>
      <w:r>
        <w:rPr>
          <w:b w:val="0"/>
          <w:i w:val="0"/>
        </w:rPr>
        <w:t>industrial, 135–144</w:t>
      </w:r>
    </w:p>
    <w:p>
      <w:pPr>
        <w:pStyle w:val="ListBullet"/>
      </w:pPr>
      <w:r>
        <w:rPr>
          <w:b w:val="0"/>
          <w:i w:val="0"/>
        </w:rPr>
        <w:t>internet of things (IoT), 20, 62, 137–144</w:t>
      </w:r>
    </w:p>
    <w:p>
      <w:pPr>
        <w:pStyle w:val="ListBullet"/>
      </w:pPr>
      <w:r>
        <w:rPr>
          <w:b w:val="0"/>
          <w:i w:val="0"/>
        </w:rPr>
        <w:t>investment</w:t>
      </w:r>
    </w:p>
    <w:p>
      <w:pPr>
        <w:pStyle w:val="ListBullet"/>
      </w:pPr>
      <w:r>
        <w:rPr>
          <w:b w:val="0"/>
          <w:i w:val="0"/>
        </w:rPr>
        <w:t>decline in, 33–34</w:t>
      </w:r>
    </w:p>
    <w:p>
      <w:pPr>
        <w:pStyle w:val="ListBullet"/>
      </w:pPr>
      <w:r>
        <w:rPr>
          <w:b w:val="0"/>
          <w:i w:val="0"/>
        </w:rPr>
        <w:t>in innovation, 108–109</w:t>
      </w:r>
    </w:p>
    <w:p>
      <w:pPr>
        <w:pStyle w:val="ListBullet"/>
      </w:pPr>
      <w:r>
        <w:rPr>
          <w:b w:val="0"/>
          <w:i w:val="0"/>
        </w:rPr>
        <w:t>in startups, 116–119</w:t>
      </w:r>
    </w:p>
    <w:p>
      <w:pPr>
        <w:pStyle w:val="ListBullet"/>
      </w:pPr>
      <w:r>
        <w:rPr>
          <w:b w:val="0"/>
          <w:i w:val="0"/>
        </w:rPr>
        <w:t xml:space="preserve">iOS. </w:t>
      </w:r>
      <w:r>
        <w:rPr>
          <w:b w:val="0"/>
          <w:i/>
        </w:rPr>
        <w:t>See</w:t>
      </w:r>
      <w:r>
        <w:rPr>
          <w:b w:val="0"/>
          <w:i w:val="0"/>
        </w:rPr>
        <w:t xml:space="preserve"> Apple</w:t>
      </w:r>
    </w:p>
    <w:p>
      <w:pPr>
        <w:pStyle w:val="ListBullet"/>
      </w:pPr>
      <w:r>
        <w:rPr>
          <w:b w:val="0"/>
          <w:i w:val="0"/>
        </w:rPr>
        <w:t xml:space="preserve">iPhones. </w:t>
      </w:r>
      <w:r>
        <w:rPr>
          <w:b w:val="0"/>
          <w:i/>
        </w:rPr>
        <w:t>See</w:t>
      </w:r>
      <w:r>
        <w:rPr>
          <w:b w:val="0"/>
          <w:i w:val="0"/>
        </w:rPr>
        <w:t xml:space="preserve"> Apple; smartphones</w:t>
      </w:r>
    </w:p>
    <w:p>
      <w:pPr>
        <w:pStyle w:val="ListBullet"/>
      </w:pPr>
      <w:r>
        <w:rPr>
          <w:b w:val="0"/>
          <w:i w:val="0"/>
        </w:rPr>
        <w:t>Iris Nova, 148–149</w:t>
      </w:r>
    </w:p>
    <w:p>
      <w:pPr>
        <w:pStyle w:val="ListBullet"/>
      </w:pPr>
      <w:r>
        <w:rPr>
          <w:b w:val="0"/>
          <w:i w:val="0"/>
        </w:rPr>
        <w:t>IT talent, 140–141</w:t>
      </w:r>
    </w:p>
    <w:p>
      <w:pPr>
        <w:pStyle w:val="ListBullet"/>
      </w:pPr>
      <w:r>
        <w:rPr>
          <w:b w:val="0"/>
          <w:i w:val="0"/>
        </w:rPr>
        <w:t>Jacobides, Michael G., 131–133</w:t>
      </w:r>
    </w:p>
    <w:p>
      <w:pPr>
        <w:pStyle w:val="ListBullet"/>
      </w:pPr>
      <w:r>
        <w:rPr>
          <w:b w:val="0"/>
          <w:i w:val="0"/>
        </w:rPr>
        <w:t>Jana Partners, 65</w:t>
      </w:r>
    </w:p>
    <w:p>
      <w:pPr>
        <w:pStyle w:val="ListBullet"/>
      </w:pPr>
      <w:r>
        <w:rPr>
          <w:b w:val="0"/>
          <w:i w:val="0"/>
        </w:rPr>
        <w:t>Jazz Pharmaceuticals, 45</w:t>
      </w:r>
    </w:p>
    <w:p>
      <w:pPr>
        <w:pStyle w:val="ListBullet"/>
      </w:pPr>
      <w:r>
        <w:rPr>
          <w:b w:val="0"/>
          <w:i w:val="0"/>
        </w:rPr>
        <w:t>J.C. Penney, 113</w:t>
      </w:r>
    </w:p>
    <w:p>
      <w:pPr>
        <w:pStyle w:val="ListBullet"/>
      </w:pPr>
      <w:r>
        <w:rPr>
          <w:b w:val="0"/>
          <w:i w:val="0"/>
        </w:rPr>
        <w:t>Jet.com, 108, 129</w:t>
      </w:r>
    </w:p>
    <w:p>
      <w:pPr>
        <w:pStyle w:val="ListBullet"/>
      </w:pPr>
      <w:r>
        <w:rPr>
          <w:b w:val="0"/>
          <w:i w:val="0"/>
        </w:rPr>
        <w:t>job creation, 35</w:t>
      </w:r>
    </w:p>
    <w:p>
      <w:pPr>
        <w:pStyle w:val="ListBullet"/>
      </w:pPr>
      <w:r>
        <w:rPr>
          <w:b w:val="0"/>
          <w:i w:val="0"/>
        </w:rPr>
        <w:t>Jobs, Steve, xii</w:t>
      </w:r>
    </w:p>
    <w:p>
      <w:pPr>
        <w:pStyle w:val="ListBullet"/>
      </w:pPr>
      <w:r>
        <w:rPr>
          <w:b w:val="0"/>
          <w:i w:val="0"/>
        </w:rPr>
        <w:t>John Deere, 136</w:t>
      </w:r>
    </w:p>
    <w:p>
      <w:pPr>
        <w:pStyle w:val="ListBullet"/>
      </w:pPr>
      <w:r>
        <w:rPr>
          <w:b w:val="0"/>
          <w:i w:val="0"/>
        </w:rPr>
        <w:t>Johnson &amp; Johnson, 115</w:t>
      </w:r>
    </w:p>
    <w:p>
      <w:pPr>
        <w:pStyle w:val="ListBullet"/>
      </w:pPr>
      <w:r>
        <w:rPr>
          <w:b w:val="0"/>
          <w:i w:val="0"/>
        </w:rPr>
        <w:t>joint ventures, 40–41</w:t>
      </w:r>
    </w:p>
    <w:p>
      <w:pPr>
        <w:pStyle w:val="ListBullet"/>
      </w:pPr>
      <w:r>
        <w:rPr>
          <w:b w:val="0"/>
          <w:i w:val="0"/>
        </w:rPr>
        <w:t>Katz, Lawrence, 30</w:t>
      </w:r>
    </w:p>
    <w:p>
      <w:pPr>
        <w:pStyle w:val="ListBullet"/>
      </w:pPr>
      <w:r>
        <w:rPr>
          <w:b w:val="0"/>
          <w:i w:val="0"/>
        </w:rPr>
        <w:t>Kiva, 25</w:t>
      </w:r>
    </w:p>
    <w:p>
      <w:pPr>
        <w:pStyle w:val="ListBullet"/>
      </w:pPr>
      <w:r>
        <w:rPr>
          <w:b w:val="0"/>
          <w:i w:val="0"/>
        </w:rPr>
        <w:t>Kmart, 113</w:t>
      </w:r>
    </w:p>
    <w:p>
      <w:pPr>
        <w:pStyle w:val="ListBullet"/>
      </w:pPr>
      <w:r>
        <w:rPr>
          <w:b w:val="0"/>
          <w:i w:val="0"/>
        </w:rPr>
        <w:t>Kohl’s, 113</w:t>
      </w:r>
    </w:p>
    <w:p>
      <w:pPr>
        <w:pStyle w:val="ListBullet"/>
      </w:pPr>
      <w:r>
        <w:rPr>
          <w:b w:val="0"/>
          <w:i w:val="0"/>
        </w:rPr>
        <w:t>Kroger, 103, 146</w:t>
      </w:r>
    </w:p>
    <w:p>
      <w:pPr>
        <w:pStyle w:val="ListBullet"/>
      </w:pPr>
      <w:r>
        <w:rPr>
          <w:b w:val="0"/>
          <w:i w:val="0"/>
        </w:rPr>
        <w:t>Krueger, Alan, 46</w:t>
      </w:r>
    </w:p>
    <w:p>
      <w:pPr>
        <w:pStyle w:val="ListBullet"/>
      </w:pPr>
      <w:r>
        <w:rPr>
          <w:b w:val="0"/>
          <w:i w:val="0"/>
        </w:rPr>
        <w:t>Kwoka, John, 41</w:t>
      </w:r>
    </w:p>
    <w:p>
      <w:pPr>
        <w:pStyle w:val="ListBullet"/>
      </w:pPr>
      <w:r>
        <w:rPr>
          <w:b w:val="0"/>
          <w:i w:val="0"/>
        </w:rPr>
        <w:t>labor markets, 45–47</w:t>
      </w:r>
    </w:p>
    <w:p>
      <w:pPr>
        <w:pStyle w:val="ListBullet"/>
      </w:pPr>
      <w:r>
        <w:rPr>
          <w:b w:val="0"/>
          <w:i w:val="0"/>
        </w:rPr>
        <w:t>Lakhani, Karim R., 3–27</w:t>
      </w:r>
    </w:p>
    <w:p>
      <w:pPr>
        <w:pStyle w:val="ListBullet"/>
      </w:pPr>
      <w:r>
        <w:rPr>
          <w:b w:val="0"/>
          <w:i w:val="0"/>
        </w:rPr>
        <w:t>Legere, John, 41–42</w:t>
      </w:r>
    </w:p>
    <w:p>
      <w:pPr>
        <w:pStyle w:val="ListBullet"/>
      </w:pPr>
      <w:r>
        <w:rPr>
          <w:b w:val="0"/>
          <w:i w:val="0"/>
        </w:rPr>
        <w:t>LIFX, 132</w:t>
      </w:r>
    </w:p>
    <w:p>
      <w:pPr>
        <w:pStyle w:val="ListBullet"/>
      </w:pPr>
      <w:r>
        <w:rPr>
          <w:b w:val="0"/>
          <w:i w:val="0"/>
        </w:rPr>
        <w:t>LinkedIn, 43</w:t>
      </w:r>
    </w:p>
    <w:p>
      <w:pPr>
        <w:pStyle w:val="ListBullet"/>
      </w:pPr>
      <w:r>
        <w:rPr>
          <w:b w:val="0"/>
          <w:i w:val="0"/>
        </w:rPr>
        <w:t>Linus, 17</w:t>
      </w:r>
    </w:p>
    <w:p>
      <w:pPr>
        <w:pStyle w:val="ListBullet"/>
      </w:pPr>
      <w:r>
        <w:rPr>
          <w:b w:val="0"/>
          <w:i w:val="0"/>
        </w:rPr>
        <w:t>Linux, 21–22, 25</w:t>
      </w:r>
    </w:p>
    <w:p>
      <w:pPr>
        <w:pStyle w:val="ListBullet"/>
      </w:pPr>
      <w:r>
        <w:rPr>
          <w:b w:val="0"/>
          <w:i w:val="0"/>
        </w:rPr>
        <w:t>local businesses, 74</w:t>
      </w:r>
    </w:p>
    <w:p>
      <w:pPr>
        <w:pStyle w:val="ListBullet"/>
      </w:pPr>
      <w:r>
        <w:rPr>
          <w:b w:val="0"/>
          <w:i w:val="0"/>
        </w:rPr>
        <w:t>lookback authority, 75</w:t>
      </w:r>
    </w:p>
    <w:p>
      <w:pPr>
        <w:pStyle w:val="ListBullet"/>
      </w:pPr>
      <w:r>
        <w:rPr>
          <w:b w:val="0"/>
          <w:i w:val="0"/>
        </w:rPr>
        <w:t>Lore, Marc, 129</w:t>
      </w:r>
    </w:p>
    <w:p>
      <w:pPr>
        <w:pStyle w:val="ListBullet"/>
      </w:pPr>
      <w:r>
        <w:rPr>
          <w:b w:val="0"/>
          <w:i w:val="0"/>
        </w:rPr>
        <w:t>Luddites, 91</w:t>
      </w:r>
    </w:p>
    <w:p>
      <w:pPr>
        <w:pStyle w:val="ListBullet"/>
      </w:pPr>
      <w:r>
        <w:rPr>
          <w:b w:val="0"/>
          <w:i w:val="0"/>
        </w:rPr>
        <w:t>Lyft, xii, 15, 21, 132, 143</w:t>
      </w:r>
    </w:p>
    <w:p>
      <w:pPr>
        <w:pStyle w:val="ListBullet"/>
      </w:pPr>
      <w:r>
        <w:rPr>
          <w:b w:val="0"/>
          <w:i w:val="0"/>
        </w:rPr>
        <w:t>machine learning, 9</w:t>
      </w:r>
    </w:p>
    <w:p>
      <w:pPr>
        <w:pStyle w:val="ListBullet"/>
      </w:pPr>
      <w:r>
        <w:rPr>
          <w:b w:val="0"/>
          <w:i w:val="0"/>
        </w:rPr>
        <w:t>Macy’s, 113</w:t>
      </w:r>
    </w:p>
    <w:p>
      <w:pPr>
        <w:pStyle w:val="ListBullet"/>
      </w:pPr>
      <w:r>
        <w:rPr>
          <w:b w:val="0"/>
          <w:i w:val="0"/>
        </w:rPr>
        <w:t>manipulation, 66</w:t>
      </w:r>
    </w:p>
    <w:p>
      <w:pPr>
        <w:pStyle w:val="ListBullet"/>
      </w:pPr>
      <w:r>
        <w:rPr>
          <w:b w:val="0"/>
          <w:i w:val="0"/>
        </w:rPr>
        <w:t>manufacturing companies, 135–144</w:t>
      </w:r>
    </w:p>
    <w:p>
      <w:pPr>
        <w:pStyle w:val="ListBullet"/>
      </w:pPr>
      <w:r>
        <w:rPr>
          <w:b w:val="0"/>
          <w:i w:val="0"/>
        </w:rPr>
        <w:t>market competition, 82–85</w:t>
      </w:r>
    </w:p>
    <w:p>
      <w:pPr>
        <w:pStyle w:val="ListBullet"/>
      </w:pPr>
      <w:r>
        <w:rPr>
          <w:b w:val="0"/>
          <w:i w:val="0"/>
        </w:rPr>
        <w:t xml:space="preserve">market concentration. </w:t>
      </w:r>
      <w:r>
        <w:rPr>
          <w:b w:val="0"/>
          <w:i/>
        </w:rPr>
        <w:t>See</w:t>
      </w:r>
      <w:r>
        <w:rPr>
          <w:b w:val="0"/>
          <w:i w:val="0"/>
        </w:rPr>
        <w:t xml:space="preserve"> industry concentration</w:t>
      </w:r>
    </w:p>
    <w:p>
      <w:pPr>
        <w:pStyle w:val="ListBullet"/>
      </w:pPr>
      <w:r>
        <w:rPr>
          <w:b w:val="0"/>
          <w:i w:val="0"/>
        </w:rPr>
        <w:t>market positioning, 124–125</w:t>
      </w:r>
    </w:p>
    <w:p>
      <w:pPr>
        <w:pStyle w:val="ListBullet"/>
      </w:pPr>
      <w:r>
        <w:rPr>
          <w:b w:val="0"/>
          <w:i w:val="0"/>
        </w:rPr>
        <w:t>Marshalls, 114</w:t>
      </w:r>
    </w:p>
    <w:p>
      <w:pPr>
        <w:pStyle w:val="ListBullet"/>
      </w:pPr>
      <w:r>
        <w:rPr>
          <w:b w:val="0"/>
          <w:i w:val="0"/>
        </w:rPr>
        <w:t>medium-size firms, 132</w:t>
      </w:r>
    </w:p>
    <w:p>
      <w:pPr>
        <w:pStyle w:val="ListBullet"/>
      </w:pPr>
      <w:r>
        <w:rPr>
          <w:b w:val="0"/>
          <w:i w:val="0"/>
        </w:rPr>
        <w:t xml:space="preserve">mergers, 39–44, 72–73, 75–76. </w:t>
      </w:r>
      <w:r>
        <w:rPr>
          <w:b w:val="0"/>
          <w:i/>
        </w:rPr>
        <w:t>See also</w:t>
      </w:r>
      <w:r>
        <w:rPr>
          <w:b w:val="0"/>
          <w:i w:val="0"/>
        </w:rPr>
        <w:t xml:space="preserve"> antitrust regulation</w:t>
      </w:r>
    </w:p>
    <w:p>
      <w:pPr>
        <w:pStyle w:val="ListBullet"/>
      </w:pPr>
      <w:r>
        <w:rPr>
          <w:b w:val="0"/>
          <w:i w:val="0"/>
        </w:rPr>
        <w:t>Metcalfe’s law, 9</w:t>
      </w:r>
    </w:p>
    <w:p>
      <w:pPr>
        <w:pStyle w:val="ListBullet"/>
      </w:pPr>
      <w:r>
        <w:rPr>
          <w:b w:val="0"/>
          <w:i w:val="0"/>
        </w:rPr>
        <w:t>Microsoft, xii, 3, 25, 94</w:t>
      </w:r>
    </w:p>
    <w:p>
      <w:pPr>
        <w:pStyle w:val="ListBullet"/>
      </w:pPr>
      <w:r>
        <w:rPr>
          <w:b w:val="0"/>
          <w:i w:val="0"/>
        </w:rPr>
        <w:t>antitrust regulation and, 95–96</w:t>
      </w:r>
    </w:p>
    <w:p>
      <w:pPr>
        <w:pStyle w:val="ListBullet"/>
      </w:pPr>
      <w:r>
        <w:rPr>
          <w:b w:val="0"/>
          <w:i w:val="0"/>
        </w:rPr>
        <w:t>augmented reality and, 19</w:t>
      </w:r>
    </w:p>
    <w:p>
      <w:pPr>
        <w:pStyle w:val="ListBullet"/>
      </w:pPr>
      <w:r>
        <w:rPr>
          <w:b w:val="0"/>
          <w:i w:val="0"/>
        </w:rPr>
        <w:t>cloud services of, 11</w:t>
      </w:r>
    </w:p>
    <w:p>
      <w:pPr>
        <w:pStyle w:val="ListBullet"/>
      </w:pPr>
      <w:r>
        <w:rPr>
          <w:b w:val="0"/>
          <w:i w:val="0"/>
        </w:rPr>
        <w:t>industrial internet and, 137–138</w:t>
      </w:r>
    </w:p>
    <w:p>
      <w:pPr>
        <w:pStyle w:val="ListBullet"/>
      </w:pPr>
      <w:r>
        <w:rPr>
          <w:b w:val="0"/>
          <w:i w:val="0"/>
        </w:rPr>
        <w:t>LinkedIn acquisition, 43</w:t>
      </w:r>
    </w:p>
    <w:p>
      <w:pPr>
        <w:pStyle w:val="ListBullet"/>
      </w:pPr>
      <w:r>
        <w:rPr>
          <w:b w:val="0"/>
          <w:i w:val="0"/>
        </w:rPr>
        <w:t>smart homes and, 20</w:t>
      </w:r>
    </w:p>
    <w:p>
      <w:pPr>
        <w:pStyle w:val="ListBullet"/>
      </w:pPr>
      <w:r>
        <w:rPr>
          <w:b w:val="0"/>
          <w:i w:val="0"/>
        </w:rPr>
        <w:t>Microsoft Azure, 20</w:t>
      </w:r>
    </w:p>
    <w:p>
      <w:pPr>
        <w:pStyle w:val="ListBullet"/>
      </w:pPr>
      <w:r>
        <w:rPr>
          <w:b w:val="0"/>
          <w:i w:val="0"/>
        </w:rPr>
        <w:t>Microsoft Windows, 21</w:t>
      </w:r>
    </w:p>
    <w:p>
      <w:pPr>
        <w:pStyle w:val="ListBullet"/>
      </w:pPr>
      <w:r>
        <w:rPr>
          <w:b w:val="0"/>
          <w:i w:val="0"/>
        </w:rPr>
        <w:t>Miller, Nathan, 38</w:t>
      </w:r>
    </w:p>
    <w:p>
      <w:pPr>
        <w:pStyle w:val="ListBullet"/>
      </w:pPr>
      <w:r>
        <w:rPr>
          <w:b w:val="0"/>
          <w:i w:val="0"/>
        </w:rPr>
        <w:t>MillerCoors, 37–38</w:t>
      </w:r>
    </w:p>
    <w:p>
      <w:pPr>
        <w:pStyle w:val="ListBullet"/>
      </w:pPr>
      <w:r>
        <w:rPr>
          <w:b w:val="0"/>
          <w:i w:val="0"/>
        </w:rPr>
        <w:t>moat metaphor, 124–126</w:t>
      </w:r>
    </w:p>
    <w:p>
      <w:pPr>
        <w:pStyle w:val="ListBullet"/>
      </w:pPr>
      <w:r>
        <w:rPr>
          <w:b w:val="0"/>
          <w:i w:val="0"/>
        </w:rPr>
        <w:t>MolsonCoors, 38</w:t>
      </w:r>
    </w:p>
    <w:p>
      <w:pPr>
        <w:pStyle w:val="ListBullet"/>
      </w:pPr>
      <w:r>
        <w:rPr>
          <w:b w:val="0"/>
          <w:i w:val="0"/>
        </w:rPr>
        <w:t>monopolies</w:t>
      </w:r>
    </w:p>
    <w:p>
      <w:pPr>
        <w:pStyle w:val="ListBullet"/>
      </w:pPr>
      <w:r>
        <w:rPr>
          <w:b w:val="0"/>
          <w:i w:val="0"/>
        </w:rPr>
        <w:t>autonomy and, 64–65</w:t>
      </w:r>
    </w:p>
    <w:p>
      <w:pPr>
        <w:pStyle w:val="ListBullet"/>
      </w:pPr>
      <w:r>
        <w:rPr>
          <w:b w:val="0"/>
          <w:i w:val="0"/>
        </w:rPr>
        <w:t>competition and, 65</w:t>
      </w:r>
    </w:p>
    <w:p>
      <w:pPr>
        <w:pStyle w:val="ListBullet"/>
      </w:pPr>
      <w:r>
        <w:rPr>
          <w:b w:val="0"/>
          <w:i w:val="0"/>
        </w:rPr>
        <w:t>data-opolies, 53–69</w:t>
      </w:r>
    </w:p>
    <w:p>
      <w:pPr>
        <w:pStyle w:val="ListBullet"/>
      </w:pPr>
      <w:r>
        <w:rPr>
          <w:b w:val="0"/>
          <w:i w:val="0"/>
        </w:rPr>
        <w:t>determination of, 82–83</w:t>
      </w:r>
    </w:p>
    <w:p>
      <w:pPr>
        <w:pStyle w:val="ListBullet"/>
      </w:pPr>
      <w:r>
        <w:rPr>
          <w:b w:val="0"/>
          <w:i w:val="0"/>
        </w:rPr>
        <w:t>harm from, 57</w:t>
      </w:r>
    </w:p>
    <w:p>
      <w:pPr>
        <w:pStyle w:val="ListBullet"/>
      </w:pPr>
      <w:r>
        <w:rPr>
          <w:b w:val="0"/>
          <w:i w:val="0"/>
        </w:rPr>
        <w:t>natural, 82, 85–87</w:t>
      </w:r>
    </w:p>
    <w:p>
      <w:pPr>
        <w:pStyle w:val="ListBullet"/>
      </w:pPr>
      <w:r>
        <w:rPr>
          <w:b w:val="0"/>
          <w:i w:val="0"/>
        </w:rPr>
        <w:t>prices and, 57, 76–77, 84</w:t>
      </w:r>
    </w:p>
    <w:p>
      <w:pPr>
        <w:pStyle w:val="ListBullet"/>
      </w:pPr>
      <w:r>
        <w:rPr>
          <w:b w:val="0"/>
          <w:i w:val="0"/>
        </w:rPr>
        <w:t>Moore’s law, 8–9</w:t>
      </w:r>
    </w:p>
    <w:p>
      <w:pPr>
        <w:pStyle w:val="ListBullet"/>
      </w:pPr>
      <w:r>
        <w:rPr>
          <w:b w:val="0"/>
          <w:i w:val="0"/>
        </w:rPr>
        <w:t>Moosejaw, 108, 129</w:t>
      </w:r>
    </w:p>
    <w:p>
      <w:pPr>
        <w:pStyle w:val="ListBullet"/>
      </w:pPr>
      <w:r>
        <w:rPr>
          <w:b w:val="0"/>
          <w:i w:val="0"/>
        </w:rPr>
        <w:t>moral issues, 64–65</w:t>
      </w:r>
    </w:p>
    <w:p>
      <w:pPr>
        <w:pStyle w:val="ListBullet"/>
      </w:pPr>
      <w:r>
        <w:rPr>
          <w:b w:val="0"/>
          <w:i w:val="0"/>
        </w:rPr>
        <w:t>Morton, Fiona Scott, 45</w:t>
      </w:r>
    </w:p>
    <w:p>
      <w:pPr>
        <w:pStyle w:val="ListBullet"/>
      </w:pPr>
      <w:r>
        <w:rPr>
          <w:b w:val="0"/>
          <w:i w:val="0"/>
        </w:rPr>
        <w:t>Motorola, 11</w:t>
      </w:r>
    </w:p>
    <w:p>
      <w:pPr>
        <w:pStyle w:val="ListBullet"/>
      </w:pPr>
      <w:r>
        <w:rPr>
          <w:b w:val="0"/>
          <w:i w:val="0"/>
        </w:rPr>
        <w:t>Mozilla, 22</w:t>
      </w:r>
    </w:p>
    <w:p>
      <w:pPr>
        <w:pStyle w:val="ListBullet"/>
      </w:pPr>
      <w:r>
        <w:rPr>
          <w:b w:val="0"/>
          <w:i w:val="0"/>
        </w:rPr>
        <w:t>multihoming, 20–21</w:t>
      </w:r>
    </w:p>
    <w:p>
      <w:pPr>
        <w:pStyle w:val="ListBullet"/>
      </w:pPr>
      <w:r>
        <w:rPr>
          <w:b w:val="0"/>
          <w:i w:val="0"/>
        </w:rPr>
        <w:t>music industry, 11, 21</w:t>
      </w:r>
    </w:p>
    <w:p>
      <w:pPr>
        <w:pStyle w:val="ListBullet"/>
      </w:pPr>
      <w:r>
        <w:rPr>
          <w:b w:val="0"/>
          <w:i w:val="0"/>
        </w:rPr>
        <w:t>Myspace, 96</w:t>
      </w:r>
    </w:p>
    <w:p>
      <w:pPr>
        <w:pStyle w:val="ListBullet"/>
      </w:pPr>
      <w:r>
        <w:rPr>
          <w:b w:val="0"/>
          <w:i w:val="0"/>
        </w:rPr>
        <w:t>Napster, 97</w:t>
      </w:r>
    </w:p>
    <w:p>
      <w:pPr>
        <w:pStyle w:val="ListBullet"/>
      </w:pPr>
      <w:r>
        <w:rPr>
          <w:b w:val="0"/>
          <w:i w:val="0"/>
        </w:rPr>
        <w:t>Narvar, 146</w:t>
      </w:r>
    </w:p>
    <w:p>
      <w:pPr>
        <w:pStyle w:val="ListBullet"/>
      </w:pPr>
      <w:r>
        <w:rPr>
          <w:b w:val="0"/>
          <w:i w:val="0"/>
        </w:rPr>
        <w:t>natural monopolies, 82, 85–87</w:t>
      </w:r>
    </w:p>
    <w:p>
      <w:pPr>
        <w:pStyle w:val="ListBullet"/>
      </w:pPr>
      <w:r>
        <w:rPr>
          <w:b w:val="0"/>
          <w:i w:val="0"/>
        </w:rPr>
        <w:t>Navteq, 16</w:t>
      </w:r>
    </w:p>
    <w:p>
      <w:pPr>
        <w:pStyle w:val="ListBullet"/>
      </w:pPr>
      <w:r>
        <w:rPr>
          <w:b w:val="0"/>
          <w:i w:val="0"/>
        </w:rPr>
        <w:t>Netflix, 12, 95, 126–128</w:t>
      </w:r>
    </w:p>
    <w:p>
      <w:pPr>
        <w:pStyle w:val="ListBullet"/>
      </w:pPr>
      <w:r>
        <w:rPr>
          <w:b w:val="0"/>
          <w:i w:val="0"/>
        </w:rPr>
        <w:t>network connectivity, 9</w:t>
      </w:r>
    </w:p>
    <w:p>
      <w:pPr>
        <w:pStyle w:val="ListBullet"/>
      </w:pPr>
      <w:r>
        <w:rPr>
          <w:b w:val="0"/>
          <w:i w:val="0"/>
        </w:rPr>
        <w:t>network effects, 9, 11, 17–18, 67, 86</w:t>
      </w:r>
    </w:p>
    <w:p>
      <w:pPr>
        <w:pStyle w:val="ListBullet"/>
      </w:pPr>
      <w:r>
        <w:rPr>
          <w:b w:val="0"/>
          <w:i w:val="0"/>
        </w:rPr>
        <w:t>network hubs, 9–10</w:t>
      </w:r>
    </w:p>
    <w:p>
      <w:pPr>
        <w:pStyle w:val="ListBullet"/>
      </w:pPr>
      <w:r>
        <w:rPr>
          <w:b w:val="0"/>
          <w:i w:val="0"/>
        </w:rPr>
        <w:t>network leadership, ethics of, 23–26</w:t>
      </w:r>
    </w:p>
    <w:p>
      <w:pPr>
        <w:pStyle w:val="ListBullet"/>
      </w:pPr>
      <w:r>
        <w:rPr>
          <w:b w:val="0"/>
          <w:i w:val="0"/>
        </w:rPr>
        <w:t>networks</w:t>
      </w:r>
    </w:p>
    <w:p>
      <w:pPr>
        <w:pStyle w:val="ListBullet"/>
      </w:pPr>
      <w:r>
        <w:rPr>
          <w:b w:val="0"/>
          <w:i w:val="0"/>
        </w:rPr>
        <w:t>automotive sector and, 12–16</w:t>
      </w:r>
    </w:p>
    <w:p>
      <w:pPr>
        <w:pStyle w:val="ListBullet"/>
      </w:pPr>
      <w:r>
        <w:rPr>
          <w:b w:val="0"/>
          <w:i w:val="0"/>
        </w:rPr>
        <w:t>control over, 4</w:t>
      </w:r>
    </w:p>
    <w:p>
      <w:pPr>
        <w:pStyle w:val="ListBullet"/>
      </w:pPr>
      <w:r>
        <w:rPr>
          <w:b w:val="0"/>
          <w:i w:val="0"/>
        </w:rPr>
        <w:t>ethics and, 23–26</w:t>
      </w:r>
    </w:p>
    <w:p>
      <w:pPr>
        <w:pStyle w:val="ListBullet"/>
      </w:pPr>
      <w:r>
        <w:rPr>
          <w:b w:val="0"/>
          <w:i w:val="0"/>
        </w:rPr>
        <w:t>positive feedback loops and, 10</w:t>
      </w:r>
    </w:p>
    <w:p>
      <w:pPr>
        <w:pStyle w:val="ListBullet"/>
      </w:pPr>
      <w:r>
        <w:rPr>
          <w:b w:val="0"/>
          <w:i w:val="0"/>
        </w:rPr>
        <w:t>network theory, 8–9</w:t>
      </w:r>
    </w:p>
    <w:p>
      <w:pPr>
        <w:pStyle w:val="ListBullet"/>
      </w:pPr>
      <w:r>
        <w:rPr>
          <w:b w:val="0"/>
          <w:i w:val="0"/>
        </w:rPr>
        <w:t>New Brandeis school of economic thought, 67</w:t>
      </w:r>
    </w:p>
    <w:p>
      <w:pPr>
        <w:pStyle w:val="ListBullet"/>
      </w:pPr>
      <w:r>
        <w:rPr>
          <w:b w:val="0"/>
          <w:i w:val="0"/>
        </w:rPr>
        <w:t>news media, 66</w:t>
      </w:r>
    </w:p>
    <w:p>
      <w:pPr>
        <w:pStyle w:val="ListBullet"/>
      </w:pPr>
      <w:r>
        <w:rPr>
          <w:b w:val="0"/>
          <w:i w:val="0"/>
        </w:rPr>
        <w:t>Nokia, 11, 16</w:t>
      </w:r>
    </w:p>
    <w:p>
      <w:pPr>
        <w:pStyle w:val="ListBullet"/>
      </w:pPr>
      <w:r>
        <w:rPr>
          <w:b w:val="0"/>
          <w:i w:val="0"/>
        </w:rPr>
        <w:t>noncompete agreements, 46</w:t>
      </w:r>
    </w:p>
    <w:p>
      <w:pPr>
        <w:pStyle w:val="ListBullet"/>
      </w:pPr>
      <w:r>
        <w:rPr>
          <w:b w:val="0"/>
          <w:i w:val="0"/>
        </w:rPr>
        <w:t>Non-Horizontal Merger Guidelines, 75–76</w:t>
      </w:r>
    </w:p>
    <w:p>
      <w:pPr>
        <w:pStyle w:val="ListBullet"/>
      </w:pPr>
      <w:r>
        <w:rPr>
          <w:b w:val="0"/>
          <w:i w:val="0"/>
        </w:rPr>
        <w:t>now-casting radar, 64</w:t>
      </w:r>
    </w:p>
    <w:p>
      <w:pPr>
        <w:pStyle w:val="ListBullet"/>
      </w:pPr>
      <w:r>
        <w:rPr>
          <w:b w:val="0"/>
          <w:i w:val="0"/>
        </w:rPr>
        <w:t>Nunes, Paul, 96</w:t>
      </w:r>
    </w:p>
    <w:p>
      <w:pPr>
        <w:pStyle w:val="ListBullet"/>
      </w:pPr>
      <w:r>
        <w:rPr>
          <w:b w:val="0"/>
          <w:i w:val="0"/>
        </w:rPr>
        <w:t>Obama, Barack, 40, 56</w:t>
      </w:r>
    </w:p>
    <w:p>
      <w:pPr>
        <w:pStyle w:val="ListBullet"/>
      </w:pPr>
      <w:r>
        <w:rPr>
          <w:b w:val="0"/>
          <w:i w:val="0"/>
        </w:rPr>
        <w:t>occupational licenses, 46–47</w:t>
      </w:r>
    </w:p>
    <w:p>
      <w:pPr>
        <w:pStyle w:val="ListBullet"/>
      </w:pPr>
      <w:r>
        <w:rPr>
          <w:b w:val="0"/>
          <w:i w:val="0"/>
        </w:rPr>
        <w:t>Oculus, 20</w:t>
      </w:r>
    </w:p>
    <w:p>
      <w:pPr>
        <w:pStyle w:val="ListBullet"/>
      </w:pPr>
      <w:r>
        <w:rPr>
          <w:b w:val="0"/>
          <w:i w:val="0"/>
        </w:rPr>
        <w:t>oligopolies, 35–36</w:t>
      </w:r>
    </w:p>
    <w:p>
      <w:pPr>
        <w:pStyle w:val="ListBullet"/>
      </w:pPr>
      <w:r>
        <w:rPr>
          <w:b w:val="0"/>
          <w:i w:val="0"/>
        </w:rPr>
        <w:t>OneOps, 129</w:t>
      </w:r>
    </w:p>
    <w:p>
      <w:pPr>
        <w:pStyle w:val="ListBullet"/>
      </w:pPr>
      <w:r>
        <w:rPr>
          <w:b w:val="0"/>
          <w:i w:val="0"/>
        </w:rPr>
        <w:t>online ads, 17, 19, 61, 116</w:t>
      </w:r>
    </w:p>
    <w:p>
      <w:pPr>
        <w:pStyle w:val="ListBullet"/>
      </w:pPr>
      <w:r>
        <w:rPr>
          <w:b w:val="0"/>
          <w:i w:val="0"/>
        </w:rPr>
        <w:t>online shopping, 11, 104, 114–115, 145–146</w:t>
      </w:r>
    </w:p>
    <w:p>
      <w:pPr>
        <w:pStyle w:val="ListBullet"/>
      </w:pPr>
      <w:r>
        <w:rPr>
          <w:b w:val="0"/>
          <w:i w:val="0"/>
        </w:rPr>
        <w:t>online tracking, 23</w:t>
      </w:r>
    </w:p>
    <w:p>
      <w:pPr>
        <w:pStyle w:val="ListBullet"/>
      </w:pPr>
      <w:r>
        <w:rPr>
          <w:b w:val="0"/>
          <w:i w:val="0"/>
        </w:rPr>
        <w:t>OpenCar, 14, 15–16</w:t>
      </w:r>
    </w:p>
    <w:p>
      <w:pPr>
        <w:pStyle w:val="ListBullet"/>
      </w:pPr>
      <w:r>
        <w:rPr>
          <w:b w:val="0"/>
          <w:i w:val="0"/>
        </w:rPr>
        <w:t>open-source community, 21–22</w:t>
      </w:r>
    </w:p>
    <w:p>
      <w:pPr>
        <w:pStyle w:val="ListBullet"/>
      </w:pPr>
      <w:r>
        <w:rPr>
          <w:b w:val="0"/>
          <w:i w:val="0"/>
        </w:rPr>
        <w:t>OpenStreetMap, 22</w:t>
      </w:r>
    </w:p>
    <w:p>
      <w:pPr>
        <w:pStyle w:val="ListBullet"/>
      </w:pPr>
      <w:r>
        <w:rPr>
          <w:b w:val="0"/>
          <w:i w:val="0"/>
        </w:rPr>
        <w:t>Organization for Economic Cooperation and Development (OECD), 44</w:t>
      </w:r>
    </w:p>
    <w:p>
      <w:pPr>
        <w:pStyle w:val="ListBullet"/>
      </w:pPr>
      <w:r>
        <w:rPr>
          <w:b w:val="0"/>
          <w:i w:val="0"/>
        </w:rPr>
        <w:t>Palm, 11</w:t>
      </w:r>
    </w:p>
    <w:p>
      <w:pPr>
        <w:pStyle w:val="ListBullet"/>
      </w:pPr>
      <w:r>
        <w:rPr>
          <w:b w:val="0"/>
          <w:i w:val="0"/>
        </w:rPr>
        <w:t>patents, 44–45, 138</w:t>
      </w:r>
    </w:p>
    <w:p>
      <w:pPr>
        <w:pStyle w:val="ListBullet"/>
      </w:pPr>
      <w:r>
        <w:rPr>
          <w:b w:val="0"/>
          <w:i w:val="0"/>
        </w:rPr>
        <w:t>Patterson, Christina, 30</w:t>
      </w:r>
    </w:p>
    <w:p>
      <w:pPr>
        <w:pStyle w:val="ListBullet"/>
      </w:pPr>
      <w:r>
        <w:rPr>
          <w:b w:val="0"/>
          <w:i w:val="0"/>
        </w:rPr>
        <w:t>payment systems, 21</w:t>
      </w:r>
    </w:p>
    <w:p>
      <w:pPr>
        <w:pStyle w:val="ListBullet"/>
      </w:pPr>
      <w:r>
        <w:rPr>
          <w:b w:val="0"/>
          <w:i w:val="0"/>
        </w:rPr>
        <w:t>Paytm, 12</w:t>
      </w:r>
    </w:p>
    <w:p>
      <w:pPr>
        <w:pStyle w:val="ListBullet"/>
      </w:pPr>
      <w:r>
        <w:rPr>
          <w:b w:val="0"/>
          <w:i w:val="0"/>
        </w:rPr>
        <w:t>Peltz, Nelson, 116</w:t>
      </w:r>
    </w:p>
    <w:p>
      <w:pPr>
        <w:pStyle w:val="ListBullet"/>
      </w:pPr>
      <w:r>
        <w:rPr>
          <w:b w:val="0"/>
          <w:i w:val="0"/>
        </w:rPr>
        <w:t>personal data</w:t>
      </w:r>
    </w:p>
    <w:p>
      <w:pPr>
        <w:pStyle w:val="ListBullet"/>
      </w:pPr>
      <w:r>
        <w:rPr>
          <w:b w:val="0"/>
          <w:i w:val="0"/>
        </w:rPr>
        <w:t>collection of, 58</w:t>
      </w:r>
    </w:p>
    <w:p>
      <w:pPr>
        <w:pStyle w:val="ListBullet"/>
      </w:pPr>
      <w:r>
        <w:rPr>
          <w:b w:val="0"/>
          <w:i w:val="0"/>
        </w:rPr>
        <w:t>control over, 53–69</w:t>
      </w:r>
    </w:p>
    <w:p>
      <w:pPr>
        <w:pStyle w:val="ListBullet"/>
      </w:pPr>
      <w:r>
        <w:rPr>
          <w:b w:val="0"/>
          <w:i w:val="0"/>
        </w:rPr>
        <w:t>privacy of, 62</w:t>
      </w:r>
    </w:p>
    <w:p>
      <w:pPr>
        <w:pStyle w:val="ListBullet"/>
      </w:pPr>
      <w:r>
        <w:rPr>
          <w:b w:val="0"/>
          <w:i w:val="0"/>
        </w:rPr>
        <w:t>security risks with, 58–60</w:t>
      </w:r>
    </w:p>
    <w:p>
      <w:pPr>
        <w:pStyle w:val="ListBullet"/>
      </w:pPr>
      <w:r>
        <w:rPr>
          <w:b w:val="0"/>
          <w:i w:val="0"/>
        </w:rPr>
        <w:t>value of, 60, 84</w:t>
      </w:r>
    </w:p>
    <w:p>
      <w:pPr>
        <w:pStyle w:val="ListBullet"/>
      </w:pPr>
      <w:r>
        <w:rPr>
          <w:b w:val="0"/>
          <w:i w:val="0"/>
        </w:rPr>
        <w:t>pharmaceutical industry, 44–45</w:t>
      </w:r>
    </w:p>
    <w:p>
      <w:pPr>
        <w:pStyle w:val="ListBullet"/>
      </w:pPr>
      <w:r>
        <w:rPr>
          <w:b w:val="0"/>
          <w:i w:val="0"/>
        </w:rPr>
        <w:t>philanthropic ventures, xiii</w:t>
      </w:r>
    </w:p>
    <w:p>
      <w:pPr>
        <w:pStyle w:val="ListBullet"/>
      </w:pPr>
      <w:r>
        <w:rPr>
          <w:b w:val="0"/>
          <w:i w:val="0"/>
        </w:rPr>
        <w:t>Philippon, Thomas, 34</w:t>
      </w:r>
    </w:p>
    <w:p>
      <w:pPr>
        <w:pStyle w:val="ListBullet"/>
      </w:pPr>
      <w:r>
        <w:rPr>
          <w:b w:val="0"/>
          <w:i w:val="0"/>
        </w:rPr>
        <w:t>physical products, 136–137</w:t>
      </w:r>
    </w:p>
    <w:p>
      <w:pPr>
        <w:pStyle w:val="ListBullet"/>
      </w:pPr>
      <w:r>
        <w:rPr>
          <w:b w:val="0"/>
          <w:i w:val="0"/>
        </w:rPr>
        <w:t>political power, 74</w:t>
      </w:r>
    </w:p>
    <w:p>
      <w:pPr>
        <w:pStyle w:val="ListBullet"/>
      </w:pPr>
      <w:r>
        <w:rPr>
          <w:b w:val="0"/>
          <w:i w:val="0"/>
        </w:rPr>
        <w:t>politics, 7, 53–54, 65–66</w:t>
      </w:r>
    </w:p>
    <w:p>
      <w:pPr>
        <w:pStyle w:val="ListBullet"/>
      </w:pPr>
      <w:r>
        <w:rPr>
          <w:b w:val="0"/>
          <w:i w:val="0"/>
        </w:rPr>
        <w:t>populists, 73–74</w:t>
      </w:r>
    </w:p>
    <w:p>
      <w:pPr>
        <w:pStyle w:val="ListBullet"/>
      </w:pPr>
      <w:r>
        <w:rPr>
          <w:b w:val="0"/>
          <w:i w:val="0"/>
        </w:rPr>
        <w:t>Porter, Michael, 127–128</w:t>
      </w:r>
    </w:p>
    <w:p>
      <w:pPr>
        <w:pStyle w:val="ListBullet"/>
      </w:pPr>
      <w:r>
        <w:rPr>
          <w:b w:val="0"/>
          <w:i w:val="0"/>
        </w:rPr>
        <w:t>positive feedback loops, 10</w:t>
      </w:r>
    </w:p>
    <w:p>
      <w:pPr>
        <w:pStyle w:val="ListBullet"/>
      </w:pPr>
      <w:r>
        <w:rPr>
          <w:b w:val="0"/>
          <w:i w:val="0"/>
        </w:rPr>
        <w:t>Posner, Richard, 40</w:t>
      </w:r>
    </w:p>
    <w:p>
      <w:pPr>
        <w:pStyle w:val="ListBullet"/>
      </w:pPr>
      <w:r>
        <w:rPr>
          <w:b w:val="0"/>
          <w:i w:val="0"/>
        </w:rPr>
        <w:t>predatory pricing, 42, 76–77</w:t>
      </w:r>
    </w:p>
    <w:p>
      <w:pPr>
        <w:pStyle w:val="ListBullet"/>
      </w:pPr>
      <w:r>
        <w:rPr>
          <w:b w:val="0"/>
          <w:i w:val="0"/>
        </w:rPr>
        <w:t>predictive planning, 109–110</w:t>
      </w:r>
    </w:p>
    <w:p>
      <w:pPr>
        <w:pStyle w:val="ListBullet"/>
      </w:pPr>
      <w:r>
        <w:rPr>
          <w:b w:val="0"/>
          <w:i w:val="0"/>
        </w:rPr>
        <w:t>Predix platform, 20</w:t>
      </w:r>
    </w:p>
    <w:p>
      <w:pPr>
        <w:pStyle w:val="ListBullet"/>
      </w:pPr>
      <w:r>
        <w:rPr>
          <w:b w:val="0"/>
          <w:i w:val="0"/>
        </w:rPr>
        <w:t>presidential election (United States, 2016), 7, 53–54</w:t>
      </w:r>
    </w:p>
    <w:p>
      <w:pPr>
        <w:pStyle w:val="ListBullet"/>
      </w:pPr>
      <w:r>
        <w:rPr>
          <w:b w:val="0"/>
          <w:i w:val="0"/>
        </w:rPr>
        <w:t>price competition, 114</w:t>
      </w:r>
    </w:p>
    <w:p>
      <w:pPr>
        <w:pStyle w:val="ListBullet"/>
      </w:pPr>
      <w:r>
        <w:rPr>
          <w:b w:val="0"/>
          <w:i w:val="0"/>
        </w:rPr>
        <w:t>prices</w:t>
      </w:r>
    </w:p>
    <w:p>
      <w:pPr>
        <w:pStyle w:val="ListBullet"/>
      </w:pPr>
      <w:r>
        <w:rPr>
          <w:b w:val="0"/>
          <w:i w:val="0"/>
        </w:rPr>
        <w:t>competition and, 35–36</w:t>
      </w:r>
    </w:p>
    <w:p>
      <w:pPr>
        <w:pStyle w:val="ListBullet"/>
      </w:pPr>
      <w:r>
        <w:rPr>
          <w:b w:val="0"/>
          <w:i w:val="0"/>
        </w:rPr>
        <w:t>industry concentration and, 38–39, 41</w:t>
      </w:r>
    </w:p>
    <w:p>
      <w:pPr>
        <w:pStyle w:val="ListBullet"/>
      </w:pPr>
      <w:r>
        <w:rPr>
          <w:b w:val="0"/>
          <w:i w:val="0"/>
        </w:rPr>
        <w:t>low, 130</w:t>
      </w:r>
    </w:p>
    <w:p>
      <w:pPr>
        <w:pStyle w:val="ListBullet"/>
      </w:pPr>
      <w:r>
        <w:rPr>
          <w:b w:val="0"/>
          <w:i w:val="0"/>
        </w:rPr>
        <w:t>monopolies and, 57, 76–77, 84</w:t>
      </w:r>
    </w:p>
    <w:p>
      <w:pPr>
        <w:pStyle w:val="ListBullet"/>
      </w:pPr>
      <w:r>
        <w:rPr>
          <w:b w:val="0"/>
          <w:i w:val="0"/>
        </w:rPr>
        <w:t>postmerger, 72</w:t>
      </w:r>
    </w:p>
    <w:p>
      <w:pPr>
        <w:pStyle w:val="ListBullet"/>
      </w:pPr>
      <w:r>
        <w:rPr>
          <w:b w:val="0"/>
          <w:i w:val="0"/>
        </w:rPr>
        <w:t>predatory, 42, 76–77</w:t>
      </w:r>
    </w:p>
    <w:p>
      <w:pPr>
        <w:pStyle w:val="ListBullet"/>
      </w:pPr>
      <w:r>
        <w:rPr>
          <w:b w:val="0"/>
          <w:i w:val="0"/>
        </w:rPr>
        <w:t>privacy issues, 23, 58, 62, 67</w:t>
      </w:r>
    </w:p>
    <w:p>
      <w:pPr>
        <w:pStyle w:val="ListBullet"/>
      </w:pPr>
      <w:r>
        <w:rPr>
          <w:b w:val="0"/>
          <w:i w:val="0"/>
        </w:rPr>
        <w:t>processing power, 8–9</w:t>
      </w:r>
    </w:p>
    <w:p>
      <w:pPr>
        <w:pStyle w:val="ListBullet"/>
      </w:pPr>
      <w:r>
        <w:rPr>
          <w:b w:val="0"/>
          <w:i w:val="0"/>
        </w:rPr>
        <w:t>Procter, William Cooper, 119</w:t>
      </w:r>
    </w:p>
    <w:p>
      <w:pPr>
        <w:pStyle w:val="ListBullet"/>
      </w:pPr>
      <w:r>
        <w:rPr>
          <w:b w:val="0"/>
          <w:i w:val="0"/>
        </w:rPr>
        <w:t>Procter &amp; Gamble, 114–119</w:t>
      </w:r>
    </w:p>
    <w:p>
      <w:pPr>
        <w:pStyle w:val="ListBullet"/>
      </w:pPr>
      <w:r>
        <w:rPr>
          <w:b w:val="0"/>
          <w:i w:val="0"/>
        </w:rPr>
        <w:t>productivity, 31, 35</w:t>
      </w:r>
    </w:p>
    <w:p>
      <w:pPr>
        <w:pStyle w:val="ListBullet"/>
      </w:pPr>
      <w:r>
        <w:rPr>
          <w:b w:val="0"/>
          <w:i w:val="0"/>
        </w:rPr>
        <w:t>profits, 30, 33, 34</w:t>
      </w:r>
    </w:p>
    <w:p>
      <w:pPr>
        <w:pStyle w:val="ListBullet"/>
      </w:pPr>
      <w:r>
        <w:rPr>
          <w:b w:val="0"/>
          <w:i w:val="0"/>
        </w:rPr>
        <w:t>progressives, 73, 74, 75</w:t>
      </w:r>
    </w:p>
    <w:p>
      <w:pPr>
        <w:pStyle w:val="ListBullet"/>
      </w:pPr>
      <w:r>
        <w:rPr>
          <w:b w:val="0"/>
          <w:i w:val="0"/>
        </w:rPr>
        <w:t>Quidsi, 42, 77</w:t>
      </w:r>
    </w:p>
    <w:p>
      <w:pPr>
        <w:pStyle w:val="ListBullet"/>
      </w:pPr>
      <w:r>
        <w:rPr>
          <w:b w:val="0"/>
          <w:i w:val="0"/>
        </w:rPr>
        <w:t>racial discrimination, 25</w:t>
      </w:r>
    </w:p>
    <w:p>
      <w:pPr>
        <w:pStyle w:val="ListBullet"/>
      </w:pPr>
      <w:r>
        <w:rPr>
          <w:b w:val="0"/>
          <w:i w:val="0"/>
        </w:rPr>
        <w:t>razors, 114–115</w:t>
      </w:r>
    </w:p>
    <w:p>
      <w:pPr>
        <w:pStyle w:val="ListBullet"/>
      </w:pPr>
      <w:r>
        <w:rPr>
          <w:b w:val="0"/>
          <w:i w:val="0"/>
        </w:rPr>
        <w:t>Reagan administration, 40, 67</w:t>
      </w:r>
    </w:p>
    <w:p>
      <w:pPr>
        <w:pStyle w:val="ListBullet"/>
      </w:pPr>
      <w:r>
        <w:rPr>
          <w:b w:val="0"/>
          <w:i w:val="0"/>
        </w:rPr>
        <w:t>Rebecca Minkoff, 108</w:t>
      </w:r>
    </w:p>
    <w:p>
      <w:pPr>
        <w:pStyle w:val="ListBullet"/>
      </w:pPr>
      <w:r>
        <w:rPr>
          <w:b w:val="0"/>
          <w:i w:val="0"/>
        </w:rPr>
        <w:t>regulations, 25</w:t>
      </w:r>
    </w:p>
    <w:p>
      <w:pPr>
        <w:pStyle w:val="ListBullet"/>
      </w:pPr>
      <w:r>
        <w:rPr>
          <w:b w:val="0"/>
          <w:i w:val="0"/>
        </w:rPr>
        <w:t>antitrust, xiv–xv, 39–44, 55–57, 67, 71–79, 81–90, 94–95</w:t>
      </w:r>
    </w:p>
    <w:p>
      <w:pPr>
        <w:pStyle w:val="ListBullet"/>
      </w:pPr>
      <w:r>
        <w:rPr>
          <w:b w:val="0"/>
          <w:i w:val="0"/>
        </w:rPr>
        <w:t>backfiring of, 91–99</w:t>
      </w:r>
    </w:p>
    <w:p>
      <w:pPr>
        <w:pStyle w:val="ListBullet"/>
      </w:pPr>
      <w:r>
        <w:rPr>
          <w:b w:val="0"/>
          <w:i w:val="0"/>
        </w:rPr>
        <w:t>European, 29, 55–56</w:t>
      </w:r>
    </w:p>
    <w:p>
      <w:pPr>
        <w:pStyle w:val="ListBullet"/>
      </w:pPr>
      <w:r>
        <w:rPr>
          <w:b w:val="0"/>
          <w:i w:val="0"/>
        </w:rPr>
        <w:t>Facebook and, 81–90</w:t>
      </w:r>
    </w:p>
    <w:p>
      <w:pPr>
        <w:pStyle w:val="ListBullet"/>
      </w:pPr>
      <w:r>
        <w:rPr>
          <w:b w:val="0"/>
          <w:i w:val="0"/>
        </w:rPr>
        <w:t>incumbent-friendly, 31</w:t>
      </w:r>
    </w:p>
    <w:p>
      <w:pPr>
        <w:pStyle w:val="ListBullet"/>
      </w:pPr>
      <w:r>
        <w:rPr>
          <w:b w:val="0"/>
          <w:i w:val="0"/>
        </w:rPr>
        <w:t>labor market, 45–47</w:t>
      </w:r>
    </w:p>
    <w:p>
      <w:pPr>
        <w:pStyle w:val="ListBullet"/>
      </w:pPr>
      <w:r>
        <w:rPr>
          <w:b w:val="0"/>
          <w:i w:val="0"/>
        </w:rPr>
        <w:t>rethinking, 44–48</w:t>
      </w:r>
    </w:p>
    <w:p>
      <w:pPr>
        <w:pStyle w:val="ListBullet"/>
      </w:pPr>
      <w:r>
        <w:rPr>
          <w:b w:val="0"/>
          <w:i w:val="0"/>
        </w:rPr>
        <w:t>on technology companies, 91–99</w:t>
      </w:r>
    </w:p>
    <w:p>
      <w:pPr>
        <w:pStyle w:val="ListBullet"/>
      </w:pPr>
      <w:r>
        <w:rPr>
          <w:b w:val="0"/>
          <w:i w:val="0"/>
        </w:rPr>
        <w:t>utility, 85, 87–88</w:t>
      </w:r>
    </w:p>
    <w:p>
      <w:pPr>
        <w:pStyle w:val="ListBullet"/>
      </w:pPr>
      <w:r>
        <w:rPr>
          <w:b w:val="0"/>
          <w:i w:val="0"/>
        </w:rPr>
        <w:t>Reich, Robert, 81</w:t>
      </w:r>
    </w:p>
    <w:p>
      <w:pPr>
        <w:pStyle w:val="ListBullet"/>
      </w:pPr>
      <w:r>
        <w:rPr>
          <w:b w:val="0"/>
          <w:i w:val="0"/>
        </w:rPr>
        <w:t>research and development (R&amp;D), 108–109, 138</w:t>
      </w:r>
    </w:p>
    <w:p>
      <w:pPr>
        <w:pStyle w:val="ListBullet"/>
      </w:pPr>
      <w:r>
        <w:rPr>
          <w:b w:val="0"/>
          <w:i w:val="0"/>
        </w:rPr>
        <w:t>resource-based view, 124–125</w:t>
      </w:r>
    </w:p>
    <w:p>
      <w:pPr>
        <w:pStyle w:val="ListBullet"/>
      </w:pPr>
      <w:r>
        <w:rPr>
          <w:b w:val="0"/>
          <w:i w:val="0"/>
        </w:rPr>
        <w:t>retail sector, 35, 103–111, 113–121, 129–131</w:t>
      </w:r>
    </w:p>
    <w:p>
      <w:pPr>
        <w:pStyle w:val="ListBullet"/>
      </w:pPr>
      <w:r>
        <w:rPr>
          <w:b w:val="0"/>
          <w:i w:val="0"/>
        </w:rPr>
        <w:t>returns to scale, 4, 17–20</w:t>
      </w:r>
    </w:p>
    <w:p>
      <w:pPr>
        <w:pStyle w:val="ListBullet"/>
      </w:pPr>
      <w:r>
        <w:rPr>
          <w:b w:val="0"/>
          <w:i w:val="0"/>
        </w:rPr>
        <w:t>ride-sharing services, 15, 21, 93, 132–133</w:t>
      </w:r>
    </w:p>
    <w:p>
      <w:pPr>
        <w:pStyle w:val="ListBullet"/>
      </w:pPr>
      <w:r>
        <w:rPr>
          <w:b w:val="0"/>
          <w:i w:val="0"/>
        </w:rPr>
        <w:t>Rigby, Darrell K., 103–111</w:t>
      </w:r>
    </w:p>
    <w:p>
      <w:pPr>
        <w:pStyle w:val="ListBullet"/>
      </w:pPr>
      <w:r>
        <w:rPr>
          <w:b w:val="0"/>
          <w:i w:val="0"/>
        </w:rPr>
        <w:t>Risk Evaluation and Mitigation Strategy (REMS), 44–45</w:t>
      </w:r>
    </w:p>
    <w:p>
      <w:pPr>
        <w:pStyle w:val="ListBullet"/>
      </w:pPr>
      <w:r>
        <w:rPr>
          <w:b w:val="0"/>
          <w:i w:val="0"/>
        </w:rPr>
        <w:t>risk sharing, 140</w:t>
      </w:r>
    </w:p>
    <w:p>
      <w:pPr>
        <w:pStyle w:val="ListBullet"/>
      </w:pPr>
      <w:r>
        <w:rPr>
          <w:b w:val="0"/>
          <w:i w:val="0"/>
        </w:rPr>
        <w:t>Rogowsky, Mark, 41–42</w:t>
      </w:r>
    </w:p>
    <w:p>
      <w:pPr>
        <w:pStyle w:val="ListBullet"/>
      </w:pPr>
      <w:r>
        <w:rPr>
          <w:b w:val="0"/>
          <w:i w:val="0"/>
        </w:rPr>
        <w:t>Rolls-Royce, 136, 137, 138, 140, 141</w:t>
      </w:r>
    </w:p>
    <w:p>
      <w:pPr>
        <w:pStyle w:val="ListBullet"/>
      </w:pPr>
      <w:r>
        <w:rPr>
          <w:b w:val="0"/>
          <w:i w:val="0"/>
        </w:rPr>
        <w:t>Russia, 54</w:t>
      </w:r>
    </w:p>
    <w:p>
      <w:pPr>
        <w:pStyle w:val="ListBullet"/>
      </w:pPr>
      <w:r>
        <w:rPr>
          <w:b w:val="0"/>
          <w:i w:val="0"/>
        </w:rPr>
        <w:t>SAMMiller, 38</w:t>
      </w:r>
    </w:p>
    <w:p>
      <w:pPr>
        <w:pStyle w:val="ListBullet"/>
      </w:pPr>
      <w:r>
        <w:rPr>
          <w:b w:val="0"/>
          <w:i w:val="0"/>
        </w:rPr>
        <w:t>Samsung, 20</w:t>
      </w:r>
    </w:p>
    <w:p>
      <w:pPr>
        <w:pStyle w:val="ListBullet"/>
      </w:pPr>
      <w:r>
        <w:rPr>
          <w:b w:val="0"/>
          <w:i w:val="0"/>
        </w:rPr>
        <w:t>Samsung Pay, 21</w:t>
      </w:r>
    </w:p>
    <w:p>
      <w:pPr>
        <w:pStyle w:val="ListBullet"/>
      </w:pPr>
      <w:r>
        <w:rPr>
          <w:b w:val="0"/>
          <w:i w:val="0"/>
        </w:rPr>
        <w:t>scientific knowledge, 138–139</w:t>
      </w:r>
    </w:p>
    <w:p>
      <w:pPr>
        <w:pStyle w:val="ListBullet"/>
      </w:pPr>
      <w:r>
        <w:rPr>
          <w:b w:val="0"/>
          <w:i w:val="0"/>
        </w:rPr>
        <w:t>search engines, 57, 64</w:t>
      </w:r>
    </w:p>
    <w:p>
      <w:pPr>
        <w:pStyle w:val="ListBullet"/>
      </w:pPr>
      <w:r>
        <w:rPr>
          <w:b w:val="0"/>
          <w:i w:val="0"/>
        </w:rPr>
        <w:t>Sears, 113</w:t>
      </w:r>
    </w:p>
    <w:p>
      <w:pPr>
        <w:pStyle w:val="ListBullet"/>
      </w:pPr>
      <w:r>
        <w:rPr>
          <w:b w:val="0"/>
          <w:i w:val="0"/>
        </w:rPr>
        <w:t>security risks, of data-opolies, 58–60</w:t>
      </w:r>
    </w:p>
    <w:p>
      <w:pPr>
        <w:pStyle w:val="ListBullet"/>
      </w:pPr>
      <w:r>
        <w:rPr>
          <w:b w:val="0"/>
          <w:i w:val="0"/>
        </w:rPr>
        <w:t>self-driving vehicles, 13, 15, 19</w:t>
      </w:r>
    </w:p>
    <w:p>
      <w:pPr>
        <w:pStyle w:val="ListBullet"/>
      </w:pPr>
      <w:r>
        <w:rPr>
          <w:b w:val="0"/>
          <w:i w:val="0"/>
        </w:rPr>
        <w:t>self-regulation, xiv</w:t>
      </w:r>
    </w:p>
    <w:p>
      <w:pPr>
        <w:pStyle w:val="ListBullet"/>
      </w:pPr>
      <w:r>
        <w:rPr>
          <w:b w:val="0"/>
          <w:i w:val="0"/>
        </w:rPr>
        <w:t>Senate Subcommittee on Antitrust, Competition Policy and Consumer Rights, 73</w:t>
      </w:r>
    </w:p>
    <w:p>
      <w:pPr>
        <w:pStyle w:val="ListBullet"/>
      </w:pPr>
      <w:r>
        <w:rPr>
          <w:b w:val="0"/>
          <w:i w:val="0"/>
        </w:rPr>
        <w:t>Sharma, Amit, 145–153</w:t>
      </w:r>
    </w:p>
    <w:p>
      <w:pPr>
        <w:pStyle w:val="ListBullet"/>
      </w:pPr>
      <w:r>
        <w:rPr>
          <w:b w:val="0"/>
          <w:i w:val="0"/>
        </w:rPr>
        <w:t>Shoebuy, 129</w:t>
      </w:r>
    </w:p>
    <w:p>
      <w:pPr>
        <w:pStyle w:val="ListBullet"/>
      </w:pPr>
      <w:r>
        <w:rPr>
          <w:b w:val="0"/>
          <w:i w:val="0"/>
        </w:rPr>
        <w:t>small businesses, 74</w:t>
      </w:r>
    </w:p>
    <w:p>
      <w:pPr>
        <w:pStyle w:val="ListBullet"/>
      </w:pPr>
      <w:r>
        <w:rPr>
          <w:b w:val="0"/>
          <w:i w:val="0"/>
        </w:rPr>
        <w:t>smart homes, 20, 117</w:t>
      </w:r>
    </w:p>
    <w:p>
      <w:pPr>
        <w:pStyle w:val="ListBullet"/>
      </w:pPr>
      <w:r>
        <w:rPr>
          <w:b w:val="0"/>
          <w:i w:val="0"/>
        </w:rPr>
        <w:t>smartphones, 10–11, 14, 22, 96</w:t>
      </w:r>
    </w:p>
    <w:p>
      <w:pPr>
        <w:pStyle w:val="ListBullet"/>
      </w:pPr>
      <w:r>
        <w:rPr>
          <w:b w:val="0"/>
          <w:i w:val="0"/>
        </w:rPr>
        <w:t>smart technologies, 62</w:t>
      </w:r>
    </w:p>
    <w:p>
      <w:pPr>
        <w:pStyle w:val="ListBullet"/>
      </w:pPr>
      <w:r>
        <w:rPr>
          <w:b w:val="0"/>
          <w:i w:val="0"/>
        </w:rPr>
        <w:t>Smith, Adam, 46</w:t>
      </w:r>
    </w:p>
    <w:p>
      <w:pPr>
        <w:pStyle w:val="ListBullet"/>
      </w:pPr>
      <w:r>
        <w:rPr>
          <w:b w:val="0"/>
          <w:i w:val="0"/>
        </w:rPr>
        <w:t>social issues, 25, 64–65</w:t>
      </w:r>
    </w:p>
    <w:p>
      <w:pPr>
        <w:pStyle w:val="ListBullet"/>
      </w:pPr>
      <w:r>
        <w:rPr>
          <w:b w:val="0"/>
          <w:i w:val="0"/>
        </w:rPr>
        <w:t>social media, 66, 93, 94</w:t>
      </w:r>
    </w:p>
    <w:p>
      <w:pPr>
        <w:pStyle w:val="ListBullet"/>
      </w:pPr>
      <w:r>
        <w:rPr>
          <w:b w:val="0"/>
          <w:i w:val="0"/>
        </w:rPr>
        <w:t>social movements, 5–6</w:t>
      </w:r>
    </w:p>
    <w:p>
      <w:pPr>
        <w:pStyle w:val="ListBullet"/>
      </w:pPr>
      <w:r>
        <w:rPr>
          <w:b w:val="0"/>
          <w:i w:val="0"/>
        </w:rPr>
        <w:t>software, 135, 138, 139</w:t>
      </w:r>
    </w:p>
    <w:p>
      <w:pPr>
        <w:pStyle w:val="ListBullet"/>
      </w:pPr>
      <w:r>
        <w:rPr>
          <w:b w:val="0"/>
          <w:i w:val="0"/>
        </w:rPr>
        <w:t>software platforms, 17</w:t>
      </w:r>
    </w:p>
    <w:p>
      <w:pPr>
        <w:pStyle w:val="ListBullet"/>
      </w:pPr>
      <w:r>
        <w:rPr>
          <w:b w:val="0"/>
          <w:i w:val="0"/>
        </w:rPr>
        <w:t>software talent, 140–141</w:t>
      </w:r>
    </w:p>
    <w:p>
      <w:pPr>
        <w:pStyle w:val="ListBullet"/>
      </w:pPr>
      <w:r>
        <w:rPr>
          <w:b w:val="0"/>
          <w:i w:val="0"/>
        </w:rPr>
        <w:t>Sonos, 21</w:t>
      </w:r>
    </w:p>
    <w:p>
      <w:pPr>
        <w:pStyle w:val="ListBullet"/>
      </w:pPr>
      <w:r>
        <w:rPr>
          <w:b w:val="0"/>
          <w:i w:val="0"/>
        </w:rPr>
        <w:t>speech recognition, 22</w:t>
      </w:r>
    </w:p>
    <w:p>
      <w:pPr>
        <w:pStyle w:val="ListBullet"/>
      </w:pPr>
      <w:r>
        <w:rPr>
          <w:b w:val="0"/>
          <w:i w:val="0"/>
        </w:rPr>
        <w:t>Spotify, 11</w:t>
      </w:r>
    </w:p>
    <w:p>
      <w:pPr>
        <w:pStyle w:val="ListBullet"/>
      </w:pPr>
      <w:r>
        <w:rPr>
          <w:b w:val="0"/>
          <w:i w:val="0"/>
        </w:rPr>
        <w:t>Sprouts, 103–104</w:t>
      </w:r>
    </w:p>
    <w:p>
      <w:pPr>
        <w:pStyle w:val="ListBullet"/>
      </w:pPr>
      <w:r>
        <w:rPr>
          <w:b w:val="0"/>
          <w:i w:val="0"/>
        </w:rPr>
        <w:t>standardization, 22</w:t>
      </w:r>
    </w:p>
    <w:p>
      <w:pPr>
        <w:pStyle w:val="ListBullet"/>
      </w:pPr>
      <w:r>
        <w:rPr>
          <w:b w:val="0"/>
          <w:i w:val="0"/>
        </w:rPr>
        <w:t>startups</w:t>
      </w:r>
    </w:p>
    <w:p>
      <w:pPr>
        <w:pStyle w:val="ListBullet"/>
      </w:pPr>
      <w:r>
        <w:rPr>
          <w:b w:val="0"/>
          <w:i w:val="0"/>
        </w:rPr>
        <w:t>absorption of, by tech giants, 36–37</w:t>
      </w:r>
    </w:p>
    <w:p>
      <w:pPr>
        <w:pStyle w:val="ListBullet"/>
      </w:pPr>
      <w:r>
        <w:rPr>
          <w:b w:val="0"/>
          <w:i w:val="0"/>
        </w:rPr>
        <w:t>data-opolies and, 64</w:t>
      </w:r>
    </w:p>
    <w:p>
      <w:pPr>
        <w:pStyle w:val="ListBullet"/>
      </w:pPr>
      <w:r>
        <w:rPr>
          <w:b w:val="0"/>
          <w:i w:val="0"/>
        </w:rPr>
        <w:t>decreasing number of, 31, 35, 72</w:t>
      </w:r>
    </w:p>
    <w:p>
      <w:pPr>
        <w:pStyle w:val="ListBullet"/>
      </w:pPr>
      <w:r>
        <w:rPr>
          <w:b w:val="0"/>
          <w:i w:val="0"/>
        </w:rPr>
        <w:t>incubators for, 116–119</w:t>
      </w:r>
    </w:p>
    <w:p>
      <w:pPr>
        <w:pStyle w:val="ListBullet"/>
      </w:pPr>
      <w:r>
        <w:rPr>
          <w:b w:val="0"/>
          <w:i w:val="0"/>
        </w:rPr>
        <w:t>Steris, 42–43</w:t>
      </w:r>
    </w:p>
    <w:p>
      <w:pPr>
        <w:pStyle w:val="ListBullet"/>
      </w:pPr>
      <w:r>
        <w:rPr>
          <w:b w:val="0"/>
          <w:i w:val="0"/>
        </w:rPr>
        <w:t>Stigler, George, 40</w:t>
      </w:r>
    </w:p>
    <w:p>
      <w:pPr>
        <w:pStyle w:val="ListBullet"/>
      </w:pPr>
      <w:r>
        <w:rPr>
          <w:b w:val="0"/>
          <w:i w:val="0"/>
        </w:rPr>
        <w:t>strategy formulation, 123–134</w:t>
      </w:r>
    </w:p>
    <w:p>
      <w:pPr>
        <w:pStyle w:val="ListBullet"/>
      </w:pPr>
      <w:r>
        <w:rPr>
          <w:b w:val="0"/>
          <w:i w:val="0"/>
        </w:rPr>
        <w:t>Stucke, Maurice E., 53–69</w:t>
      </w:r>
    </w:p>
    <w:p>
      <w:pPr>
        <w:pStyle w:val="ListBullet"/>
      </w:pPr>
      <w:r>
        <w:rPr>
          <w:b w:val="0"/>
          <w:i w:val="0"/>
        </w:rPr>
        <w:t>SuperValu, 103</w:t>
      </w:r>
    </w:p>
    <w:p>
      <w:pPr>
        <w:pStyle w:val="ListBullet"/>
      </w:pPr>
      <w:r>
        <w:rPr>
          <w:b w:val="0"/>
          <w:i w:val="0"/>
        </w:rPr>
        <w:t>Supreme Court, 67, 77</w:t>
      </w:r>
    </w:p>
    <w:p>
      <w:pPr>
        <w:pStyle w:val="ListBullet"/>
      </w:pPr>
      <w:r>
        <w:rPr>
          <w:b w:val="0"/>
          <w:i w:val="0"/>
        </w:rPr>
        <w:t>surveillance, 58–60</w:t>
      </w:r>
    </w:p>
    <w:p>
      <w:pPr>
        <w:pStyle w:val="ListBullet"/>
      </w:pPr>
      <w:r>
        <w:rPr>
          <w:b w:val="0"/>
          <w:i w:val="0"/>
        </w:rPr>
        <w:t>switching costs, 67</w:t>
      </w:r>
    </w:p>
    <w:p>
      <w:pPr>
        <w:pStyle w:val="ListBullet"/>
      </w:pPr>
      <w:r>
        <w:rPr>
          <w:b w:val="0"/>
          <w:i w:val="0"/>
        </w:rPr>
        <w:t>Syngery Health, 42–43</w:t>
      </w:r>
    </w:p>
    <w:p>
      <w:pPr>
        <w:pStyle w:val="ListBullet"/>
      </w:pPr>
      <w:r>
        <w:rPr>
          <w:b w:val="0"/>
          <w:i w:val="0"/>
        </w:rPr>
        <w:t>Target, 146</w:t>
      </w:r>
    </w:p>
    <w:p>
      <w:pPr>
        <w:pStyle w:val="ListBullet"/>
      </w:pPr>
      <w:r>
        <w:rPr>
          <w:b w:val="0"/>
          <w:i w:val="0"/>
        </w:rPr>
        <w:t>TBH app, 36–37</w:t>
      </w:r>
    </w:p>
    <w:p>
      <w:pPr>
        <w:pStyle w:val="ListBullet"/>
      </w:pPr>
      <w:r>
        <w:rPr>
          <w:b w:val="0"/>
          <w:i w:val="0"/>
        </w:rPr>
        <w:t>tech employees, 140–141</w:t>
      </w:r>
    </w:p>
    <w:p>
      <w:pPr>
        <w:pStyle w:val="ListBullet"/>
      </w:pPr>
      <w:r>
        <w:rPr>
          <w:b w:val="0"/>
          <w:i w:val="0"/>
        </w:rPr>
        <w:t>tech giants</w:t>
      </w:r>
    </w:p>
    <w:p>
      <w:pPr>
        <w:pStyle w:val="ListBullet"/>
      </w:pPr>
      <w:r>
        <w:rPr>
          <w:b w:val="0"/>
          <w:i w:val="0"/>
        </w:rPr>
        <w:t>anticompetitive forces and, 30–31</w:t>
      </w:r>
    </w:p>
    <w:p>
      <w:pPr>
        <w:pStyle w:val="ListBullet"/>
      </w:pPr>
      <w:r>
        <w:rPr>
          <w:b w:val="0"/>
          <w:i w:val="0"/>
        </w:rPr>
        <w:t>backlash against, xiii–xiv, 91</w:t>
      </w:r>
    </w:p>
    <w:p>
      <w:pPr>
        <w:pStyle w:val="ListBullet"/>
      </w:pPr>
      <w:r>
        <w:rPr>
          <w:b w:val="0"/>
          <w:i w:val="0"/>
        </w:rPr>
        <w:t>breaking up of, 81–90, 92</w:t>
      </w:r>
    </w:p>
    <w:p>
      <w:pPr>
        <w:pStyle w:val="ListBullet"/>
      </w:pPr>
      <w:r>
        <w:rPr>
          <w:b w:val="0"/>
          <w:i w:val="0"/>
        </w:rPr>
        <w:t>challenges posed by, 29–30</w:t>
      </w:r>
    </w:p>
    <w:p>
      <w:pPr>
        <w:pStyle w:val="ListBullet"/>
      </w:pPr>
      <w:r>
        <w:rPr>
          <w:b w:val="0"/>
          <w:i w:val="0"/>
        </w:rPr>
        <w:t>competing against, xi–xvi, 6, 103–111</w:t>
      </w:r>
    </w:p>
    <w:p>
      <w:pPr>
        <w:pStyle w:val="ListBullet"/>
      </w:pPr>
      <w:r>
        <w:rPr>
          <w:b w:val="0"/>
          <w:i w:val="0"/>
        </w:rPr>
        <w:t>competition among, 96–97</w:t>
      </w:r>
    </w:p>
    <w:p>
      <w:pPr>
        <w:pStyle w:val="ListBullet"/>
      </w:pPr>
      <w:r>
        <w:rPr>
          <w:b w:val="0"/>
          <w:i w:val="0"/>
        </w:rPr>
        <w:t>as data-opolies, 53–69</w:t>
      </w:r>
    </w:p>
    <w:p>
      <w:pPr>
        <w:pStyle w:val="ListBullet"/>
      </w:pPr>
      <w:r>
        <w:rPr>
          <w:b w:val="0"/>
          <w:i w:val="0"/>
        </w:rPr>
        <w:t>as heroes or villains, 36–39</w:t>
      </w:r>
    </w:p>
    <w:p>
      <w:pPr>
        <w:pStyle w:val="ListBullet"/>
      </w:pPr>
      <w:r>
        <w:rPr>
          <w:b w:val="0"/>
          <w:i w:val="0"/>
        </w:rPr>
        <w:t>industrial internet and, 135–144</w:t>
      </w:r>
    </w:p>
    <w:p>
      <w:pPr>
        <w:pStyle w:val="ListBullet"/>
      </w:pPr>
      <w:r>
        <w:rPr>
          <w:b w:val="0"/>
          <w:i w:val="0"/>
        </w:rPr>
        <w:t>influence of, 54–55</w:t>
      </w:r>
    </w:p>
    <w:p>
      <w:pPr>
        <w:pStyle w:val="ListBullet"/>
      </w:pPr>
      <w:r>
        <w:rPr>
          <w:b w:val="0"/>
          <w:i w:val="0"/>
        </w:rPr>
        <w:t>leaders of, xii–xiii, 7</w:t>
      </w:r>
    </w:p>
    <w:p>
      <w:pPr>
        <w:pStyle w:val="ListBullet"/>
      </w:pPr>
      <w:r>
        <w:rPr>
          <w:b w:val="0"/>
          <w:i w:val="0"/>
        </w:rPr>
        <w:t>as natural monopolies, 85–87</w:t>
      </w:r>
    </w:p>
    <w:p>
      <w:pPr>
        <w:pStyle w:val="ListBullet"/>
      </w:pPr>
      <w:r>
        <w:rPr>
          <w:b w:val="0"/>
          <w:i w:val="0"/>
        </w:rPr>
        <w:t>power of, xi–xii, 43–44, 65–66</w:t>
      </w:r>
    </w:p>
    <w:p>
      <w:pPr>
        <w:pStyle w:val="ListBullet"/>
      </w:pPr>
      <w:r>
        <w:rPr>
          <w:b w:val="0"/>
          <w:i w:val="0"/>
        </w:rPr>
        <w:t>regulation of, 91–99</w:t>
      </w:r>
    </w:p>
    <w:p>
      <w:pPr>
        <w:pStyle w:val="ListBullet"/>
      </w:pPr>
      <w:r>
        <w:rPr>
          <w:b w:val="0"/>
          <w:i w:val="0"/>
        </w:rPr>
        <w:t>techlash, xiii–xiv</w:t>
      </w:r>
    </w:p>
    <w:p>
      <w:pPr>
        <w:pStyle w:val="ListBullet"/>
      </w:pPr>
      <w:r>
        <w:rPr>
          <w:b w:val="0"/>
          <w:i w:val="0"/>
        </w:rPr>
        <w:t>telecom services, 11</w:t>
      </w:r>
    </w:p>
    <w:p>
      <w:pPr>
        <w:pStyle w:val="ListBullet"/>
      </w:pPr>
      <w:r>
        <w:rPr>
          <w:b w:val="0"/>
          <w:i w:val="0"/>
        </w:rPr>
        <w:t>Tencent, xii, 3, 4</w:t>
      </w:r>
    </w:p>
    <w:p>
      <w:pPr>
        <w:pStyle w:val="ListBullet"/>
      </w:pPr>
      <w:r>
        <w:rPr>
          <w:b w:val="0"/>
          <w:i w:val="0"/>
        </w:rPr>
        <w:t>Tesla, 142</w:t>
      </w:r>
    </w:p>
    <w:p>
      <w:pPr>
        <w:pStyle w:val="ListBullet"/>
      </w:pPr>
      <w:r>
        <w:rPr>
          <w:b w:val="0"/>
          <w:i w:val="0"/>
        </w:rPr>
        <w:t>text messaging, 148–149</w:t>
      </w:r>
    </w:p>
    <w:p>
      <w:pPr>
        <w:pStyle w:val="ListBullet"/>
      </w:pPr>
      <w:r>
        <w:rPr>
          <w:b w:val="0"/>
          <w:i w:val="0"/>
        </w:rPr>
        <w:t>Thierer, Adam, 92</w:t>
      </w:r>
    </w:p>
    <w:p>
      <w:pPr>
        <w:pStyle w:val="ListBullet"/>
      </w:pPr>
      <w:r>
        <w:rPr>
          <w:b w:val="0"/>
          <w:i w:val="0"/>
        </w:rPr>
        <w:t>third-party sellers, 24, 63, 64</w:t>
      </w:r>
    </w:p>
    <w:p>
      <w:pPr>
        <w:pStyle w:val="ListBullet"/>
      </w:pPr>
      <w:r>
        <w:rPr>
          <w:b w:val="0"/>
          <w:i w:val="0"/>
        </w:rPr>
        <w:t>Tide, 114, 118–119</w:t>
      </w:r>
    </w:p>
    <w:p>
      <w:pPr>
        <w:pStyle w:val="ListBullet"/>
      </w:pPr>
      <w:r>
        <w:rPr>
          <w:b w:val="0"/>
          <w:i w:val="0"/>
        </w:rPr>
        <w:t>Time Warner, 97</w:t>
      </w:r>
    </w:p>
    <w:p>
      <w:pPr>
        <w:pStyle w:val="ListBullet"/>
      </w:pPr>
      <w:r>
        <w:rPr>
          <w:b w:val="0"/>
          <w:i w:val="0"/>
        </w:rPr>
        <w:t>T.J. Maxx, 114</w:t>
      </w:r>
    </w:p>
    <w:p>
      <w:pPr>
        <w:pStyle w:val="ListBullet"/>
      </w:pPr>
      <w:r>
        <w:rPr>
          <w:b w:val="0"/>
          <w:i w:val="0"/>
        </w:rPr>
        <w:t>T-Mobile, 41–42</w:t>
      </w:r>
    </w:p>
    <w:p>
      <w:pPr>
        <w:pStyle w:val="ListBullet"/>
      </w:pPr>
      <w:r>
        <w:rPr>
          <w:b w:val="0"/>
          <w:i w:val="0"/>
        </w:rPr>
        <w:t>total welfare standard, 73</w:t>
      </w:r>
    </w:p>
    <w:p>
      <w:pPr>
        <w:pStyle w:val="ListBullet"/>
      </w:pPr>
      <w:r>
        <w:rPr>
          <w:b w:val="0"/>
          <w:i w:val="0"/>
        </w:rPr>
        <w:t>Toyota, 132–133</w:t>
      </w:r>
    </w:p>
    <w:p>
      <w:pPr>
        <w:pStyle w:val="ListBullet"/>
      </w:pPr>
      <w:r>
        <w:rPr>
          <w:b w:val="0"/>
          <w:i w:val="0"/>
        </w:rPr>
        <w:t>Toys “R” Us, 113</w:t>
      </w:r>
    </w:p>
    <w:p>
      <w:pPr>
        <w:pStyle w:val="ListBullet"/>
      </w:pPr>
      <w:r>
        <w:rPr>
          <w:b w:val="0"/>
          <w:i w:val="0"/>
        </w:rPr>
        <w:t>Trader Joe’s, 150–151</w:t>
      </w:r>
    </w:p>
    <w:p>
      <w:pPr>
        <w:pStyle w:val="ListBullet"/>
      </w:pPr>
      <w:r>
        <w:rPr>
          <w:b w:val="0"/>
          <w:i w:val="0"/>
        </w:rPr>
        <w:t>traditional firms, competing in hub economy, 20–23</w:t>
      </w:r>
    </w:p>
    <w:p>
      <w:pPr>
        <w:pStyle w:val="ListBullet"/>
      </w:pPr>
      <w:r>
        <w:rPr>
          <w:b w:val="0"/>
          <w:i w:val="0"/>
        </w:rPr>
        <w:t>Trulia, 42</w:t>
      </w:r>
    </w:p>
    <w:p>
      <w:pPr>
        <w:pStyle w:val="ListBullet"/>
      </w:pPr>
      <w:r>
        <w:rPr>
          <w:b w:val="0"/>
          <w:i w:val="0"/>
        </w:rPr>
        <w:t>trust, loss of, 62</w:t>
      </w:r>
    </w:p>
    <w:p>
      <w:pPr>
        <w:pStyle w:val="ListBullet"/>
      </w:pPr>
      <w:r>
        <w:rPr>
          <w:b w:val="0"/>
          <w:i w:val="0"/>
        </w:rPr>
        <w:t>turnstile metaphor, 125–126</w:t>
      </w:r>
    </w:p>
    <w:p>
      <w:pPr>
        <w:pStyle w:val="ListBullet"/>
      </w:pPr>
      <w:r>
        <w:rPr>
          <w:b w:val="0"/>
          <w:i w:val="0"/>
        </w:rPr>
        <w:t>Twitter, 7, 54</w:t>
      </w:r>
    </w:p>
    <w:p>
      <w:pPr>
        <w:pStyle w:val="ListBullet"/>
      </w:pPr>
      <w:r>
        <w:rPr>
          <w:b w:val="0"/>
          <w:i w:val="0"/>
        </w:rPr>
        <w:t>Uber, xii, 7, 21, 24–25, 132</w:t>
      </w:r>
    </w:p>
    <w:p>
      <w:pPr>
        <w:pStyle w:val="ListBullet"/>
      </w:pPr>
      <w:r>
        <w:rPr>
          <w:b w:val="0"/>
          <w:i w:val="0"/>
        </w:rPr>
        <w:t>UnitedHealth, 135</w:t>
      </w:r>
    </w:p>
    <w:p>
      <w:pPr>
        <w:pStyle w:val="ListBullet"/>
      </w:pPr>
      <w:r>
        <w:rPr>
          <w:b w:val="0"/>
          <w:i w:val="0"/>
        </w:rPr>
        <w:t>U.S. economy</w:t>
      </w:r>
    </w:p>
    <w:p>
      <w:pPr>
        <w:pStyle w:val="ListBullet"/>
      </w:pPr>
      <w:r>
        <w:rPr>
          <w:b w:val="0"/>
          <w:i w:val="0"/>
        </w:rPr>
        <w:t>evolution of, 43</w:t>
      </w:r>
    </w:p>
    <w:p>
      <w:pPr>
        <w:pStyle w:val="ListBullet"/>
      </w:pPr>
      <w:r>
        <w:rPr>
          <w:b w:val="0"/>
          <w:i w:val="0"/>
        </w:rPr>
        <w:t>impact of lack of competition on, 29–50</w:t>
      </w:r>
    </w:p>
    <w:p>
      <w:pPr>
        <w:pStyle w:val="ListBullet"/>
      </w:pPr>
      <w:r>
        <w:rPr>
          <w:b w:val="0"/>
          <w:i w:val="0"/>
        </w:rPr>
        <w:t>user-created content, 61</w:t>
      </w:r>
    </w:p>
    <w:p>
      <w:pPr>
        <w:pStyle w:val="ListBullet"/>
      </w:pPr>
      <w:r>
        <w:rPr>
          <w:b w:val="0"/>
          <w:i w:val="0"/>
        </w:rPr>
        <w:t>utility regulations, 85, 87–88</w:t>
      </w:r>
    </w:p>
    <w:p>
      <w:pPr>
        <w:pStyle w:val="ListBullet"/>
      </w:pPr>
      <w:r>
        <w:rPr>
          <w:b w:val="0"/>
          <w:i w:val="0"/>
        </w:rPr>
        <w:t>value capture, 9, 11, 15</w:t>
      </w:r>
    </w:p>
    <w:p>
      <w:pPr>
        <w:pStyle w:val="ListBullet"/>
      </w:pPr>
      <w:r>
        <w:rPr>
          <w:b w:val="0"/>
          <w:i w:val="0"/>
        </w:rPr>
        <w:t>value creation, 9, 10, 17, 20, 125</w:t>
      </w:r>
    </w:p>
    <w:p>
      <w:pPr>
        <w:pStyle w:val="ListBullet"/>
      </w:pPr>
      <w:r>
        <w:rPr>
          <w:b w:val="0"/>
          <w:i w:val="0"/>
        </w:rPr>
        <w:t>value sharing, 24</w:t>
      </w:r>
    </w:p>
    <w:p>
      <w:pPr>
        <w:pStyle w:val="ListBullet"/>
      </w:pPr>
      <w:r>
        <w:rPr>
          <w:b w:val="0"/>
          <w:i w:val="0"/>
        </w:rPr>
        <w:t>Van Reenen, John, 30</w:t>
      </w:r>
    </w:p>
    <w:p>
      <w:pPr>
        <w:pStyle w:val="ListBullet"/>
      </w:pPr>
      <w:r>
        <w:rPr>
          <w:b w:val="0"/>
          <w:i w:val="0"/>
        </w:rPr>
        <w:t>Verizon, 20</w:t>
      </w:r>
    </w:p>
    <w:p>
      <w:pPr>
        <w:pStyle w:val="ListBullet"/>
      </w:pPr>
      <w:r>
        <w:rPr>
          <w:b w:val="0"/>
          <w:i w:val="0"/>
        </w:rPr>
        <w:t>vertical mergers, 40, 75–76</w:t>
      </w:r>
    </w:p>
    <w:p>
      <w:pPr>
        <w:pStyle w:val="ListBullet"/>
      </w:pPr>
      <w:r>
        <w:rPr>
          <w:b w:val="0"/>
          <w:i w:val="0"/>
        </w:rPr>
        <w:t>Vodafone, 20</w:t>
      </w:r>
    </w:p>
    <w:p>
      <w:pPr>
        <w:pStyle w:val="ListBullet"/>
      </w:pPr>
      <w:r>
        <w:rPr>
          <w:b w:val="0"/>
          <w:i w:val="0"/>
        </w:rPr>
        <w:t>Volkswagen, 16</w:t>
      </w:r>
    </w:p>
    <w:p>
      <w:pPr>
        <w:pStyle w:val="ListBullet"/>
      </w:pPr>
      <w:r>
        <w:rPr>
          <w:b w:val="0"/>
          <w:i w:val="0"/>
        </w:rPr>
        <w:t>wages, 31, 46, 72</w:t>
      </w:r>
    </w:p>
    <w:p>
      <w:pPr>
        <w:pStyle w:val="ListBullet"/>
      </w:pPr>
      <w:r>
        <w:rPr>
          <w:b w:val="0"/>
          <w:i w:val="0"/>
        </w:rPr>
        <w:t>Walmart, 108, 129–131, 146, 147–148</w:t>
      </w:r>
    </w:p>
    <w:p>
      <w:pPr>
        <w:pStyle w:val="ListBullet"/>
      </w:pPr>
      <w:r>
        <w:rPr>
          <w:b w:val="0"/>
          <w:i w:val="0"/>
        </w:rPr>
        <w:t>Walmart effect, 35</w:t>
      </w:r>
    </w:p>
    <w:p>
      <w:pPr>
        <w:pStyle w:val="ListBullet"/>
      </w:pPr>
      <w:r>
        <w:rPr>
          <w:b w:val="0"/>
          <w:i w:val="0"/>
        </w:rPr>
        <w:t>Warby Parker, 108, 118</w:t>
      </w:r>
    </w:p>
    <w:p>
      <w:pPr>
        <w:pStyle w:val="ListBullet"/>
      </w:pPr>
      <w:r>
        <w:rPr>
          <w:b w:val="0"/>
          <w:i w:val="0"/>
        </w:rPr>
        <w:t>Warren, Elizabeth, 81</w:t>
      </w:r>
    </w:p>
    <w:p>
      <w:pPr>
        <w:pStyle w:val="ListBullet"/>
      </w:pPr>
      <w:r>
        <w:rPr>
          <w:b w:val="0"/>
          <w:i w:val="0"/>
        </w:rPr>
        <w:t>Waze app, 13</w:t>
      </w:r>
    </w:p>
    <w:p>
      <w:pPr>
        <w:pStyle w:val="ListBullet"/>
      </w:pPr>
      <w:r>
        <w:rPr>
          <w:b w:val="0"/>
          <w:i w:val="0"/>
        </w:rPr>
        <w:t>wealth disparities, 5, 7</w:t>
      </w:r>
    </w:p>
    <w:p>
      <w:pPr>
        <w:pStyle w:val="ListBullet"/>
      </w:pPr>
      <w:r>
        <w:rPr>
          <w:b w:val="0"/>
          <w:i w:val="0"/>
        </w:rPr>
        <w:t>Wealthfront, 12</w:t>
      </w:r>
    </w:p>
    <w:p>
      <w:pPr>
        <w:pStyle w:val="ListBullet"/>
      </w:pPr>
      <w:r>
        <w:rPr>
          <w:b w:val="0"/>
          <w:i w:val="0"/>
        </w:rPr>
        <w:t>wealth transfer, 60–62</w:t>
      </w:r>
    </w:p>
    <w:p>
      <w:pPr>
        <w:pStyle w:val="ListBullet"/>
      </w:pPr>
      <w:r>
        <w:rPr>
          <w:b w:val="0"/>
          <w:i w:val="0"/>
        </w:rPr>
        <w:t>WeChat, 4, 11</w:t>
      </w:r>
    </w:p>
    <w:p>
      <w:pPr>
        <w:pStyle w:val="ListBullet"/>
      </w:pPr>
      <w:r>
        <w:rPr>
          <w:b w:val="0"/>
          <w:i w:val="0"/>
        </w:rPr>
        <w:t>Weinberg, Matthew, 38</w:t>
      </w:r>
    </w:p>
    <w:p>
      <w:pPr>
        <w:pStyle w:val="ListBullet"/>
      </w:pPr>
      <w:r>
        <w:rPr>
          <w:b w:val="0"/>
          <w:i w:val="0"/>
        </w:rPr>
        <w:t>Wessel, David, 29–50</w:t>
      </w:r>
    </w:p>
    <w:p>
      <w:pPr>
        <w:pStyle w:val="ListBullet"/>
      </w:pPr>
      <w:r>
        <w:rPr>
          <w:b w:val="0"/>
          <w:i w:val="0"/>
        </w:rPr>
        <w:t>WhatsApp, 43</w:t>
      </w:r>
    </w:p>
    <w:p>
      <w:pPr>
        <w:pStyle w:val="ListBullet"/>
      </w:pPr>
      <w:r>
        <w:rPr>
          <w:b w:val="0"/>
          <w:i w:val="0"/>
        </w:rPr>
        <w:t>White, Lawrence, 32</w:t>
      </w:r>
    </w:p>
    <w:p>
      <w:pPr>
        <w:pStyle w:val="ListBullet"/>
      </w:pPr>
      <w:r>
        <w:rPr>
          <w:b w:val="0"/>
          <w:i w:val="0"/>
        </w:rPr>
        <w:t>Whole Foods Market, 11, 103–111, 143, 146</w:t>
      </w:r>
    </w:p>
    <w:p>
      <w:pPr>
        <w:pStyle w:val="ListBullet"/>
      </w:pPr>
      <w:r>
        <w:rPr>
          <w:b w:val="0"/>
          <w:i w:val="0"/>
        </w:rPr>
        <w:t>Williamson, Oliver, 40</w:t>
      </w:r>
    </w:p>
    <w:p>
      <w:pPr>
        <w:pStyle w:val="ListBullet"/>
      </w:pPr>
      <w:r>
        <w:rPr>
          <w:b w:val="0"/>
          <w:i w:val="0"/>
        </w:rPr>
        <w:t>Windows, 17</w:t>
      </w:r>
    </w:p>
    <w:p>
      <w:pPr>
        <w:pStyle w:val="ListBullet"/>
      </w:pPr>
      <w:r>
        <w:rPr>
          <w:b w:val="0"/>
          <w:i w:val="0"/>
        </w:rPr>
        <w:t>wireless telephone industry, 41–42, 47–48</w:t>
      </w:r>
    </w:p>
    <w:p>
      <w:pPr>
        <w:pStyle w:val="ListBullet"/>
      </w:pPr>
      <w:r>
        <w:rPr>
          <w:b w:val="0"/>
          <w:i w:val="0"/>
        </w:rPr>
        <w:t>Xfinity, 6</w:t>
      </w:r>
    </w:p>
    <w:p>
      <w:pPr>
        <w:pStyle w:val="ListBullet"/>
      </w:pPr>
      <w:r>
        <w:rPr>
          <w:b w:val="0"/>
          <w:i w:val="0"/>
        </w:rPr>
        <w:t>Xiaomi, 116–119</w:t>
      </w:r>
    </w:p>
    <w:p>
      <w:pPr>
        <w:pStyle w:val="ListBullet"/>
      </w:pPr>
      <w:r>
        <w:rPr>
          <w:b w:val="0"/>
          <w:i w:val="0"/>
        </w:rPr>
        <w:t>Xyrem, 45</w:t>
      </w:r>
    </w:p>
    <w:p>
      <w:pPr>
        <w:pStyle w:val="ListBullet"/>
      </w:pPr>
      <w:r>
        <w:rPr>
          <w:b w:val="0"/>
          <w:i w:val="0"/>
        </w:rPr>
        <w:t>Yahoo, 96</w:t>
      </w:r>
    </w:p>
    <w:p>
      <w:pPr>
        <w:pStyle w:val="ListBullet"/>
      </w:pPr>
      <w:r>
        <w:rPr>
          <w:b w:val="0"/>
          <w:i w:val="0"/>
        </w:rPr>
        <w:t>Yellen, Janet, 42</w:t>
      </w:r>
    </w:p>
    <w:p>
      <w:pPr>
        <w:pStyle w:val="ListBullet"/>
      </w:pPr>
      <w:r>
        <w:rPr>
          <w:b w:val="0"/>
          <w:i w:val="0"/>
        </w:rPr>
        <w:t>Yohn, Denise Lee, 129–131</w:t>
      </w:r>
    </w:p>
    <w:p>
      <w:pPr>
        <w:pStyle w:val="ListBullet"/>
      </w:pPr>
      <w:r>
        <w:rPr>
          <w:b w:val="0"/>
          <w:i w:val="0"/>
        </w:rPr>
        <w:t>YouTube, 8, 43, 95</w:t>
      </w:r>
    </w:p>
    <w:p>
      <w:pPr>
        <w:pStyle w:val="ListBullet"/>
      </w:pPr>
      <w:r>
        <w:rPr>
          <w:b w:val="0"/>
          <w:i w:val="0"/>
        </w:rPr>
        <w:t>Yu, Howard, 113–121</w:t>
      </w:r>
    </w:p>
    <w:p>
      <w:pPr>
        <w:pStyle w:val="ListBullet"/>
      </w:pPr>
      <w:r>
        <w:rPr>
          <w:b w:val="0"/>
          <w:i w:val="0"/>
        </w:rPr>
        <w:t>Zillow, 42</w:t>
      </w:r>
    </w:p>
    <w:p>
      <w:pPr>
        <w:pStyle w:val="ListBullet"/>
      </w:pPr>
      <w:r>
        <w:rPr>
          <w:b w:val="0"/>
          <w:i w:val="0"/>
        </w:rPr>
        <w:t>Zingales, Luigi, 39</w:t>
      </w:r>
    </w:p>
    <w:p>
      <w:pPr>
        <w:pStyle w:val="ListBullet"/>
      </w:pPr>
      <w:r>
        <w:rPr>
          <w:b w:val="0"/>
          <w:i w:val="0"/>
        </w:rPr>
        <w:t>Zuckerberg, Mark, xii–xiii, 7</w:t>
      </w:r>
    </w:p>
    <w:p>
      <w:pPr>
        <w:jc w:val="center"/>
      </w:pPr>
      <w:r>
        <w:drawing>
          <wp:inline xmlns:a="http://schemas.openxmlformats.org/drawingml/2006/main" xmlns:pic="http://schemas.openxmlformats.org/drawingml/2006/picture">
            <wp:extent cx="5753100" cy="8890000"/>
            <wp:docPr id="66" name="Picture 66"/>
            <wp:cNvGraphicFramePr>
              <a:graphicFrameLocks noChangeAspect="1"/>
            </wp:cNvGraphicFramePr>
            <a:graphic>
              <a:graphicData uri="http://schemas.openxmlformats.org/drawingml/2006/picture">
                <pic:pic>
                  <pic:nvPicPr>
                    <pic:cNvPr id="0" name="epub_img_6275797335303709484.jpg"/>
                    <pic:cNvPicPr/>
                  </pic:nvPicPr>
                  <pic:blipFill>
                    <a:blip r:embed="rId25"/>
                    <a:stretch>
                      <a:fillRect/>
                    </a:stretch>
                  </pic:blipFill>
                  <pic:spPr>
                    <a:xfrm>
                      <a:off x="0" y="0"/>
                      <a:ext cx="57531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67" name="Picture 67"/>
            <wp:cNvGraphicFramePr>
              <a:graphicFrameLocks noChangeAspect="1"/>
            </wp:cNvGraphicFramePr>
            <a:graphic>
              <a:graphicData uri="http://schemas.openxmlformats.org/drawingml/2006/picture">
                <pic:pic>
                  <pic:nvPicPr>
                    <pic:cNvPr id="0" name="epub_img_7441356833883062829.jpg"/>
                    <pic:cNvPicPr/>
                  </pic:nvPicPr>
                  <pic:blipFill>
                    <a:blip r:embed="rId26"/>
                    <a:stretch>
                      <a:fillRect/>
                    </a:stretch>
                  </pic:blipFill>
                  <pic:spPr>
                    <a:xfrm>
                      <a:off x="0" y="0"/>
                      <a:ext cx="59309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68" name="Picture 68"/>
            <wp:cNvGraphicFramePr>
              <a:graphicFrameLocks noChangeAspect="1"/>
            </wp:cNvGraphicFramePr>
            <a:graphic>
              <a:graphicData uri="http://schemas.openxmlformats.org/drawingml/2006/picture">
                <pic:pic>
                  <pic:nvPicPr>
                    <pic:cNvPr id="0" name="epub_img_6755886315153269830.jpg"/>
                    <pic:cNvPicPr/>
                  </pic:nvPicPr>
                  <pic:blipFill>
                    <a:blip r:embed="rId54"/>
                    <a:stretch>
                      <a:fillRect/>
                    </a:stretch>
                  </pic:blipFill>
                  <pic:spPr>
                    <a:xfrm>
                      <a:off x="0" y="0"/>
                      <a:ext cx="5930900" cy="8890000"/>
                    </a:xfrm>
                    <a:prstGeom prst="rect"/>
                  </pic:spPr>
                </pic:pic>
              </a:graphicData>
            </a:graphic>
          </wp:inline>
        </w:drawing>
      </w:r>
    </w:p>
    <w:p>
      <w:r>
        <w:rPr>
          <w:b/>
          <w:i w:val="0"/>
        </w:rPr>
        <w:t>Insights You Need from Harvard Business Review</w:t>
      </w:r>
    </w:p>
    <w:p>
      <w:r>
        <w:rPr>
          <w:b w:val="0"/>
          <w:i w:val="0"/>
        </w:rPr>
        <w:t>Business is changing. Will you adapt or be left behind?</w:t>
      </w:r>
    </w:p>
    <w:p>
      <w:r>
        <w:rPr>
          <w:b w:val="0"/>
          <w:i w:val="0"/>
        </w:rPr>
        <w:t xml:space="preserve">Get up to speed and deepen your understanding of the topics that are shaping your company’s future with the </w:t>
      </w:r>
      <w:r>
        <w:rPr>
          <w:b/>
          <w:i w:val="0"/>
        </w:rPr>
        <w:t>Insights You Need from Harvard Business Review</w:t>
      </w:r>
      <w:r>
        <w:rPr>
          <w:b w:val="0"/>
          <w:i w:val="0"/>
        </w:rPr>
        <w:t xml:space="preserve"> series. Featuring HBR’s smartest thinking on fast-moving issues—blockchain, cybersecurity, AI, and more—each book provides the foundational introduction and practical case studies your organization needs to compete today and collects the best research, interviews, and analysis to get it ready for tomorrow.</w:t>
      </w:r>
    </w:p>
    <w:p>
      <w:r>
        <w:rPr>
          <w:b w:val="0"/>
          <w:i w:val="0"/>
        </w:rPr>
        <w:t>You can’t afford to ignore how these issues will transform the landscape of business and society. The Insights You Need series will help you grasp these critical ideas—and prepare you and your company for the future.</w:t>
      </w:r>
    </w:p>
    <w:p>
      <w:r>
        <w:rPr>
          <w:b w:val="0"/>
          <w:i w:val="0"/>
        </w:rPr>
        <w:t>Books in the series include:</w:t>
      </w:r>
    </w:p>
    <w:p>
      <w:r>
        <w:rPr>
          <w:b w:val="0"/>
          <w:i/>
        </w:rPr>
        <w:t>Agile</w:t>
      </w:r>
    </w:p>
    <w:p>
      <w:r>
        <w:rPr>
          <w:b w:val="0"/>
          <w:i/>
        </w:rPr>
        <w:t>Artificial Intelligence</w:t>
      </w:r>
    </w:p>
    <w:p>
      <w:r>
        <w:rPr>
          <w:b w:val="0"/>
          <w:i/>
        </w:rPr>
        <w:t>Blockchain</w:t>
      </w:r>
    </w:p>
    <w:p>
      <w:r>
        <w:rPr>
          <w:b w:val="0"/>
          <w:i/>
        </w:rPr>
        <w:t>Cybersecurity</w:t>
      </w:r>
    </w:p>
    <w:p>
      <w:r>
        <w:rPr>
          <w:b w:val="0"/>
          <w:i/>
        </w:rPr>
        <w:t>Monopolies and Tech Giants</w:t>
      </w:r>
    </w:p>
    <w:p>
      <w:r>
        <w:rPr>
          <w:b w:val="0"/>
          <w:i/>
        </w:rPr>
        <w:t>Strategic Analytics</w:t>
      </w:r>
    </w:p>
    <w:p>
      <w:pPr>
        <w:jc w:val="center"/>
      </w:pPr>
      <w:r>
        <w:drawing>
          <wp:inline xmlns:a="http://schemas.openxmlformats.org/drawingml/2006/main" xmlns:pic="http://schemas.openxmlformats.org/drawingml/2006/picture">
            <wp:extent cx="6680200" cy="6680200"/>
            <wp:docPr id="69" name="Picture 69"/>
            <wp:cNvGraphicFramePr>
              <a:graphicFrameLocks noChangeAspect="1"/>
            </wp:cNvGraphicFramePr>
            <a:graphic>
              <a:graphicData uri="http://schemas.openxmlformats.org/drawingml/2006/picture">
                <pic:pic>
                  <pic:nvPicPr>
                    <pic:cNvPr id="0" name="epub_img_4056547328113056456.jpg"/>
                    <pic:cNvPicPr/>
                  </pic:nvPicPr>
                  <pic:blipFill>
                    <a:blip r:embed="rId28"/>
                    <a:stretch>
                      <a:fillRect/>
                    </a:stretch>
                  </pic:blipFill>
                  <pic:spPr>
                    <a:xfrm>
                      <a:off x="0" y="0"/>
                      <a:ext cx="6680200" cy="6680200"/>
                    </a:xfrm>
                    <a:prstGeom prst="rect"/>
                  </pic:spPr>
                </pic:pic>
              </a:graphicData>
            </a:graphic>
          </wp:inline>
        </w:drawing>
      </w:r>
    </w:p>
    <w:p>
      <w:r>
        <w:rPr>
          <w:b w:val="0"/>
          <w:i w:val="0"/>
        </w:rPr>
        <w:t>BLOCKCHAIN</w:t>
      </w:r>
    </w:p>
    <w:p>
      <w:r>
        <w:rPr>
          <w:b w:val="0"/>
          <w:i w:val="0"/>
        </w:rPr>
        <w:t>Harvard Business Review Press</w:t>
      </w:r>
    </w:p>
    <w:p>
      <w:r>
        <w:rPr>
          <w:b w:val="0"/>
          <w:i w:val="0"/>
        </w:rPr>
        <w:t>Boston, Massachusetts</w:t>
      </w:r>
    </w:p>
    <w:p>
      <w:r>
        <w:rPr>
          <w:b/>
          <w:i w:val="0"/>
        </w:rPr>
        <w:t>HBR Press Quantity Sales Discounts</w:t>
      </w:r>
    </w:p>
    <w:p>
      <w:r>
        <w:rPr>
          <w:b w:val="0"/>
          <w:i w:val="0"/>
        </w:rPr>
        <w:t>Harvard Business Review Press titles are available at significant quantity discounts when purchased in bulk for client gifts, sales promotions, and premiums. Special editions, including books with corporate logos, customized covers, and letters from the company or CEO printed in the front matter, as well as excerpts of existing books, can also be created in large quantities for special needs.</w:t>
      </w:r>
    </w:p>
    <w:p>
      <w:r>
        <w:rPr>
          <w:b w:val="0"/>
          <w:i w:val="0"/>
        </w:rPr>
        <w:t>For details and discount information for both print andebook formats, contact booksales@harvardbusiness.org,tel. 800-988-0886, or www.hbr.org/bulksales.</w:t>
      </w:r>
    </w:p>
    <w:p>
      <w:r>
        <w:rPr>
          <w:b w:val="0"/>
          <w:i w:val="0"/>
        </w:rPr>
        <w:t>Copyright 2019 Harvard Business School Publishing Corporation</w:t>
      </w:r>
    </w:p>
    <w:p>
      <w:r>
        <w:rPr>
          <w:b w:val="0"/>
          <w:i w:val="0"/>
        </w:rPr>
        <w:t>All rights reserved</w:t>
      </w:r>
    </w:p>
    <w:p>
      <w:r>
        <w:rPr>
          <w:b w:val="0"/>
          <w:i w:val="0"/>
        </w:rPr>
        <w:t>No part of this publication may be reproduced, stored in or introduced into a retrieval system, or transmitted, in any form, or by any means (electronic, mechanical, photocopying, recording, or otherwise), without the prior permission of the publisher. Requests for permission should be directed to permissions@harvardbusiness.org, or mailed to Permissions, Harvard Business School Publishing, 60 Harvard Way, Boston, Massachusetts 02163.</w:t>
      </w:r>
    </w:p>
    <w:p>
      <w:r>
        <w:rPr>
          <w:b w:val="0"/>
          <w:i w:val="0"/>
        </w:rPr>
        <w:t>The web addresses referenced in this book were live and correct at the time of the book’s publication but may be subject to change.</w:t>
      </w:r>
    </w:p>
    <w:p>
      <w:r>
        <w:rPr>
          <w:b w:val="0"/>
          <w:i w:val="0"/>
        </w:rPr>
        <w:t>Library of Congress Cataloging-in-Publication Data</w:t>
      </w:r>
    </w:p>
    <w:p>
      <w:r>
        <w:rPr>
          <w:b w:val="0"/>
          <w:i w:val="0"/>
        </w:rPr>
        <w:t>Title: Blockchain : the insights you need from Harvard Business Review.</w:t>
      </w:r>
    </w:p>
    <w:p>
      <w:r>
        <w:rPr>
          <w:b w:val="0"/>
          <w:i w:val="0"/>
        </w:rPr>
        <w:t>Other titles: Blockchain (Harvard Business Review Press) | Insights you need from Harvard Business Review.</w:t>
      </w:r>
    </w:p>
    <w:p>
      <w:r>
        <w:rPr>
          <w:b w:val="0"/>
          <w:i w:val="0"/>
        </w:rPr>
        <w:t>Description: Boston, Massachusetts : Harvard Business Review Press, [2019] | Series: The insights you need from Harvard Business Review</w:t>
      </w:r>
    </w:p>
    <w:p>
      <w:r>
        <w:rPr>
          <w:b w:val="0"/>
          <w:i w:val="0"/>
        </w:rPr>
        <w:t>Identifiers: LCCN 2019011989 | ISBN 9781633697911 (pbk.)</w:t>
      </w:r>
    </w:p>
    <w:p>
      <w:r>
        <w:rPr>
          <w:b w:val="0"/>
          <w:i w:val="0"/>
        </w:rPr>
        <w:t>Subjects: LCSH: Blockchains (Databases) | Data encryption (Computer science) | Electronic commerce. | Financial institutions—Technological innovations.</w:t>
      </w:r>
    </w:p>
    <w:p>
      <w:r>
        <w:rPr>
          <w:b w:val="0"/>
          <w:i w:val="0"/>
        </w:rPr>
        <w:t>Classification: LCC HG1710 .B57 2019 | DDC 658/.0557—dc23LC record available at https://lccn.loc.gov/2019011989</w:t>
      </w:r>
    </w:p>
    <w:p>
      <w:r>
        <w:rPr>
          <w:b w:val="0"/>
          <w:i w:val="0"/>
        </w:rPr>
        <w:t>ISBN: 978-1-63369-791-1</w:t>
      </w:r>
    </w:p>
    <w:p>
      <w:r>
        <w:rPr>
          <w:b w:val="0"/>
          <w:i w:val="0"/>
        </w:rPr>
        <w:t>eISBN: 978-1-63369-792-8</w:t>
      </w:r>
    </w:p>
    <w:p>
      <w:pPr>
        <w:pStyle w:val="Heading1"/>
      </w:pPr>
      <w:r>
        <w:rPr>
          <w:b/>
          <w:i w:val="0"/>
        </w:rPr>
        <w:t>Contents</w:t>
      </w:r>
    </w:p>
    <w:p>
      <w:pPr>
        <w:pStyle w:val="ListNumber"/>
      </w:pPr>
      <w:r>
        <w:rPr>
          <w:b/>
          <w:i w:val="0"/>
        </w:rPr>
        <w:t>Introduction</w:t>
      </w:r>
    </w:p>
    <w:p>
      <w:pPr>
        <w:pStyle w:val="ListNumber"/>
      </w:pPr>
      <w:r>
        <w:rPr>
          <w:b/>
          <w:i w:val="0"/>
        </w:rPr>
        <w:t>Blockchain and the Data Integrity Revolution</w:t>
      </w:r>
    </w:p>
    <w:p>
      <w:pPr>
        <w:pStyle w:val="ListNumber"/>
      </w:pPr>
      <w:r>
        <w:rPr>
          <w:b w:val="0"/>
          <w:i/>
        </w:rPr>
        <w:t>Imagine a world in which data can’t be corrupted, hacked, or lost.</w:t>
      </w:r>
    </w:p>
    <w:p>
      <w:pPr>
        <w:pStyle w:val="ListNumber"/>
      </w:pPr>
      <w:r>
        <w:rPr>
          <w:b w:val="0"/>
          <w:i w:val="0"/>
        </w:rPr>
        <w:t>by Catherine Tucker</w:t>
      </w:r>
    </w:p>
    <w:p>
      <w:pPr>
        <w:pStyle w:val="ListNumber"/>
      </w:pPr>
      <w:r>
        <w:rPr>
          <w:b/>
          <w:i w:val="0"/>
        </w:rPr>
        <w:t>Section 1</w:t>
      </w:r>
    </w:p>
    <w:p>
      <w:pPr>
        <w:pStyle w:val="ListNumber"/>
      </w:pPr>
      <w:r>
        <w:rPr>
          <w:b/>
          <w:i w:val="0"/>
        </w:rPr>
        <w:t>Understanding Blockchain</w:t>
      </w:r>
    </w:p>
    <w:p>
      <w:pPr>
        <w:pStyle w:val="ListNumber"/>
      </w:pPr>
      <w:r>
        <w:rPr>
          <w:b/>
          <w:i w:val="0"/>
        </w:rPr>
        <w:t>1.  The Truth About Blockchain</w:t>
      </w:r>
    </w:p>
    <w:p>
      <w:pPr>
        <w:pStyle w:val="ListNumber"/>
      </w:pPr>
      <w:r>
        <w:rPr>
          <w:b w:val="0"/>
          <w:i/>
        </w:rPr>
        <w:t>It will take years to transform business, but the journey begins now.</w:t>
      </w:r>
    </w:p>
    <w:p>
      <w:pPr>
        <w:pStyle w:val="ListNumber"/>
      </w:pPr>
      <w:r>
        <w:rPr>
          <w:b w:val="0"/>
          <w:i w:val="0"/>
        </w:rPr>
        <w:t>by Marco Iansiti and Karim R. Lakhani</w:t>
      </w:r>
    </w:p>
    <w:p>
      <w:pPr>
        <w:pStyle w:val="ListNumber"/>
      </w:pPr>
      <w:r>
        <w:rPr>
          <w:b/>
          <w:i w:val="0"/>
        </w:rPr>
        <w:t>2.  A Brief History of Blockchain</w:t>
      </w:r>
    </w:p>
    <w:p>
      <w:pPr>
        <w:pStyle w:val="ListNumber"/>
      </w:pPr>
      <w:r>
        <w:rPr>
          <w:b w:val="0"/>
          <w:i/>
        </w:rPr>
        <w:t>It’s come a long way in 10 years.</w:t>
      </w:r>
    </w:p>
    <w:p>
      <w:pPr>
        <w:pStyle w:val="ListNumber"/>
      </w:pPr>
      <w:r>
        <w:rPr>
          <w:b w:val="0"/>
          <w:i w:val="0"/>
        </w:rPr>
        <w:t>by Vinay Gupta</w:t>
      </w:r>
    </w:p>
    <w:p>
      <w:pPr>
        <w:pStyle w:val="ListNumber"/>
      </w:pPr>
      <w:r>
        <w:rPr>
          <w:b/>
          <w:i w:val="0"/>
        </w:rPr>
        <w:t>3.  The Blockchain Will Do to the Financial System What the Internet Did to Media</w:t>
      </w:r>
    </w:p>
    <w:p>
      <w:pPr>
        <w:pStyle w:val="ListNumber"/>
      </w:pPr>
      <w:r>
        <w:rPr>
          <w:b w:val="0"/>
          <w:i/>
        </w:rPr>
        <w:t>What we can learn from the evolution of another groundbreaking technology.</w:t>
      </w:r>
    </w:p>
    <w:p>
      <w:pPr>
        <w:pStyle w:val="ListNumber"/>
      </w:pPr>
      <w:r>
        <w:rPr>
          <w:b w:val="0"/>
          <w:i w:val="0"/>
        </w:rPr>
        <w:t>by Joichi Ito, Neha Narula, and Robleh Ali</w:t>
      </w:r>
    </w:p>
    <w:p>
      <w:pPr>
        <w:pStyle w:val="ListNumber"/>
      </w:pPr>
      <w:r>
        <w:rPr>
          <w:b/>
          <w:i w:val="0"/>
        </w:rPr>
        <w:t>4.  Who Controls the Blockchain?</w:t>
      </w:r>
    </w:p>
    <w:p>
      <w:pPr>
        <w:pStyle w:val="ListNumber"/>
      </w:pPr>
      <w:r>
        <w:rPr>
          <w:b w:val="0"/>
          <w:i/>
        </w:rPr>
        <w:t>No one, and everyone, by design.</w:t>
      </w:r>
    </w:p>
    <w:p>
      <w:pPr>
        <w:pStyle w:val="ListNumber"/>
      </w:pPr>
      <w:r>
        <w:rPr>
          <w:b w:val="0"/>
          <w:i w:val="0"/>
        </w:rPr>
        <w:t>by Patrick Murck</w:t>
      </w:r>
    </w:p>
    <w:p>
      <w:pPr>
        <w:pStyle w:val="ListNumber"/>
      </w:pPr>
      <w:r>
        <w:rPr>
          <w:b/>
          <w:i w:val="0"/>
        </w:rPr>
        <w:t>5.  How Safe Are Blockchains? It Depends</w:t>
      </w:r>
    </w:p>
    <w:p>
      <w:pPr>
        <w:pStyle w:val="ListNumber"/>
      </w:pPr>
      <w:r>
        <w:rPr>
          <w:b w:val="0"/>
          <w:i/>
        </w:rPr>
        <w:t>The security issues are different in public and private networks.</w:t>
      </w:r>
    </w:p>
    <w:p>
      <w:pPr>
        <w:pStyle w:val="ListNumber"/>
      </w:pPr>
      <w:r>
        <w:rPr>
          <w:b w:val="0"/>
          <w:i w:val="0"/>
        </w:rPr>
        <w:t>by Allison Berke</w:t>
      </w:r>
    </w:p>
    <w:p>
      <w:pPr>
        <w:pStyle w:val="ListNumber"/>
      </w:pPr>
      <w:r>
        <w:rPr>
          <w:b/>
          <w:i w:val="0"/>
        </w:rPr>
        <w:t>6.  What Blockchain Can’t Do</w:t>
      </w:r>
    </w:p>
    <w:p>
      <w:pPr>
        <w:pStyle w:val="ListNumber"/>
      </w:pPr>
      <w:r>
        <w:rPr>
          <w:b w:val="0"/>
          <w:i/>
        </w:rPr>
        <w:t>Someone needs to verify the link between digital records and physical objects.</w:t>
      </w:r>
    </w:p>
    <w:p>
      <w:pPr>
        <w:pStyle w:val="ListNumber"/>
      </w:pPr>
      <w:r>
        <w:rPr>
          <w:b w:val="0"/>
          <w:i w:val="0"/>
        </w:rPr>
        <w:t>by Catherine Tucker and Christian Catalani</w:t>
      </w:r>
    </w:p>
    <w:p>
      <w:pPr>
        <w:pStyle w:val="ListNumber"/>
      </w:pPr>
      <w:r>
        <w:rPr>
          <w:b/>
          <w:i w:val="0"/>
        </w:rPr>
        <w:t>Section 2</w:t>
      </w:r>
    </w:p>
    <w:p>
      <w:pPr>
        <w:pStyle w:val="ListNumber"/>
      </w:pPr>
      <w:r>
        <w:rPr>
          <w:b/>
          <w:i w:val="0"/>
        </w:rPr>
        <w:t>Blockchain and Business</w:t>
      </w:r>
    </w:p>
    <w:p>
      <w:pPr>
        <w:pStyle w:val="ListNumber"/>
      </w:pPr>
      <w:r>
        <w:rPr>
          <w:b/>
          <w:i w:val="0"/>
        </w:rPr>
        <w:t>7.  How Blockchain Is Changing Finance</w:t>
      </w:r>
    </w:p>
    <w:p>
      <w:pPr>
        <w:pStyle w:val="ListNumber"/>
      </w:pPr>
      <w:r>
        <w:rPr>
          <w:b w:val="0"/>
          <w:i/>
        </w:rPr>
        <w:t>It could reduce friction and costs.</w:t>
      </w:r>
    </w:p>
    <w:p>
      <w:pPr>
        <w:pStyle w:val="ListNumber"/>
      </w:pPr>
      <w:r>
        <w:rPr>
          <w:b w:val="0"/>
          <w:i w:val="0"/>
        </w:rPr>
        <w:t>by Alex Tapscott and Don Tapscott</w:t>
      </w:r>
    </w:p>
    <w:p>
      <w:pPr>
        <w:pStyle w:val="ListNumber"/>
      </w:pPr>
      <w:r>
        <w:rPr>
          <w:b/>
          <w:i w:val="0"/>
        </w:rPr>
        <w:t>8.  As Cryptocurrencies Rise, Who Needs Banks?</w:t>
      </w:r>
    </w:p>
    <w:p>
      <w:pPr>
        <w:pStyle w:val="ListNumber"/>
      </w:pPr>
      <w:r>
        <w:rPr>
          <w:b w:val="0"/>
          <w:i/>
        </w:rPr>
        <w:t>It’s a tough time to be a middleman.</w:t>
      </w:r>
    </w:p>
    <w:p>
      <w:pPr>
        <w:pStyle w:val="ListNumber"/>
      </w:pPr>
      <w:r>
        <w:rPr>
          <w:b w:val="0"/>
          <w:i w:val="0"/>
        </w:rPr>
        <w:t>by Antonio Fatás and Beatrice Weder di Mauro</w:t>
      </w:r>
    </w:p>
    <w:p>
      <w:pPr>
        <w:pStyle w:val="ListNumber"/>
      </w:pPr>
      <w:r>
        <w:rPr>
          <w:b/>
          <w:i w:val="0"/>
        </w:rPr>
        <w:t>9.  Global Supply Chains Are About to Get Better, Thanks to Blockchain</w:t>
      </w:r>
    </w:p>
    <w:p>
      <w:pPr>
        <w:pStyle w:val="ListNumber"/>
      </w:pPr>
      <w:r>
        <w:rPr>
          <w:b w:val="0"/>
          <w:i/>
        </w:rPr>
        <w:t>We’ll be able to track goods between companies and across borders.</w:t>
      </w:r>
    </w:p>
    <w:p>
      <w:pPr>
        <w:pStyle w:val="ListNumber"/>
      </w:pPr>
      <w:r>
        <w:rPr>
          <w:b w:val="0"/>
          <w:i w:val="0"/>
        </w:rPr>
        <w:t>by Michael J. Casey and Pindar Wong</w:t>
      </w:r>
    </w:p>
    <w:p>
      <w:pPr>
        <w:pStyle w:val="ListNumber"/>
      </w:pPr>
      <w:r>
        <w:rPr>
          <w:b/>
          <w:i w:val="0"/>
        </w:rPr>
        <w:t>10.  What Blockchain Means for the Sharing Economy</w:t>
      </w:r>
    </w:p>
    <w:p>
      <w:pPr>
        <w:pStyle w:val="ListNumber"/>
      </w:pPr>
      <w:r>
        <w:rPr>
          <w:b w:val="0"/>
          <w:i/>
        </w:rPr>
        <w:t>The role of platforms will become less important.</w:t>
      </w:r>
    </w:p>
    <w:p>
      <w:pPr>
        <w:pStyle w:val="ListNumber"/>
      </w:pPr>
      <w:r>
        <w:rPr>
          <w:b w:val="0"/>
          <w:i w:val="0"/>
        </w:rPr>
        <w:t>by Primavera De Filippi</w:t>
      </w:r>
    </w:p>
    <w:p>
      <w:pPr>
        <w:pStyle w:val="ListNumber"/>
      </w:pPr>
      <w:r>
        <w:rPr>
          <w:b/>
          <w:i w:val="0"/>
        </w:rPr>
        <w:t>11.  How Blockchain Can Help Marketers Build Better Relationships with Their Customers</w:t>
      </w:r>
    </w:p>
    <w:p>
      <w:pPr>
        <w:pStyle w:val="ListNumber"/>
      </w:pPr>
      <w:r>
        <w:rPr>
          <w:b w:val="0"/>
          <w:i/>
        </w:rPr>
        <w:t>The technology can cut down on spam and fraud.</w:t>
      </w:r>
    </w:p>
    <w:p>
      <w:pPr>
        <w:pStyle w:val="ListNumber"/>
      </w:pPr>
      <w:r>
        <w:rPr>
          <w:b w:val="0"/>
          <w:i w:val="0"/>
        </w:rPr>
        <w:t>by Campbell R. Harvey, Christine Moorman, and Marc Toledo</w:t>
      </w:r>
    </w:p>
    <w:p>
      <w:pPr>
        <w:pStyle w:val="ListNumber"/>
      </w:pPr>
      <w:r>
        <w:rPr>
          <w:b/>
          <w:i w:val="0"/>
        </w:rPr>
        <w:t>12.  Blockchain Could Help Artists Profit More from Their Creative Works</w:t>
      </w:r>
    </w:p>
    <w:p>
      <w:pPr>
        <w:pStyle w:val="ListNumber"/>
      </w:pPr>
      <w:r>
        <w:rPr>
          <w:b w:val="0"/>
          <w:i/>
        </w:rPr>
        <w:t>Movie studios and record companies should take note.</w:t>
      </w:r>
    </w:p>
    <w:p>
      <w:pPr>
        <w:pStyle w:val="ListNumber"/>
      </w:pPr>
      <w:r>
        <w:rPr>
          <w:b w:val="0"/>
          <w:i w:val="0"/>
        </w:rPr>
        <w:t>by Don Tapscott and Alex Tapscott</w:t>
      </w:r>
    </w:p>
    <w:p>
      <w:pPr>
        <w:pStyle w:val="ListNumber"/>
      </w:pPr>
      <w:r>
        <w:rPr>
          <w:b/>
          <w:i w:val="0"/>
        </w:rPr>
        <w:t>Section 3</w:t>
      </w:r>
    </w:p>
    <w:p>
      <w:pPr>
        <w:pStyle w:val="ListNumber"/>
      </w:pPr>
      <w:r>
        <w:rPr>
          <w:b/>
          <w:i w:val="0"/>
        </w:rPr>
        <w:t>The Future of Blockchain</w:t>
      </w:r>
    </w:p>
    <w:p>
      <w:pPr>
        <w:pStyle w:val="ListNumber"/>
      </w:pPr>
      <w:r>
        <w:rPr>
          <w:b/>
          <w:i w:val="0"/>
        </w:rPr>
        <w:t>13.  Does Your Idea Actually Require Blockchain?</w:t>
      </w:r>
    </w:p>
    <w:p>
      <w:pPr>
        <w:pStyle w:val="ListNumber"/>
      </w:pPr>
      <w:r>
        <w:rPr>
          <w:b w:val="0"/>
          <w:i/>
        </w:rPr>
        <w:t>What Chinese #MeToo activism teaches us about data integrity.</w:t>
      </w:r>
    </w:p>
    <w:p>
      <w:pPr>
        <w:pStyle w:val="ListNumber"/>
      </w:pPr>
      <w:r>
        <w:rPr>
          <w:b w:val="0"/>
          <w:i w:val="0"/>
        </w:rPr>
        <w:t>by Catherine Tucker and Yudan Pang</w:t>
      </w:r>
    </w:p>
    <w:p>
      <w:pPr>
        <w:pStyle w:val="ListNumber"/>
      </w:pPr>
      <w:r>
        <w:rPr>
          <w:b/>
          <w:i w:val="0"/>
        </w:rPr>
        <w:t>14.  How Regulation Could Help Cryptocurrencies Grow</w:t>
      </w:r>
    </w:p>
    <w:p>
      <w:pPr>
        <w:pStyle w:val="ListNumber"/>
      </w:pPr>
      <w:r>
        <w:rPr>
          <w:b w:val="0"/>
          <w:i/>
        </w:rPr>
        <w:t>Entrepreneurs are sitting on the sidelines for fear of innocently running afoul of the law.</w:t>
      </w:r>
    </w:p>
    <w:p>
      <w:pPr>
        <w:pStyle w:val="ListNumber"/>
      </w:pPr>
      <w:r>
        <w:rPr>
          <w:b w:val="0"/>
          <w:i w:val="0"/>
        </w:rPr>
        <w:t>by Stephen J. Obie and Mark W. Rasmussen</w:t>
      </w:r>
    </w:p>
    <w:p>
      <w:pPr>
        <w:pStyle w:val="ListNumber"/>
      </w:pPr>
      <w:r>
        <w:rPr>
          <w:b/>
          <w:i w:val="0"/>
        </w:rPr>
        <w:t>15.  Using Blockchain to Keep Public Data Public</w:t>
      </w:r>
    </w:p>
    <w:p>
      <w:pPr>
        <w:pStyle w:val="ListNumber"/>
      </w:pPr>
      <w:r>
        <w:rPr>
          <w:b w:val="0"/>
          <w:i/>
        </w:rPr>
        <w:t>Information is under attack.</w:t>
      </w:r>
    </w:p>
    <w:p>
      <w:pPr>
        <w:pStyle w:val="ListNumber"/>
      </w:pPr>
      <w:r>
        <w:rPr>
          <w:b w:val="0"/>
          <w:i w:val="0"/>
        </w:rPr>
        <w:t>by Brian Forde</w:t>
      </w:r>
    </w:p>
    <w:p>
      <w:pPr>
        <w:pStyle w:val="ListNumber"/>
      </w:pPr>
      <w:r>
        <w:rPr>
          <w:b/>
          <w:i w:val="0"/>
        </w:rPr>
        <w:t>16.  Blockchain Will Help Us Prove Our Identities in a Digital World</w:t>
      </w:r>
    </w:p>
    <w:p>
      <w:pPr>
        <w:pStyle w:val="ListNumber"/>
      </w:pPr>
      <w:r>
        <w:rPr>
          <w:b w:val="0"/>
          <w:i/>
        </w:rPr>
        <w:t>And the benefits will accrue to all rungs of society.</w:t>
      </w:r>
    </w:p>
    <w:p>
      <w:pPr>
        <w:pStyle w:val="ListNumber"/>
      </w:pPr>
      <w:r>
        <w:rPr>
          <w:b w:val="0"/>
          <w:i w:val="0"/>
        </w:rPr>
        <w:t>by Michael Mainelli</w:t>
      </w:r>
    </w:p>
    <w:p>
      <w:pPr>
        <w:pStyle w:val="ListNumber"/>
      </w:pPr>
      <w:r>
        <w:rPr>
          <w:b/>
          <w:i w:val="0"/>
        </w:rPr>
        <w:t>17.  Making Cryptocurrency More Environmentally Sustainable</w:t>
      </w:r>
    </w:p>
    <w:p>
      <w:pPr>
        <w:pStyle w:val="ListNumber"/>
      </w:pPr>
      <w:r>
        <w:rPr>
          <w:b w:val="0"/>
          <w:i/>
        </w:rPr>
        <w:t>In one year, blockchain activity used more power than 159 individual nations.</w:t>
      </w:r>
    </w:p>
    <w:p>
      <w:pPr>
        <w:pStyle w:val="ListNumber"/>
      </w:pPr>
      <w:r>
        <w:rPr>
          <w:b w:val="0"/>
          <w:i w:val="0"/>
        </w:rPr>
        <w:t>by Marc Blinder</w:t>
      </w:r>
    </w:p>
    <w:p>
      <w:pPr>
        <w:pStyle w:val="ListNumber"/>
      </w:pPr>
      <w:r>
        <w:rPr>
          <w:b w:val="0"/>
          <w:i w:val="0"/>
        </w:rPr>
        <w:t>About the Contributors</w:t>
      </w:r>
    </w:p>
    <w:p>
      <w:pPr>
        <w:pStyle w:val="ListNumber"/>
      </w:pPr>
      <w:r>
        <w:rPr>
          <w:b w:val="0"/>
          <w:i w:val="0"/>
        </w:rPr>
        <w:t>Index</w:t>
      </w:r>
    </w:p>
    <w:p>
      <w:pPr>
        <w:pStyle w:val="Heading1"/>
      </w:pPr>
      <w:r>
        <w:rPr>
          <w:b/>
          <w:i w:val="0"/>
        </w:rPr>
        <w:t>Introduction</w:t>
      </w:r>
    </w:p>
    <w:p>
      <w:r>
        <w:rPr>
          <w:b/>
          <w:i w:val="0"/>
        </w:rPr>
        <w:t>BLOCKCHAIN AND THE DATA INTEGRITY REVOLUTION</w:t>
      </w:r>
    </w:p>
    <w:p>
      <w:r>
        <w:rPr>
          <w:b w:val="0"/>
          <w:i w:val="0"/>
        </w:rPr>
        <w:t>by Catherine Tucker</w:t>
      </w:r>
    </w:p>
    <w:p>
      <w:r>
        <w:rPr>
          <w:b w:val="0"/>
          <w:i w:val="0"/>
        </w:rPr>
        <w:t>While the dizzying evolution of the internet has transformed how we access data and communicate, advances in data integrity and storage have limped along. We can use the internet to instantaneously pinpoint an obscure eatery in Borneo, watch cat videos, or share our views worldwide. But even with the advent of cloud storage technologies, data still gets lost, corrupted, censored, accidentally deleted, hacked, stolen, and destroyed.</w:t>
      </w:r>
    </w:p>
    <w:p>
      <w:r>
        <w:rPr>
          <w:b w:val="0"/>
          <w:i w:val="0"/>
        </w:rPr>
        <w:t xml:space="preserve">Blockchain could eliminate all of these problems. Pioneered in 2008 as a method of verifying cryptocurrency transactions, blockchain consists of a time-stamped, append-only series of blocks of immutable data that is not owned by any single entity. Once a </w:t>
      </w:r>
      <w:r>
        <w:rPr>
          <w:b w:val="0"/>
          <w:i/>
        </w:rPr>
        <w:t>block</w:t>
      </w:r>
      <w:r>
        <w:rPr>
          <w:b w:val="0"/>
          <w:i w:val="0"/>
        </w:rPr>
        <w:t xml:space="preserve"> of data is added to the </w:t>
      </w:r>
      <w:r>
        <w:rPr>
          <w:b w:val="0"/>
          <w:i/>
        </w:rPr>
        <w:t>chain</w:t>
      </w:r>
      <w:r>
        <w:rPr>
          <w:b w:val="0"/>
          <w:i w:val="0"/>
        </w:rPr>
        <w:t xml:space="preserve"> using cryptography, it can’t be removed or modified. Bad actors can’t change it. Censors can’t remove it. Hackers can’t steal what’s already been shared. It might be as revolutionary for data integrity and recording as the internet has been for data access.</w:t>
      </w:r>
    </w:p>
    <w:p>
      <w:r>
        <w:rPr>
          <w:b w:val="0"/>
          <w:i w:val="0"/>
        </w:rPr>
        <w:t>Better data integrity brings new possibilities. So many business decisions rest on knowing that the data we have actually reflects reality. Take, for example, supply chain: If it were possible, by reviewing a blockchain, to know with certainty that inventory was in a particular place, or arrived or left at a particular time, the cost of verifying its presence would steeply decline. And since these time-stamped transaction records couldn’t be manipulated, the likelihood of fraud would drop just as sharply. In so many other industries and functions, blockchain could reduce frictions and shrink bureaucracy to the point where entirely new business models are possible. This book will help you understand what will change, when, and how to prepare.</w:t>
      </w:r>
    </w:p>
    <w:p>
      <w:r>
        <w:rPr>
          <w:b w:val="0"/>
          <w:i w:val="0"/>
        </w:rPr>
        <w:t>As a professor at MIT who focuses on the digital economy and as a cofounder of the MIT crypto-economics lab, I spend a lot of time researching how blockchain will affect industry. Blockchain’s impact may be slow-moving, but it could ultimately be staggering. Decades may pass before the ramifications of profound new technologies and innovations emerge, and the changes they bring tend not to happen where one might expect. Volta invented the electric battery in 1800, but the development of one that was useful for industrial applications took at least sixty years. After the dot-com bust in 2000, it would have been easy to conclude that the internet held limited potential as a way to sell goods.</w:t>
      </w:r>
    </w:p>
    <w:p>
      <w:r>
        <w:rPr>
          <w:b w:val="0"/>
          <w:i w:val="0"/>
        </w:rPr>
        <w:t>Now, with the bursting of the bitcoin bubble and the high-profile stumbles of several blockchain-based startups, some people are going to make similar mistakes. Don’t write off blockchain, and don’t ignore it because it seems too complicated—misjudging the pivotal moment we are living in could leave your business struggling to catch up. How many companies that underestimated the internet would like to do the year 2000 over again if they could?</w:t>
      </w:r>
    </w:p>
    <w:p>
      <w:r>
        <w:rPr>
          <w:b w:val="0"/>
          <w:i/>
        </w:rPr>
        <w:t>Blockchain: The Insights You Need from Harvard Business Review</w:t>
      </w:r>
      <w:r>
        <w:rPr>
          <w:b w:val="0"/>
          <w:i w:val="0"/>
        </w:rPr>
        <w:t xml:space="preserve"> will tell you what you need to know now and will help you better predict how it will affect your business and industry. It will help nontechnical leaders, including executives, board members, and managers in any role, get up to speed. The book is divided into three sections:</w:t>
      </w:r>
    </w:p>
    <w:p>
      <w:pPr>
        <w:pStyle w:val="ListBullet"/>
      </w:pPr>
      <w:r>
        <w:rPr>
          <w:b w:val="0"/>
          <w:i w:val="0"/>
        </w:rPr>
        <w:t>Understanding Blockchain is a deep dive into what blockchain is, covering its history, its current trajectory, and its design, and what it can and cannot do.</w:t>
      </w:r>
    </w:p>
    <w:p>
      <w:pPr>
        <w:pStyle w:val="ListBullet"/>
      </w:pPr>
      <w:r>
        <w:rPr>
          <w:b w:val="0"/>
          <w:i w:val="0"/>
        </w:rPr>
        <w:t>Blockchain and Business looks at how business is using blockchain today, thinking about finance, payments, supply chains, marketing, and the creative industry.</w:t>
      </w:r>
    </w:p>
    <w:p>
      <w:pPr>
        <w:pStyle w:val="ListBullet"/>
      </w:pPr>
      <w:r>
        <w:rPr>
          <w:b w:val="0"/>
          <w:i w:val="0"/>
        </w:rPr>
        <w:t>The Future of Blockchain explores blockchain’s power to affect notions of privacy, surveillance, government regulation, and environmental sustainability.</w:t>
      </w:r>
    </w:p>
    <w:p>
      <w:r>
        <w:rPr>
          <w:b w:val="0"/>
          <w:i w:val="0"/>
        </w:rPr>
        <w:t>Throughout the book, ask yourself several important questions to better understand how blockchain could help (or disrupt) your business, industry, or society as a whole:</w:t>
      </w:r>
    </w:p>
    <w:p>
      <w:pPr>
        <w:pStyle w:val="ListNumber"/>
      </w:pPr>
      <w:r>
        <w:rPr>
          <w:b w:val="0"/>
          <w:i w:val="0"/>
        </w:rPr>
        <w:t>Could this outcome have happened without blockchain technology? What value is blockchain technology really adding here?</w:t>
      </w:r>
    </w:p>
    <w:p>
      <w:pPr>
        <w:pStyle w:val="ListNumber"/>
      </w:pPr>
      <w:r>
        <w:rPr>
          <w:b w:val="0"/>
          <w:i w:val="0"/>
        </w:rPr>
        <w:t>Is the true value of blockchain that the data placed on the blockchain has more integrity, or is the primary value derived from the fact that the data structure is decentralized and no one owns the data?</w:t>
      </w:r>
    </w:p>
    <w:p>
      <w:pPr>
        <w:pStyle w:val="ListNumber"/>
      </w:pPr>
      <w:r>
        <w:rPr>
          <w:b w:val="0"/>
          <w:i w:val="0"/>
        </w:rPr>
        <w:t>Which firms’ business models are most at risk from blockchain? Is it banks, insurance companies, digital platforms like Google, or something else that no one has spotted yet?</w:t>
      </w:r>
    </w:p>
    <w:p>
      <w:pPr>
        <w:pStyle w:val="ListNumber"/>
      </w:pPr>
      <w:r>
        <w:rPr>
          <w:b w:val="0"/>
          <w:i w:val="0"/>
        </w:rPr>
        <w:t>Will governments adopt blockchain? Will they use it for currency, for record keeping, or for additional purposes? What would be the unique consequences of replacing older technologies with blockchain-based systems in the governmental context?</w:t>
      </w:r>
    </w:p>
    <w:p>
      <w:pPr>
        <w:pStyle w:val="ListNumber"/>
      </w:pPr>
      <w:r>
        <w:rPr>
          <w:b w:val="0"/>
          <w:i w:val="0"/>
        </w:rPr>
        <w:t>Since no one owns it, who will be the ultimate beneficiary of blockchain? Incumbents or upstarts, companies or people, people who want privacy or people who don’t, governments or dissidents?</w:t>
      </w:r>
    </w:p>
    <w:p>
      <w:r>
        <w:rPr>
          <w:b w:val="0"/>
          <w:i w:val="0"/>
        </w:rPr>
        <w:t>At this early stage of blockchain adoption, we can acknowledge that even as we can’t yet be sure how blockchain technology will change society, we shouldn’t sit back and watch transformation happen without us. The insights in this volume sketch out how major industries, governments, marketing practices, and investment patterns could change substantially once data integrity has leaped forward. Use them to prepare yourself and your company for the promising blockchain future.</w:t>
      </w:r>
    </w:p>
    <w:p>
      <w:pPr>
        <w:pStyle w:val="Heading1"/>
      </w:pPr>
      <w:r>
        <w:rPr>
          <w:b/>
          <w:i w:val="0"/>
        </w:rPr>
        <w:t>Section 1</w:t>
      </w:r>
    </w:p>
    <w:p>
      <w:pPr>
        <w:pStyle w:val="Heading1"/>
      </w:pPr>
      <w:r>
        <w:rPr>
          <w:b/>
          <w:i w:val="0"/>
        </w:rPr>
        <w:t>UNDERSTANDING BLOCKCHAIN</w:t>
      </w:r>
    </w:p>
    <w:p>
      <w:pPr>
        <w:pStyle w:val="Heading1"/>
      </w:pPr>
      <w:r>
        <w:rPr>
          <w:b/>
          <w:i w:val="0"/>
        </w:rPr>
        <w:t>1</w:t>
      </w:r>
    </w:p>
    <w:p>
      <w:pPr>
        <w:pStyle w:val="Heading1"/>
      </w:pPr>
      <w:r>
        <w:rPr>
          <w:b/>
          <w:i w:val="0"/>
        </w:rPr>
        <w:t>THE TRUTH ABOUT BLOCKCHAIN</w:t>
      </w:r>
    </w:p>
    <w:p>
      <w:r>
        <w:rPr>
          <w:b w:val="0"/>
          <w:i w:val="0"/>
        </w:rPr>
        <w:t>by Marco Iansiti and Karim R. Lakhani</w:t>
      </w:r>
    </w:p>
    <w:p>
      <w:r>
        <w:rPr>
          <w:b w:val="0"/>
          <w:i w:val="0"/>
        </w:rPr>
        <w:t>Contracts, transactions, and the records of them are among the defining structures in our economic, legal, and political systems. They protect assets and set organizational boundaries. They establish and verify identities and chronicle events. They govern interactions among nations, organizations, communities, and individuals. They guide managerial and social action. And yet these critical tools and the bureaucracies formed to manage them have not kept up with the economy’s digital transformation. They’re like a rush-hour gridlock trapping a Formula 1 race car. In a digital world, the way we regulate and maintain administrative control has to change.</w:t>
      </w:r>
    </w:p>
    <w:p>
      <w:r>
        <w:rPr>
          <w:b w:val="0"/>
          <w:i w:val="0"/>
        </w:rPr>
        <w:t>Blockchain promises to solve this problem. The technology at the heart of bitcoin and other virtual currencies, blockchain is an open, distributed ledger that can record transactions between two parties efficiently and in a verifiable and permanent way. The ledger itself can also be programmed to trigger transactions automatically. (See the sidebar “How Blockchain Works.”)</w:t>
      </w:r>
    </w:p>
    <w:p>
      <w:r>
        <w:rPr>
          <w:b/>
          <w:i w:val="0"/>
        </w:rPr>
        <w:t>How Blockchain Works</w:t>
      </w:r>
    </w:p>
    <w:p>
      <w:r>
        <w:rPr>
          <w:b w:val="0"/>
          <w:i w:val="0"/>
        </w:rPr>
        <w:t>Here are five basic principles underlying the technology.</w:t>
      </w:r>
    </w:p>
    <w:p>
      <w:pPr>
        <w:pStyle w:val="ListNumber"/>
      </w:pPr>
      <w:r>
        <w:rPr>
          <w:b w:val="0"/>
          <w:i w:val="0"/>
        </w:rPr>
        <w:t>Distributed database. Each party on a blockchain has access to the entire database and its complete history. No single party controls the data or the information. Every party can verify the records of its transaction partners directly, without an intermediary.</w:t>
      </w:r>
    </w:p>
    <w:p>
      <w:pPr>
        <w:pStyle w:val="ListNumber"/>
      </w:pPr>
      <w:r>
        <w:rPr>
          <w:b w:val="0"/>
          <w:i w:val="0"/>
        </w:rPr>
        <w:t>Peer-to-peer transmission. Communication occurs directly between peers instead of through a central node. Each node stores and forwards information to all other nodes.</w:t>
      </w:r>
    </w:p>
    <w:p>
      <w:pPr>
        <w:pStyle w:val="ListNumber"/>
      </w:pPr>
      <w:r>
        <w:rPr>
          <w:b w:val="0"/>
          <w:i w:val="0"/>
        </w:rPr>
        <w:t>Transparency with pseudonymity. Every transaction and its associated value are visible to anyone with access to the system. Each node, or user, on a blockchain has a unique 30-plus-character alphanumeric address that identifies it. Users can choose to remain anonymous or provide proof of their identity to others. Transactions occur between blockchain addresses.</w:t>
      </w:r>
    </w:p>
    <w:p>
      <w:pPr>
        <w:pStyle w:val="ListNumber"/>
      </w:pPr>
      <w:r>
        <w:rPr>
          <w:b w:val="0"/>
          <w:i w:val="0"/>
        </w:rPr>
        <w:t>Irreversibility of records. Once a transaction is entered in the database and the accounts are updated, the records cannot be altered, because they’re linked to every transaction record that came before them (hence the term “chain”). Various computational algorithms and approaches are deployed to ensure that the recording on the database is permanent, chronologically ordered, and available to all others on the network.</w:t>
      </w:r>
    </w:p>
    <w:p>
      <w:pPr>
        <w:pStyle w:val="ListNumber"/>
      </w:pPr>
      <w:r>
        <w:rPr>
          <w:b w:val="0"/>
          <w:i w:val="0"/>
        </w:rPr>
        <w:t>Computational logic. The digital nature of the ledger means that blockchain transactions can be tied to computational logic and in essence programmed. So users can set up algorithms and rules that automatically trigger transactions between nodes.</w:t>
      </w:r>
    </w:p>
    <w:p>
      <w:r>
        <w:rPr>
          <w:b w:val="0"/>
          <w:i w:val="0"/>
        </w:rPr>
        <w:t>With blockchain, we can imagine a world in which contracts are embedded in digital code and stored in transparent, shared databases, where they are protected from deletion, tampering, and revision. In this world every agreement, every process, every task, and every payment would have a digital record and signature that could be identified, validated, stored, and shared. Intermediaries like lawyers, brokers, and bankers might no longer be necessary. Individuals, organizations, machines, and algorithms would freely transact and interact with one another with little friction. This is the immense potential of blockchain.</w:t>
      </w:r>
    </w:p>
    <w:p>
      <w:r>
        <w:rPr>
          <w:b w:val="0"/>
          <w:i w:val="0"/>
        </w:rPr>
        <w:t>Indeed, virtually everyone has heard the claim that blockchain will revolutionize business and redefine companies and economies. Although we share the enthusiasm for its potential, we worry about the hype. It’s not just security issues (such as the 2014 collapse of one bitcoin exchange and the more recent hacks of others) that concern us. Our experience studying technological innovation tells us that if there’s to be a blockchain revolution, many barriers—technological, governance, organizational, and even societal—will have to fall. It would be a mistake to rush headlong into blockchain innovation without understanding how it is likely to take hold.</w:t>
      </w:r>
    </w:p>
    <w:p>
      <w:r>
        <w:rPr>
          <w:b w:val="0"/>
          <w:i w:val="0"/>
        </w:rPr>
        <w:t xml:space="preserve">True blockchain-led transformation of business and government, we believe, is still many years away. That’s because blockchain is not a “disruptive” technology, which can attack a traditional business model with a lower-cost solution and overtake incumbent firms quickly. Blockchain is a </w:t>
      </w:r>
      <w:r>
        <w:rPr>
          <w:b w:val="0"/>
          <w:i/>
        </w:rPr>
        <w:t>foundational</w:t>
      </w:r>
      <w:r>
        <w:rPr>
          <w:b w:val="0"/>
          <w:i w:val="0"/>
        </w:rPr>
        <w:t xml:space="preserve"> technology: It has the potential to create new foundations for our economic and social systems. But while the impact will be enormous, it will take decades for blockchain to seep into our economic and social infrastructure. The process of adoption will be gradual and steady, not sudden, as waves of technological and institutional change gain momentum. That insight and its strategic implications are what we’ll explore in this article.</w:t>
      </w:r>
    </w:p>
    <w:p>
      <w:pPr>
        <w:pStyle w:val="Heading2"/>
      </w:pPr>
      <w:r>
        <w:rPr>
          <w:b/>
          <w:i w:val="0"/>
        </w:rPr>
        <w:t>Patterns of Technology Adoption</w:t>
      </w:r>
    </w:p>
    <w:p>
      <w:r>
        <w:rPr>
          <w:b w:val="0"/>
          <w:i w:val="0"/>
        </w:rPr>
        <w:t>Before jumping into blockchain strategy and investment, let’s reflect on what we know about technology adoption and, in particular, the transformation process typical of other foundational technologies. One of the most relevant examples is distributed computer networking technology, seen in the adoption of TCP/IP (transmission control protocol/internet protocol), which laid the groundwork for the development of the internet.</w:t>
      </w:r>
    </w:p>
    <w:p>
      <w:r>
        <w:rPr>
          <w:b w:val="0"/>
          <w:i w:val="0"/>
        </w:rPr>
        <w:t xml:space="preserve">Introduced in 1972, TCP/IP first gained traction in a </w:t>
      </w:r>
      <w:r>
        <w:rPr>
          <w:b w:val="0"/>
          <w:i/>
        </w:rPr>
        <w:t>single-use</w:t>
      </w:r>
      <w:r>
        <w:rPr>
          <w:b w:val="0"/>
          <w:i w:val="0"/>
        </w:rPr>
        <w:t xml:space="preserve"> case: as the basis for email among the researchers on ARPANET, the U.S. Department of Defense precursor to the commercial internet. Before TCP/IP, telecommunications architecture was based on “circuit switching,” in which connections between two parties or machines had to be preestablished and sustained throughout an exchange. To ensure that any two nodes could communicate, telecom service providers and equipment manufacturers had invested billions in building dedicated lines.</w:t>
      </w:r>
    </w:p>
    <w:p>
      <w:r>
        <w:rPr>
          <w:b w:val="0"/>
          <w:i w:val="0"/>
        </w:rPr>
        <w:t>TCP/IP turned that model on its head. The new protocol transmitted information by digitizing it and breaking it up into very small packets, each including address information. Once released into the network, the packets could take any route to the recipient. Smart sending and receiving nodes at the network’s edges could disassemble and reassemble the packets and interpret the encoded data. There was no need for dedicated private lines or massive infrastructure. TCP/IP created an open, shared public network without any central authority or party responsible for its maintenance and improvement.</w:t>
      </w:r>
    </w:p>
    <w:p>
      <w:r>
        <w:rPr>
          <w:b w:val="0"/>
          <w:i w:val="0"/>
        </w:rPr>
        <w:t xml:space="preserve">Traditional telecommunications and computing sectors looked on TCP/IP with skepticism. Few imagined that robust data, messaging, voice, and video connections could be established on the new architecture or that the associated system could be secure and scale up. But during the late 1980s and 1990s, a growing number of firms, such as Sun, NeXT, Hewlett-Packard, and Silicon Graphics, used TCP/IP, in part to create </w:t>
      </w:r>
      <w:r>
        <w:rPr>
          <w:b w:val="0"/>
          <w:i/>
        </w:rPr>
        <w:t>localized</w:t>
      </w:r>
      <w:r>
        <w:rPr>
          <w:b w:val="0"/>
          <w:i w:val="0"/>
        </w:rPr>
        <w:t xml:space="preserve"> private networks within organizations. To do so, they developed building blocks and tools that broadened its use beyond email, gradually replacing more-traditional local network technologies and standards. As organizations adopted these building blocks and tools, they saw dramatic gains in productivity.</w:t>
      </w:r>
    </w:p>
    <w:p>
      <w:r>
        <w:rPr>
          <w:b w:val="0"/>
          <w:i w:val="0"/>
        </w:rPr>
        <w:t>TCP/IP burst into broad public use with the advent of the World Wide Web in the mid-1990s. New technology companies quickly emerged to provide the “plumbing”—the hardware, software, and services needed to connect to the now-public network and exchange information. Netscape commercialized browsers, web servers, and other tools and components that aided the development and adoption of internet services and applications. Sun drove the development of Java, the application-programming language. As information on the web grew exponentially, Infoseek, Excite, AltaVista, and Yahoo were born to guide users around it.</w:t>
      </w:r>
    </w:p>
    <w:p>
      <w:r>
        <w:rPr>
          <w:b w:val="0"/>
          <w:i w:val="0"/>
        </w:rPr>
        <w:t xml:space="preserve">Once this basic infrastructure gained critical mass, a new generation of companies took advantage of low-cost connectivity by creating internet services that were compelling </w:t>
      </w:r>
      <w:r>
        <w:rPr>
          <w:b w:val="0"/>
          <w:i/>
        </w:rPr>
        <w:t>substitutes</w:t>
      </w:r>
      <w:r>
        <w:rPr>
          <w:b w:val="0"/>
          <w:i w:val="0"/>
        </w:rPr>
        <w:t xml:space="preserve"> for existing businesses. CNET moved news online. Amazon offered more books for sale than any bookshop. Priceline and Expedia made it easier to buy airline tickets and brought unprecedented transparency to the process. The ability of these newcomers to get extensive reach at relatively low cost put significant pressure on traditional businesses like newspapers and brick-and-mortar retailers.</w:t>
      </w:r>
    </w:p>
    <w:p>
      <w:r>
        <w:rPr>
          <w:b w:val="0"/>
          <w:i w:val="0"/>
        </w:rPr>
        <w:t xml:space="preserve">Relying on broad internet connectivity, the next wave of companies created novel, </w:t>
      </w:r>
      <w:r>
        <w:rPr>
          <w:b w:val="0"/>
          <w:i/>
        </w:rPr>
        <w:t>transformative</w:t>
      </w:r>
      <w:r>
        <w:rPr>
          <w:b w:val="0"/>
          <w:i w:val="0"/>
        </w:rPr>
        <w:t xml:space="preserve"> applications that fundamentally changed the way businesses created and captured value. These companies were built on a new peer-to-peer architecture and generated value by coordinating distributed networks of users. Think of how eBay changed online retail through auctions, Napster changed the music industry, Skype changed telecommunications, and Google, which exploited user-generated links to provide more relevant results, changed web search.</w:t>
      </w:r>
    </w:p>
    <w:p>
      <w:r>
        <w:rPr>
          <w:b w:val="0"/>
          <w:i w:val="0"/>
        </w:rPr>
        <w:t>Ultimately, it took more than 30 years for TCP/IP to move through all the phases—single use, localized use, substitution, and transformation—and reshape the economy. Today more than half the world’s most valuable public companies have internet-driven, platform-based business models. The very foundations of our economy have changed. Physical scale and unique intellectual property no longer confer unbeatable advantages; increasingly, the economic leaders are enterprises that act as “keystones,” proactively organizing, influencing, and coordinating widespread networks of communities, users, and organizations.</w:t>
      </w:r>
    </w:p>
    <w:p>
      <w:pPr>
        <w:pStyle w:val="Heading2"/>
      </w:pPr>
      <w:r>
        <w:rPr>
          <w:b/>
          <w:i w:val="0"/>
        </w:rPr>
        <w:t>The New Architecture</w:t>
      </w:r>
    </w:p>
    <w:p>
      <w:r>
        <w:rPr>
          <w:b w:val="0"/>
          <w:i w:val="0"/>
        </w:rPr>
        <w:t>Blockchain—a peer-to-peer network that sits on top of the internet—was introduced in October 2008 as part of a proposal for bitcoin, a virtual currency system that eschewed a central authority for issuing currency, transferring ownership, and confirming transactions. Bitcoin is the first application of blockchain technology.</w:t>
      </w:r>
    </w:p>
    <w:p>
      <w:r>
        <w:rPr>
          <w:b w:val="0"/>
          <w:i w:val="0"/>
        </w:rPr>
        <w:t>The parallels between blockchain and TCP/IP are clear. Just as email enabled bilateral messaging, bitcoin enables bilateral financial transactions. The development and maintenance of blockchain is open, distributed, and shared—just like TCP/IP’s. A team of volunteers around the world maintains the core software. And just like email, bitcoin first caught on with an enthusiastic but relatively small community.</w:t>
      </w:r>
    </w:p>
    <w:p>
      <w:r>
        <w:rPr>
          <w:b w:val="0"/>
          <w:i w:val="0"/>
        </w:rPr>
        <w:t>TCP/IP unlocked new economic value by dramatically lowering the cost of connections. Similarly, blockchain could dramatically reduce the cost of transactions. It has the potential to become the system of record for all transactions. If that happens, the economy will once again undergo a radical shift, as new, blockchain-based sources of influence and control emerge.</w:t>
      </w:r>
    </w:p>
    <w:p>
      <w:r>
        <w:rPr>
          <w:b w:val="0"/>
          <w:i w:val="0"/>
        </w:rPr>
        <w:t>Consider how business works now. Keeping ongoing records of transactions is a core function of any business. Those records track past actions and performance and guide planning for the future. They provide a view not only of how the organization works internally but also of the organization’s outside relationships. Every organization keeps its own records, and they’re private. Many organizations have no master ledger of all their activities; instead records are distributed across internal units and functions. The problem is, reconciling transactions across individual and private ledgers takes a lot of time and is prone to error.</w:t>
      </w:r>
    </w:p>
    <w:p>
      <w:r>
        <w:rPr>
          <w:b w:val="0"/>
          <w:i w:val="0"/>
        </w:rPr>
        <w:t>For example, a typical stock transaction can be executed within microseconds, often without human intervention. However, the settlement—the ownership transfer of the stock—can take as long as a week. That’s because the parties have no access to each other’s ledgers and can’t automatically verify that the assets are in fact owned and can be transferred. Instead a series of intermediaries act as guarantors of assets as the record of the transaction traverses organizations and the ledgers are individually updated.</w:t>
      </w:r>
    </w:p>
    <w:p>
      <w:r>
        <w:rPr>
          <w:b w:val="0"/>
          <w:i w:val="0"/>
        </w:rPr>
        <w:t>In a blockchain system, the ledger is replicated in a large number of identical databases, each hosted and maintained by an interested party. When changes are entered in one copy, all the other copies are simultaneously updated. So as transactions occur, records of the value and assets exchanged are permanently entered in all ledgers. There is no need for third-party intermediaries to verify or transfer ownership. If a stock transaction took place on a blockchain-based system, it would be settled within seconds, securely and verifiably. (The infamous hacks that have hit bitcoin exchanges exposed weaknesses not in the blockchain itself but in separate systems linked to parties using the blockchain.)</w:t>
      </w:r>
    </w:p>
    <w:p>
      <w:pPr>
        <w:pStyle w:val="Heading2"/>
      </w:pPr>
      <w:r>
        <w:rPr>
          <w:b/>
          <w:i w:val="0"/>
        </w:rPr>
        <w:t>A Framework for Blockchain Adoption</w:t>
      </w:r>
    </w:p>
    <w:p>
      <w:r>
        <w:rPr>
          <w:b w:val="0"/>
          <w:i w:val="0"/>
        </w:rPr>
        <w:t>If bitcoin is like early email, is blockchain decades from reaching its full potential? In our view the answer is a qualified yes. We can’t predict exactly how many years the transformation will take, but we can guess which kinds of applications will gain traction first and how blockchain’s broad acceptance will eventually come about.</w:t>
      </w:r>
    </w:p>
    <w:p>
      <w:r>
        <w:rPr>
          <w:b w:val="0"/>
          <w:i w:val="0"/>
        </w:rPr>
        <w:t>In our analysis, history suggests that two dimensions affect how a foundational technology and its business use cases evolve. The first is novelty—the degree to which an application is new to the world. The more novel it is, the more effort will be required to ensure that users understand what problems it solves. The second dimension is complexity, represented by the level of ecosystem coordination involved—the number and diversity of parties that need to work together to produce value with the technology. For example, a social network with just one member is of little use; a social network is worthwhile only when many of your own connections have signed on to it. Other users of the application must be brought on board to generate value for all participants. The same will be true for many blockchain applications. And, as the scale and impact of those applications increase, their adoption will require significant institutional change.</w:t>
      </w:r>
    </w:p>
    <w:p>
      <w:r>
        <w:rPr>
          <w:b w:val="0"/>
          <w:i w:val="0"/>
        </w:rPr>
        <w:t>We’ve developed a framework that maps innovations against these two contextual dimensions, dividing them into quadrants. (See figure 1-1.) Each quadrant represents a stage of technology development. Identifying which one a blockchain innovation falls into will help executives understand the types of challenges it presents, the level of collaboration and consensus it needs, and the legislative and regulatory efforts it will require. The map will also suggest what kind of processes and infrastructure must be established to facilitate the innovation’s adoption. Managers can use it to assess the state of blockchain development in any industry, as well as to evaluate strategic investments in their own blockchain capabilities.</w:t>
      </w:r>
    </w:p>
    <w:p>
      <w:r>
        <w:rPr>
          <w:b/>
          <w:i w:val="0"/>
        </w:rPr>
        <w:t>FIGURE 1-1</w:t>
      </w:r>
    </w:p>
    <w:p>
      <w:r>
        <w:rPr>
          <w:b/>
          <w:i w:val="0"/>
        </w:rPr>
        <w:t>How foundational technologies take hold</w:t>
      </w:r>
    </w:p>
    <w:p>
      <w:r>
        <w:rPr>
          <w:b w:val="0"/>
          <w:i w:val="0"/>
        </w:rPr>
        <w:t>The adoption of foundational technologies typically happens in four phases. Each phase is defined by the novelty of the applications and the complexity of the coordination efforts needed to make them workable. Applications low in novelty and complexity gain acceptance first. Applications high in novelty and complexity take decades to evolve but can transform the economy. TCP/IP technology, introduced on ARPANET in 1972, has already reached the transformation phase, but blockchain applications (in white) are in their early days.</w:t>
      </w:r>
    </w:p>
    <w:p>
      <w:pPr>
        <w:jc w:val="center"/>
      </w:pPr>
      <w:r>
        <w:drawing>
          <wp:inline xmlns:a="http://schemas.openxmlformats.org/drawingml/2006/main" xmlns:pic="http://schemas.openxmlformats.org/drawingml/2006/picture">
            <wp:extent cx="6680200" cy="6134100"/>
            <wp:docPr id="70" name="Picture 70"/>
            <wp:cNvGraphicFramePr>
              <a:graphicFrameLocks noChangeAspect="1"/>
            </wp:cNvGraphicFramePr>
            <a:graphic>
              <a:graphicData uri="http://schemas.openxmlformats.org/drawingml/2006/picture">
                <pic:pic>
                  <pic:nvPicPr>
                    <pic:cNvPr id="0" name="epub_img_1188719403791794096.jpg"/>
                    <pic:cNvPicPr/>
                  </pic:nvPicPr>
                  <pic:blipFill>
                    <a:blip r:embed="rId55"/>
                    <a:stretch>
                      <a:fillRect/>
                    </a:stretch>
                  </pic:blipFill>
                  <pic:spPr>
                    <a:xfrm>
                      <a:off x="0" y="0"/>
                      <a:ext cx="6680200" cy="6134100"/>
                    </a:xfrm>
                    <a:prstGeom prst="rect"/>
                  </pic:spPr>
                </pic:pic>
              </a:graphicData>
            </a:graphic>
          </wp:inline>
        </w:drawing>
      </w:r>
    </w:p>
    <w:p>
      <w:pPr>
        <w:pStyle w:val="Heading3"/>
      </w:pPr>
      <w:r>
        <w:rPr>
          <w:b w:val="0"/>
          <w:i w:val="0"/>
        </w:rPr>
        <w:t>Single use</w:t>
      </w:r>
    </w:p>
    <w:p>
      <w:r>
        <w:rPr>
          <w:b w:val="0"/>
          <w:i w:val="0"/>
        </w:rPr>
        <w:t>The low-novelty and low-coordination applications in the first quadrant create better, less costly, highly focused solutions. Email, a cheap alternative to phone calls, faxes, and snail mail, was a single-use application for TCP/IP (even though its value rose with the number of users). Bitcoin, too, falls into this quadrant. Even in its early days, bitcoin offered immediate value to the few people who used it simply as an alternative payment method. (You can think of it as a complex email that transfers not just information but also actual value.) At the end of 2016 the value of bitcoin transactions was expected to hit $92 billion. That’s still a rounding error compared with the $411 trillion in total global payments, but bitcoin is growing fast and increasingly important in contexts such as instant payments and foreign currency and asset trading, where the present financial system has limitations.</w:t>
      </w:r>
    </w:p>
    <w:p>
      <w:pPr>
        <w:pStyle w:val="Heading3"/>
      </w:pPr>
      <w:r>
        <w:rPr>
          <w:b w:val="0"/>
          <w:i w:val="0"/>
        </w:rPr>
        <w:t>Localization</w:t>
      </w:r>
    </w:p>
    <w:p>
      <w:r>
        <w:rPr>
          <w:b w:val="0"/>
          <w:i w:val="0"/>
        </w:rPr>
        <w:t>The second quadrant comprises innovations that are relatively high in novelty but need only a limited number of users to create immediate value, so it’s still relatively easy to promote their adoption. If blockchain follows the path network technologies took in business, we can expect blockchain innovations to build on single-use applications to create local private networks on which multiple organizations are connected through a distributed ledger.</w:t>
      </w:r>
    </w:p>
    <w:p>
      <w:r>
        <w:rPr>
          <w:b w:val="0"/>
          <w:i w:val="0"/>
        </w:rPr>
        <w:t>Much of the initial private blockchain-based development is taking place in the financial services sector, often within small networks of firms, so the coordination requirements are relatively modest. Nasdaq is working with Chain.com, one of many blockchain infrastructure providers, to offer technology for processing and validating financial transactions. Bank of America, JPMorgan, the New York Stock Exchange, Fidelity Investments, and Standard Chartered are testing blockchain technology as a replacement for paper-based and manual transaction processing in such areas as trade finance, foreign exchange, cross-border settlement, and securities settlement. The Bank of Canada is testing a digital currency called CAD-coin for interbank transfers. We anticipate a proliferation of private blockchains that serve specific purposes for various industries.</w:t>
      </w:r>
    </w:p>
    <w:p>
      <w:pPr>
        <w:pStyle w:val="Heading3"/>
      </w:pPr>
      <w:r>
        <w:rPr>
          <w:b w:val="0"/>
          <w:i w:val="0"/>
        </w:rPr>
        <w:t>Substitution</w:t>
      </w:r>
    </w:p>
    <w:p>
      <w:r>
        <w:rPr>
          <w:b w:val="0"/>
          <w:i w:val="0"/>
        </w:rPr>
        <w:t>The third quadrant contains applications that are relatively low in novelty because they build on existing single-use and localized applications but are high in coordination needs because they involve broader and increasingly public uses. These innovations aim to replace entire ways of doing business. They face high barriers to adoption, however; not only do they require more coordination but the processes they hope to replace may be full-blown and deeply embedded within organizations and institutions. Examples of substitutes include cryptocurrencies—new, fully formed currency systems that have grown out of the simple bitcoin payment technology. The critical difference is that a cryptocurrency requires every party that does monetary transactions to adopt it, challenging governments and institutions that have long handled and overseen such transactions. Consumers also have to change their behavior and understand how to implement the new functional capability of the cryptocurrency.</w:t>
      </w:r>
    </w:p>
    <w:p>
      <w:r>
        <w:rPr>
          <w:b w:val="0"/>
          <w:i w:val="0"/>
        </w:rPr>
        <w:t>A recent experiment at MIT highlights the challenges ahead for digital currency systems. In 2014 the MIT Bitcoin Club provided each of MIT’s 4,494 undergraduates with $100 in bitcoin. Interestingly, 30% of the students did not even sign up for the free money, and 20% of the sign-ups converted the bitcoin to cash within a few weeks. Even the technically savvy had a tough time understanding how or where to use bitcoin.</w:t>
      </w:r>
    </w:p>
    <w:p>
      <w:r>
        <w:rPr>
          <w:b w:val="0"/>
          <w:i w:val="0"/>
        </w:rPr>
        <w:t>One of the most ambitious substitute blockchain applications is Stellar, a nonprofit that aims to bring affordable financial services, including banking, micropayments, and remittances, to people who’ve never had access to them. Stellar offers its own virtual currency, lumens, and also allows users to retain on its system a range of assets, including other currencies, telephone minutes, and data credits. Stellar initially focused on Africa, particularly Nigeria, the largest economy there. It has seen significant adoption among its target population and proved its cost-effectiveness. But its future is by no means certain, because the ecosystem coordination challenges are high. Although grassroots adoption has demonstrated the viability of Stellar, to become a banking standard, it will need to influence government policy and persuade central banks and large organizations to use it. That could take years of concerted effort.</w:t>
      </w:r>
    </w:p>
    <w:p>
      <w:pPr>
        <w:pStyle w:val="Heading3"/>
      </w:pPr>
      <w:r>
        <w:rPr>
          <w:b w:val="0"/>
          <w:i w:val="0"/>
        </w:rPr>
        <w:t>Transformation</w:t>
      </w:r>
    </w:p>
    <w:p>
      <w:r>
        <w:rPr>
          <w:b w:val="0"/>
          <w:i w:val="0"/>
        </w:rPr>
        <w:t>Into the last quadrant fall completely novel applications that, if successful, could change the very nature of economic, social, and political systems. They involve coordinating the activity of many actors and gaining institutional agreement on standards and processes. Their adoption will require major social, legal, and political change.</w:t>
      </w:r>
    </w:p>
    <w:p>
      <w:r>
        <w:rPr>
          <w:b w:val="0"/>
          <w:i w:val="0"/>
        </w:rPr>
        <w:t>“Smart contracts” may be the most transformative blockchain application at the moment. These automate payments and the transfer of currency or other assets as negotiated conditions are met. For example, a smart contract might send a payment to a supplier as soon as a shipment is delivered. A firm could signal via blockchain that a particular good has been received—or the product could have GPS functionality, which would automatically log a location update that, in turn, triggered a payment. We’ve already seen a few early experiments with such self-executing contracts in the areas of venture funding, banking, and digital rights management.</w:t>
      </w:r>
    </w:p>
    <w:p>
      <w:r>
        <w:rPr>
          <w:b w:val="0"/>
          <w:i w:val="0"/>
        </w:rPr>
        <w:t>The implications are fascinating. Firms are built on contracts, from incorporation to buyer-supplier relationships to employee relations. If contracts are automated, then what will happen to traditional firm structures, processes, and intermediaries like lawyers and accountants? And what about managers? Their roles would all radically change. Before we get too excited here, though, let’s remember that we are decades away from the widespread adoption of smart contracts. They cannot be effective, for instance, without institutional buy-in. A tremendous degree of coordination and clarity on how smart contracts are designed, verified, implemented, and enforced will be required. We believe the institutions responsible for those daunting tasks will take a long time to evolve. And the technology challenges—especially security—are daunting.</w:t>
      </w:r>
    </w:p>
    <w:p>
      <w:pPr>
        <w:pStyle w:val="Heading2"/>
      </w:pPr>
      <w:r>
        <w:rPr>
          <w:b/>
          <w:i w:val="0"/>
        </w:rPr>
        <w:t>Guiding Your Approach to Blockchain Investment</w:t>
      </w:r>
    </w:p>
    <w:p>
      <w:r>
        <w:rPr>
          <w:b w:val="0"/>
          <w:i w:val="0"/>
        </w:rPr>
        <w:t>How should executives think about blockchain for their own organizations? Our framework can help companies identify the right opportunities.</w:t>
      </w:r>
    </w:p>
    <w:p>
      <w:r>
        <w:rPr>
          <w:b w:val="0"/>
          <w:i w:val="0"/>
        </w:rPr>
        <w:t>For most, the easiest place to start is single-use applications, which minimize risk because they aren’t new and involve little coordination with third parties. One strategy is to add bitcoin as a payment mechanism. The infrastructure and market for bitcoin are already well developed, and adopting the virtual currency will force a variety of functions, including IT, finance, accounting, sales, and marketing, to build blockchain capabilities. Another low-risk approach is to use blockchain internally as a database for applications like managing physical and digital assets, recording internal transactions, and verifying identities. This may be an especially useful solution for companies struggling to reconcile multiple internal databases. Testing out single-use applications will help organizations develop the skills they need for more-advanced applications. And thanks to the emergence of cloud-based blockchain services from both startups and large platforms like Amazon and Microsoft, experimentation is getting easier all the time.</w:t>
      </w:r>
    </w:p>
    <w:p>
      <w:r>
        <w:rPr>
          <w:b w:val="0"/>
          <w:i w:val="0"/>
        </w:rPr>
        <w:t>Localized applications are a natural next step for companies. We’re seeing a lot of investment in private blockchain networks right now, and the projects involved seem poised for real short-term impact. Financial services companies, for example, are finding that the private blockchain networks they’ve set up with a limited number of trusted counterparties can significantly reduce transaction costs.</w:t>
      </w:r>
    </w:p>
    <w:p>
      <w:r>
        <w:rPr>
          <w:b w:val="0"/>
          <w:i w:val="0"/>
        </w:rPr>
        <w:t>Organizations can also tackle specific problems in transactions across boundaries with localized applications. Companies are already using blockchain to track items through complex supply chains, for instance. This is happening in the diamond industry, where gems are being traced from mines to consumers. The technology for such experiments is now available off-the-shelf.</w:t>
      </w:r>
    </w:p>
    <w:p>
      <w:r>
        <w:rPr>
          <w:b w:val="0"/>
          <w:i w:val="0"/>
        </w:rPr>
        <w:t>Developing substitute applications requires careful planning, since existing solutions may be difficult to dislodge. One way to go may be to focus on replacements that won’t require end users to change their behavior much but present alternatives to expensive or unattractive solutions. To get traction, substitutes must deliver functionality as good as a traditional solution’s and must be easy for the ecosystem to absorb and adopt. First Data’s foray into blockchain-based gift cards is a good example of a well-considered substitute. Retailers that offer them to consumers can dramatically lower costs per transaction and enhance security by using blockchain to track the flows of currency within accounts—without relying on external payment processors. These new gift cards even allow transfers of balances and transaction capability between merchants via the common ledger.</w:t>
      </w:r>
    </w:p>
    <w:p>
      <w:r>
        <w:rPr>
          <w:b w:val="0"/>
          <w:i w:val="0"/>
        </w:rPr>
        <w:t>Transformative applications are still far away. But it makes sense to evaluate their possibilities now and invest in developing technology that can enable them. They will be most powerful when tied to a new business model in which the logic of value creation and capture departs from existing approaches. Such business models are hard to adopt but can unlock future growth for companies.</w:t>
      </w:r>
    </w:p>
    <w:p>
      <w:r>
        <w:rPr>
          <w:b w:val="0"/>
          <w:i w:val="0"/>
        </w:rPr>
        <w:t>Consider how law firms will have to change to make smart contracts viable. They’ll need to develop new expertise in software and blockchain programming. They’ll probably also have to rethink their hourly payment model and entertain the idea of charging transaction or hosting fees for contracts, to name just two possible approaches. Whatever tack they take, executives must be sure they understand and have tested the business model implications before making any switch.</w:t>
      </w:r>
    </w:p>
    <w:p>
      <w:r>
        <w:rPr>
          <w:b w:val="0"/>
          <w:i w:val="0"/>
        </w:rPr>
        <w:t>Transformative scenarios will take off last, but they will also deliver enormous value. Two areas where they could have a profound impact: large-scale public identity systems for such functions as passport control, and algorithm-driven decision making in the prevention of money laundering and in complex financial transactions that involve many parties. We expect these applications won’t reach broad adoption and critical mass for at least another decade and probably more.</w:t>
      </w:r>
    </w:p>
    <w:p>
      <w:r>
        <w:rPr>
          <w:b w:val="0"/>
          <w:i w:val="0"/>
        </w:rPr>
        <w:t>Transformative applications will also give rise to new platform-level players that will coordinate and govern the new ecosystems. These will be the Googles and Facebooks of the next generation. It will require patience to realize such opportunities. Though it may be premature to start making significant investments in them now, developing the required foundations for them—tools and standards—is still worthwhile.</w:t>
      </w:r>
    </w:p>
    <w:p>
      <w:pPr>
        <w:pStyle w:val="Heading2"/>
      </w:pPr>
      <w:r>
        <w:rPr>
          <w:b/>
          <w:i w:val="0"/>
        </w:rPr>
        <w:t>Conclusion</w:t>
      </w:r>
    </w:p>
    <w:p>
      <w:r>
        <w:rPr>
          <w:b w:val="0"/>
          <w:i w:val="0"/>
        </w:rPr>
        <w:t>In addition to providing a good template for blockchain’s adoption, TCP/IP has most likely smoothed the way for it. TCP/IP has become ubiquitous, and blockchain applications are being built on top of the digital data, communication, and computation infrastructure, which lowers the cost of experimentation and will allow new use cases to emerge rapidly.</w:t>
      </w:r>
    </w:p>
    <w:p>
      <w:r>
        <w:rPr>
          <w:b w:val="0"/>
          <w:i w:val="0"/>
        </w:rPr>
        <w:t>With our framework, executives can figure out where to start building their organizational capabilities for blockchain today. They need to ensure that their staffs learn about blockchain, to develop company-specific applications across the quadrants we’ve identified, and to invest in blockchain infrastructure.</w:t>
      </w:r>
    </w:p>
    <w:p>
      <w:r>
        <w:rPr>
          <w:b w:val="0"/>
          <w:i w:val="0"/>
        </w:rPr>
        <w:t>But given the time horizons, barriers to adoption, and sheer complexity involved in getting to TCP/IP levels of acceptance, executives should think carefully about the risks involved in experimenting with blockchain. Clearly, starting small is a good way to develop the know-how to think bigger. But the level of investment should depend on the context of the company and the industry. Financial services companies are already well down the road to blockchain adoption. Manufacturing is not.</w:t>
      </w:r>
    </w:p>
    <w:p>
      <w:r>
        <w:rPr>
          <w:b w:val="0"/>
          <w:i w:val="0"/>
        </w:rPr>
        <w:t>No matter what the context, there’s a strong possibility that blockchain will affect your business. The very big question is when.</w:t>
      </w:r>
    </w:p>
    <w:p>
      <w:r>
        <w:rPr>
          <w:b/>
          <w:i w:val="0"/>
        </w:rPr>
        <w:t>TAKEAWAYS</w:t>
      </w:r>
    </w:p>
    <w:p>
      <w:r>
        <w:rPr>
          <w:b w:val="0"/>
          <w:i w:val="0"/>
        </w:rPr>
        <w:t>Blockchain will revolutionize business, but it’s going to take decades to do so. This is because it’s a foundational technology that will require broad technological, regulatory, and social coordination to implement.</w:t>
      </w:r>
    </w:p>
    <w:p>
      <w:pPr>
        <w:pStyle w:val="ListBullet"/>
      </w:pPr>
      <w:r>
        <w:rPr>
          <w:b w:val="0"/>
          <w:i w:val="0"/>
        </w:rPr>
        <w:t>Blockchain, the technology at the heart of bitcoin and other virtual currencies, is an open, distributed ledger that can efficiently, verifiably, and permanently record transactions between two parties.</w:t>
      </w:r>
    </w:p>
    <w:p>
      <w:pPr>
        <w:pStyle w:val="ListBullet"/>
      </w:pPr>
      <w:r>
        <w:rPr>
          <w:b w:val="0"/>
          <w:i w:val="0"/>
        </w:rPr>
        <w:t>The adoption of TCP/IP suggests blockchain will follow a fairly predictable pattern of development, so it’s not too early for businesses to start planning.</w:t>
      </w:r>
    </w:p>
    <w:p>
      <w:pPr>
        <w:pStyle w:val="ListBullet"/>
      </w:pPr>
      <w:r>
        <w:rPr>
          <w:b w:val="0"/>
          <w:i w:val="0"/>
        </w:rPr>
        <w:t>With a 2 × 2 framework that maps the novelty and complexity of blockchain applications, managers can assess the state of blockchain development in any industry, and evaluate strategic investments in their own blockchain capabilities.</w:t>
      </w:r>
    </w:p>
    <w:p>
      <w:pPr>
        <w:pStyle w:val="ListBullet"/>
      </w:pPr>
      <w:r>
        <w:rPr>
          <w:b w:val="0"/>
          <w:i w:val="0"/>
        </w:rPr>
        <w:t>Organizations can develop their blockchain capabilities by starting with single-use applications and then, over time, move into more complex, novel, and ultimately transformative ones.</w:t>
      </w:r>
    </w:p>
    <w:p>
      <w:r>
        <w:rPr>
          <w:b w:val="0"/>
          <w:i/>
        </w:rPr>
        <w:t>Adapted from</w:t>
      </w:r>
      <w:r>
        <w:rPr>
          <w:b w:val="0"/>
          <w:i w:val="0"/>
        </w:rPr>
        <w:t xml:space="preserve"> an article in Harvard Business Review</w:t>
      </w:r>
      <w:r>
        <w:rPr>
          <w:b w:val="0"/>
          <w:i/>
        </w:rPr>
        <w:t>, January–February 2017 (product #R1701J).</w:t>
      </w:r>
    </w:p>
    <w:p>
      <w:pPr>
        <w:pStyle w:val="Heading1"/>
      </w:pPr>
      <w:r>
        <w:rPr>
          <w:b/>
          <w:i w:val="0"/>
        </w:rPr>
        <w:t>2</w:t>
      </w:r>
    </w:p>
    <w:p>
      <w:pPr>
        <w:pStyle w:val="Heading1"/>
      </w:pPr>
      <w:r>
        <w:rPr>
          <w:b/>
          <w:i w:val="0"/>
        </w:rPr>
        <w:t>A BRIEF HISTORY OF BLOCKCHAIN</w:t>
      </w:r>
    </w:p>
    <w:p>
      <w:r>
        <w:rPr>
          <w:b w:val="0"/>
          <w:i w:val="0"/>
        </w:rPr>
        <w:t>by Vinay Gupta</w:t>
      </w:r>
    </w:p>
    <w:p>
      <w:r>
        <w:rPr>
          <w:b w:val="0"/>
          <w:i w:val="0"/>
        </w:rPr>
        <w:t xml:space="preserve">Many of the technologies we now take for granted were quiet revolutions in their time. Just think about how much smartphones have changed the way we live and work. It used to be that when people were out of the office, they were </w:t>
      </w:r>
      <w:r>
        <w:rPr>
          <w:b w:val="0"/>
          <w:i/>
        </w:rPr>
        <w:t>gone</w:t>
      </w:r>
      <w:r>
        <w:rPr>
          <w:b w:val="0"/>
          <w:i w:val="0"/>
        </w:rPr>
        <w:t>, because a telephone was tied to a place, not to a person. Now we have global nomads building new businesses straight from their phones. And, think, smartphones have been around for merely a decade.</w:t>
      </w:r>
    </w:p>
    <w:p>
      <w:r>
        <w:rPr>
          <w:b w:val="0"/>
          <w:i w:val="0"/>
        </w:rPr>
        <w:t>We’re now in the midst of another quiet revolution: blockchain, a distributed database that maintains a continuously growing list of ordered records, called “blocks.” Consider what’s happened in just the past 10 years:</w:t>
      </w:r>
    </w:p>
    <w:p>
      <w:pPr>
        <w:pStyle w:val="ListBullet"/>
      </w:pPr>
      <w:r>
        <w:rPr>
          <w:b w:val="0"/>
          <w:i w:val="0"/>
        </w:rPr>
        <w:t>The first major blockchain innovation was bitcoin, a digital currency experiment. Bitcoin is used by millions of people for payments, including a large and growing remittances market.</w:t>
      </w:r>
    </w:p>
    <w:p>
      <w:pPr>
        <w:pStyle w:val="ListBullet"/>
      </w:pPr>
      <w:r>
        <w:rPr>
          <w:b w:val="0"/>
          <w:i w:val="0"/>
        </w:rPr>
        <w:t>The second innovation was called blockchain, which was essentially the realization that the underlying technology that operated bitcoin could be separated from the currency and used for all kinds of other interorganizational cooperation. Almost every major financial institution in the world is using blockchain or doing blockchain research at the moment.</w:t>
      </w:r>
    </w:p>
    <w:p>
      <w:pPr>
        <w:pStyle w:val="ListBullet"/>
      </w:pPr>
      <w:r>
        <w:rPr>
          <w:b w:val="0"/>
          <w:i w:val="0"/>
        </w:rPr>
        <w:t>The third innovation was called the “smart contract,” embodied in a second-generation blockchain system called Ethereum, which built little computer programs directly into blockchain that allowed financial instruments, like loans or bonds, to be represented, rather than only the cash-like tokens of the bitcoin. The Ethereum smart contract platform now has a market cap in the billions of dollars, with hundreds of projects headed toward the market.</w:t>
      </w:r>
    </w:p>
    <w:p>
      <w:pPr>
        <w:pStyle w:val="ListBullet"/>
      </w:pPr>
      <w:r>
        <w:rPr>
          <w:b w:val="0"/>
          <w:i w:val="0"/>
        </w:rPr>
        <w:t>The fourth major innovation, the current cutting edge of blockchain thinking, is called “proof of stake.” Current generation blockchains are secured by “proof of work,” in which the group with the largest total computing power makes the decisions. These groups are called “miners” and operate vast data centers to provide this security, in exchange for cryptocurrency payments. The new systems do away with these data centers, replacing them with complex financial instruments, for a similar or even higher degree of security.</w:t>
      </w:r>
    </w:p>
    <w:p>
      <w:pPr>
        <w:pStyle w:val="ListBullet"/>
      </w:pPr>
      <w:r>
        <w:rPr>
          <w:b w:val="0"/>
          <w:i w:val="0"/>
        </w:rPr>
        <w:t>The fifth major innovation on the horizon is called blockchain scaling. Right now, in the blockchain world, every computer in the network processes every transaction. This is slow. A scaled blockchain accelerates the process, without sacrificing security, by figuring out how many computers are necessary to validate each transaction and dividing up the work efficiently. To manage this without compromising the legendary security and robustness of blockchain is a difficult problem, but not an intractable one. A scaled blockchain is expected to be fast enough to power the internet of things and go head-to-head with the major payment middlemen (Visa and SWIFT) of the banking world.</w:t>
      </w:r>
    </w:p>
    <w:p>
      <w:r>
        <w:rPr>
          <w:b w:val="0"/>
          <w:i w:val="0"/>
        </w:rPr>
        <w:t>This innovation landscape represents just 10 years of work by an elite group of computer scientists, cryptographers, and mathematicians. As the full potential of these breakthroughs hits society, things are sure to get a little weird. Self-driving cars and drones will use blockchains to pay for services like charging stations and landing pads. International currency transfers will go from taking days to an hour, and then to a few minutes, with a higher degree of reliability than the current system has been able to manage.</w:t>
      </w:r>
    </w:p>
    <w:p>
      <w:r>
        <w:rPr>
          <w:b w:val="0"/>
          <w:i w:val="0"/>
        </w:rPr>
        <w:t>These changes, and others, represent a pervasive lowering of transaction costs. When transaction costs drop past invisible thresholds, there will be sudden, dramatic, hard-to-predict aggregations and disaggregations of existing business models. For example, auctions used to be narrow and local, rather than universal and global, as they are now on sites like eBay. As the costs of reaching people dropped, there was a sudden change in the system. Blockchain is reasonably expected to trigger as many of these cascades as e-commerce has done since it was invented, in the late 1990s.</w:t>
      </w:r>
    </w:p>
    <w:p>
      <w:r>
        <w:rPr>
          <w:b w:val="0"/>
          <w:i w:val="0"/>
        </w:rPr>
        <w:t>Predicting what direction it will all take is hard. Did anybody see social media coming? Who would have predicted that clicking on our friends’ faces would replace time spent in front of the TV? Predictors usually overestimate how fast things will happen and underestimate the long-term impacts. But the sense of scale inside the blockchain industry is that the changes coming will be “as large as the original invention of the internet,” and this may not be overstated. What we can predict is that as blockchain matures and more people catch on to this new mode of collaboration, it will extend into everything from supply chains to provably fair internet dating (eliminating the possibility of fake profiles and other underhanded techniques). And given how far blockchain has come in 10 years, perhaps the future could indeed arrive sooner than any of us think.</w:t>
      </w:r>
    </w:p>
    <w:p>
      <w:r>
        <w:rPr>
          <w:b w:val="0"/>
          <w:i w:val="0"/>
        </w:rPr>
        <w:t xml:space="preserve">Until the late 1990s it was impossible to process a credit card securely on the internet—e-commerce simply did not exist. How fast could blockchain bring about another revolutionary change? Consider that Dubai’s blockchain strategy (disclosure: I designed it) is to issue all government documents on blockchain by 2020, with substantial initial projects going live three years earlier. The Internet of Agreements concept presented at the World Government Summit builds on this strategy to envision a substantial transformation of global trade, using blockchains to smooth out some of the bumps caused by Brexit and the U.S. withdrawal from the Trans-Pacific Partnership. These ambitious agendas will have to be proven in practice, but the expectation in Dubai is that cost savings and innovation benefits will more than justify the cost of experimentation. As Mariana Mazzucato writes in </w:t>
      </w:r>
      <w:r>
        <w:rPr>
          <w:b w:val="0"/>
          <w:i/>
        </w:rPr>
        <w:t>The Entrepreneurial State</w:t>
      </w:r>
      <w:r>
        <w:rPr>
          <w:b w:val="0"/>
          <w:i w:val="0"/>
        </w:rPr>
        <w:t>, the cutting edge of innovation, particularly in infrastructure, is often in the hands of the state, and that seems destined to be true in the blockchain space.</w:t>
      </w:r>
    </w:p>
    <w:p>
      <w:r>
        <w:rPr>
          <w:b/>
          <w:i w:val="0"/>
        </w:rPr>
        <w:t>TAKEAWAYS</w:t>
      </w:r>
    </w:p>
    <w:p>
      <w:r>
        <w:rPr>
          <w:b w:val="0"/>
          <w:i w:val="0"/>
        </w:rPr>
        <w:t>The blockchain landscape has grown from bitcoin to smart contracts to proof-of-stake systems in just 10 years. These developments all point to a pervasive lowering of transaction costs in the future.</w:t>
      </w:r>
    </w:p>
    <w:p>
      <w:pPr>
        <w:pStyle w:val="ListBullet"/>
      </w:pPr>
      <w:r>
        <w:rPr>
          <w:b w:val="0"/>
          <w:i w:val="0"/>
        </w:rPr>
        <w:t>When transaction costs drop past certain thresholds, there will be sudden, dramatic, hard-to-predict aggregations and disaggregations of existing business models.</w:t>
      </w:r>
    </w:p>
    <w:p>
      <w:pPr>
        <w:pStyle w:val="ListBullet"/>
      </w:pPr>
      <w:r>
        <w:rPr>
          <w:b w:val="0"/>
          <w:i w:val="0"/>
        </w:rPr>
        <w:t>Predictors usually overestimate how fast technologies will be adopted and underestimate their long-term impacts. Even so, the thinking in the blockchain industry is that the changes coming may be as large as the original invention of the internet.</w:t>
      </w:r>
    </w:p>
    <w:p>
      <w:pPr>
        <w:pStyle w:val="ListBullet"/>
      </w:pPr>
      <w:r>
        <w:rPr>
          <w:b w:val="0"/>
          <w:i w:val="0"/>
        </w:rPr>
        <w:t>Governments and NGOs are already a driving force in blockchain innovation.</w:t>
      </w:r>
    </w:p>
    <w:p>
      <w:r>
        <w:rPr>
          <w:b w:val="0"/>
          <w:i/>
        </w:rPr>
        <w:t>Adapted from content posted on hbr.org, originally published February 28, 2017 (product #H03HW6).</w:t>
      </w:r>
    </w:p>
    <w:p>
      <w:pPr>
        <w:pStyle w:val="Heading1"/>
      </w:pPr>
      <w:r>
        <w:rPr>
          <w:b/>
          <w:i w:val="0"/>
        </w:rPr>
        <w:t>3</w:t>
      </w:r>
    </w:p>
    <w:p>
      <w:pPr>
        <w:pStyle w:val="Heading1"/>
      </w:pPr>
      <w:r>
        <w:rPr>
          <w:b/>
          <w:i w:val="0"/>
        </w:rPr>
        <w:t>THE BLOCKCHAIN WILL DO TO THE FINANCIAL SYSTEM WHAT THE INTERNET DID TO MEDIA</w:t>
      </w:r>
    </w:p>
    <w:p>
      <w:r>
        <w:rPr>
          <w:b w:val="0"/>
          <w:i w:val="0"/>
        </w:rPr>
        <w:t>by Joichi Ito, Neha Narula, and Robleh Ali</w:t>
      </w:r>
    </w:p>
    <w:p>
      <w:r>
        <w:rPr>
          <w:b w:val="0"/>
          <w:i w:val="0"/>
        </w:rPr>
        <w:t>Even years into the deployment of the internet, many believed that it was still a fad. Of course, the internet has since become a major influence on our lives, from how we buy goods and services, to the ways we socialize with friends, to the Arab Spring, to the 2016 U.S. presidential election. Yet, in the 1990s, the mainstream press scoffed when Nicholas Negroponte predicted that most of us would soon be reading our news online rather than from a newspaper.</w:t>
      </w:r>
    </w:p>
    <w:p>
      <w:r>
        <w:rPr>
          <w:b w:val="0"/>
          <w:i w:val="0"/>
        </w:rPr>
        <w:t xml:space="preserve">Fast forward two decades: Will we soon be seeing a similar impact from cryptocurrencies and blockchains? There are certainly many parallels. Like the internet, cryptocurrencies such as bitcoin are driven by advances in core technologies along with a new, open architecture—the bitcoin blockchain. Like the internet, this technology is designed to be decentralized, with “layers,” where each layer is defined by an interoperable open protocol on top of which companies, as well as individuals, can build products and services. Like the internet, in the early stages of development there are many competing technologies, so it’s important to specify </w:t>
      </w:r>
      <w:r>
        <w:rPr>
          <w:b w:val="0"/>
          <w:i/>
        </w:rPr>
        <w:t>which</w:t>
      </w:r>
      <w:r>
        <w:rPr>
          <w:b w:val="0"/>
          <w:i w:val="0"/>
        </w:rPr>
        <w:t xml:space="preserve"> blockchain you’re talking about. And, like the internet, blockchain technology is strongest when everyone is using the same network, so in the future we might all be talking about “the” blockchain.</w:t>
      </w:r>
    </w:p>
    <w:p>
      <w:r>
        <w:rPr>
          <w:b w:val="0"/>
          <w:i w:val="0"/>
        </w:rPr>
        <w:t>The internet and its layers took decades to develop, with each technical layer unlocking an explosion of creative and entrepreneurial activity. Early on, Ethernet standardized the way in which computers transmitted bits over wires, and companies such as 3Com were able to build empires on their network switching products. The TCP/IP protocol was used to address and control how packets of data were routed between computers. Cisco built products like network routers, capitalizing on that protocol, and by March 2000 Cisco was the most valuable company in the world. In 1989 Tim Berners-Lee developed HTTP, another open, permissionless protocol, and the web enabled businesses such as eBay, Google, and Amazon.</w:t>
      </w:r>
    </w:p>
    <w:p>
      <w:pPr>
        <w:pStyle w:val="Heading2"/>
      </w:pPr>
      <w:r>
        <w:rPr>
          <w:b/>
          <w:i w:val="0"/>
        </w:rPr>
        <w:t>The Killer App for Blockchains</w:t>
      </w:r>
    </w:p>
    <w:p>
      <w:r>
        <w:rPr>
          <w:b w:val="0"/>
          <w:i w:val="0"/>
        </w:rPr>
        <w:t>But here’s one major difference: The early internet was noncommercial, developed initially through defense funding and used primarily to connect research institutions and universities. It wasn’t designed to make money, but rather to develop the most robust and effective way to build a network. This initial lack of commercial players and interests was critical—it allowed the formation of a network architecture that shared resources in a way that would not have occurred in a market-driven system.</w:t>
      </w:r>
    </w:p>
    <w:p>
      <w:r>
        <w:rPr>
          <w:b w:val="0"/>
          <w:i w:val="0"/>
        </w:rPr>
        <w:t>The killer app for the early internet was email; it’s what drove adoption and strengthened the network. Bitcoin is the killer app for blockchain. Bitcoin drives adoption of its underlying blockchain, and its strong technical community and robust code review process make it the most secure and reliable of the various blockchains. Like email, it’s likely that some form of bitcoin will persist. But blockchain will also support a variety of other applications, including smart contracts, asset registries, and many new types of transactions that will go beyond financial and legal uses.</w:t>
      </w:r>
    </w:p>
    <w:p>
      <w:r>
        <w:rPr>
          <w:b w:val="0"/>
          <w:i w:val="0"/>
        </w:rPr>
        <w:t>We might best understand bitcoin as a microcosm of how a new, decentralized, and automated financial system could work. While its current capabilities are still limited (for example, there’s a low transaction volume when compared to conventional payment systems), it offers a compelling vision of a possible future because the code describes both a regulatory and an economic system. For example, transactions must satisfy certain rules before they can be accepted into the bitcoin blockchain. Instead of writing rules and appointing a regulator to monitor for breaches, which is how the current financial system works, bitcoin’s code sets the rules and the network checks for compliance. If a transaction breaks the rules (for example, if the digital signatures don’t tally), it is rejected by the network. Even bitcoin’s “monetary policy” is written into its code: New money is issued every 10 minutes, and the supply is limited so there will only ever be 21 million bitcoins, a hard money rule similar to the gold standard (that is, a system in which the money supply is fixed to a commodity and not determined by government).</w:t>
      </w:r>
    </w:p>
    <w:p>
      <w:r>
        <w:rPr>
          <w:b w:val="0"/>
          <w:i w:val="0"/>
        </w:rPr>
        <w:t>This is not to say the choices bitcoin currently offers are perfect. In fact, many economists disagree with bitcoin’s hard money rule, and lawyers argue that regulation through code alone is inflexible and doesn’t permit any role for useful discretion. What cannot be disputed, however, is that bitcoin is real, and it works. People ascribe real economic value to bitcoins. “Miners,” who maintain the bitcoin blockchain, and “wallet providers,” who write the software people use to transact in bitcoin, follow the rules without exception. Its blockchain has remained resilient to attack, and it supports a robust, if basic, payment system. This opportunity to extend the use of blockchain to remake the financial system unnerves and enthralls in equal measure.</w:t>
      </w:r>
    </w:p>
    <w:p>
      <w:pPr>
        <w:pStyle w:val="Heading2"/>
      </w:pPr>
      <w:r>
        <w:rPr>
          <w:b/>
          <w:i w:val="0"/>
        </w:rPr>
        <w:t>Too Much Too Soon?</w:t>
      </w:r>
    </w:p>
    <w:p>
      <w:r>
        <w:rPr>
          <w:b w:val="0"/>
          <w:i w:val="0"/>
        </w:rPr>
        <w:t>Unfortunately, the exuberance of fintech investors is way ahead of the development of the technology. We’re often seeing so-called blockchains that are not really innovative, but instead are merely databases, which have existed for decades, calling themselves blockchains to jump on the buzzword bandwagon.</w:t>
      </w:r>
    </w:p>
    <w:p>
      <w:r>
        <w:rPr>
          <w:b w:val="0"/>
          <w:i w:val="0"/>
        </w:rPr>
        <w:t>There were many pre-internet players, for example telecom operators and cable companies trying to provide interactive multimedia over their networks, but none could generate enough traction to create names that you would remember. We may be seeing a similar trend for blockchain technology. The landscape is a combination of incumbent financial institutions making incremental improvements and new startups building on top of rapidly changing infrastructure, hoping that the quicksand will harden before they run out of runway.</w:t>
      </w:r>
    </w:p>
    <w:p>
      <w:r>
        <w:rPr>
          <w:b w:val="0"/>
          <w:i w:val="0"/>
        </w:rPr>
        <w:t>In the case of cryptocurrencies, we’re seeing far more aggressive investments of venture capital than we did for the internet during similar early stages of development. This excessive interest by investors and businesses makes cryptocurrencies fundamentally different from the internet because they haven’t had several decades of relative obscurity where noncommercial researchers could fiddle, experiment, iterate on, and rethink the architecture. This is one reason why the work that we’re doing at the Digital Currency Initiative at the MIT Media Lab is so important: It is one of the few places where a substantial effort is being made to work on the technology and infrastructure clear of financial interests and motivations. This is critical.</w:t>
      </w:r>
    </w:p>
    <w:p>
      <w:r>
        <w:rPr>
          <w:b w:val="0"/>
          <w:i w:val="0"/>
        </w:rPr>
        <w:t>The existing financial system is very complex at the moment, and that complexity creates risk. A new decentralized financial system made possible with cryptocurrencies could be much simpler by removing layers of intermediation. It could help insure against risk, and by moving money in different ways could open up the possibility for different types of financial products. Cryptocurrencies could open up the financial system to people who are currently excluded, lower barriers to entry, and enable greater competition. Regulators could remake the financial system by rethinking the best way to achieve policy goals, without diluting standards. We could also have an opportunity to reduce systemic risk: Like users, regulators suffer from opacity. Research shows that making the system more transparent reduces intermediation chains and costs to users of the financial system.</w:t>
      </w:r>
    </w:p>
    <w:p>
      <w:pPr>
        <w:pStyle w:val="Heading2"/>
      </w:pPr>
      <w:r>
        <w:rPr>
          <w:b/>
          <w:i w:val="0"/>
        </w:rPr>
        <w:t>Conclusion</w:t>
      </w:r>
    </w:p>
    <w:p>
      <w:r>
        <w:rPr>
          <w:b w:val="0"/>
          <w:i w:val="0"/>
        </w:rPr>
        <w:t>The primary use and even the values of the people using new technologies and infrastructure tend to change drastically as these technologies mature. This will certainly be true for blockchain technology.</w:t>
      </w:r>
    </w:p>
    <w:p>
      <w:r>
        <w:rPr>
          <w:b w:val="0"/>
          <w:i w:val="0"/>
        </w:rPr>
        <w:t>Bitcoin was first created as a response to the 2008 financial crisis. The originating community had a strong libertarian and antiestablishment spin that, in many ways, was similar to the free-software culture, with its strong anticommercial values. However, it is likely that, just as Linux is now embedded in almost every kind of commercial application or service, many of the ultimate use cases of blockchain could become standard fare for established players like large companies, governments, and central banks.</w:t>
      </w:r>
    </w:p>
    <w:p>
      <w:r>
        <w:rPr>
          <w:b w:val="0"/>
          <w:i w:val="0"/>
        </w:rPr>
        <w:t>Similarly, many view blockchain technology and fintech as merely a new technology for delivery—maybe something akin to CD-ROMs. In fact, it is more likely to do to the financial system and regulation what the internet has done to media companies and advertising firms. Such a fundamental restructuring of a core part of the economy is a big challenge to incumbent firms that make their living from it. Preparing for these changes means investing in research and experimentation. Those who do so will be well placed to thrive in the new, emerging financial system.</w:t>
      </w:r>
    </w:p>
    <w:p>
      <w:r>
        <w:rPr>
          <w:b/>
          <w:i w:val="0"/>
        </w:rPr>
        <w:t>TAKEAWAYS</w:t>
      </w:r>
    </w:p>
    <w:p>
      <w:r>
        <w:rPr>
          <w:b w:val="0"/>
          <w:i w:val="0"/>
        </w:rPr>
        <w:t>It’s common to look to the emergence and mainstreaming of the internet to predict the future of blockchain. But the early internet was noncommercial, and it enjoyed decades of relative obscurity during which researchers could experiment, iterate on, and rethink its architecture. Blockchain, however, began to attract interest from investors mere years after its invention.</w:t>
      </w:r>
    </w:p>
    <w:p>
      <w:pPr>
        <w:pStyle w:val="ListBullet"/>
      </w:pPr>
      <w:r>
        <w:rPr>
          <w:b w:val="0"/>
          <w:i w:val="0"/>
        </w:rPr>
        <w:t>Fintech investors’ exuberance for blockchain is ahead of the technology’s level of development. Many entrepreneurs are jumping on the bandwagon applying the buzzword “blockchain” to databases that aren’t actually blockchain-based.</w:t>
      </w:r>
    </w:p>
    <w:p>
      <w:pPr>
        <w:pStyle w:val="ListBullet"/>
      </w:pPr>
      <w:r>
        <w:rPr>
          <w:b w:val="0"/>
          <w:i w:val="0"/>
        </w:rPr>
        <w:t>The world’s existing financial system is very complex, and that complexity creates risk. A new decentralized, cryptocurrency-based financial system could help reduce risk, open up the financial system to people who are currently excluded, and enable greater competition.</w:t>
      </w:r>
    </w:p>
    <w:p>
      <w:r>
        <w:rPr>
          <w:b w:val="0"/>
          <w:i/>
        </w:rPr>
        <w:t>Adapted from content posted on hbr.org, originally published March 8, 2017 (product #H03I8K).</w:t>
      </w:r>
    </w:p>
    <w:p>
      <w:pPr>
        <w:pStyle w:val="Heading1"/>
      </w:pPr>
      <w:r>
        <w:rPr>
          <w:b/>
          <w:i w:val="0"/>
        </w:rPr>
        <w:t>4</w:t>
      </w:r>
    </w:p>
    <w:p>
      <w:pPr>
        <w:pStyle w:val="Heading1"/>
      </w:pPr>
      <w:r>
        <w:rPr>
          <w:b/>
          <w:i w:val="0"/>
        </w:rPr>
        <w:t>WHO CONTROLS THE BLOCKCHAIN?</w:t>
      </w:r>
    </w:p>
    <w:p>
      <w:r>
        <w:rPr>
          <w:b w:val="0"/>
          <w:i w:val="0"/>
        </w:rPr>
        <w:t>by Patrick Murck</w:t>
      </w:r>
    </w:p>
    <w:p>
      <w:r>
        <w:rPr>
          <w:b w:val="0"/>
          <w:i w:val="0"/>
        </w:rPr>
        <w:t>Blockchain networks tend to support principles, like open access and permissionless use, that should be familiar to proponents of the early internet. To protect this vision from political pressure and regulatory interference, blockchain networks rely on a decentralized infrastructure that can’t be controlled by any one person or group. Unlike political regulation, blockchain governance is not emergent from the community. Rather, it is ex ante, encoded in the protocols and processes as an integral part of the original network architecture. To be a part of a community supporting a blockchain is to accept the rules of the network as they were originally established.</w:t>
      </w:r>
    </w:p>
    <w:p>
      <w:r>
        <w:rPr>
          <w:b w:val="0"/>
          <w:i w:val="0"/>
        </w:rPr>
        <w:t>In a blockchain transaction, you don’t have to trust your counterpart to perform their obligations or properly record transactional data, since these processes are standardized and automated, but you do have to trust that the code and the network will function as you expect. And just how immutable are blockchain ledger entries if the network becomes politicized? As it turns out, not very.</w:t>
      </w:r>
    </w:p>
    <w:p>
      <w:r>
        <w:rPr>
          <w:b w:val="0"/>
          <w:i w:val="0"/>
        </w:rPr>
        <w:t xml:space="preserve">Consider the case of The DAO. Short for </w:t>
      </w:r>
      <w:r>
        <w:rPr>
          <w:b w:val="0"/>
          <w:i/>
        </w:rPr>
        <w:t>decentralized autonomous organization</w:t>
      </w:r>
      <w:r>
        <w:rPr>
          <w:b w:val="0"/>
          <w:i w:val="0"/>
        </w:rPr>
        <w:t>, a DAO is software designed to manage the fiduciary obligations of holding and disbursing blockchain assets without any human involvement. The code that was developed for (confusingly named) The DAO application was called a “smart contract,” and ran as a DAO application on top of the Ethereum blockchain. The DAO issued tokens through its smart contract and traded them for Ethereum’s blockchain tokens, which are called ether. This token sale was done through a widely marketed crowdfunding campaign, raising more than $150 million in ether value.</w:t>
      </w:r>
    </w:p>
    <w:p>
      <w:r>
        <w:rPr>
          <w:b w:val="0"/>
          <w:i w:val="0"/>
        </w:rPr>
        <w:t>The original vision of the Ethereum creators was that computer code should, quite literally, be treated as law in their community and serve as replacement for legal agreements and regulation. The DAO creators embraced this vision and noted that participants should look exclusively to the application’s code as dispositive on all matters. The code was the contract and the law for The DAO. Unfortunately, The DAO’s smart contract was flawed: It allowed a DAO token holder who exploited a bug in the code to siphon off one-third of the value held in the application (roughly $50 million) to their own account. This withdrawal of funds, while unexpected, did not violate either Ethereum’s or The DAO’s rules, naive as they may have been. Nor does it appear to have violated any laws.</w:t>
      </w:r>
    </w:p>
    <w:p>
      <w:r>
        <w:rPr>
          <w:b w:val="0"/>
          <w:i w:val="0"/>
        </w:rPr>
        <w:t>But, at the end of the day, too many Ethereum community members, including some of its most prominent leaders, suffered losses, having traded their ether for DAO tokens. They felt that action had to be taken to reverse their losses. The Ethereum leadership was able to coordinate with the network stakeholders to create a so-called “hard fork,” a permanent split of the Ethereum blockchain, so that control of the siphoned-off funds would be shifted to a group of trusted leaders.</w:t>
      </w:r>
    </w:p>
    <w:p>
      <w:r>
        <w:rPr>
          <w:b w:val="0"/>
          <w:i w:val="0"/>
        </w:rPr>
        <w:t>This hard fork created a new Ethereum blockchain and was labeled a bailout by critics. The new Ethereum blockchain selectively rolled back losses only for those Ethereum blockchain token holders who had unwisely exchanged those tokens for The DAO application tokens. If you happened to lose your ether tokens in any other way, whether through market manipulation or through another hack, the rigid “code as law” doctrine still applied—and you were out of luck.</w:t>
      </w:r>
    </w:p>
    <w:p>
      <w:r>
        <w:rPr>
          <w:b w:val="0"/>
          <w:i w:val="0"/>
        </w:rPr>
        <w:t>For some members of the community, the decision to hard fork was a wanton violation of the community’s core principles, akin to burning down the house to roast the pig. In protest, they decided to keep running the original Ethereum blockchain unadulterated, and thus there are now two Ethereum networks. Somewhat confusingly, the old Ethereum network has been rebranded as “Ethereum Classic”; the new network retained the original name, Ethereum.</w:t>
      </w:r>
    </w:p>
    <w:p>
      <w:r>
        <w:rPr>
          <w:b w:val="0"/>
          <w:i w:val="0"/>
        </w:rPr>
        <w:t>Blockchain fabulists may claim that smart contract applications like The DAO’s will displace lawyers and disrupt the legal industry. But as this incident amply demonstrated, the reality is that smart contracts have proven to be neither smart nor, for that matter, enforceable agreements. Blockchain is truly an innovative approach to governance for networks and machines. But we must resist the temptation to anthropomorphize code and misapply machine governance to social systems. Code is law for machines, law is code for people. When we mix up these concepts, we wind up with situations like The DAO.</w:t>
      </w:r>
    </w:p>
    <w:p>
      <w:r>
        <w:rPr>
          <w:b w:val="0"/>
          <w:i w:val="0"/>
        </w:rPr>
        <w:t>Consider some of the controversy surrounding bitcoin. First, understand that on the bitcoin blockchain, power is meant to be distributed among all the stakeholders in the community. None of these stakeholders should have any greater influence or power than any other to change the terms of the bitcoin protocol. They are interdependent and incentivized to cooperate in conserving the extant network rules. Any change to the network rules requires coordination and consensus among all of the stakeholders. So when bitcoin software developers began debating about how to increase network capacity, the discussion devolved into a multistakeholder melee that was dubbed a “governance crisis” by the popular media. Some of the developers wanted to incorporate changes to the bitcoin codebase that would not be backward compatible, and thus would split the network into multiple blockchains—a hard fork.</w:t>
      </w:r>
    </w:p>
    <w:p>
      <w:r>
        <w:rPr>
          <w:b w:val="0"/>
          <w:i w:val="0"/>
        </w:rPr>
        <w:t>The majority of bitcoin developers have opposed hard-fork scaling proposals in favor of a more conservative approach that assures the continuity of a single bitcoin blockchain. Other stakeholders have begun to view this process as obstructionist, and populist campaigns have sprung up to route around it. But despite much Sturm und Drang, these efforts to alter bitcoin’s power structure and circumvent bitcoin developer consensus have thus far failed. For many in the community, bitcoin’s ability to resist such populist campaigns demonstrates the success of the blockchain’s governance structure and shows that the “governance crisis” is a false narrative.</w:t>
      </w:r>
    </w:p>
    <w:p>
      <w:r>
        <w:rPr>
          <w:b w:val="0"/>
          <w:i w:val="0"/>
        </w:rPr>
        <w:t>As a blockchain community grows, it becomes increasingly more difficult for stakeholders to reach a consensus on changing network rules. This is by design and reinforces the original principles of the blockchain’s creators. To change the rules is to split the network, creating a new blockchain and a new community. Blockchain networks resist political governance because they are governed by everyone who participants in them, and by no one in particular.</w:t>
      </w:r>
    </w:p>
    <w:p>
      <w:r>
        <w:rPr>
          <w:b w:val="0"/>
          <w:i w:val="0"/>
        </w:rPr>
        <w:t>The power of blockchain technology is that it can algorithmically enforce private agreements and community principles at a global scale by shifting the cost of trust and coordination to the network. This is what allows blockchains to create new markets where they couldn’t exist before, whether for political or for economic reasons. To do this, we have to be able to trust the blockchain, and to trust that no one controls it.</w:t>
      </w:r>
    </w:p>
    <w:p>
      <w:r>
        <w:rPr>
          <w:b/>
          <w:i w:val="0"/>
        </w:rPr>
        <w:t>TAKEAWAYS</w:t>
      </w:r>
    </w:p>
    <w:p>
      <w:r>
        <w:rPr>
          <w:b w:val="0"/>
          <w:i w:val="0"/>
        </w:rPr>
        <w:t>Blockchain networks tend to support idealistic principles such as open access and permissionless use. To protect this vision from political pressure and regulatory interference, blockchain networks rely on a decentralized infrastructure that can’t be controlled by any one person or group.</w:t>
      </w:r>
    </w:p>
    <w:p>
      <w:pPr>
        <w:pStyle w:val="ListBullet"/>
      </w:pPr>
      <w:r>
        <w:rPr>
          <w:b w:val="0"/>
          <w:i w:val="0"/>
        </w:rPr>
        <w:t>In a blockchain transaction, you don’t have to trust that your counterpart will perform their obligations—but you do have to trust that the code and the network will function as you expect.</w:t>
      </w:r>
    </w:p>
    <w:p>
      <w:pPr>
        <w:pStyle w:val="ListBullet"/>
      </w:pPr>
      <w:r>
        <w:rPr>
          <w:b w:val="0"/>
          <w:i w:val="0"/>
        </w:rPr>
        <w:t>In practice, blockchain ledger entries are not immutable if enough network participants want to change them. The case of The DAO, in which a flaw in code allowed a user to siphon off $50 million worth of value into their own account, shows that “code is law” isn’t simple to apply in the real world.</w:t>
      </w:r>
    </w:p>
    <w:p>
      <w:pPr>
        <w:pStyle w:val="ListBullet"/>
      </w:pPr>
      <w:r>
        <w:rPr>
          <w:b w:val="0"/>
          <w:i w:val="0"/>
        </w:rPr>
        <w:t>As a blockchain community grows, it becomes increasingly more difficult for stakeholders to reach a consensus on changing network rules. Blockchain networks resist political governance because they are governed by everyone who participants in them, and by no one in particular.</w:t>
      </w:r>
    </w:p>
    <w:p>
      <w:r>
        <w:rPr>
          <w:b w:val="0"/>
          <w:i/>
        </w:rPr>
        <w:t>Adapted from content posted on hbr.org, originally published April 19, 2017 (product #H03LUX).</w:t>
      </w:r>
    </w:p>
    <w:p>
      <w:pPr>
        <w:pStyle w:val="Heading1"/>
      </w:pPr>
      <w:r>
        <w:rPr>
          <w:b/>
          <w:i w:val="0"/>
        </w:rPr>
        <w:t>5</w:t>
      </w:r>
    </w:p>
    <w:p>
      <w:pPr>
        <w:pStyle w:val="Heading1"/>
      </w:pPr>
      <w:r>
        <w:rPr>
          <w:b/>
          <w:i w:val="0"/>
        </w:rPr>
        <w:t>HOW SAFE ARE BLOCKCHAINS? IT DEPENDS</w:t>
      </w:r>
    </w:p>
    <w:p>
      <w:r>
        <w:rPr>
          <w:b w:val="0"/>
          <w:i w:val="0"/>
        </w:rPr>
        <w:t>by Allison Berke</w:t>
      </w:r>
    </w:p>
    <w:p>
      <w:r>
        <w:rPr>
          <w:b w:val="0"/>
          <w:i w:val="0"/>
        </w:rPr>
        <w:t>Blockchain, the distributed ledger technology underlying bitcoin, may prove to be far more valuable than the currency it supports. But it’s only as valuable as it is secure. As we begin to put distributed ledger technology into practice, it’s important to make sure that the initial conditions we’re establishing aren’t setting us up for security issues later on.</w:t>
      </w:r>
    </w:p>
    <w:p>
      <w:r>
        <w:rPr>
          <w:b w:val="0"/>
          <w:i w:val="0"/>
        </w:rPr>
        <w:t>To understand the inherent security risks in blockchain technology, it’s important to understand the difference between public and private blockchains.</w:t>
      </w:r>
    </w:p>
    <w:p>
      <w:r>
        <w:rPr>
          <w:b w:val="0"/>
          <w:i w:val="0"/>
        </w:rPr>
        <w:t>Bitcoin relies on a public blockchain, a system of recording transactions that allows anyone to read or write transactions. Anyone can aggregate and publish those transactions, provided they can show that a sufficient amount of effort went into doing so, which they can demonstrate by solving a difficult cryptographic puzzle. The process by which a network of nodes confirms the record of previously verified transactions, and by which it verifies new transactions, is known as a consensus protocol. In the bitcoin system, because no user is implicitly trusted to verify transactions, all users follow an algorithm that verifies transactions by committing software and hardware resources to solving a problem by brute force (that is, by solving the cryptographic puzzle). The user who reaches the solution first is rewarded, and each new solution, along with the transactions that were used to verify it, forms the basis for the next problem to be solved.</w:t>
      </w:r>
    </w:p>
    <w:p>
      <w:r>
        <w:rPr>
          <w:b w:val="0"/>
          <w:i w:val="0"/>
        </w:rPr>
        <w:t>This decentralization and relative freedom of access has led to some unexpected consequences: Because anyone can read and write transactions, bitcoin transactions have fueled black market trading. Because the consensus protocol is energy consuming, the majority of users operate in countries with cheap electricity, leading to network centralization and the possibility of collusion, and making the network vulnerable to changes in policy on electricity subsidies. Both of these trends have led to an increased interest in private blockchains, which could ultimately give businesses a greater degree of control.</w:t>
      </w:r>
    </w:p>
    <w:p>
      <w:r>
        <w:rPr>
          <w:b w:val="0"/>
          <w:i w:val="0"/>
        </w:rPr>
        <w:t>Primarily used in financial contexts, private blockchains give their operators control over who can read the ledger of verified transactions, who can submit transactions, and who can verify them. The applications for private blockchains include a variety of markets in which multiple parties wish to participate simultaneously but do not fully trust one another. For example, private blockchain systems supporting land and physical asset registries, commodities trading, and private equity distribution are all being tested. As these systems develop and evolve, they, too, may encounter unexpected consequences, some of which will have repercussions for the security of the system and the assets it manages or stores. As in software and product development, considering security at an early stage alleviates the difficulty of making fundamental changes to a product to address a security flaw later on.</w:t>
      </w:r>
    </w:p>
    <w:p>
      <w:pPr>
        <w:pStyle w:val="Heading2"/>
      </w:pPr>
      <w:r>
        <w:rPr>
          <w:b/>
          <w:i w:val="0"/>
        </w:rPr>
        <w:t>Security Starts with Network Architecture</w:t>
      </w:r>
    </w:p>
    <w:p>
      <w:r>
        <w:rPr>
          <w:b w:val="0"/>
          <w:i w:val="0"/>
        </w:rPr>
        <w:t>One of the first decisions to make when establishing a private blockchain is about the network architecture of the system. Blockchains achieve consensus on their ledger, the list of verified transactions, through communication, and communication is required to write and approve new transactions. This communication occurs between nodes, each of which maintains a copy of the ledger and informs the other nodes of new information: newly submitted or newly verified transactions. Private blockchain operators can control who is allowed to operate a node, as well as how those nodes are connected; a node with more connections will receive information faster. Likewise, nodes may be required to maintain a certain number of connections to be considered active. A node that restricts the transmission of information, or transmits incorrect information, must be identifiable and circumventable to maintain the integrity of the system. A private blockchain underlying commodities trading may grant more-central positions in the network to established trading partners and may require new nodes to maintain a connection to one of these central nodes as a security measure to ensure it behaves as expected.</w:t>
      </w:r>
    </w:p>
    <w:p>
      <w:r>
        <w:rPr>
          <w:b w:val="0"/>
          <w:i w:val="0"/>
        </w:rPr>
        <w:t>Another security concern in the establishment of network architecture is how to treat uncommunicative or intermittently active nodes. Nodes may go offline for innocuous reasons, but the network must be structured to function (to obtain consensus on previously verified transactions and to correctly verify new transactions) without the offline nodes, and it must be able to quickly bring these nodes back up to speed if they return.</w:t>
      </w:r>
    </w:p>
    <w:p>
      <w:pPr>
        <w:pStyle w:val="Heading2"/>
      </w:pPr>
      <w:r>
        <w:rPr>
          <w:b/>
          <w:i w:val="0"/>
        </w:rPr>
        <w:t>Consensus Protocols and Access Permissions in Public vs. Private Blockchains</w:t>
      </w:r>
    </w:p>
    <w:p>
      <w:r>
        <w:rPr>
          <w:b w:val="0"/>
          <w:i w:val="0"/>
        </w:rPr>
        <w:t>The process used to get consensus (verifying transactions through problem solving) is purposely designed to take time, currently around 10 minutes. Transactions are not considered fully verified for about one to two hours, after which point they are sufficiently “deep” enough in the ledger that introducing a competing version of the ledger, known as a fork, would be computationally expensive. This delay is both a vulnerability of the system, in that a transaction that initially seems to be verified may later lose that status, and a significant obstacle to the use of bitcoin-based systems for fast-paced transactions, such as financial trading.</w:t>
      </w:r>
    </w:p>
    <w:p>
      <w:r>
        <w:rPr>
          <w:b w:val="0"/>
          <w:i w:val="0"/>
        </w:rPr>
        <w:t>In a private blockchain, by contrast, operators can choose to permit only certain nodes to perform the verification process, and these trusted parties would be responsible for communicating newly verified transactions to the rest of the network. The responsibility for securing access to these nodes, and for determining when and for whom to expand the set of trusted parties, would be a security decision made by the blockchain system operator.</w:t>
      </w:r>
    </w:p>
    <w:p>
      <w:pPr>
        <w:pStyle w:val="Heading2"/>
      </w:pPr>
      <w:r>
        <w:rPr>
          <w:b/>
          <w:i w:val="0"/>
        </w:rPr>
        <w:t>Transaction Reversibility and Asset Security in Public vs. Private Blockchains</w:t>
      </w:r>
    </w:p>
    <w:p>
      <w:r>
        <w:rPr>
          <w:b w:val="0"/>
          <w:i w:val="0"/>
        </w:rPr>
        <w:t>While blockchain transactions can be used to store data, the primary motivation for bitcoin transactions is the exchange of bitcoin itself. Each bitcoin transaction includes unique text strings that are associated with the bitcoins being exchanged. Similarly, other blockchain systems record the possession of assets or shares involved in a transaction. In the bitcoin system, ownership is demonstrated through the use of a private key (a long number generated by an algorithm designed to provide a random and unique output) that is linked to a payment, and despite the value of these keys, like any data, they can be stolen or lost, just like cash. These thefts are not a failure of the security of bitcoin, but of personal security; the thefts are the result of storing a private key insecurely. Some estimates put the value of lost bitcoins in the billions.</w:t>
      </w:r>
    </w:p>
    <w:p>
      <w:r>
        <w:rPr>
          <w:b w:val="0"/>
          <w:i w:val="0"/>
        </w:rPr>
        <w:t>Private blockchain operators therefore must decide how to resolve the problem of lost identification credentials, particularly for systems that manage physical assets. Even if no one can prove ownership of a barrel of oil, the barrel will need to reside somewhere. Bitcoin currently provides no recourse for those who have lost their private keys; similarly, stolen bitcoins are nearly impossible to recover, as transactions submitted with stolen keys appear to a verifying node to be indistinguishable from legitimate transactions.</w:t>
      </w:r>
    </w:p>
    <w:p>
      <w:r>
        <w:rPr>
          <w:b w:val="0"/>
          <w:i w:val="0"/>
        </w:rPr>
        <w:t>Private blockchain owners will have to make decisions about whether, and under what circumstances, to reverse a verified transaction, particularly if that transaction can be shown to be a theft. Transaction reversal can undermine confidence in the fairness and impartiality of the system, but a system that permits extensive losses as a result of the exploitation of bugs will lose users. This is illustrated by the case of The DAO, a code-based venture capital fund designed to run on Ethereum, a public blockchain-based platform. Security vulnerabilities in the code operating The DAO led to financial losses that required Ethereum’s developers to make changes to the Ethereum protocol itself, even though The DAO’s vulnerabilities were not the fault of the Ethereum protocol. The decision to make these changes was controversial and underscores the idea that both public and private blockchain developers should consider circumstances under which they would face a similar decision.</w:t>
      </w:r>
    </w:p>
    <w:p>
      <w:pPr>
        <w:pStyle w:val="Heading2"/>
      </w:pPr>
      <w:r>
        <w:rPr>
          <w:b/>
          <w:i w:val="0"/>
        </w:rPr>
        <w:t>Weighing the Rewards</w:t>
      </w:r>
    </w:p>
    <w:p>
      <w:r>
        <w:rPr>
          <w:b w:val="0"/>
          <w:i w:val="0"/>
        </w:rPr>
        <w:t>The benefits offered by a private blockchain—faster transaction verification and network communication, the ability to fix errors and reverse transactions, and the ability to restrict access and reduce the likelihood of outsider attacks—may cause prospective users to be wary of the system. The need for a blockchain system at all presupposes a degree of mistrust, or at least an acknowledgment that all users’ incentives may not be aligned. Developers who work to maintain public blockchain systems like bitcoin still rely on individual users to adopt any changes they propose, which serves to ensure that changes are only adopted if they are in the interest of the entire system. The operators of a private blockchain, on the other hand, may choose to unilaterally deploy changes with which some users disagree. To ensure both the security and the utility of a private blockchain system, operators must consider the recourse available to users who disagree with changes to the system’s rules or are slow to adopt the new rules. The number of operating systems currently running without the latest patch is a strong indication that even uncontroversial changes will not be adopted quickly.</w:t>
      </w:r>
    </w:p>
    <w:p>
      <w:r>
        <w:rPr>
          <w:b w:val="0"/>
          <w:i w:val="0"/>
        </w:rPr>
        <w:t>While the risks of building a financial market or other infrastructure on a public blockchain may give a new entrant pause, private blockchains offer a degree of control over both participant behavior and the transaction verification process. The use of a blockchain-based system is a signal of the transparency and usability of that system, which are bolstered by the early consideration of the system’s security. Just as a business will decide which of its systems are better hosted on a more secure private intranet or on the internet, but will likely use both, systems requiring fast transactions, the possibility of transaction reversal, and central control over transaction verification will be better suited for private blockchains, while those that benefit from widespread participation, transparency, and third-party verification will flourish on a public blockchain.</w:t>
      </w:r>
    </w:p>
    <w:p>
      <w:r>
        <w:rPr>
          <w:b/>
          <w:i w:val="0"/>
        </w:rPr>
        <w:t>TAKEAWAYS</w:t>
      </w:r>
    </w:p>
    <w:p>
      <w:r>
        <w:rPr>
          <w:b w:val="0"/>
          <w:i w:val="0"/>
        </w:rPr>
        <w:t>Blockchains are only as valuable as they are secure. When establishing a blockchain network, it’s important to make sure that the initial conditions are set up so they don’t cause security issues later on.</w:t>
      </w:r>
    </w:p>
    <w:p>
      <w:pPr>
        <w:pStyle w:val="ListBullet"/>
      </w:pPr>
      <w:r>
        <w:rPr>
          <w:b w:val="0"/>
          <w:i w:val="0"/>
        </w:rPr>
        <w:t>Just as businesses decide which of their systems are better hosted on the internet or more secure private intranets, they will face choices about which of their applications are a better fit for public or private blockchains.</w:t>
      </w:r>
    </w:p>
    <w:p>
      <w:pPr>
        <w:pStyle w:val="ListBullet"/>
      </w:pPr>
      <w:r>
        <w:rPr>
          <w:b w:val="0"/>
          <w:i w:val="0"/>
        </w:rPr>
        <w:t>There’s a growing interest in private blockchains thanks to the business risks surrounding public blockchains (such as bitcoin), ranging from black market trading to concerns surrounding collusion.</w:t>
      </w:r>
    </w:p>
    <w:p>
      <w:pPr>
        <w:pStyle w:val="ListBullet"/>
      </w:pPr>
      <w:r>
        <w:rPr>
          <w:b w:val="0"/>
          <w:i w:val="0"/>
        </w:rPr>
        <w:t>Applications for private blockchains include markets in which multiple parties do not fully trust one another, including physical asset registries, commodities trading, and private equity distribution.</w:t>
      </w:r>
    </w:p>
    <w:p>
      <w:pPr>
        <w:pStyle w:val="ListBullet"/>
      </w:pPr>
      <w:r>
        <w:rPr>
          <w:b w:val="0"/>
          <w:i w:val="0"/>
        </w:rPr>
        <w:t>Public blockchains provide no recourse for dealing with lost or stolen private keys. Private blockchains’ owners will have to make decisions about whether, and under what circumstances, to reverse a transaction, particularly if that transaction can be shown to be a theft.</w:t>
      </w:r>
    </w:p>
    <w:p>
      <w:r>
        <w:rPr>
          <w:b w:val="0"/>
          <w:i/>
        </w:rPr>
        <w:t>Adapted from content posted on hbr.org, originally published March 7, 2017 (product #H03IAZ).</w:t>
      </w:r>
    </w:p>
    <w:p>
      <w:pPr>
        <w:pStyle w:val="Heading1"/>
      </w:pPr>
      <w:r>
        <w:rPr>
          <w:b/>
          <w:i w:val="0"/>
        </w:rPr>
        <w:t>6</w:t>
      </w:r>
    </w:p>
    <w:p>
      <w:pPr>
        <w:pStyle w:val="Heading1"/>
      </w:pPr>
      <w:r>
        <w:rPr>
          <w:b/>
          <w:i w:val="0"/>
        </w:rPr>
        <w:t>WHAT BLOCKCHAIN CAN’T DO</w:t>
      </w:r>
    </w:p>
    <w:p>
      <w:r>
        <w:rPr>
          <w:b w:val="0"/>
          <w:i w:val="0"/>
        </w:rPr>
        <w:t>by Catherine Tucker and Christian Catalani</w:t>
      </w:r>
    </w:p>
    <w:p>
      <w:r>
        <w:rPr>
          <w:b w:val="0"/>
          <w:i w:val="0"/>
        </w:rPr>
        <w:t>Blockchain technology has the potential to do amazing things. It can provide an immutable, digital audit trail of transactions and can be used to cheaply verify the integrity of data. It can help businesses and individuals agree, on a global scale, about the true state of affairs within a market without relying on a costly intermediary.</w:t>
      </w:r>
    </w:p>
    <w:p>
      <w:r>
        <w:rPr>
          <w:b w:val="0"/>
          <w:i w:val="0"/>
        </w:rPr>
        <w:t>This is achieved through a clever combination of economic incentives and cryptography, and ensures that at any point in time, digital records reflect the true consensus among the key stakeholders involved. When it comes to sharing digital records and assets, it can therefore replace the need for trust between players, or the need for a central authority to verify and maintain the records of transactions.</w:t>
      </w:r>
    </w:p>
    <w:p>
      <w:r>
        <w:rPr>
          <w:b w:val="0"/>
          <w:i w:val="0"/>
        </w:rPr>
        <w:t>However, when assessing blockchain business models, it is useful to understand what blockchain can’t do.</w:t>
      </w:r>
    </w:p>
    <w:p>
      <w:r>
        <w:rPr>
          <w:b w:val="0"/>
          <w:i w:val="0"/>
        </w:rPr>
        <w:t>Think about the problem of tracking babies within a hospital ward and beyond. This is a very serious problem. The consequences of a baby being mistaken for another baby can be horrendous. Therefore, storing records that contain a baby’s current location in a way that makes these data points immutable and verifiable seems like a great use of blockchain technology.</w:t>
      </w:r>
    </w:p>
    <w:p>
      <w:r>
        <w:rPr>
          <w:b w:val="0"/>
          <w:i w:val="0"/>
        </w:rPr>
        <w:t>But there is a big problem with using blockchain to solve such a problem. The digital records may be immutable and verifiable, but how does someone know which digital record is attached to which baby? To link an entry on the blockchain to an actual, real-life baby, we need to give the baby a physical identifier through a physical tag, or in a more futuristic world, a small chip or digital genome record that links the baby to its digital record. And this is where blockchain falls down. It can’t help with this process and can’t verify that perhaps the most important step of verification is happening correctly.</w:t>
      </w:r>
    </w:p>
    <w:p>
      <w:r>
        <w:rPr>
          <w:b w:val="0"/>
          <w:i w:val="0"/>
        </w:rPr>
        <w:t>At the interface between the offline world and its digital representation, the usefulness of the technology still critically depends on trusted intermediaries to effectively bridge the last mile between a digital record and a physical individual, business, device, or event. In our example, the technology would have to rely on humans to correctly and honestly implement the match between baby and digital record. And if humans get that wrong or manipulate the data when it is entered, in a system where records are believed ex post as having integrity, this can have serious negative consequences.</w:t>
      </w:r>
    </w:p>
    <w:p>
      <w:r>
        <w:rPr>
          <w:b w:val="0"/>
          <w:i w:val="0"/>
        </w:rPr>
        <w:t>On the other hand, if the link between an individual and their medical record is successfully established and the last-mile problem is solved, then a blockchain can be used not only to ensure data integrity but also to give individuals control over how their medical data is used (for academic research, a fitness app, or commercial drug development, for example).</w:t>
      </w:r>
    </w:p>
    <w:p>
      <w:r>
        <w:rPr>
          <w:b w:val="0"/>
          <w:i w:val="0"/>
        </w:rPr>
        <w:t>There are other parallel examples. Within marketing, one issue that often comes up is that a pair of eyeballs that an advertiser is paying for may not actually belong to the person they’re supposed to. The advertiser might think it’s paying to show an ad to a mid-thirties male in the market for a Lamborghini, but the ad might actually be shown to a minivan-driving academic who has no intention of buying another car for kids to wreck but who likes to dream. Or, even worse, a bot could be viewing the ad. Blockchain technology can track which digital identifiers are associated with the viewing of an ad, but it cannot help with verifying humanness or the honesty of a buyer’s intentions. Verifying who’s actually behind the digital identifier requires offline verification. Verifying the honesty of apparent buying intentions is perhaps beyond any technology we possess today.</w:t>
      </w:r>
    </w:p>
    <w:p>
      <w:r>
        <w:rPr>
          <w:b w:val="0"/>
          <w:i w:val="0"/>
        </w:rPr>
        <w:t>On the bright side, blockchain technology can be used to change the relationship between digital content creators, advertisers, and consumers. Advertisers can reward users for their attention by giving them access to exclusive online content they would otherwise have to pay for. Content creators can explore new monetization models that benefit from blockchain’s ability to cheaply and effectively settle transactions. While consumers hate micropayments because of the mental costs they involve—micropayments are like a hated “taxi meter” in consumers’ heads—this could reshape how paywalls and subscriptions work behind the scenes across different digital properties. Moreover, if we are not worried about verifying a pair of eyeballs’ humanness, but instead want to ensure ownership over digital records such as browsing data, then blockchain can work perfectly. One of the issues we face constantly in establishing the economics of privacy is the issue of property rights over data. And blockchain is perfectly positioned to define them.</w:t>
      </w:r>
    </w:p>
    <w:p>
      <w:r>
        <w:rPr>
          <w:b w:val="0"/>
          <w:i w:val="0"/>
        </w:rPr>
        <w:t>As the ecosystem around blockchain technology develops, new types of intermediaries will emerge that turn the last-mile problem, of keeping digital records in sync with their offline counterparts, into actual business opportunities. While the technology is early stage, as these key complements mature, blockchain has the potential to fundamentally reshape ownership over digital data, and the digital platforms we use every day.</w:t>
      </w:r>
    </w:p>
    <w:p>
      <w:r>
        <w:rPr>
          <w:b/>
          <w:i w:val="0"/>
        </w:rPr>
        <w:t>TAKEAWAYS</w:t>
      </w:r>
    </w:p>
    <w:p>
      <w:r>
        <w:rPr>
          <w:b w:val="0"/>
          <w:i w:val="0"/>
        </w:rPr>
        <w:t xml:space="preserve">When assessing blockchain business models, it is important to understand what blockchain </w:t>
      </w:r>
      <w:r>
        <w:rPr>
          <w:b w:val="0"/>
          <w:i/>
        </w:rPr>
        <w:t>can’t</w:t>
      </w:r>
      <w:r>
        <w:rPr>
          <w:b w:val="0"/>
          <w:i w:val="0"/>
        </w:rPr>
        <w:t xml:space="preserve"> do. The usefulness of blockchain to many business contexts still depends on trusted intermediaries to effectively bridge the last mile between a digital record and a physical individual, business, device, or event.</w:t>
      </w:r>
    </w:p>
    <w:p>
      <w:pPr>
        <w:pStyle w:val="ListBullet"/>
      </w:pPr>
      <w:r>
        <w:rPr>
          <w:b w:val="0"/>
          <w:i w:val="0"/>
        </w:rPr>
        <w:t>For instance, blockchain technology could be used to keep a newborn baby from being mistaken for another newborn baby in a hospital ward. But blockchain technology provides no help in verifying that the right identifier (for instance, a bracelet tag) is applied to the right baby.</w:t>
      </w:r>
    </w:p>
    <w:p>
      <w:pPr>
        <w:pStyle w:val="ListBullet"/>
      </w:pPr>
      <w:r>
        <w:rPr>
          <w:b w:val="0"/>
          <w:i w:val="0"/>
        </w:rPr>
        <w:t>As the ecosystem around blockchain technology develops, new business opportunities will emerge around intermediaries that keep digital records in sync with their offline counterparts.</w:t>
      </w:r>
    </w:p>
    <w:p>
      <w:r>
        <w:rPr>
          <w:b w:val="0"/>
          <w:i/>
        </w:rPr>
        <w:t>Adapted from content posted on hbr.org, originally published June 28, 2018 (product #H04F3C).</w:t>
      </w:r>
    </w:p>
    <w:p>
      <w:pPr>
        <w:pStyle w:val="Heading1"/>
      </w:pPr>
      <w:r>
        <w:rPr>
          <w:b/>
          <w:i w:val="0"/>
        </w:rPr>
        <w:t>Section 2</w:t>
      </w:r>
    </w:p>
    <w:p>
      <w:pPr>
        <w:pStyle w:val="Heading1"/>
      </w:pPr>
      <w:r>
        <w:rPr>
          <w:b/>
          <w:i w:val="0"/>
        </w:rPr>
        <w:t>BLOCKCHAIN AND BUSINESS</w:t>
      </w:r>
    </w:p>
    <w:p>
      <w:pPr>
        <w:pStyle w:val="Heading1"/>
      </w:pPr>
      <w:r>
        <w:rPr>
          <w:b/>
          <w:i w:val="0"/>
        </w:rPr>
        <w:t>7</w:t>
      </w:r>
    </w:p>
    <w:p>
      <w:pPr>
        <w:pStyle w:val="Heading1"/>
      </w:pPr>
      <w:r>
        <w:rPr>
          <w:b/>
          <w:i w:val="0"/>
        </w:rPr>
        <w:t>HOW BLOCKCHAIN IS CHANGING FINANCE</w:t>
      </w:r>
    </w:p>
    <w:p>
      <w:r>
        <w:rPr>
          <w:b w:val="0"/>
          <w:i w:val="0"/>
        </w:rPr>
        <w:t>by Alex Tapscott and Don Tapscott</w:t>
      </w:r>
    </w:p>
    <w:p>
      <w:r>
        <w:rPr>
          <w:b w:val="0"/>
          <w:i w:val="0"/>
        </w:rPr>
        <w:t>Our global financial system moves trillions of dollars a day and serves billions of people. But the system is rife with problems, adding cost through fees and delays, creating friction through redundant and onerous paperwork, and opening up opportunities for fraud and crime. To wit, 45% of financial intermediaries, such as payment networks, stock exchanges, and money transfer services, suffer from economic crime every year; the number is 37% for the entire economy, and only 20% and 27% for the professional services and technology sectors, respectively.1 It’s no small wonder that regulatory costs continue to climb and remain a top concern for bankers. This all adds cost, with consumers ultimately bearing the burden.</w:t>
      </w:r>
    </w:p>
    <w:p>
      <w:r>
        <w:rPr>
          <w:b w:val="0"/>
          <w:i w:val="0"/>
        </w:rPr>
        <w:t>It begs the question: Why is our financial system so inefficient? First, because it’s antiquated, a kludge of industrial technologies and paper-based processes dressed up in a digital wrapper. Second, because it’s centralized, which makes it resistant to change and vulnerable to systems failures and attacks. Third, it’s exclusionary, denying billions of people access to basic financial tools. Bankers have largely dodged the sort of creative destruction that, while messy, is critical to economic vitality and progress. But the solution to this innovation logjam has emerged: blockchain.</w:t>
      </w:r>
    </w:p>
    <w:p>
      <w:r>
        <w:rPr>
          <w:b w:val="0"/>
          <w:i w:val="0"/>
        </w:rPr>
        <w:t>Blockchain was originally developed as the technology behind cryptocurrencies like bitcoin. A vast, globally distributed ledger running on millions of devices, it is capable of recording anything of value. Money, equities, bonds, titles, deeds, contracts, and virtually all other kinds of assets can be moved and stored securely, privately, and from peer to peer, because trust is established not by powerful intermediaries like banks and governments, but by network consensus, cryptography, collaboration, and clever code. For the first time in human history, two or more parties, be they businesses or individuals who may not even know each other, can forge agreements, make transactions, and build value without relying on intermediaries (such as banks, rating agencies, and government bodies such as the U.S. Department of State) to verify their identities, establish trust, or perform the critical business logic—contracting, clearing, settling, and record-keeping tasks that are foundational to all forms of commerce.</w:t>
      </w:r>
    </w:p>
    <w:p>
      <w:r>
        <w:rPr>
          <w:b w:val="0"/>
          <w:i w:val="0"/>
        </w:rPr>
        <w:t>Given the promise and peril of such a disruptive technology, many firms in the financial industry, from banks and insurers to audit and professional service firms, are investing in blockchain solutions. What is driving this deluge of money and interest? Most firms cite opportunities to reduce friction and costs. After all, most financial intermediaries themselves rely on a dizzying, complex, and costly array of intermediaries to run their own operations. Santander, a European bank, put the potential savings at $20 billion a year.2 Capgemini, a consultancy, estimates that consumers could save up to $16 billion in banking and insurance fees each year through blockchain-based applications.3</w:t>
      </w:r>
    </w:p>
    <w:p>
      <w:r>
        <w:rPr>
          <w:b w:val="0"/>
          <w:i w:val="0"/>
        </w:rPr>
        <w:t>To be sure, blockchain may enable incumbents such as JPMorgan Chase, Citigroup, and Credit Suisse, all of which are currently investing in the technology, to do more with less, streamline their businesses, and reduce risk in the process. But while an opportunistic viewpoint is advantageous and often necessary, it is rarely sufficient. After all, how do you cut cost from a business or market whose structure has fundamentally changed? Here, blockchain is a real game changer. By reducing transaction costs among all participants in the economy, blockchain supports models of peer-to-peer mass collaboration that could make many of our existing organizational forms redundant.</w:t>
      </w:r>
    </w:p>
    <w:p>
      <w:r>
        <w:rPr>
          <w:b w:val="0"/>
          <w:i w:val="0"/>
        </w:rPr>
        <w:t>For example, consider how new business ventures access growth capital. Traditionally, companies target angel investors in the early stages of a new business, and later look to venture capitalists, eventually culminating in an initial public offering (IPO) on a stock exchange. This industry supports a number of intermediaries, such as investment bankers, exchange operators, auditors, lawyers, and crowdfunding platforms (such as Kickstarter and Indiegogo). Blockchain changes the equation by enabling companies of any size to raise money in a peer-to-peer way, through global distributed share offerings. This new funding mechanism is already transforming the blockchain industry. In 2016 blockchain companies raised $400 million from traditional venture investors and nearly $200 million through what we call initial coin offerings (ICO rather than IPO). These ICOs aren’t just new cryptocurrencies masquerading as companies. They represent content and digital rights management platforms (such as SingularDTV), distributed venture funds (such as The DAO, for decentralized autonomous organization), and even new platforms to make investing in ICOs and managing digital assets easy (such as ICONOMI). There is already a deep pipeline of ICOs, such as Cosmos, a unifying technology that will connect every blockchain in the world, which is why it’s been dubbed the “internet of blockchains.” Others are sure to follow suit.</w:t>
      </w:r>
    </w:p>
    <w:p>
      <w:r>
        <w:rPr>
          <w:b w:val="0"/>
          <w:i w:val="0"/>
        </w:rPr>
        <w:t>Incumbents are taking notice. The New York–based venture capital firm Union Square Ventures (USV) broadened its investment strategy so that it could buy ICOs directly. Menlo Park venture capital firm Andreessen Horowitz joined USV in investing in Polychain Capital, a hedge fund that only buys tokens. Blockchain Capital, one of the industry’s largest investors, recently announced that it would be raising money for its new fund by issuing tokens by ICO, a first for the industry. And, of course, companies such as Goldman Sachs; Nasdaq, Inc.; and Intercontinental Exchange, the American holding company that owns the New York Stock Exchange, which dominate the IPO and listing business, have been among the largest investors in blockchain ventures.</w:t>
      </w:r>
    </w:p>
    <w:p>
      <w:r>
        <w:rPr>
          <w:b w:val="0"/>
          <w:i w:val="0"/>
        </w:rPr>
        <w:t>As with any radically new business model, ICOs have risks. There is little to no regulatory oversight. Due diligence and disclosures can be scant, and some companies that have issued ICOs have gone bust. Caveat emptor is the watchword, and many of the early backers are more punters than funders. But the genie has been unleashed from the bottle. Done right, ICOs can not only improve the efficiency of raising money, lowering the cost of capital for entrepreneurs and investors, but also democratize participation in global capital markets.</w:t>
      </w:r>
    </w:p>
    <w:p>
      <w:r>
        <w:rPr>
          <w:b w:val="0"/>
          <w:i w:val="0"/>
        </w:rPr>
        <w:t>If the world of venture capital can change radically in one year, what else can be transformed? Blockchain could upend a number of complex intermediate functions in the industry: identity and reputation, moving value (payments and remittances), storing value (savings), lending and borrowing (credit), trading value (marketplaces like stock exchanges), insurance and risk management, and audit and tax functions.</w:t>
      </w:r>
    </w:p>
    <w:p>
      <w:r>
        <w:rPr>
          <w:b w:val="0"/>
          <w:i w:val="0"/>
        </w:rPr>
        <w:t>Is this the end of banking as we know it? That depends on how incumbents react. Blockchain is not an existential threat to those who embrace the new technology paradigm and disrupt from within. The question is, Who in the financial services industry will lead the revolution? Throughout history, leaders of old paradigms have struggled to embrace the new. Why didn’t AT&amp;T launch Skype, or Visa create PayPal? CNN could have built Twitter, since it is all about the sound bite. GM or Hertz could have launched Uber; Marriott could have invented Airbnb. The unstoppable force of blockchain technology is barreling down on the infrastructure of modern finance. As with prior paradigm shifts, blockchain will create winners and losers. Personally, we would like the inevitable collision to transform the old money machine into a prosperity platform for all.</w:t>
      </w:r>
    </w:p>
    <w:p>
      <w:r>
        <w:rPr>
          <w:b/>
          <w:i w:val="0"/>
        </w:rPr>
        <w:t>TAKEAWAYS</w:t>
      </w:r>
    </w:p>
    <w:p>
      <w:r>
        <w:rPr>
          <w:b w:val="0"/>
          <w:i w:val="0"/>
        </w:rPr>
        <w:t>Our antiquated financial system is inefficient, vulnerable to attack, exclusionary, and resistant to change. Blockchain could provide solutions to this innovation logjam.</w:t>
      </w:r>
    </w:p>
    <w:p>
      <w:pPr>
        <w:pStyle w:val="ListBullet"/>
      </w:pPr>
      <w:r>
        <w:rPr>
          <w:b w:val="0"/>
          <w:i w:val="0"/>
        </w:rPr>
        <w:t>Cryptocurrency allows any two or more parties to forge agreements, make transactions, and build value without relying on intermediaries to verify their identities, establish trust, and perform other administrative tasks.</w:t>
      </w:r>
    </w:p>
    <w:p>
      <w:pPr>
        <w:pStyle w:val="ListBullet"/>
      </w:pPr>
      <w:r>
        <w:rPr>
          <w:b w:val="0"/>
          <w:i w:val="0"/>
        </w:rPr>
        <w:t>Blockchain enables companies of any size to raise money in a peer-to-peer, global, distributed way through initial coin offerings (ICOs).</w:t>
      </w:r>
    </w:p>
    <w:p>
      <w:pPr>
        <w:pStyle w:val="ListBullet"/>
      </w:pPr>
      <w:r>
        <w:rPr>
          <w:b w:val="0"/>
          <w:i w:val="0"/>
        </w:rPr>
        <w:t>Blockchain could upend a number of complex intermediate functions in the financial industry, but whether this is the end of banking as we know it may depend on how incumbents react. Blockchain is not an existential threat to companies that embrace the new technology paradigm and disrupt from within.</w:t>
      </w:r>
    </w:p>
    <w:p>
      <w:pPr>
        <w:pStyle w:val="Heading3"/>
      </w:pPr>
      <w:r>
        <w:rPr>
          <w:b/>
          <w:i w:val="0"/>
        </w:rPr>
        <w:t>NOTES</w:t>
      </w:r>
    </w:p>
    <w:p>
      <w:r>
        <w:rPr>
          <w:b w:val="0"/>
          <w:i w:val="0"/>
        </w:rPr>
        <w:t>1.  PricewaterhouseCoopers, “Economic Crime: A Threat to Business Globally,” PwC 2014 Economic Crime Survey, https://www.pwc.com/gx/en/financial-services/publications/assets/pwc-gecs-2014-threats-to-the-financial-services-sector.pdf.</w:t>
      </w:r>
    </w:p>
    <w:p>
      <w:r>
        <w:rPr>
          <w:b w:val="0"/>
          <w:i w:val="0"/>
        </w:rPr>
        <w:t>2.  Yessi Bello Perez, “Santander: Blockchain Tech Can Save Banks $20 Billion a Year,” Coindesk, June 16, 2015, https://www.coindesk.com/santander-blockchain-tech-can-save-banks-20-billion-a-year.</w:t>
      </w:r>
    </w:p>
    <w:p>
      <w:r>
        <w:rPr>
          <w:b w:val="0"/>
          <w:i w:val="0"/>
        </w:rPr>
        <w:t>3.  Saktipada Maity, “Consumers Set to Save Up to Sixteen Billion Dollars on Banking and Insurance Fees Thanks to Blockchain-Based Smart Contracts Says Capgemini Report,” Capgemini, October 11, 2016, https://www.capgemini.com/news/consumers-set-to-save-up-to-sixteen-billion-dollars-on-banking-and-insurance-fees-thanks-to/.</w:t>
      </w:r>
    </w:p>
    <w:p>
      <w:r>
        <w:rPr>
          <w:b w:val="0"/>
          <w:i/>
        </w:rPr>
        <w:t>Adapted from content posted on hbr.org, originally published March 1, 2017 (product #H03HJK).</w:t>
      </w:r>
    </w:p>
    <w:p>
      <w:pPr>
        <w:pStyle w:val="Heading1"/>
      </w:pPr>
      <w:r>
        <w:rPr>
          <w:b/>
          <w:i w:val="0"/>
        </w:rPr>
        <w:t>8</w:t>
      </w:r>
    </w:p>
    <w:p>
      <w:pPr>
        <w:pStyle w:val="Heading1"/>
      </w:pPr>
      <w:r>
        <w:rPr>
          <w:b/>
          <w:i w:val="0"/>
        </w:rPr>
        <w:t>AS CRYPTOCURRENCIES RISE, WHO NEEDS BANKS?</w:t>
      </w:r>
    </w:p>
    <w:p>
      <w:r>
        <w:rPr>
          <w:b w:val="0"/>
          <w:i w:val="0"/>
        </w:rPr>
        <w:t>by Antonio Fatás and Beatrice Weder di Mauro</w:t>
      </w:r>
    </w:p>
    <w:p>
      <w:r>
        <w:rPr>
          <w:b w:val="0"/>
          <w:i w:val="0"/>
        </w:rPr>
        <w:t>Do you value bitcoin in dollars or dollars in bitcoin? Few serious economists imagine that the new cryptocurrencies, for all the hype, will make national currencies redundant. By and large they are right, because conventional money actually does a pretty good job. The U.S. dollar and other reserve currencies have historically performed well as a medium of exchange and as a store of value—the two principal functions of a currency. Bitcoin and its derivatives perform poorly on both accounts and will not disrupt money as we know it.</w:t>
      </w:r>
    </w:p>
    <w:p>
      <w:r>
        <w:rPr>
          <w:b w:val="0"/>
          <w:i w:val="0"/>
        </w:rPr>
        <w:t>But that doesn’t mean that new technologies aren’t going to usher in a lot of disruption to the financial system. Traditional economists (and, yes, that label could well describe both of us) often ignore a crucial separation between money (the “what”) and the payment technology (the “how”). This confusion originates in the fact that for older forms of money—gold or bank notes—there is no distinction between the “what” and the “how”; you simply pay by handing dollar bills or gold coins to the seller.</w:t>
      </w:r>
    </w:p>
    <w:p>
      <w:r>
        <w:rPr>
          <w:b w:val="0"/>
          <w:i w:val="0"/>
        </w:rPr>
        <w:t>Today, however, we pay out physical cash less and less often. Instead, when we transact, we usually transfer digital code in exchange for the good or service we’re buying. And it is through the technology that digitizes money that new entrants are challenging the financial system.</w:t>
      </w:r>
    </w:p>
    <w:p>
      <w:r>
        <w:rPr>
          <w:b w:val="0"/>
          <w:i w:val="0"/>
        </w:rPr>
        <w:t>We’ve already seen this sort of change in the developing world, where not everyone has access to a bank account. In East Africa, for example, mobile phone companies leapfrogged banks as payment intermediaries because they made it possible for people to transfer cash-convertible phone credits to each other. That meant that people could use phone credits as a digital medium of exchange and that the payment infrastructure became the mobile network.</w:t>
      </w:r>
    </w:p>
    <w:p>
      <w:r>
        <w:rPr>
          <w:b w:val="0"/>
          <w:i w:val="0"/>
        </w:rPr>
        <w:t>Of course, in advanced economies, most consumers have access to a bank account with debit and credit cards, which means that they are already engaging in transfers of digital money. This made traditional banks in the United States and Europe far less vulnerable to disruptive innovators, even though their e-payment technologies may in some cases be clunky and unreliable. What’s more, to compete directly with banks in a developed economy, you had to demonstrate that your technology was compatible with the existing infrastructure and pass all the regulatory hurdles to be recognized as a bank.</w:t>
      </w:r>
    </w:p>
    <w:p>
      <w:r>
        <w:rPr>
          <w:b w:val="0"/>
          <w:i w:val="0"/>
        </w:rPr>
        <w:t>This is where bitcoin came in. The advantage of cryptocurrencies is not that they are electronic currencies; dollars, euros, yen, and yuan are all e-currencies today. Rather, the advantage is that blockchain technology offers a complete, self-contained alternative to the traditional payment transfer system; it is as if all bitcoin users are banking with the same bank. And because cryptocurrencies were not initially regulated, there was no need to go through any of the regulatory processes to get started as a cryptocurrency bank equivalent.</w:t>
      </w:r>
    </w:p>
    <w:p>
      <w:r>
        <w:rPr>
          <w:b w:val="0"/>
          <w:i w:val="0"/>
        </w:rPr>
        <w:t>That’s just what two startups did. Circle, founded in 2013, provided a peer-to-peer payment system using bitcoin. Ripple, launched in 2012, provided a cross-border payment system that initially relied on a cryptocurrency (XRP) as the payment vehicle. Since XRP also relies on a blockchain technology (a more efficient one than bitcoin’s, in fact), it would also provide a central clearing system.</w:t>
      </w:r>
    </w:p>
    <w:p>
      <w:r>
        <w:rPr>
          <w:b w:val="0"/>
          <w:i w:val="0"/>
        </w:rPr>
        <w:t>So what? Traditional banks provide very similar services by relying on real-time gross interbank settlement processes through a central bank. But banks face two difficulties: Changing legacy systems and coordinating across the established payment networks is costly and takes time. And in the case of international transactions, they face the difficulty of managing liquidity pools in different currencies, as there is no central bank of the world. In this environment, a brand-new system based on a cryptocurrency (a “global currency”) at first looks like a winning proposition.</w:t>
      </w:r>
    </w:p>
    <w:p>
      <w:r>
        <w:rPr>
          <w:b w:val="0"/>
          <w:i w:val="0"/>
        </w:rPr>
        <w:t>The trouble is that using bitcoin and its ilk requires users to cope with another currency, an exchange rate, and all the attendant uncertainty about value, which runs into concerns about the storage value of money. This necessarily limits the appeal of startups like Circle and Ripple—which is precisely why they have moved away from cryptocurrencies and are looking for ways to apply their technology to traditional currencies and link directly with banks and central banks.</w:t>
      </w:r>
    </w:p>
    <w:p>
      <w:r>
        <w:rPr>
          <w:b w:val="0"/>
          <w:i w:val="0"/>
        </w:rPr>
        <w:t>Fintech companies in this space will be aided by new regulation, which may prove to be the real disruptor. Both the Open Banking initiative in the U.K. and the PSD2 directive of the European Union now require banks to provide access, through APIs, to customers’ accounts. This is a critical change because it enables parties other than the banks holding money to effect transfers: Individuals can use their preferred smartphone app to make payments without having to embrace a world with separate money balances and possibly separate currencies. The app will access the relevant accounts through the APIs, and transactions can be completed.</w:t>
      </w:r>
    </w:p>
    <w:p>
      <w:r>
        <w:rPr>
          <w:b w:val="0"/>
          <w:i w:val="0"/>
        </w:rPr>
        <w:t>In effect, the new regulations will enable a separation of the functions of money. Commercial banks may continue to hold our money balances in traditional currencies and make loans to businesses with those balances, but transactions may be intermediated by a separate payment technology, at least in the eye of the final user.</w:t>
      </w:r>
    </w:p>
    <w:p>
      <w:r>
        <w:rPr>
          <w:b w:val="0"/>
          <w:i w:val="0"/>
        </w:rPr>
        <w:t>And if we want payment systems to be integrated, is there any need for multiple intermediaries? Why not simply make payment transfer a central bank function instead? If every individual had accounts at the central bank, and these were linked across countries, that would create a centralized ledger for an entire economy, which would certainly increase the speed, safety, and efficiency of payments. Central banks are considering this idea but so far have concluded that the risks to the financial system are very high and the benefits are uncertain.1 If it happened, though, the financial system would without doubt be profoundly changed.</w:t>
      </w:r>
    </w:p>
    <w:p>
      <w:r>
        <w:rPr>
          <w:b/>
          <w:i w:val="0"/>
        </w:rPr>
        <w:t>TAKEAWAYS</w:t>
      </w:r>
    </w:p>
    <w:p>
      <w:r>
        <w:rPr>
          <w:b w:val="0"/>
          <w:i w:val="0"/>
        </w:rPr>
        <w:t>The U.S. dollar and other reserve currencies have historically performed well both as a medium of exchange and as a store of value. Cryptocurrencies don’t do well at either of these yet, but they’re still going to usher in a lot of disruption to the financial system.</w:t>
      </w:r>
    </w:p>
    <w:p>
      <w:pPr>
        <w:pStyle w:val="ListBullet"/>
      </w:pPr>
      <w:r>
        <w:rPr>
          <w:b w:val="0"/>
          <w:i w:val="0"/>
        </w:rPr>
        <w:t>People are using cash less and less often, and new entrants that are digitizing money are bypassing the established financial system. In East Africa, for example, mobile phone companies leapfrogged banks as payment intermediaries.</w:t>
      </w:r>
    </w:p>
    <w:p>
      <w:pPr>
        <w:pStyle w:val="ListBullet"/>
      </w:pPr>
      <w:r>
        <w:rPr>
          <w:b w:val="0"/>
          <w:i w:val="0"/>
        </w:rPr>
        <w:t>Blockchain has an advantage as a digitized currency because it offers a complete, self-contained alternative to the traditional payment transfer system; it is as if all bitcoin users are banking with the same bank.</w:t>
      </w:r>
    </w:p>
    <w:p>
      <w:pPr>
        <w:pStyle w:val="ListBullet"/>
      </w:pPr>
      <w:r>
        <w:rPr>
          <w:b w:val="0"/>
          <w:i w:val="0"/>
        </w:rPr>
        <w:t>Using cryptocurrency presents challenges. Users need to worry about an exchange rate and uncertainty around the storage value of cryptocurrency.</w:t>
      </w:r>
    </w:p>
    <w:p>
      <w:pPr>
        <w:pStyle w:val="ListBullet"/>
      </w:pPr>
      <w:r>
        <w:rPr>
          <w:b w:val="0"/>
          <w:i w:val="0"/>
        </w:rPr>
        <w:t>New regulations may enable a separation of the exchange and storage functions of money. Commercial banks may continue to hold our money balances in traditional currencies and make loans to businesses with those balances, but transactions may be intermediated by separate payment technologies.</w:t>
      </w:r>
    </w:p>
    <w:p>
      <w:pPr>
        <w:pStyle w:val="Heading3"/>
      </w:pPr>
      <w:r>
        <w:rPr>
          <w:b/>
          <w:i w:val="0"/>
        </w:rPr>
        <w:t>NOTE</w:t>
      </w:r>
    </w:p>
    <w:p>
      <w:r>
        <w:rPr>
          <w:b w:val="0"/>
          <w:i w:val="0"/>
        </w:rPr>
        <w:t>1.  Committee on Payments and Market Infrastructures, “Central Bank Digital Currencies,” Bank for International Settlements, March 12, 2018, https://www.bis.org/cpmi/publ/d174.htm.</w:t>
      </w:r>
    </w:p>
    <w:p>
      <w:r>
        <w:rPr>
          <w:b w:val="0"/>
          <w:i/>
        </w:rPr>
        <w:t>Adapted from content posted on hbr.org, originally published May 7, 2018 (product #H04BB3).</w:t>
      </w:r>
    </w:p>
    <w:p>
      <w:pPr>
        <w:pStyle w:val="Heading1"/>
      </w:pPr>
      <w:r>
        <w:rPr>
          <w:b/>
          <w:i w:val="0"/>
        </w:rPr>
        <w:t>9</w:t>
      </w:r>
    </w:p>
    <w:p>
      <w:pPr>
        <w:pStyle w:val="Heading1"/>
      </w:pPr>
      <w:r>
        <w:rPr>
          <w:b/>
          <w:i w:val="0"/>
        </w:rPr>
        <w:t>GLOBAL SUPPLY CHAINS ARE ABOUT TO GET BETTER, THANKS TO BLOCKCHAIN</w:t>
      </w:r>
    </w:p>
    <w:p>
      <w:r>
        <w:rPr>
          <w:b w:val="0"/>
          <w:i w:val="0"/>
        </w:rPr>
        <w:t>by Michael J. Casey and Pindar Wong</w:t>
      </w:r>
    </w:p>
    <w:p>
      <w:r>
        <w:rPr>
          <w:b w:val="0"/>
          <w:i w:val="0"/>
        </w:rPr>
        <w:t xml:space="preserve">When an </w:t>
      </w:r>
      <w:r>
        <w:rPr>
          <w:b w:val="0"/>
          <w:i/>
        </w:rPr>
        <w:t>E. coli</w:t>
      </w:r>
      <w:r>
        <w:rPr>
          <w:b w:val="0"/>
          <w:i w:val="0"/>
        </w:rPr>
        <w:t xml:space="preserve"> outbreak at Chipotle Mexican Grill outlets left 55 customers ill, in 2015, the news stories, shutdowns, and investigations shattered the restaurant chain’s reputation. Sales plummeted, and Chipotle’s share price dropped 42%, to a three-year low.</w:t>
      </w:r>
    </w:p>
    <w:p>
      <w:r>
        <w:rPr>
          <w:b w:val="0"/>
          <w:i w:val="0"/>
        </w:rPr>
        <w:t>At the heart of the Denver-based company’s crisis was the ever-present problem faced by companies that depend on multiple suppliers to deliver parts and ingredients: a lack of transparency and accountability across complex supply chains. Unable to monitor its suppliers in real time, Chipotle could neither prevent the contamination nor contain it in a targeted way after it was discovered.</w:t>
      </w:r>
    </w:p>
    <w:p>
      <w:r>
        <w:rPr>
          <w:b w:val="0"/>
          <w:i w:val="0"/>
        </w:rPr>
        <w:t>Now, a slew of startups and corporations are exploring a radical solution to this problem: using a blockchain to transfer title and record permissions and activity logs to track the flow of goods and services between businesses and across borders.</w:t>
      </w:r>
    </w:p>
    <w:p>
      <w:r>
        <w:rPr>
          <w:b w:val="0"/>
          <w:i w:val="0"/>
        </w:rPr>
        <w:t>With blockchain technology, the core system that underpins bitcoin, computers of separately owned entities follow a cryptographic protocol to constantly validate updates to a commonly shared ledger. A fundamental advantage of this distributed system, where no single company has control, is that it resolves problems of disclosure and accountability between individuals and institutions whose interests aren’t necessarily aligned. Mutually important data can be updated in real time, removing the need for laborious, error-prone reconciliation with each other’s internal records. It gives each member of the network far greater and timelier visibility of the total activity.</w:t>
      </w:r>
    </w:p>
    <w:p>
      <w:r>
        <w:rPr>
          <w:b w:val="0"/>
          <w:i w:val="0"/>
        </w:rPr>
        <w:t xml:space="preserve">In a nutshell, this is a global system for mediating trust and selective transparency. Its advocates say it will take the internet’s empowering potential to its next level. Although much attention and money has been spent on financial applications of the technology, an equally promising test case lies with global supply chain relationships, whose complexity and diversity of interests pose exactly the kinds of challenges this technology seeks to address. The technology can reveal hitherto hidden information and allows users to attach digital tokens—a unique, negotiable form of digital asset, modeled on bitcoin—to intermediate goods as they progress through the production, shipping, and delivery phases of a supply chain and as title to them passes between different players. This could give businesses far greater flexibility to find markets and price risk by capturing the value that they have invested in the process at any point along the chain. What we end up with are dynamic </w:t>
      </w:r>
      <w:r>
        <w:rPr>
          <w:b w:val="0"/>
          <w:i/>
        </w:rPr>
        <w:t>demand</w:t>
      </w:r>
      <w:r>
        <w:rPr>
          <w:b w:val="0"/>
          <w:i w:val="0"/>
        </w:rPr>
        <w:t xml:space="preserve"> chains in place of rigid </w:t>
      </w:r>
      <w:r>
        <w:rPr>
          <w:b w:val="0"/>
          <w:i/>
        </w:rPr>
        <w:t>supply</w:t>
      </w:r>
      <w:r>
        <w:rPr>
          <w:b w:val="0"/>
          <w:i w:val="0"/>
        </w:rPr>
        <w:t xml:space="preserve"> chains, resulting in more efficient resource use for all.</w:t>
      </w:r>
    </w:p>
    <w:p>
      <w:r>
        <w:rPr>
          <w:b w:val="0"/>
          <w:i w:val="0"/>
        </w:rPr>
        <w:t>Various endeavors have already started. Provenance, a U.K.-based startup, tells prospective clients they can use its blockchain-based technology to “share your product’s journey and your business impact on environment and society.” Walmart is working with IBM and Tsinghua University, in Beijing, to follow the movement of pork in China with a blockchain. Mining giant BHP Billiton is using the technology to track mineral analysis done by outside vendors. The startup Everledger has uploaded unique identifying data on a million individual diamonds to a blockchain ledger system to build quality assurances and help jewelers comply with regulations barring “blood diamond” products.</w:t>
      </w:r>
    </w:p>
    <w:p>
      <w:r>
        <w:rPr>
          <w:b w:val="0"/>
          <w:i w:val="0"/>
        </w:rPr>
        <w:t>Advances in chip and sensor technology, which can translate data from the automated movement of physical goods, should greatly enhance these emerging blockchain systems. It could be especially powerful when combined with “smart contracts,” in which contractual rights and obligations, including the terms for payment and delivery of goods and services, can be automatically executed by an autonomous system that’s trusted by all signatories.</w:t>
      </w:r>
    </w:p>
    <w:p>
      <w:r>
        <w:rPr>
          <w:b w:val="0"/>
          <w:i w:val="0"/>
        </w:rPr>
        <w:t>But this technology’s potential traceability and automation benefits don’t just pertain to things; it could also keep human beings in check. Staff and supervisors from different vendors can be granted special, cryptographic permissions, which, when placed into a blockchain environment, would appear as unique, traceable identifiers—preferably encrypted, to protect the employee’s personal information. This would allow all members of a supply chain community to monitor the activity of each other’s credentialed staff. Chipotle, for example, could see in real time whether a properly credentialed person in a facility owned by one of its beef suppliers is carrying out appropriate sterilization and disinfection procedures.</w:t>
      </w:r>
    </w:p>
    <w:p>
      <w:r>
        <w:rPr>
          <w:b w:val="0"/>
          <w:i w:val="0"/>
        </w:rPr>
        <w:t>This kind of provable, transparent credentialing will be especially important for additive manufacturing, which is central to the dynamic, on-demand production model of the so-called Industry 4.0 movement. A team from precision parts manufacturer Moog Inc. has launched a service it calls VeriPart, which seeks to overcome a challenge that the director of its additive manufacturing and innovation unit, James Regenor, described to us in these terms: “How can the maintenance crew on a U.S. aircraft carrier have absolute confidence that the software file they downloaded to 3D print a new part for a fighter jet hasn’t been hacked by a foreign adversary?” This underscores one of the most compelling arguments for blockchain technology: Without its solution to the trust problem, the sophisticated, decentralized, internet of things–driven economy that many are projecting might well be impossible.</w:t>
      </w:r>
    </w:p>
    <w:p>
      <w:r>
        <w:rPr>
          <w:b w:val="0"/>
          <w:i w:val="0"/>
        </w:rPr>
        <w:t>These potential efficiency improvements, enabled by hitherto unavailable information, suggest blockchain technology could deliver vast savings for companies everywhere. But there are formidable obstacles to overcome first.</w:t>
      </w:r>
    </w:p>
    <w:p>
      <w:r>
        <w:rPr>
          <w:b w:val="0"/>
          <w:i w:val="0"/>
        </w:rPr>
        <w:t>One challenge lies in the development and governance of the technology. Ideally, to encourage free access, competition, and open innovation, global supply chains would have the option to anchor to a public blockchain that no entity controls. In other words, data extracted from commercial and production activity would be cryptographically recorded in open ledgers. But, inevitably, private, closed ledgers run by a consortium of companies will also arise, as their members seek to protect market share and profits. Both imperatives pose challenges. For one, achieving global economic capacity for the most significant public blockchains, digital currency service bitcoin and smart contract platform Ethereum, is constrained by divisions in their open-source communities, making it difficult to agree on protocol upgrades. Second, there needs to be interoperability across private and public blockchains, which will require standards and agreements.</w:t>
      </w:r>
    </w:p>
    <w:p>
      <w:r>
        <w:rPr>
          <w:b w:val="0"/>
          <w:i w:val="0"/>
        </w:rPr>
        <w:t>Another big obstacle: the law. A complex array of regulations, maritime law, and commercial codes governs rights of ownership and possession along the world’s shipping routes and their multiple jurisdictions. Marrying that Old World body of law, and the human-led institutions that manage it, with the digitally defined, dematerialized, automated, and denationalized nature of blockchains and smart contracts will be difficult.</w:t>
      </w:r>
    </w:p>
    <w:p>
      <w:r>
        <w:rPr>
          <w:b w:val="0"/>
          <w:i w:val="0"/>
        </w:rPr>
        <w:t>Even before governments can be convinced to support this effort, and to do so in a globally coordinated way, industry must agree on best practices and standards of technology and contract structure across international borders and jurisdictions. In Hong Kong, the Belt and Road blockchain consortium seeks to bring order to this process by adopting internet governance approaches pioneered and tested by ICANN (Internet Corporation for Assigned Names and Numbers), the organization that manages domain names. As an international, private sector–led body, ICANN has already proven itself to be an effective global administrator and adjudicator.</w:t>
      </w:r>
    </w:p>
    <w:p>
      <w:r>
        <w:rPr>
          <w:b w:val="0"/>
          <w:i w:val="0"/>
        </w:rPr>
        <w:t>These challenges must be weighed against the demands of a global economy that has experienced challenges since the financial crisis of 2008 and is fueling disintegrating, isolationist forces in the United States and Europe. Any system that promises to counter those trends by removing the intercommercial frictions that curb trade while also enhancing transparency and control for businesses and their customers is inherently worth exploring. It’s why an increasing number of investors, businesses, academics, and even governments are starting to view blockchain technology as a much-needed platform for economic renewal.</w:t>
      </w:r>
    </w:p>
    <w:p>
      <w:r>
        <w:rPr>
          <w:b/>
          <w:i w:val="0"/>
        </w:rPr>
        <w:t>TAKEAWAYS</w:t>
      </w:r>
    </w:p>
    <w:p>
      <w:r>
        <w:rPr>
          <w:b w:val="0"/>
          <w:i w:val="0"/>
        </w:rPr>
        <w:t>A slew of startups and corporations are exploring uses of blockchain throughout the global supply chain to transfer titles, record permissions, and log activities to track and expedite the flow of goods and services between businesses and across borders.</w:t>
      </w:r>
    </w:p>
    <w:p>
      <w:pPr>
        <w:pStyle w:val="ListBullet"/>
      </w:pPr>
      <w:r>
        <w:rPr>
          <w:b w:val="0"/>
          <w:i w:val="0"/>
        </w:rPr>
        <w:t>A fundamental advantage of this distributed tracking and management system is that it resolves problems of disclosure and accountability between parties whose interests aren’t necessarily aligned. Mutually important data can be updated reliably in real time, removing the need for reconciliation with each other’s internal records.</w:t>
      </w:r>
    </w:p>
    <w:p>
      <w:pPr>
        <w:pStyle w:val="ListBullet"/>
      </w:pPr>
      <w:r>
        <w:rPr>
          <w:b w:val="0"/>
          <w:i w:val="0"/>
        </w:rPr>
        <w:t>Governance, collaboration, interoperability across private and public blockchains, and legal challenges may present roadblocks to adopting these technologies.</w:t>
      </w:r>
    </w:p>
    <w:p>
      <w:r>
        <w:rPr>
          <w:b w:val="0"/>
          <w:i/>
        </w:rPr>
        <w:t>Adapted from content posted on hbr.org, originally published March 13, 2017 (product #H03J07).</w:t>
      </w:r>
    </w:p>
    <w:p>
      <w:pPr>
        <w:pStyle w:val="Heading1"/>
      </w:pPr>
      <w:r>
        <w:rPr>
          <w:b/>
          <w:i w:val="0"/>
        </w:rPr>
        <w:t>10</w:t>
      </w:r>
    </w:p>
    <w:p>
      <w:pPr>
        <w:pStyle w:val="Heading1"/>
      </w:pPr>
      <w:r>
        <w:rPr>
          <w:b/>
          <w:i w:val="0"/>
        </w:rPr>
        <w:t>WHAT BLOCKCHAIN MEANS FOR THE SHARING ECONOMY</w:t>
      </w:r>
    </w:p>
    <w:p>
      <w:r>
        <w:rPr>
          <w:b w:val="0"/>
          <w:i w:val="0"/>
        </w:rPr>
        <w:t>by Primavera De Filippi</w:t>
      </w:r>
    </w:p>
    <w:p>
      <w:r>
        <w:rPr>
          <w:b w:val="0"/>
          <w:i w:val="0"/>
        </w:rPr>
        <w:t>Look at the modus operandi of today’s internet giants—such as Google, Facebook, Twitter, Uber, or Airbnb—and you’ll notice they have one thing in common: They rely on the contributions of users as a means to generate value within their own platforms. Over the past 20 years the economy has progressively moved away from the traditional model of centralized organizations, where large operators, often with a dominant position, were responsible for providing a service to a group of passive consumers. Today we are moving toward a new model of increasingly decentralized organizations, where large operators are responsible for aggregating the resources of multiple people to provide a service to a much more active group of consumers. This shift marks the advent of a new generation of “dematerialized” organizations that do not require physical offices, assets, or even employees.</w:t>
      </w:r>
    </w:p>
    <w:p>
      <w:r>
        <w:rPr>
          <w:b w:val="0"/>
          <w:i w:val="0"/>
        </w:rPr>
        <w:t>The problem with this model is that, in most cases, the value produced by the crowd is not equally redistributed among all those who have contributed to the value production; all of the profits are captured by the large intermediaries who operate the platforms.</w:t>
      </w:r>
    </w:p>
    <w:p>
      <w:r>
        <w:rPr>
          <w:b w:val="0"/>
          <w:i w:val="0"/>
        </w:rPr>
        <w:t>Recently, a new technology has emerged that could change this imbalance. Blockchain facilitates the exchange of value in a secure and decentralized manner, without the need for an intermediary.</w:t>
      </w:r>
    </w:p>
    <w:p>
      <w:r>
        <w:rPr>
          <w:b w:val="0"/>
          <w:i w:val="0"/>
        </w:rPr>
        <w:t>But the most revolutionary aspect of blockchain technology is that it can run software in a secure and decentralized manner. With a blockchain, software applications no longer need to be deployed on a centralized server: They can be run on a peer-to-peer network that is not controlled by any single party. These blockchain-based applications can be used to coordinate the activities of a large number of individuals, who can organize themselves without the help of a third party. Blockchain technology is ultimately a means for individuals to coordinate common activities, to interact directly with one another, and to govern themselves in a more secure and decentralized manner.</w:t>
      </w:r>
    </w:p>
    <w:p>
      <w:r>
        <w:rPr>
          <w:b w:val="0"/>
          <w:i w:val="0"/>
        </w:rPr>
        <w:t>There are already a fair number of applications that have been deployed on a blockchain. Akasha, Steem.io, or Synereo, for instance, are distributed social networks that operate like Facebook, but without a central platform. Instead of relying on a centralized organization to manage the network and stipulate which content should be displayed to whom (often through proprietary algorithms that are not disclosed to the public), these platforms are run in a decentralized manner, aggregating the work of disparate groups of peers, which coordinate themselves, only and exclusively, through a set of code-based rules enshrined in a blockchain. People must pay microfees to post messages onto the network, which will be paid to those who contribute to maintaining and operating the network. Contributors may earn back the fee (plus additional compensation) as their messages spread across the network and are positively evaluated by their peers.</w:t>
      </w:r>
    </w:p>
    <w:p>
      <w:r>
        <w:rPr>
          <w:b w:val="0"/>
          <w:i w:val="0"/>
        </w:rPr>
        <w:t>Similarly, OpenBazaar is a decentralized marketplace, much like eBay or Amazon, but operates independently of any intermediary operator. The platform relies on blockchain technology to ensure that buyers and sellers can interact directly with one another, without passing through any centralized middleman. Anyone is free to register a product on the platform, which will become visible to all users connected to the network. Once a buyer agrees to the price for that product, an escrow account is created on the bitcoin blockchain that requires two out of three people (that is, the buyer, the seller, and a potential third-party arbitrator) to agree for the funds to be released (a so-called multisignature account). Once the buyer has sent the payment to the account, the seller ships the product; after receiving the product, the buyer releases the funds from the escrow account. Only if there is an issue between the two does the system require the intervention of a third party (for example, a randomly selected arbitrator) to decide whether to release the payment to the seller or whether to return the money to the buyer.</w:t>
      </w:r>
    </w:p>
    <w:p>
      <w:r>
        <w:rPr>
          <w:b w:val="0"/>
          <w:i w:val="0"/>
        </w:rPr>
        <w:t>There are also decentralized carpooling platforms, such as LaZooz or Arcade City, which operate much like Uber, but without a centralized operator. These platforms are governed only by the code deployed on a blockchain-based infrastructure, which is designed to govern peer-to-peer interactions between drivers and users. These platforms rely on a blockchain to reward drivers contributing to the platform with specially designed tokens that represent a share in the platform. The more a driver contributes to the network, the more they will be able to benefit from the success of that platform, and the greater their influence in the governance of that organization.</w:t>
      </w:r>
    </w:p>
    <w:p>
      <w:r>
        <w:rPr>
          <w:b w:val="0"/>
          <w:i w:val="0"/>
        </w:rPr>
        <w:t xml:space="preserve">Blockchain technology thus facilitates the emergence of new forms of organizations, which are not only </w:t>
      </w:r>
      <w:r>
        <w:rPr>
          <w:b w:val="0"/>
          <w:i/>
        </w:rPr>
        <w:t>dematerialized</w:t>
      </w:r>
      <w:r>
        <w:rPr>
          <w:b w:val="0"/>
          <w:i w:val="0"/>
        </w:rPr>
        <w:t xml:space="preserve"> but also </w:t>
      </w:r>
      <w:r>
        <w:rPr>
          <w:b w:val="0"/>
          <w:i/>
        </w:rPr>
        <w:t>decentralized</w:t>
      </w:r>
      <w:r>
        <w:rPr>
          <w:b w:val="0"/>
          <w:i w:val="0"/>
        </w:rPr>
        <w:t xml:space="preserve">. These organizations—which have no director or CEO, or any sort of hierarchical structure—are administered, collectively, by all individuals interacting on a blockchain. As such, it is important not to confuse them with the traditional model of crowdsourcing, where people contribute to a platform but do not benefit from the success of that platform. Blockchain technologies can support a much more cooperative form of crowdsourcing—sometimes referred to as “platform cooperativism”—where users qualify both as </w:t>
      </w:r>
      <w:r>
        <w:rPr>
          <w:b w:val="0"/>
          <w:i/>
        </w:rPr>
        <w:t>contributors</w:t>
      </w:r>
      <w:r>
        <w:rPr>
          <w:b w:val="0"/>
          <w:i w:val="0"/>
        </w:rPr>
        <w:t xml:space="preserve"> and </w:t>
      </w:r>
      <w:r>
        <w:rPr>
          <w:b w:val="0"/>
          <w:i/>
        </w:rPr>
        <w:t>shareholders</w:t>
      </w:r>
      <w:r>
        <w:rPr>
          <w:b w:val="0"/>
          <w:i w:val="0"/>
        </w:rPr>
        <w:t xml:space="preserve"> of the platforms to which they contribute. And since there is no intermediary operator, the value produced within these platforms can be more equally redistributed among those who have contributed to the value creation.</w:t>
      </w:r>
    </w:p>
    <w:p>
      <w:r>
        <w:rPr>
          <w:b w:val="0"/>
          <w:i w:val="0"/>
        </w:rPr>
        <w:t xml:space="preserve">With this new opportunity for increased “cooperativism,” we’re moving toward a true sharing or collaborative economy—one that is not controlled by a few large intermediary operators, but that is governed </w:t>
      </w:r>
      <w:r>
        <w:rPr>
          <w:b w:val="0"/>
          <w:i/>
        </w:rPr>
        <w:t>by</w:t>
      </w:r>
      <w:r>
        <w:rPr>
          <w:b w:val="0"/>
          <w:i w:val="0"/>
        </w:rPr>
        <w:t xml:space="preserve"> and </w:t>
      </w:r>
      <w:r>
        <w:rPr>
          <w:b w:val="0"/>
          <w:i/>
        </w:rPr>
        <w:t>for</w:t>
      </w:r>
      <w:r>
        <w:rPr>
          <w:b w:val="0"/>
          <w:i w:val="0"/>
        </w:rPr>
        <w:t xml:space="preserve"> the people.</w:t>
      </w:r>
    </w:p>
    <w:p>
      <w:r>
        <w:rPr>
          <w:b w:val="0"/>
          <w:i w:val="0"/>
        </w:rPr>
        <w:t>There’s nothing new about that, you might say—haven’t we heard these promises before? Wasn’t the mainstream deployment of the internet supposed to level the playing field for individuals and small businesses competing against corporate giants? And yet, as time went by, most of the promises and dreams of the early internet days faded away, as giants formed and took control over our digital landscape.</w:t>
      </w:r>
    </w:p>
    <w:p>
      <w:r>
        <w:rPr>
          <w:b w:val="0"/>
          <w:i w:val="0"/>
        </w:rPr>
        <w:t>Today we have a new opportunity to fulfill these promises. Blockchain technology makes it possible to replace the model of top-down hierarchical organizations with a system of distributed, bottom-up cooperation. This shift could change the way wealth is distributed in the first place, enabling people to cooperate toward the creation of a common good, while ensuring that everyone will be duly compensated for their efforts and contributions.</w:t>
      </w:r>
    </w:p>
    <w:p>
      <w:r>
        <w:rPr>
          <w:b w:val="0"/>
          <w:i w:val="0"/>
        </w:rPr>
        <w:t>Yet nothing should be taken for granted. Just as the internet has evolved from a highly decentralized infrastructure into an increasingly centralized system controlled by only a few large online operators, there is always the risk that giants will eventually form in the blockchain space. We’ve lost our first window of opportunity with the internet. If we, as a society, really value the concept of a true sharing economy, where the individuals doing the work are fairly rewarded for their efforts, it behooves us all to engage and experiment with this emergent technology, to explore the new opportunities it provides, and to deploy large, successful, community-driven applications that enable us to resist the formation of blockchain giants.</w:t>
      </w:r>
    </w:p>
    <w:p>
      <w:r>
        <w:rPr>
          <w:b/>
          <w:i w:val="0"/>
        </w:rPr>
        <w:t>TAKEAWAYS</w:t>
      </w:r>
    </w:p>
    <w:p>
      <w:r>
        <w:rPr>
          <w:b w:val="0"/>
          <w:i w:val="0"/>
        </w:rPr>
        <w:t>Today’s internet giants—think Facebook, Google, and Twitter—rely on the contributions of their users to generate value within their own platforms. The problem with this model is that most of the value produced by the crowd is captured by the large intermediaries that operate the platforms. Blockchain could change this imbalance.</w:t>
      </w:r>
    </w:p>
    <w:p>
      <w:pPr>
        <w:pStyle w:val="ListBullet"/>
      </w:pPr>
      <w:r>
        <w:rPr>
          <w:b w:val="0"/>
          <w:i w:val="0"/>
        </w:rPr>
        <w:t xml:space="preserve">Blockchain offers an opportunity for increased “cooperativism,” where we move toward a true sharing or collaborative economy—one that is not controlled by a few large intermediary operators, but that is governed </w:t>
      </w:r>
      <w:r>
        <w:rPr>
          <w:b w:val="0"/>
          <w:i/>
        </w:rPr>
        <w:t>by</w:t>
      </w:r>
      <w:r>
        <w:rPr>
          <w:b w:val="0"/>
          <w:i w:val="0"/>
        </w:rPr>
        <w:t xml:space="preserve"> and </w:t>
      </w:r>
      <w:r>
        <w:rPr>
          <w:b w:val="0"/>
          <w:i/>
        </w:rPr>
        <w:t>for</w:t>
      </w:r>
      <w:r>
        <w:rPr>
          <w:b w:val="0"/>
          <w:i w:val="0"/>
        </w:rPr>
        <w:t xml:space="preserve"> the people.</w:t>
      </w:r>
    </w:p>
    <w:p>
      <w:pPr>
        <w:pStyle w:val="ListBullet"/>
      </w:pPr>
      <w:r>
        <w:rPr>
          <w:b w:val="0"/>
          <w:i w:val="0"/>
        </w:rPr>
        <w:t>A collaborative economy should not be taken for granted. Just as the internet has evolved from a highly decentralized infrastructure into a system controlled by a few large operators, there is always the risk that giants will eventually form in the blockchain space.</w:t>
      </w:r>
    </w:p>
    <w:p>
      <w:r>
        <w:rPr>
          <w:b w:val="0"/>
          <w:i/>
        </w:rPr>
        <w:t>Adapted from content posted on hbr.org, originally published March 15, 2017 (product #H03J7F).</w:t>
      </w:r>
    </w:p>
    <w:p>
      <w:pPr>
        <w:pStyle w:val="Heading1"/>
      </w:pPr>
      <w:r>
        <w:rPr>
          <w:b/>
          <w:i w:val="0"/>
        </w:rPr>
        <w:t>11</w:t>
      </w:r>
    </w:p>
    <w:p>
      <w:pPr>
        <w:pStyle w:val="Heading1"/>
      </w:pPr>
      <w:r>
        <w:rPr>
          <w:b/>
          <w:i w:val="0"/>
        </w:rPr>
        <w:t>HOW BLOCKCHAIN CAN HELP MARKETERS BUILD BETTER RELATIONSHIPS WITH THEIR CUSTOMERS</w:t>
      </w:r>
    </w:p>
    <w:p>
      <w:r>
        <w:rPr>
          <w:b w:val="0"/>
          <w:i w:val="0"/>
        </w:rPr>
        <w:t>by Campbell R. Harvey, Christine Moorman, and Marc Toledo</w:t>
      </w:r>
    </w:p>
    <w:p>
      <w:r>
        <w:rPr>
          <w:b w:val="0"/>
          <w:i w:val="0"/>
        </w:rPr>
        <w:t>Blockchain has important implications for marketing and advertising. But according to The CMO Survey, only 8% of firms rate the use of blockchain in marketing as moderately or very important.1</w:t>
      </w:r>
    </w:p>
    <w:p>
      <w:r>
        <w:rPr>
          <w:b w:val="0"/>
          <w:i w:val="0"/>
        </w:rPr>
        <w:t>Blockchain technology is not well understood and is subject to a lot of hype. This combination creates a natural barrier to entry and has likely caused marketers to take a wait-and-see approach. However, there are many reasons to invest the time now to understand the technology and begin exploring specific marketing applications for your industry. Like digital platforms, social media, martech, fintech, and numerous other innovations, the spoils of blockchain may go to early adopters that commit to ruthless innovation.</w:t>
      </w:r>
    </w:p>
    <w:p>
      <w:r>
        <w:rPr>
          <w:b w:val="0"/>
          <w:i w:val="0"/>
        </w:rPr>
        <w:t>Blockchain’s properties—transparency, immutability, and security—make it reliable and trustworthy for applications such as supply chain management, smart contracts, financial reporting, the internet of things, the management of private (for example, medical) information, and, even, electrical grid management. Meanwhile, its transmission model reduces the costs of transactions, enables verification and efficient exchange of ownership, and opens the door to real-time micropayments. It may make it possible for payment frictions to shrink, intermediaries to fade away, and consumers to own and control their personal information. Here, we see the disruptive potential of blockchain on marketing.</w:t>
      </w:r>
    </w:p>
    <w:p>
      <w:pPr>
        <w:pStyle w:val="Heading2"/>
      </w:pPr>
      <w:r>
        <w:rPr>
          <w:b/>
          <w:i w:val="0"/>
        </w:rPr>
        <w:t>The Marketing Impact of Near-Zero Transaction Costs</w:t>
      </w:r>
    </w:p>
    <w:p>
      <w:r>
        <w:rPr>
          <w:b w:val="0"/>
          <w:i w:val="0"/>
        </w:rPr>
        <w:t>Financial transactions have considerable costs. Retailers routinely pay credit card companies 3% payment processing fees, while gas stations pay even more. Vendors using eBay and Shopify pay listing and sales fees, and consumers pay transaction fees on payment portals like PayPal. All of these fees increase the cost of goods and are typically passed on to consumers. With the pervasive use of credit cards and debit cards, many merchants have set minimum purchases for their use to avoid having their profitability destroyed by fees.</w:t>
      </w:r>
    </w:p>
    <w:p>
      <w:r>
        <w:rPr>
          <w:b w:val="0"/>
          <w:i w:val="0"/>
        </w:rPr>
        <w:t>Blockchain technology allows for near-zero transaction costs—even on microtransactions. Financial corporations like Mastercard and Visa already offer the ability to send money in any local currency over a blockchain rather than by swiping a credit card, taking advantage of the technology’s additional layers of security and transparency. On top of that, being able to cut intermediaries and connect directly the banks at both ends of each transaction can avoid most cross-border fees.</w:t>
      </w:r>
    </w:p>
    <w:p>
      <w:r>
        <w:rPr>
          <w:b w:val="0"/>
          <w:i w:val="0"/>
        </w:rPr>
        <w:t>There are implications for marketers and advertisers as well. Marketers often try to get access to customer data by paying third parties (like Facebook) to share information. But blockchain could allow merchants to use micropayments to motivate consumers to share personal information—directly, without going through an intermediary. For example, a grocery store chain with a mobile app can pay users $1 for installing the app in their phones, plus an extra $1 if they allow it to enable location tracking. Every time they open the app and spend at least a minute on it, the retailer can pay them a few cents or loyalty points’ worth of store credit, up to a maximum per day. During that time, they push deals and special offers to the user. Indeed, user-tailored deals open a legitimate mechanism to deliver personalized prices that are a function of the consumer’s profile. This approach has the potential to reduce fraud and minimize inaccurate or incomplete information from customers that currently plague these programs.</w:t>
      </w:r>
    </w:p>
    <w:p>
      <w:r>
        <w:rPr>
          <w:b w:val="0"/>
          <w:i w:val="0"/>
        </w:rPr>
        <w:t>In the same way, marketers can enable “smart contracts” (virtual agreements that remove the need for validation, review, or authentication by intermediaries) that users can activate when they subscribe to email newsletters or sign up for a rewards program. Micropayments are deposited directly to the users’ wallets whenever they interact with commercial emails—or with ads, which brings us to our next point.</w:t>
      </w:r>
    </w:p>
    <w:p>
      <w:pPr>
        <w:pStyle w:val="Heading2"/>
      </w:pPr>
      <w:r>
        <w:rPr>
          <w:b/>
          <w:i w:val="0"/>
        </w:rPr>
        <w:t>Ending the Google-Facebook Advertising Duopoly</w:t>
      </w:r>
    </w:p>
    <w:p>
      <w:r>
        <w:rPr>
          <w:b w:val="0"/>
          <w:i w:val="0"/>
        </w:rPr>
        <w:t>A similar model could be used with website ads by compensating consumers for each page view. A majority of internet users dislike most forms of pop-ups and mobile ads and see online advertisement as intrusive and negatively disruptive.2 An increasingly common response is to install ad blockers, a trend that is having a major punitive effect on the industry. By 2020, it is estimated that ad-blocking adoption will cost publishers $35 billion.3</w:t>
      </w:r>
    </w:p>
    <w:p>
      <w:r>
        <w:rPr>
          <w:b w:val="0"/>
          <w:i w:val="0"/>
        </w:rPr>
        <w:t>Blockchain-enabled technology potentially allows marketers to recapture some of that revenue with a different type of model: Marketers pay consumers directly for their attention—and cut out the Google-Facebook layer.</w:t>
      </w:r>
    </w:p>
    <w:p>
      <w:r>
        <w:rPr>
          <w:b w:val="0"/>
          <w:i w:val="0"/>
        </w:rPr>
        <w:t>We believe that the Google-Facebook duopoly in digital advertising will soon be threatened by blockchain technology. While keyword-based search will not disappear completely, it will become much less prominent. Eventually, individuals could control their own online profiles and social graphs.</w:t>
      </w:r>
    </w:p>
    <w:p>
      <w:r>
        <w:rPr>
          <w:b w:val="0"/>
          <w:i w:val="0"/>
        </w:rPr>
        <w:t>With blockchain technology, companies can bypass today’s social media powerhouses by directly interacting with consumers and can share the reward of ad exposure directly with them. In 2016, Google is reported to have generated an average of $73 per active user via ads.4 Of course, the $73 is just an average over nearly one billion active users. It is reasonable to expect that Google brings in much more than $1,000 for certain highly valued demographics. Imagine the marketing possibilities when companies can efficiently transfer these values to consumers via willingly consumed advertising enabled via blockchain technology.</w:t>
      </w:r>
    </w:p>
    <w:p>
      <w:r>
        <w:rPr>
          <w:b w:val="0"/>
          <w:i w:val="0"/>
        </w:rPr>
        <w:t>Blockchain technology can also verify ad delivery and consumer engagement; avoid ad or email overserving, which angers consumers and demotivates them from buying; and prevent follow-me ads that are no longer relevant (such as when consumers have already made a purchase of the company’s or competitor’s products).</w:t>
      </w:r>
    </w:p>
    <w:p>
      <w:pPr>
        <w:pStyle w:val="Heading2"/>
      </w:pPr>
      <w:r>
        <w:rPr>
          <w:b/>
          <w:i w:val="0"/>
        </w:rPr>
        <w:t>Ending Marketing Fraud and Spam</w:t>
      </w:r>
    </w:p>
    <w:p>
      <w:r>
        <w:rPr>
          <w:b w:val="0"/>
          <w:i w:val="0"/>
        </w:rPr>
        <w:t>Fraud verification via blockchain will also help verify the origin and methodology of marketers. Micropayments will also effectively destroy the current concept of mass phishing spam that dilutes the effectiveness of marketing for everyone.</w:t>
      </w:r>
    </w:p>
    <w:p>
      <w:r>
        <w:rPr>
          <w:b w:val="0"/>
          <w:i w:val="0"/>
        </w:rPr>
        <w:t>Some 135 billion spam emails are sent every day, currently accounting for 48% of all emails sent. Spammers receive only one reply for every 12.5 million emails sent. A very small blockchain-enabled payment to the recipient of the email will discourage the spammer by increasing the cost of this activity. It should also help companies identify consumers who are interested in the transaction by their willingness to make this exchange.</w:t>
      </w:r>
    </w:p>
    <w:p>
      <w:r>
        <w:rPr>
          <w:b w:val="0"/>
          <w:i w:val="0"/>
        </w:rPr>
        <w:t>Similarly, for the internet, every time a user clicks on a link, there could be a micropayment. In most cases, the user will make a small micropayment (for example, one cent to read a news article). This would defeat the DoS attacks—a type of cyber-attack that involves recruiting bots to hit a website with millions of requests that causes the website to go down or to provide poor response time.</w:t>
      </w:r>
    </w:p>
    <w:p>
      <w:r>
        <w:rPr>
          <w:b w:val="0"/>
          <w:i w:val="0"/>
        </w:rPr>
        <w:t>Blockchain could also make it difficult for bots to set up fake social media accounts, flood users with deceptive messages, and steal online advertising dollars from big brands. Online authenticity is literally baked into the blockchain technology. One company that is tackling the problem of social media fraud is Keybase.io, which enables individuals to use blockchain to demonstrate that they are the rightful owners of their various social media accounts. This will make the impact of marketing easier to track and marketing expenditures easier to justify—both are big wins for the profession.</w:t>
      </w:r>
    </w:p>
    <w:p>
      <w:r>
        <w:rPr>
          <w:b w:val="0"/>
          <w:i w:val="0"/>
        </w:rPr>
        <w:t>As of 2016, $7.6 billion (or 56% of total display ad dollars) were lost to fraudulent or deceptive activity, a number that is expected to grow to $10.9 billion. By using blockchain technology to track their ads, marketing teams can retain control over all their automation practices, ensure that marketing spending is focused on ROI-generating activities, and directly measure the impact of marketing down to a per-user, per-mail metric. By tying user behavior and micropayments together, blockchain could solve the attribution problem that has bedeviled marketers for decades.</w:t>
      </w:r>
    </w:p>
    <w:p>
      <w:pPr>
        <w:pStyle w:val="Heading2"/>
      </w:pPr>
      <w:r>
        <w:rPr>
          <w:b/>
          <w:i w:val="0"/>
        </w:rPr>
        <w:t>Remonetizing Media Consumption</w:t>
      </w:r>
    </w:p>
    <w:p>
      <w:r>
        <w:rPr>
          <w:b w:val="0"/>
          <w:i w:val="0"/>
        </w:rPr>
        <w:t>Blockchain-enabled editorial content will likely allow companies to enhance quality control and copyright protection. For instance, (the reinvented) Kodak has created KODAKOne, which features a digital ledger documenting who owns the rights to individual images, allowing photographers to assert control over their work. Currently, the theft of online content is a pervasive problem, and creators have little recourse to recoup lost monies other than expensive lawsuits. In the future, they will automatically and easily receive payments for content usage.</w:t>
      </w:r>
    </w:p>
    <w:p>
      <w:r>
        <w:rPr>
          <w:b w:val="0"/>
          <w:i w:val="0"/>
        </w:rPr>
        <w:t>In addition, the average person who creates viral content, such as much-watched videos or social posts, could receive compensation for every click. (Currently, these creators receive little or no money unless their work is shown on online channels with subscribers.)</w:t>
      </w:r>
    </w:p>
    <w:p>
      <w:r>
        <w:rPr>
          <w:b w:val="0"/>
          <w:i w:val="0"/>
        </w:rPr>
        <w:t>In all of these scenarios, content creators are empowered to produce relevant work that is valued proportionally to its success.</w:t>
      </w:r>
    </w:p>
    <w:p>
      <w:r>
        <w:rPr>
          <w:b w:val="0"/>
          <w:i w:val="0"/>
        </w:rPr>
        <w:t>Companies like Coupit are getting ready to maximize the impact of that improved content. Coupit’s blockchain-based technology allows marketers to become part of loyalty and affiliate programs for opted-in consumers who can trade rewards with each other. Marketers gain visibility and transparency to differentiate between dormant and loyal customers, thereby expanding their strategies to send targeted offers to each group.</w:t>
      </w:r>
    </w:p>
    <w:p>
      <w:r>
        <w:rPr>
          <w:b w:val="0"/>
          <w:i w:val="0"/>
        </w:rPr>
        <w:t>Even when a data aggregator or analytics intermediary is necessary, micropayments will allow companies to bypass ad blocking. Individuals will control the amount of personal information they share and will be directly rewarded for ad exposure, and many privacy concerns will be legitimately appeased.</w:t>
      </w:r>
    </w:p>
    <w:p>
      <w:r>
        <w:rPr>
          <w:b w:val="0"/>
          <w:i w:val="0"/>
        </w:rPr>
        <w:t>One example of this is Brave, a new web browser created by Brendan Eich, cofounder of the Mozilla project and creator of the JavaScript language. Besides offering new levels of privacy and security, Brave is enabling a blockchain-based system aimed at transforming the relationship between users, advertisers, and content creators. Basic Attention Tokens (BATs) will allow publishers to monetize value-added services and capture some of the growth related to advertising, 73% of which is dominated by Facebook and Google.</w:t>
      </w:r>
    </w:p>
    <w:p>
      <w:pPr>
        <w:pStyle w:val="Heading2"/>
      </w:pPr>
      <w:r>
        <w:rPr>
          <w:b/>
          <w:i w:val="0"/>
        </w:rPr>
        <w:t>Better Results for Companies and for Consumers</w:t>
      </w:r>
    </w:p>
    <w:p>
      <w:r>
        <w:rPr>
          <w:b w:val="0"/>
          <w:i w:val="0"/>
        </w:rPr>
        <w:t>As blockchain goes mainstream, all intermediaries will need to adapt their business models. The decision chain will be structurally altered: Individuals will have more control over how they share personal information and how they spend their time interacting with advertisers. Spam and phishing scams will be stopped by their own nature—the more spammers spam, the more unsustainable they become from an economic standpoint. For companies, this could mean higher levels of control over the quality of inbound traffic for all their marketing efforts, as well as a much-needed improved understanding of customers’ behavior.</w:t>
      </w:r>
    </w:p>
    <w:p>
      <w:r>
        <w:rPr>
          <w:b w:val="0"/>
          <w:i w:val="0"/>
        </w:rPr>
        <w:t>On the other hand, exposure to advertisement will not be imposed without a transactional payment to each affected individual. Consumers will also have an incentive to post an accurate social profile online—detailing what they are interested in—because they will get paid for it. Marketers will be paying consumers directly—not the social media middle layer. When targeting high-value customers, the incentives will be accordingly higher.</w:t>
      </w:r>
    </w:p>
    <w:p>
      <w:r>
        <w:rPr>
          <w:b w:val="0"/>
          <w:i w:val="0"/>
        </w:rPr>
        <w:t>Blockchain technology holds the potential for societies to become more trustworthy and empowered, increasing visibility, connecting parties, and rewarding individuals for their contributions to transactions. Marketing and advertising are fundamentally impacted by these changes. Finding ways to design and implement measures to make blockchain-related transformations should be a priority not only for CMOs, but also for all strategic, financial, and technological decision makers. Operationally, companies may be able to build new levels of trust with individuals and, ultimately, connect their products and services with consumers in a manner and scale impossible to achieve without blockchain.</w:t>
      </w:r>
    </w:p>
    <w:p>
      <w:r>
        <w:rPr>
          <w:b w:val="0"/>
          <w:i w:val="0"/>
        </w:rPr>
        <w:t>Marketing and technology leaders have the potential to leverage blockchain to reinvent their customer relationships. Early action on this far-reaching technology will put companies in the best position to benefit from what we think will be widespread adoption.</w:t>
      </w:r>
    </w:p>
    <w:p>
      <w:r>
        <w:rPr>
          <w:b/>
          <w:i w:val="0"/>
        </w:rPr>
        <w:t>TAKEAWAYS</w:t>
      </w:r>
    </w:p>
    <w:p>
      <w:r>
        <w:rPr>
          <w:b w:val="0"/>
          <w:i w:val="0"/>
        </w:rPr>
        <w:t>Blockchain’s ability to shrink payment frictions and make intermediaries fade away means it has enormous potential to disrupt marketing.</w:t>
      </w:r>
    </w:p>
    <w:p>
      <w:pPr>
        <w:pStyle w:val="ListBullet"/>
      </w:pPr>
      <w:r>
        <w:rPr>
          <w:b w:val="0"/>
          <w:i w:val="0"/>
        </w:rPr>
        <w:t>Blockchain-enabled technology could allow marketers to recapture revenue lost to ad blockers and to disrupt the Google-Facebook advertising duopoly by adopting a new model: paying consumers directly for their attention with micropayments.</w:t>
      </w:r>
    </w:p>
    <w:p>
      <w:pPr>
        <w:pStyle w:val="ListBullet"/>
      </w:pPr>
      <w:r>
        <w:rPr>
          <w:b w:val="0"/>
          <w:i w:val="0"/>
        </w:rPr>
        <w:t>Fraud verification via blockchain, paired with a micropayment system, could reduce spam and phishing emails, fix the problem of fake social media accounts, and prevent denial-of-service attacks.</w:t>
      </w:r>
    </w:p>
    <w:p>
      <w:pPr>
        <w:pStyle w:val="ListBullet"/>
      </w:pPr>
      <w:r>
        <w:rPr>
          <w:b w:val="0"/>
          <w:i w:val="0"/>
        </w:rPr>
        <w:t>Blockchain could reinforce the ownership and copyright protection of online editorial content, allowing content creators, whether professional or amateur, to be fairly compensated for their creations.</w:t>
      </w:r>
    </w:p>
    <w:p>
      <w:pPr>
        <w:pStyle w:val="Heading3"/>
      </w:pPr>
      <w:r>
        <w:rPr>
          <w:b/>
          <w:i w:val="0"/>
        </w:rPr>
        <w:t>NOTES</w:t>
      </w:r>
    </w:p>
    <w:p>
      <w:r>
        <w:rPr>
          <w:b w:val="0"/>
          <w:i w:val="0"/>
        </w:rPr>
        <w:t>1.  The CMO Survey, “Highlights and Insights Report,” February 2018, https://cmosurvey.org/results/february-2018/.</w:t>
      </w:r>
    </w:p>
    <w:p>
      <w:r>
        <w:rPr>
          <w:b w:val="0"/>
          <w:i w:val="0"/>
        </w:rPr>
        <w:t xml:space="preserve">2.  Mimi An, “Why People Block Ads (and What It Means for Marketers and Advertisers),” </w:t>
      </w:r>
      <w:r>
        <w:rPr>
          <w:b w:val="0"/>
          <w:i/>
        </w:rPr>
        <w:t>Hubspot</w:t>
      </w:r>
      <w:r>
        <w:rPr>
          <w:b w:val="0"/>
          <w:i w:val="0"/>
        </w:rPr>
        <w:t>, July 13, 2016, https://blog.hubspot.com/news-trends/why-people-block-ads-and-what-it-means-for-marketers-and-advertisers.</w:t>
      </w:r>
    </w:p>
    <w:p>
      <w:r>
        <w:rPr>
          <w:b w:val="0"/>
          <w:i w:val="0"/>
        </w:rPr>
        <w:t>3.  Jessica Davies, “Uh-oh: Ad Blocking Forecast to Cost $35 Billion by 2020,” Digiday, June 7, 2016, https://digiday.com/uk/uh-oh-ad-blocking-forecast-cost-35-billion-2020/.</w:t>
      </w:r>
    </w:p>
    <w:p>
      <w:r>
        <w:rPr>
          <w:b w:val="0"/>
          <w:i w:val="0"/>
        </w:rPr>
        <w:t>4.  “Google’s Average Revenue per Monthly Active User from 1st Quarter 2015 to 4th Quarter 2016 (in U.S. Dollars),” Statista, https://www.statista.com/statistics/306570/google-annualized-advertising-arpu/.</w:t>
      </w:r>
    </w:p>
    <w:p>
      <w:r>
        <w:rPr>
          <w:b w:val="0"/>
          <w:i/>
        </w:rPr>
        <w:t>Adapted from content posted on hbr.org, originally published October 1, 2018 (product #H04K0R).</w:t>
      </w:r>
    </w:p>
    <w:p>
      <w:pPr>
        <w:pStyle w:val="Heading1"/>
      </w:pPr>
      <w:r>
        <w:rPr>
          <w:b/>
          <w:i w:val="0"/>
        </w:rPr>
        <w:t>12</w:t>
      </w:r>
    </w:p>
    <w:p>
      <w:pPr>
        <w:pStyle w:val="Heading1"/>
      </w:pPr>
      <w:r>
        <w:rPr>
          <w:b/>
          <w:i w:val="0"/>
        </w:rPr>
        <w:t>BLOCKCHAIN COULD HELP ARTISTS PROFIT MORE FROM THEIR CREATIVE WORKS</w:t>
      </w:r>
    </w:p>
    <w:p>
      <w:r>
        <w:rPr>
          <w:b w:val="0"/>
          <w:i w:val="0"/>
        </w:rPr>
        <w:t>by Don Tapscott and Alex Tapscott</w:t>
      </w:r>
    </w:p>
    <w:p>
      <w:r>
        <w:rPr>
          <w:b w:val="0"/>
          <w:i w:val="0"/>
        </w:rPr>
        <w:t>Anyone who follows the cultural industries—art, music, publishing, theater, cinema—knows of the tussles between artists and those who feed off their talents. The traditional food chain in movie-making, for example, is a long one: Between those who create a film and those who pay for it—movie goers, cable subscribers, pay-per-viewers, advertisers, rights licensees, and institutional sponsors such as the National Endowment for the Arts—is a multitude of middlemen: online retailers (Amazon, Walmart), streaming video services (Netflix, YouTube, Hulu), theater venues (Wanda’s AMC, Regal, Cinemark), product placement and media agencies (Propaganda GEM, Omnicom’s OMD), film producers (Columbia Pictures, Marvel Studios, Disney-Pixar), movie distributors (Sony Pictures, Universal, Warner Bros.), home marketers (Fox, HBO), cable and satellite services (Comcast, DIRECTV), video syndicators (PMI, TVS), film libraries and archives (Eastman House, Getty Images), and talent agencies (WME, CAA, ICM), each with its own contracts and accounting systems. That’s a staggeringly long list.</w:t>
      </w:r>
    </w:p>
    <w:p>
      <w:r>
        <w:rPr>
          <w:b w:val="0"/>
          <w:i w:val="0"/>
        </w:rPr>
        <w:t>Each of these middlemen takes a cut of the revenues and passes along the rest, with the leftovers typically reaching the artists themselves months later, per the terms of their contracts.</w:t>
      </w:r>
    </w:p>
    <w:p>
      <w:r>
        <w:rPr>
          <w:b w:val="0"/>
          <w:i w:val="0"/>
        </w:rPr>
        <w:t>So concentrated is the power in this feeding frenzy that many actors have taken themselves off the menu by launching their own companies within the existing industry model. The same is true in music, too. For example, Grammy-award-winning singer-songwriter Imogen Heap has been a pioneer in the field with the launch of Mycelia, a think-and-do tank whose goal is “to empower a fair, sustainable and vibrant music industry ecosystem involving all online music interaction services,” using blockchain. Artlery, a company founded by technologists and artists, is attempting the same thing for physical art such as sculptures and paintings. But for most artists and creators, that’s not an option.</w:t>
      </w:r>
    </w:p>
    <w:p>
      <w:r>
        <w:rPr>
          <w:b w:val="0"/>
          <w:i w:val="0"/>
        </w:rPr>
        <w:t xml:space="preserve">Enter blockchain-based platforms and programmable templates called </w:t>
      </w:r>
      <w:r>
        <w:rPr>
          <w:b w:val="0"/>
          <w:i/>
        </w:rPr>
        <w:t>smart contracts</w:t>
      </w:r>
      <w:r>
        <w:rPr>
          <w:b w:val="0"/>
          <w:i w:val="0"/>
        </w:rPr>
        <w:t>. Blockchain is a new technology platform, running on millions of devices and open to anyone, where not just information but anything of value—money, titles, and deeds, but also music, art, scientific discoveries, and other intellectual property—can be moved and stored securely and privately, where trust is established not by powerful intermediaries like movie studios, streaming services, banks, or other companies, but rather through mass collaboration and clever code.</w:t>
      </w:r>
    </w:p>
    <w:p>
      <w:r>
        <w:rPr>
          <w:b w:val="0"/>
          <w:i w:val="0"/>
        </w:rPr>
        <w:t>Combine this powerful new technology with an artistic community that values inclusion, integrity, transparency in deal making, respect of rights, privacy, security, and fair exchange of value, and you’ve got yourself a new ecosystem for motion pictures, video games, and other creative pursuits.</w:t>
      </w:r>
    </w:p>
    <w:p>
      <w:r>
        <w:rPr>
          <w:b w:val="0"/>
          <w:i w:val="0"/>
        </w:rPr>
        <w:t>“A lot of untapped creative energy is wasted on the practicalities that living in a centralized paradigm foster,” writes Zach LeBeau, CEO of SingularDTV, a blockchain-based digital content management and distribution platform. His vision is to decentralize the entertainment industry so that creative individuals can profit from the films, videos, games, and art they help to make. He expects decentralization to “realize a world that utilizes the greatest potential of every person.”</w:t>
      </w:r>
    </w:p>
    <w:p>
      <w:r>
        <w:rPr>
          <w:b w:val="0"/>
          <w:i w:val="0"/>
        </w:rPr>
        <w:t>LeBeau’s vision is not a pipe dream. Various companies are already collaborating on blockchain to develop an ecosystem with artist-friendly features, such as:</w:t>
      </w:r>
    </w:p>
    <w:p>
      <w:pPr>
        <w:pStyle w:val="ListBullet"/>
      </w:pPr>
      <w:r>
        <w:rPr>
          <w:b w:val="0"/>
          <w:i w:val="0"/>
        </w:rPr>
        <w:t>Value templates to construct deals that respect the artist as an entrepreneur and equal partner in any venture. LeBeau considers the engine of SingularDTV to be its smart contract system, which continually directs the flow of funding to, and revenues from, projects per the automated terms of agreement.</w:t>
      </w:r>
    </w:p>
    <w:p>
      <w:pPr>
        <w:pStyle w:val="ListBullet"/>
      </w:pPr>
      <w:r>
        <w:rPr>
          <w:b w:val="0"/>
          <w:i w:val="0"/>
        </w:rPr>
        <w:t xml:space="preserve">Funding mechanisms whereby artists can raise venture capital. For example, actor Mitzi Peirone used WeiFund, a blockchain-based crowdsale platform, to fund part of her debut thriller, </w:t>
      </w:r>
      <w:r>
        <w:rPr>
          <w:b w:val="0"/>
          <w:i/>
        </w:rPr>
        <w:t>Braid</w:t>
      </w:r>
      <w:r>
        <w:rPr>
          <w:b w:val="0"/>
          <w:i w:val="0"/>
        </w:rPr>
        <w:t>. Unlike Kickstarter or Indiegogo, WeiFund turns supporters into investors who share in the profits, should a film become profitable.</w:t>
      </w:r>
    </w:p>
    <w:p>
      <w:pPr>
        <w:pStyle w:val="ListBullet"/>
      </w:pPr>
      <w:r>
        <w:rPr>
          <w:b w:val="0"/>
          <w:i w:val="0"/>
        </w:rPr>
        <w:t>Inclusive revenues that use self-executing smart contracts to divide profits fairly and without delays according to each person’s contribution to the creative process. This benefits not just actors, screenwriters, and directors, for example, but also other artists and engineers.</w:t>
      </w:r>
    </w:p>
    <w:p>
      <w:pPr>
        <w:pStyle w:val="ListBullet"/>
      </w:pPr>
      <w:r>
        <w:rPr>
          <w:b w:val="0"/>
          <w:i w:val="0"/>
        </w:rPr>
        <w:t>Transparent ledgers distributed on the blockchain so that everyone can see how much revenue a film is generating and who is getting what percentage.</w:t>
      </w:r>
    </w:p>
    <w:p>
      <w:pPr>
        <w:pStyle w:val="ListBullet"/>
      </w:pPr>
      <w:r>
        <w:rPr>
          <w:b w:val="0"/>
          <w:i w:val="0"/>
        </w:rPr>
        <w:t>Micrometering and micromonetizing functionality to stream the revenues immediately to the artists and contributors, the way a film itself streams to online viewers. For example, filmmakers can monetize their content directly by making it available through Wiper, an encrypted messaging app that comes with a bitcoin wallet. Consumers can view films on their mobile devices in exchange for bitcoin.</w:t>
      </w:r>
    </w:p>
    <w:p>
      <w:pPr>
        <w:pStyle w:val="ListBullet"/>
      </w:pPr>
      <w:r>
        <w:rPr>
          <w:b w:val="0"/>
          <w:i w:val="0"/>
        </w:rPr>
        <w:t>Usage data analytics in the hands of artists to attract the right merchandisers and distributors, plan promotions, and crowdfund resources for future creative collaborations with other artists.</w:t>
      </w:r>
    </w:p>
    <w:p>
      <w:pPr>
        <w:pStyle w:val="ListBullet"/>
      </w:pPr>
      <w:r>
        <w:rPr>
          <w:b w:val="0"/>
          <w:i w:val="0"/>
        </w:rPr>
        <w:t>Digital rights management (DRM)—that is, the deployment of smart contracts to maximize the value of digital rights in a database. For example, SingularDTV represents film, television, and software projects on the blockchain as SNGLS tokens.</w:t>
      </w:r>
    </w:p>
    <w:p>
      <w:pPr>
        <w:pStyle w:val="ListBullet"/>
      </w:pPr>
      <w:r>
        <w:rPr>
          <w:b w:val="0"/>
          <w:i w:val="0"/>
        </w:rPr>
        <w:t>Piracy protection through public key infrastructure, which enables artists to exchange their assets securely with consumers over networks. For example, Custos Media Technologies, a South African startup, has deployed the bitcoin blockchain to track media piracy by incentivizing the file-sharing community to police pirated content.</w:t>
      </w:r>
    </w:p>
    <w:p>
      <w:pPr>
        <w:pStyle w:val="ListBullet"/>
      </w:pPr>
      <w:r>
        <w:rPr>
          <w:b w:val="0"/>
          <w:i w:val="0"/>
        </w:rPr>
        <w:t>Dynamic pricing mechanisms to experiment with promotions and auction-style schemes that could even tie pay-per-view and advertising rates to the online demand for a film.</w:t>
      </w:r>
    </w:p>
    <w:p>
      <w:pPr>
        <w:pStyle w:val="ListBullet"/>
      </w:pPr>
      <w:r>
        <w:rPr>
          <w:b w:val="0"/>
          <w:i w:val="0"/>
        </w:rPr>
        <w:t>Reputation systems that cull data from a token address’s transaction history and social media, to create a reputation score for that address. Artists will be able to establish their own credibility as well as that of prospective partners and refrain from doing deals with entities that fall short of reputational standards or lack necessary funding in their accounts.</w:t>
      </w:r>
    </w:p>
    <w:p>
      <w:r>
        <w:rPr>
          <w:b w:val="0"/>
          <w:i w:val="0"/>
        </w:rPr>
        <w:t>In this new ecosystem, we see a place for Netflix and YouTube, a place for studio curation, and a place for fan-generated content. The film industry will still need people to sift through the hundreds of millions of hours of video created every day all over the planet. The key point is that the artists themselves will finally be feasting at the center of their own ecosystem, not starving at the edges of many others.</w:t>
      </w:r>
    </w:p>
    <w:p>
      <w:r>
        <w:rPr>
          <w:b/>
          <w:i w:val="0"/>
        </w:rPr>
        <w:t>TAKEAWAYS</w:t>
      </w:r>
    </w:p>
    <w:p>
      <w:r>
        <w:rPr>
          <w:b w:val="0"/>
          <w:i w:val="0"/>
        </w:rPr>
        <w:t>In the arts and other creative industries, there are often countless intermediaries between creators and consumers. Each of these middlemen takes a cut of the revenues and passes along the rest, with the leftovers typically reaching the artists months later.</w:t>
      </w:r>
    </w:p>
    <w:p>
      <w:pPr>
        <w:pStyle w:val="ListBullet"/>
      </w:pPr>
      <w:r>
        <w:rPr>
          <w:b w:val="0"/>
          <w:i w:val="0"/>
        </w:rPr>
        <w:t>Blockchain-based smart contracts could reverse this paradigm to create a new ecosystem for creative pursuits based on inclusion, transparency in deal making, respect of rights, and fair exchange of value.</w:t>
      </w:r>
    </w:p>
    <w:p>
      <w:pPr>
        <w:pStyle w:val="ListBullet"/>
      </w:pPr>
      <w:r>
        <w:rPr>
          <w:b w:val="0"/>
          <w:i w:val="0"/>
        </w:rPr>
        <w:t>Various companies are already collaborating on blockchain to develop an ecosystem with artist-friendly features including funding mechanisms, micromonetizing, piracy protection</w:t>
      </w:r>
      <w:r>
        <w:rPr>
          <w:b/>
          <w:i w:val="0"/>
        </w:rPr>
        <w:t>,</w:t>
      </w:r>
      <w:r>
        <w:rPr>
          <w:b w:val="0"/>
          <w:i w:val="0"/>
        </w:rPr>
        <w:t xml:space="preserve"> and reputation systems.</w:t>
      </w:r>
    </w:p>
    <w:p>
      <w:r>
        <w:rPr>
          <w:b w:val="0"/>
          <w:i/>
        </w:rPr>
        <w:t>Adapted from content posted on hbr.org, originally published March 22, 2017 (product #H03JVQ).</w:t>
      </w:r>
    </w:p>
    <w:p>
      <w:pPr>
        <w:pStyle w:val="Heading1"/>
      </w:pPr>
      <w:r>
        <w:rPr>
          <w:b/>
          <w:i w:val="0"/>
        </w:rPr>
        <w:t>Section 3</w:t>
      </w:r>
    </w:p>
    <w:p>
      <w:pPr>
        <w:pStyle w:val="Heading1"/>
      </w:pPr>
      <w:r>
        <w:rPr>
          <w:b/>
          <w:i w:val="0"/>
        </w:rPr>
        <w:t>THE FUTURE OF BLOCKCHAIN</w:t>
      </w:r>
    </w:p>
    <w:p>
      <w:pPr>
        <w:pStyle w:val="Heading1"/>
      </w:pPr>
      <w:r>
        <w:rPr>
          <w:b/>
          <w:i w:val="0"/>
        </w:rPr>
        <w:t>13</w:t>
      </w:r>
    </w:p>
    <w:p>
      <w:pPr>
        <w:pStyle w:val="Heading1"/>
      </w:pPr>
      <w:r>
        <w:rPr>
          <w:b/>
          <w:i w:val="0"/>
        </w:rPr>
        <w:t>DOES YOUR IDEA ACTUALLY REQUIRE BLOCKCHAIN?</w:t>
      </w:r>
    </w:p>
    <w:p>
      <w:r>
        <w:rPr>
          <w:b w:val="0"/>
          <w:i w:val="0"/>
        </w:rPr>
        <w:t>by Catherine Tucker and Yudan Pang</w:t>
      </w:r>
    </w:p>
    <w:p>
      <w:r>
        <w:rPr>
          <w:b w:val="0"/>
          <w:i w:val="0"/>
        </w:rPr>
        <w:t>One of our main jobs when teaching and advising students who are thinking of founding blockchain companies is to get them to question whether or not their idea actually requires it. Data integrity is the main benefit conferred by blockchain technology, and a few questions can help determine whether that’s a particular problem for a given business or use case:</w:t>
      </w:r>
    </w:p>
    <w:p>
      <w:pPr>
        <w:pStyle w:val="ListNumber"/>
      </w:pPr>
      <w:r>
        <w:rPr>
          <w:b w:val="0"/>
          <w:i w:val="0"/>
        </w:rPr>
        <w:t>If the data that my business collects is corrupted, how much do people suffer?</w:t>
      </w:r>
    </w:p>
    <w:p>
      <w:pPr>
        <w:pStyle w:val="ListNumber"/>
      </w:pPr>
      <w:r>
        <w:rPr>
          <w:b w:val="0"/>
          <w:i w:val="0"/>
        </w:rPr>
        <w:t>Do outsiders (perhaps hackers) have incentives to distort or change the data that my business is based upon?</w:t>
      </w:r>
    </w:p>
    <w:p>
      <w:pPr>
        <w:pStyle w:val="ListNumber"/>
      </w:pPr>
      <w:r>
        <w:rPr>
          <w:b w:val="0"/>
          <w:i w:val="0"/>
        </w:rPr>
        <w:t>How much does my business depend on other people being able to trust the data on which it is built?</w:t>
      </w:r>
    </w:p>
    <w:p>
      <w:r>
        <w:rPr>
          <w:b w:val="0"/>
          <w:i w:val="0"/>
        </w:rPr>
        <w:t>Take, for example, a digital currency—the first use case for blockchain. There, if data is corrupted or distorted by outsiders, people lose real money, and the outsider who corrupts the data gains money, making such attacks plausible and to be feared. Therefore, no one will adopt a digital currency unless they can trust their data will not be corrupted or distorted. In other words, there’s at least a plausible reason why you’d want blockchain technology managing currency transactions.</w:t>
      </w:r>
    </w:p>
    <w:p>
      <w:r>
        <w:rPr>
          <w:b w:val="0"/>
          <w:i w:val="0"/>
        </w:rPr>
        <w:t>However, all too often blockchain startup ideas don’t really need blockchain. Their data really isn’t that valuable or unique in a way that gives outsiders sufficient economic incentives to launch attacks to try and corrupt or otherwise change it. That’s why a recent use of blockchain technology in China in response to the #MeToo movement is so interesting.</w:t>
      </w:r>
    </w:p>
    <w:p>
      <w:r>
        <w:rPr>
          <w:b w:val="0"/>
          <w:i w:val="0"/>
        </w:rPr>
        <w:t xml:space="preserve">In late 2017, an increasing number of stories were being shared on Chinese social media surrounding sexual harassment and abuse of position in Chinese universities. At first, the movement was called </w:t>
      </w:r>
      <w:r>
        <w:rPr>
          <w:b w:val="0"/>
          <w:i/>
        </w:rPr>
        <w:t>woyeshi</w:t>
      </w:r>
      <w:r>
        <w:rPr>
          <w:b w:val="0"/>
          <w:i w:val="0"/>
        </w:rPr>
        <w:t xml:space="preserve">, the Chinese spelling of “Me Too.” The Chinese government and technology platforms made repeated attempts to filter out such stories by censoring a variety of hashtags and keywords that campaigners used on Weibo and WeChat. First, </w:t>
      </w:r>
      <w:r>
        <w:rPr>
          <w:b w:val="0"/>
          <w:i/>
        </w:rPr>
        <w:t>woyeshi</w:t>
      </w:r>
      <w:r>
        <w:rPr>
          <w:b w:val="0"/>
          <w:i w:val="0"/>
        </w:rPr>
        <w:t xml:space="preserve"> was censored, and then #MeToo, and finally “Rice Bunny,” which has the same pronunciation as “Me Too” in Chinese. As a result, campaigners turned to blockchain technology to record their stories under the name “Every Snowflake.” This website simply uses a blockchain ledger process to record stories about sexual harassment.</w:t>
      </w:r>
    </w:p>
    <w:p>
      <w:r>
        <w:rPr>
          <w:b w:val="0"/>
          <w:i w:val="0"/>
        </w:rPr>
        <w:t>This is a use case that fulfills the three criteria outlined above. Victims desperately want to not be censored, other parties have a deep interest in censoring them, and people can only find value in stories of discrimination if they have not been censored. “Every Snowflake” is a compelling case where blockchain helped people overcome a real problem of data integrity.</w:t>
      </w:r>
    </w:p>
    <w:p>
      <w:r>
        <w:rPr>
          <w:b w:val="0"/>
          <w:i w:val="0"/>
        </w:rPr>
        <w:t>However, this project also highlights some of the challenges of using blockchain technology.</w:t>
      </w:r>
    </w:p>
    <w:p>
      <w:r>
        <w:rPr>
          <w:b w:val="0"/>
          <w:i w:val="0"/>
        </w:rPr>
        <w:t>The general weakness of using blockchain lies in its interface with other technologies and the rest of the world (see chapter 6 of this volume for more on blockchain’s “last-mile problem”). In this case, the “last-mile” challenge comes from the fact that it is still possible to restrict access to data built on the blockchain—for example, by banning the website that displays it.</w:t>
      </w:r>
    </w:p>
    <w:p>
      <w:r>
        <w:rPr>
          <w:b w:val="0"/>
          <w:i w:val="0"/>
        </w:rPr>
        <w:t>Last, perhaps the biggest challenge to our privacy is in the fact that digital data usually lives forever unless someone makes strenuous efforts to delete it. Blockchain is even more extreme; it nearly guarantees the data lives forever. Corrections can’t be made. Stories can’t be modified. This raises challenges. What do libel suits look like when records can’t be deleted from the blockchain? What about the “right to be forgotten” that is built into privacy policy in some countries? In the case of sexual harassment, these aren’t just questions of protecting the accused. What if a victim comes to regret making a statement publicly and wants to withdraw it, perhaps to protect their privacy or even their safety?</w:t>
      </w:r>
    </w:p>
    <w:p>
      <w:r>
        <w:rPr>
          <w:b w:val="0"/>
          <w:i w:val="0"/>
        </w:rPr>
        <w:t>Nonetheless, “Every Snowflake” hints at the possibilities of blockchain in our post-truth world. Not every interesting idea or business proposal requires the blockchain. But where data integrity is essential, it can be transformative.</w:t>
      </w:r>
    </w:p>
    <w:p>
      <w:r>
        <w:rPr>
          <w:b/>
          <w:i w:val="0"/>
        </w:rPr>
        <w:t>TAKEAWAYS</w:t>
      </w:r>
    </w:p>
    <w:p>
      <w:r>
        <w:rPr>
          <w:b w:val="0"/>
          <w:i w:val="0"/>
        </w:rPr>
        <w:t>Not every business idea needs blockchain. If data integrity is not critical to your business or use case, blockchain may not be required.</w:t>
      </w:r>
    </w:p>
    <w:p>
      <w:pPr>
        <w:pStyle w:val="ListBullet"/>
      </w:pPr>
      <w:r>
        <w:rPr>
          <w:b w:val="0"/>
          <w:i w:val="0"/>
        </w:rPr>
        <w:t xml:space="preserve">A few questions can help determine how essential data integrity is to your use case: </w:t>
      </w:r>
      <w:r>
        <w:rPr>
          <w:b w:val="0"/>
          <w:i/>
        </w:rPr>
        <w:t>If the data that my business collects is corrupted, how much do people suffer? Do outsiders have incentives to distort or change the data that my business is based upon? How much does my business depend on other people being able to trust the data on which it is built?</w:t>
      </w:r>
      <w:r>
        <w:rPr>
          <w:b w:val="0"/>
          <w:i w:val="0"/>
        </w:rPr>
        <w:t xml:space="preserve"> Digital currencies fulfill all three of these characteristics.</w:t>
      </w:r>
    </w:p>
    <w:p>
      <w:pPr>
        <w:pStyle w:val="ListBullet"/>
      </w:pPr>
      <w:r>
        <w:rPr>
          <w:b w:val="0"/>
          <w:i w:val="0"/>
        </w:rPr>
        <w:t>A more surprising use case for blockchain is Chinese #MeToo activists using the technology to avoid censorship. This use of blockchain also meets the three criteria above.</w:t>
      </w:r>
    </w:p>
    <w:p>
      <w:pPr>
        <w:pStyle w:val="ListBullet"/>
      </w:pPr>
      <w:r>
        <w:rPr>
          <w:b w:val="0"/>
          <w:i w:val="0"/>
        </w:rPr>
        <w:t>This case also presents some of the challenges of blockchain: Immutability and permanence of a blockchain means that corrections can’t be made, and stories can’t be modified. If a victim comes to regret making a statement publicly and wants to withdraw it, perhaps to protect their privacy or safety, they are not able to.</w:t>
      </w:r>
    </w:p>
    <w:p>
      <w:r>
        <w:rPr>
          <w:b w:val="0"/>
          <w:i/>
        </w:rPr>
        <w:t>Adapted from “Chinese Activists Are Using Blockchain to Document #MeToo Stories” on hbr.org, October 30, 2018 (product #H04MNY).</w:t>
      </w:r>
    </w:p>
    <w:p>
      <w:pPr>
        <w:pStyle w:val="Heading1"/>
      </w:pPr>
      <w:r>
        <w:rPr>
          <w:b/>
          <w:i w:val="0"/>
        </w:rPr>
        <w:t>14</w:t>
      </w:r>
    </w:p>
    <w:p>
      <w:pPr>
        <w:pStyle w:val="Heading1"/>
      </w:pPr>
      <w:r>
        <w:rPr>
          <w:b/>
          <w:i w:val="0"/>
        </w:rPr>
        <w:t>HOW REGULATION COULD HELP CRYPTOCURRENCIES GROW</w:t>
      </w:r>
    </w:p>
    <w:p>
      <w:r>
        <w:rPr>
          <w:b w:val="0"/>
          <w:i w:val="0"/>
        </w:rPr>
        <w:t>by Stephen J. Obie and Mark W. Rasmussen</w:t>
      </w:r>
    </w:p>
    <w:p>
      <w:r>
        <w:rPr>
          <w:b w:val="0"/>
          <w:i w:val="0"/>
        </w:rPr>
        <w:t>Ignorance may be bliss for some, but ask anyone in commerce or finance, and they will make it abundantly clear: Ignorance is risk. For that reason, U.S. markets embrace reasonable regulation to ensure transparency and fairness. Stocks are regulated by the Securities and Exchange Commission (SEC), commodities by the Commodity Futures Trading Commission (CFTC), and government currency by the Department of the Treasury and the Federal Reserve. But an emergent fourth asset class, cryptocurrencies, has no single regulator, and that is leading to uncertainty and confusion.</w:t>
      </w:r>
    </w:p>
    <w:p>
      <w:r>
        <w:rPr>
          <w:b w:val="0"/>
          <w:i w:val="0"/>
        </w:rPr>
        <w:t>In 2018 the SEC announced the appointment of one of the agency’s veteran attorneys, Valerie Szczepanik, as associate director of the Division of Corporation Finance and senior adviser for digital assets and innovation. This is a welcome development. As “crypto czar,” her job is to rationalize the application of U.S. securities laws to cryptocurrencies and work with other agencies to coordinate regulatory oversight.</w:t>
      </w:r>
    </w:p>
    <w:p>
      <w:r>
        <w:rPr>
          <w:b w:val="0"/>
          <w:i w:val="0"/>
        </w:rPr>
        <w:t>That will be easier said than done. But it is vitally important.</w:t>
      </w:r>
    </w:p>
    <w:p>
      <w:r>
        <w:rPr>
          <w:b w:val="0"/>
          <w:i w:val="0"/>
        </w:rPr>
        <w:t>Without clear regulations, cryptocurrency innovation in the United States is being stifled. Entrepreneurs sit on the sidelines for fear of innocently running afoul of the law. Investors, meanwhile, hang back because of uncertainty regarding valuations. And the commonweal suffers, as other countries lure innovators away from the United States by creating rules that make their jurisdictions more hospitable to this growing asset class.</w:t>
      </w:r>
    </w:p>
    <w:p>
      <w:r>
        <w:rPr>
          <w:b w:val="0"/>
          <w:i w:val="0"/>
        </w:rPr>
        <w:t>Given the regulatory uncertainty, the United States also risks allowing fraudulent purveyors of cryptocurrencies to drive out the good. To be sure, federal and state enforcement officials have aggressively sought to stamp out fraudulent initial coin offerings (ICOs) and cryptocurrency trading platforms.1 But without clear and coherent guidelines to attract good actors to the U.S. market, fraudsters might push out the good actors. At least one estimate pegs the frequency of ICO scams to be as high as 80%.</w:t>
      </w:r>
    </w:p>
    <w:p>
      <w:r>
        <w:rPr>
          <w:b w:val="0"/>
          <w:i w:val="0"/>
        </w:rPr>
        <w:t>Although still nascent, cryptocurrencies worldwide are nevertheless on the rise, with money raised by issuers in the first half of 2018 exceeding the amounts raised in all of 2017.</w:t>
      </w:r>
    </w:p>
    <w:p>
      <w:r>
        <w:rPr>
          <w:b w:val="0"/>
          <w:i w:val="0"/>
        </w:rPr>
        <w:t>Yet the growth of this 21st-century innovation is being hampered in the United States because our regulators are forced to use enforcement tools created decades ago, well before the internet took off, and in some cases even before World War II. Additionally, overlapping oversight by various agencies creates a structural barrier to change and drives up costs for creators of cryptocurrencies. This improvised approach needs to be improved.</w:t>
      </w:r>
    </w:p>
    <w:p>
      <w:r>
        <w:rPr>
          <w:b w:val="0"/>
          <w:i w:val="0"/>
        </w:rPr>
        <w:t xml:space="preserve">The SEC has said that whether securities laws apply to a particular cryptocurrency depends on the “facts and circumstances” of the offering. And it has emphasized that the manner in which cryptocurrencies are sold is key to that analysis. Indeed, it has been relatively rare that promoters have sold cryptocurrencies just so the buyer can purchase a good or service on a fully developed network. Rather, more often the buyer is hoping to realize a return on the instrument based on the work of the promoter, which likely makes it an “investment contract” and thus a security under the 1946 Supreme Court decision in </w:t>
      </w:r>
      <w:r>
        <w:rPr>
          <w:b w:val="0"/>
          <w:i/>
        </w:rPr>
        <w:t>SEC v. Howey Co</w:t>
      </w:r>
      <w:r>
        <w:rPr>
          <w:b w:val="0"/>
          <w:i w:val="0"/>
        </w:rPr>
        <w:t>.</w:t>
      </w:r>
    </w:p>
    <w:p>
      <w:r>
        <w:rPr>
          <w:b w:val="0"/>
          <w:i w:val="0"/>
        </w:rPr>
        <w:t xml:space="preserve">Looking beyond </w:t>
      </w:r>
      <w:r>
        <w:rPr>
          <w:b w:val="0"/>
          <w:i/>
        </w:rPr>
        <w:t>Howey</w:t>
      </w:r>
      <w:r>
        <w:rPr>
          <w:b w:val="0"/>
          <w:i w:val="0"/>
        </w:rPr>
        <w:t>, however, the SEC and the crypto czar could take a few thoughtful steps to promote clarity and innovation in the cryptocurrency market:</w:t>
      </w:r>
    </w:p>
    <w:p>
      <w:pPr>
        <w:pStyle w:val="ListBullet"/>
      </w:pPr>
      <w:r>
        <w:rPr>
          <w:b w:val="0"/>
          <w:i w:val="0"/>
        </w:rPr>
        <w:t>Encourage the formation of a self-regulatory body to promote and enforce standards among the crypto community.</w:t>
      </w:r>
    </w:p>
    <w:p>
      <w:pPr>
        <w:pStyle w:val="ListBullet"/>
      </w:pPr>
      <w:r>
        <w:rPr>
          <w:b w:val="0"/>
          <w:i w:val="0"/>
        </w:rPr>
        <w:t>Convene an interagency working group, including representatives from the crypto community, to harmonize existing regulatory practices and develop a formal U.S. policy on cryptocurrencies.</w:t>
      </w:r>
    </w:p>
    <w:p>
      <w:pPr>
        <w:pStyle w:val="ListBullet"/>
      </w:pPr>
      <w:r>
        <w:rPr>
          <w:b w:val="0"/>
          <w:i w:val="0"/>
        </w:rPr>
        <w:t>In connection with the above, provide public notice of a proposed rule governing cryptocurrencies and take comments from the public. (This was the process used to redefine so-called swap entities after the financial crisis.)</w:t>
      </w:r>
    </w:p>
    <w:p>
      <w:pPr>
        <w:pStyle w:val="ListBullet"/>
      </w:pPr>
      <w:r>
        <w:rPr>
          <w:b w:val="0"/>
          <w:i w:val="0"/>
        </w:rPr>
        <w:t>Officially recognize that the amount of decentralization is an important factor in determining whether a cryptocurrency is a security.</w:t>
      </w:r>
    </w:p>
    <w:p>
      <w:pPr>
        <w:pStyle w:val="ListBullet"/>
      </w:pPr>
      <w:r>
        <w:rPr>
          <w:b w:val="0"/>
          <w:i w:val="0"/>
        </w:rPr>
        <w:t>Go beyond the appointment of a crypto czar. The SEC should follow the lead of the CFTC—which created LabCFTC, an initiative for promoting innovation in fintech—in developing an opportunity for SEC regulators to directly engage with industry to address questions about the application of the securities laws to blockchain technologies before launch.</w:t>
      </w:r>
    </w:p>
    <w:p>
      <w:r>
        <w:rPr>
          <w:b w:val="0"/>
          <w:i w:val="0"/>
        </w:rPr>
        <w:t>These steps will help to promote order, consistency, and accountability within the cryptocurrency market without imposing undue burdens. And they will help the United States emerge as a wise leader in the regulation of cryptocurrency, which will spur entrepreneurship and innovation in this country. After all, wisdom—more than ignorance—is a truer form of bliss.</w:t>
      </w:r>
    </w:p>
    <w:p>
      <w:r>
        <w:rPr>
          <w:b/>
          <w:i w:val="0"/>
        </w:rPr>
        <w:t>TAKEAWAYS</w:t>
      </w:r>
    </w:p>
    <w:p>
      <w:r>
        <w:rPr>
          <w:b w:val="0"/>
          <w:i w:val="0"/>
        </w:rPr>
        <w:t>Cryptocurrencies have no single regulator, and that is leading to uncertainty, confusion, and risk that are slowing development and investment. Entrepreneurs sit on the sidelines for fear of innocently running afoul of the law, and investors hang back because of uncertainty regarding valuations. The U.S. SEC’s “crypto czar” should take steps to provide regulatory clarity and support innovation to the cryptocurrency market:</w:t>
      </w:r>
    </w:p>
    <w:p>
      <w:pPr>
        <w:pStyle w:val="ListBullet"/>
      </w:pPr>
      <w:r>
        <w:rPr>
          <w:b w:val="0"/>
          <w:i w:val="0"/>
        </w:rPr>
        <w:t>Encourage the formation of a self-regulatory body to promote and enforce standards among the crypto community.</w:t>
      </w:r>
    </w:p>
    <w:p>
      <w:pPr>
        <w:pStyle w:val="ListBullet"/>
      </w:pPr>
      <w:r>
        <w:rPr>
          <w:b w:val="0"/>
          <w:i w:val="0"/>
        </w:rPr>
        <w:t>Convene an interagency working group, including representatives from the crypto community, to harmonize existing regulatory practices and develop policies.</w:t>
      </w:r>
    </w:p>
    <w:p>
      <w:pPr>
        <w:pStyle w:val="ListBullet"/>
      </w:pPr>
      <w:r>
        <w:rPr>
          <w:b w:val="0"/>
          <w:i w:val="0"/>
        </w:rPr>
        <w:t>Provide public notice of proposed rules governing cryptocurrencies and take comments from the public.</w:t>
      </w:r>
    </w:p>
    <w:p>
      <w:pPr>
        <w:pStyle w:val="ListBullet"/>
      </w:pPr>
      <w:r>
        <w:rPr>
          <w:b w:val="0"/>
          <w:i w:val="0"/>
        </w:rPr>
        <w:t>Officially recognize that the amount of decentralization is an important factor in determining whether a cryptocurrency is a security.</w:t>
      </w:r>
    </w:p>
    <w:p>
      <w:pPr>
        <w:pStyle w:val="ListBullet"/>
      </w:pPr>
      <w:r>
        <w:rPr>
          <w:b w:val="0"/>
          <w:i w:val="0"/>
        </w:rPr>
        <w:t>Develop an opportunity for SEC regulators to directly engage with industry to address questions about the application of the securities laws to blockchain technologies before launch.</w:t>
      </w:r>
    </w:p>
    <w:p>
      <w:r>
        <w:rPr>
          <w:b w:val="0"/>
          <w:i/>
        </w:rPr>
        <w:t>This article represents the personal views and opinions of the authors and not necessarily those of the law firm with which they are associated.</w:t>
      </w:r>
    </w:p>
    <w:p>
      <w:pPr>
        <w:pStyle w:val="Heading3"/>
      </w:pPr>
      <w:r>
        <w:rPr>
          <w:b/>
          <w:i w:val="0"/>
        </w:rPr>
        <w:t>NOTE</w:t>
      </w:r>
    </w:p>
    <w:p>
      <w:r>
        <w:rPr>
          <w:b w:val="0"/>
          <w:i w:val="0"/>
        </w:rPr>
        <w:t>1.  “Cyber Enforcement Actions,” U.S. Securities and Exchange Commission, https://www.sec.gov/spotlight/cybersecurity-enforcement-actions.</w:t>
      </w:r>
    </w:p>
    <w:p>
      <w:r>
        <w:rPr>
          <w:b w:val="0"/>
          <w:i/>
        </w:rPr>
        <w:t>Adapted from content posted on hbr.org, originally published July 17, 2018 (product #H04FZP).</w:t>
      </w:r>
    </w:p>
    <w:p>
      <w:pPr>
        <w:pStyle w:val="Heading1"/>
      </w:pPr>
      <w:r>
        <w:rPr>
          <w:b/>
          <w:i w:val="0"/>
        </w:rPr>
        <w:t>15</w:t>
      </w:r>
    </w:p>
    <w:p>
      <w:pPr>
        <w:pStyle w:val="Heading1"/>
      </w:pPr>
      <w:r>
        <w:rPr>
          <w:b/>
          <w:i w:val="0"/>
        </w:rPr>
        <w:t>USING BLOCKCHAIN TO KEEP PUBLIC DATA PUBLIC</w:t>
      </w:r>
    </w:p>
    <w:p>
      <w:r>
        <w:rPr>
          <w:b w:val="0"/>
          <w:i w:val="0"/>
        </w:rPr>
        <w:t>by Brian Forde</w:t>
      </w:r>
    </w:p>
    <w:p>
      <w:r>
        <w:rPr>
          <w:b w:val="0"/>
          <w:i w:val="0"/>
        </w:rPr>
        <w:t>A few months after he took office, President Trump’s administration made a change to the White House website. The site’s digital updates are often small and insignificant—updating a photo, fixing a broken link—and therefore may go unnoticed. But this one was different, and it could have an impact on every single American. The update eliminated the White House’s open data.1</w:t>
      </w:r>
    </w:p>
    <w:p>
      <w:r>
        <w:rPr>
          <w:b w:val="0"/>
          <w:i w:val="0"/>
        </w:rPr>
        <w:t>On the surface, those nine gigabytes of data sets may seem inconsequential: They include White House visitor logs, the titles and salaries of every White House employee, and government budget data. But that information helps to ensure transparency in government. It helps reporters and citizens figure out who has the ear of the president and his staff, for example. In response to this very issue, Democrats introduced the Make Access Records Available to Lead American Government Openness Act, or MAR-A-LAGO Act, legislation that would require the Trump administration to publish visitor logs for the White House and any other location where the president regularly conducts official business.2</w:t>
      </w:r>
    </w:p>
    <w:p>
      <w:r>
        <w:rPr>
          <w:b w:val="0"/>
          <w:i w:val="0"/>
        </w:rPr>
        <w:t>The Obama administration drastically increased the openness of government data, codifying it with an executive order that made open, machine-readable data the new default for government information, to ensure that we have transparency in government. So, although the Trump administration’s move is a return to the opacity of past administrations, it’s a move in the wrong direction. Perhaps most important is what this could mean for the U.S. government’s entire open data strategy, as the administration controls the information that so many businesses, organizations, and individual Americans depend on daily.</w:t>
      </w:r>
    </w:p>
    <w:p>
      <w:r>
        <w:rPr>
          <w:b w:val="0"/>
          <w:i w:val="0"/>
        </w:rPr>
        <w:t>If you checked the weather this morning, you relied on information that was supplied by government open data. Used GPS to get to a meeting? That information was supplied by government open data. Received an alert that the baby crib you purchased was recalled? That, too, was supplied by government open data.</w:t>
      </w:r>
    </w:p>
    <w:p>
      <w:r>
        <w:rPr>
          <w:b w:val="0"/>
          <w:i w:val="0"/>
        </w:rPr>
        <w:t>Unfortunately, it’s not just the Trump administration that has been caught deleting or altering important data. Companies are doing it too. Volkswagen cheated on emissions tests.3 Uber showed fake information about available drivers to government employees. And Airbnb was caught purging more than 1,000 listings, which were in violation of New York state law, just before it shared its data with the public as part of a pledge “to build an open and transparent community.”4</w:t>
      </w:r>
    </w:p>
    <w:p>
      <w:r>
        <w:rPr>
          <w:b w:val="0"/>
          <w:i w:val="0"/>
        </w:rPr>
        <w:t>Data is under attack. And it is the leaders of governments and economies who are waging this war. They have made it acceptable to manipulate raw data in a way that benefits them financially or politically—and it has lowered public confidence in the veracity of information. These are institutions we rely on every day to make the policy and business decisions that affect our economy and society at large. If anyone is allowed to simply change a number or delete a data set, who—and what—are citizens supposed to believe? How can we get our data back?</w:t>
      </w:r>
    </w:p>
    <w:p>
      <w:r>
        <w:rPr>
          <w:b w:val="0"/>
          <w:i w:val="0"/>
        </w:rPr>
        <w:t>The answer lies with the public—public blockchains, to be specific.</w:t>
      </w:r>
    </w:p>
    <w:p>
      <w:r>
        <w:rPr>
          <w:b w:val="0"/>
          <w:i w:val="0"/>
        </w:rPr>
        <w:t>A public blockchain, like the one bitcoin uses, is a ledger that keeps time-stamped records of every transaction. Recording a transaction on a public blockchain is the digital equivalent of writing something in stone—it’s permanent. More important, it’s publicly available for anyone to see and verify.</w:t>
      </w:r>
    </w:p>
    <w:p>
      <w:r>
        <w:rPr>
          <w:b w:val="0"/>
          <w:i w:val="0"/>
        </w:rPr>
        <w:t>The first public blockchain was conceived of as a way to record financial transactions, but people have started using it as a way to time-stamp the existence of digital files, such as documents or images. The public blockchain establishes that a specific person or entity had possession of a file at a specific date and time. Useful for patent or copyright claims, the blockchain could also ensure that a government agency or company verifiably published its data—and allow the public to access and confirm that the file they have is the same one that was signed and time-stamped by the creator.</w:t>
      </w:r>
    </w:p>
    <w:p>
      <w:r>
        <w:rPr>
          <w:b w:val="0"/>
          <w:i w:val="0"/>
        </w:rPr>
        <w:t>The time stamp and signature alone don’t prove that the data is accurate, of course. Other forms of checks and balances, such as comparing data against tax or SEC filings, can be added to ensure that there are legal ramifications for entities that manipulate their data. In the same way, government data, like employment or climate data, could be checked against local, state, or academically collected information that has already been time-stamped and signed by credible institutions.</w:t>
      </w:r>
    </w:p>
    <w:p>
      <w:r>
        <w:rPr>
          <w:b w:val="0"/>
          <w:i w:val="0"/>
        </w:rPr>
        <w:t>Using the public blockchain in this manner would not only address our data access and manipulation issues but also lay the groundwork for a better system to more efficiently and effectively regulate the fastest-moving startups. Some tech companies, with their near-instantaneous feedback loops, believe they can regulate their ecosystems more efficiently and effectively than governments can, with their antiquated, in-person inspection efforts. And there’s some truth to that. Right now, many local and state governments regulate ride sharing and home sharing in ways similar to how they regulate taxis and hotels, with a combination of police officers, signs, and consumer complaints through 3-1-1 calls. At the same time, governments have watched these startups manipulate their data, and are therefore reticent to trust a company that might put its financial motivations ahead of regulation.</w:t>
      </w:r>
    </w:p>
    <w:p>
      <w:r>
        <w:rPr>
          <w:b w:val="0"/>
          <w:i w:val="0"/>
        </w:rPr>
        <w:t>With each party wary of the other’s motives and practices, it’s been difficult to settle on a compromise. But if governments and emerging technology companies used the public blockchain, both parties could achieve what they want. Companies could move fast, and consumer safety and rights would be protected.</w:t>
      </w:r>
    </w:p>
    <w:p>
      <w:r>
        <w:rPr>
          <w:b w:val="0"/>
          <w:i w:val="0"/>
        </w:rPr>
        <w:t>As respected venture capitalist and author Tim O’Reilly says, “Regulations, which specify how to execute laws in much more detail, should be regarded in much the same way that programmers regard their code and algorithms—that is, as a constantly updated tool set to achieve the outcomes specified in the laws.”5</w:t>
      </w:r>
    </w:p>
    <w:p>
      <w:r>
        <w:rPr>
          <w:b w:val="0"/>
          <w:i w:val="0"/>
        </w:rPr>
        <w:t>Conceivably, companies would update their information to the blockchain, with secure mechanisms put in place to protect individual and corporate privacy, and the government would use this data, submitted in real time, to apply local laws to those companies, their employees or contractors, and consumers. The government agency responsible for overseeing the industry would then analyze data, such as consumer feedback ratings and other relevant information (for example, whether ride-sharing drivers take tourists on a longer route), to improve safety and better protect the rights of everyone involved. In other words, the government would use lightweight algorithmic regulation to protect local citizen rights and safety.</w:t>
      </w:r>
    </w:p>
    <w:p>
      <w:r>
        <w:rPr>
          <w:b w:val="0"/>
          <w:i w:val="0"/>
        </w:rPr>
        <w:t>The public blockchain would fundamentally change the way we govern and do business. Rather than asking companies and consumers to downgrade their digital interactions in order to comply with the law, the government would create an adaptable system that would reduce the amount of paperwork and compliance for businesses and consumers. Rather than force emerging technologies and business models into legal gray areas, the government would use algorithmic regulation to create a level playing field for incumbent companies in their respective industries.</w:t>
      </w:r>
    </w:p>
    <w:p>
      <w:r>
        <w:rPr>
          <w:b w:val="0"/>
          <w:i w:val="0"/>
        </w:rPr>
        <w:t>Unless we tackle our crisis of data now, distrust between government, businesses, and citizens will reach an untenable peak. The growth and innovation of our startup economy will be stunted, and the ability for local and state governments to effectively govern will simply erode. We need open data to keep making important business and policy decisions—and we need to put it back into the hands of the public. Our data problem doesn’t have to be a crisis. It can be an opportunity—a chance for our business leaders and policy makers to rebuild a foundation of trust in the critical data we all depend on.</w:t>
      </w:r>
    </w:p>
    <w:p>
      <w:r>
        <w:rPr>
          <w:b/>
          <w:i w:val="0"/>
        </w:rPr>
        <w:t>TAKEAWAYS</w:t>
      </w:r>
    </w:p>
    <w:p>
      <w:r>
        <w:rPr>
          <w:b w:val="0"/>
          <w:i w:val="0"/>
        </w:rPr>
        <w:t>The leaders of our governments and economies are waging a war on data. They have made it acceptable to manipulate raw data in a way that benefits them financially or politically—and it has lowered public confidence in the veracity of information. Public blockchains could help reverse this.</w:t>
      </w:r>
    </w:p>
    <w:p>
      <w:pPr>
        <w:pStyle w:val="ListBullet"/>
      </w:pPr>
      <w:r>
        <w:rPr>
          <w:b w:val="0"/>
          <w:i w:val="0"/>
        </w:rPr>
        <w:t>Recording a transaction on a public blockchain is the digital equivalent of writing something in stone. It’s publicly available, permanently, for anyone to see and verify.</w:t>
      </w:r>
    </w:p>
    <w:p>
      <w:pPr>
        <w:pStyle w:val="ListBullet"/>
      </w:pPr>
      <w:r>
        <w:rPr>
          <w:b w:val="0"/>
          <w:i w:val="0"/>
        </w:rPr>
        <w:t>Blockchain could also ensure that a government agency or company verifiably published its data—and allow the public to access and confirm that the file they have is the same one that was signed and time-stamped by the creator.</w:t>
      </w:r>
    </w:p>
    <w:p>
      <w:pPr>
        <w:pStyle w:val="ListBullet"/>
      </w:pPr>
      <w:r>
        <w:rPr>
          <w:b w:val="0"/>
          <w:i w:val="0"/>
        </w:rPr>
        <w:t>Using the public blockchain in this manner would not only address our data access and manipulation issues but also lay the groundwork for a better system to more efficiently and effectively regulate the fastest-moving startups.</w:t>
      </w:r>
    </w:p>
    <w:p>
      <w:pPr>
        <w:pStyle w:val="Heading3"/>
      </w:pPr>
      <w:r>
        <w:rPr>
          <w:b/>
          <w:i w:val="0"/>
        </w:rPr>
        <w:t>NOTES</w:t>
      </w:r>
    </w:p>
    <w:p>
      <w:r>
        <w:rPr>
          <w:b w:val="0"/>
          <w:i w:val="0"/>
        </w:rPr>
        <w:t>1.  Tracie Mauriello, “Government Watchdogs Criticize Trump’s Removal of Open Data Sets,” Government Technology, February 22, 2017, http://www.govtech.com/data/Government-Watchdogs-Criticize-Trumps-Removal-of-Open-Data-Sets.html.</w:t>
      </w:r>
    </w:p>
    <w:p>
      <w:r>
        <w:rPr>
          <w:b w:val="0"/>
          <w:i w:val="0"/>
        </w:rPr>
        <w:t xml:space="preserve">2.  Jordain Carney, “Dems Introduce MAR-A-LAGO Act to Publish Visitor Logs,” </w:t>
      </w:r>
      <w:r>
        <w:rPr>
          <w:b w:val="0"/>
          <w:i/>
        </w:rPr>
        <w:t>The Hill</w:t>
      </w:r>
      <w:r>
        <w:rPr>
          <w:b w:val="0"/>
          <w:i w:val="0"/>
        </w:rPr>
        <w:t>, March 24, 2017, https://thehill.com/blogs/floor-action/senate/325651-dems-introduce-bill-to-publish-mar-a-lago-white-house-visitor-logs?amp.</w:t>
      </w:r>
    </w:p>
    <w:p>
      <w:r>
        <w:rPr>
          <w:b w:val="0"/>
          <w:i w:val="0"/>
        </w:rPr>
        <w:t>3.  Jeffrey Liker, “Assessing the Sins of Volkswagen, Toyota, and General Motors,” hbr.org, September 24, 2015, https://hbr.org/2015/09/assessing-the-sins-of-volkswagen-toyota-and-general-motors.</w:t>
      </w:r>
    </w:p>
    <w:p>
      <w:r>
        <w:rPr>
          <w:b w:val="0"/>
          <w:i w:val="0"/>
        </w:rPr>
        <w:t xml:space="preserve">4.  Jonah Engel Bromwich, “Airbnb Purged New York Listings to Create a Rosier Portrait, Report Says,” </w:t>
      </w:r>
      <w:r>
        <w:rPr>
          <w:b w:val="0"/>
          <w:i/>
        </w:rPr>
        <w:t>New York Times</w:t>
      </w:r>
      <w:r>
        <w:rPr>
          <w:b w:val="0"/>
          <w:i w:val="0"/>
        </w:rPr>
        <w:t>, February 11, 2016, https://www.nytimes.com/2016/02/12/business/airbnb-purged-new-york-listings-to-create-a-rosier-portrait-report-says.html.</w:t>
      </w:r>
    </w:p>
    <w:p>
      <w:r>
        <w:rPr>
          <w:b w:val="0"/>
          <w:i w:val="0"/>
        </w:rPr>
        <w:t xml:space="preserve">5.  Tim O’Reilly, “Chapter 22: Open Data and Algorithmic Regulation,” </w:t>
      </w:r>
      <w:r>
        <w:rPr>
          <w:b w:val="0"/>
          <w:i/>
        </w:rPr>
        <w:t>Beyond Transparency</w:t>
      </w:r>
      <w:r>
        <w:rPr>
          <w:b w:val="0"/>
          <w:i w:val="0"/>
        </w:rPr>
        <w:t>, https://beyondtransparency.org/chapters/part-5/open-data-and-algorithmic-regulation/.</w:t>
      </w:r>
    </w:p>
    <w:p>
      <w:r>
        <w:rPr>
          <w:b w:val="0"/>
          <w:i/>
        </w:rPr>
        <w:t>Adapted from content posted on hbr.org, originally published March 31, 2017 (product #H03JGL).</w:t>
      </w:r>
    </w:p>
    <w:p>
      <w:pPr>
        <w:pStyle w:val="Heading1"/>
      </w:pPr>
      <w:r>
        <w:rPr>
          <w:b/>
          <w:i w:val="0"/>
        </w:rPr>
        <w:t>16</w:t>
      </w:r>
    </w:p>
    <w:p>
      <w:pPr>
        <w:pStyle w:val="Heading1"/>
      </w:pPr>
      <w:r>
        <w:rPr>
          <w:b/>
          <w:i w:val="0"/>
        </w:rPr>
        <w:t>BLOCKCHAIN WILL HELP US PROVE OUR IDENTITIES IN A DIGITAL WORLD</w:t>
      </w:r>
    </w:p>
    <w:p>
      <w:r>
        <w:rPr>
          <w:b w:val="0"/>
          <w:i w:val="0"/>
        </w:rPr>
        <w:t>by Michael Mainelli</w:t>
      </w:r>
    </w:p>
    <w:p>
      <w:r>
        <w:rPr>
          <w:b w:val="0"/>
          <w:i w:val="0"/>
        </w:rPr>
        <w:t>“Who are you?” may well be the world’s most frequently asked question. On a website, in a nightclub, at an airport, or in front of a bank counter, everyone wants us to prove that we are who we say we are.</w:t>
      </w:r>
    </w:p>
    <w:p>
      <w:r>
        <w:rPr>
          <w:b w:val="0"/>
          <w:i w:val="0"/>
        </w:rPr>
        <w:t xml:space="preserve">But 2.4 billion poor people worldwide, about 1.5 billion of whom are over the age of 14, can’t answer that question to the satisfaction of authorities. While </w:t>
      </w:r>
      <w:r>
        <w:rPr>
          <w:b w:val="0"/>
          <w:i/>
        </w:rPr>
        <w:t>they</w:t>
      </w:r>
      <w:r>
        <w:rPr>
          <w:b w:val="0"/>
          <w:i w:val="0"/>
        </w:rPr>
        <w:t xml:space="preserve"> certainly know who they are, they are often excluded from property ownership, free movement, and social protection simply because they can’t prove their identity. They are more exposed to corruption and crime, including people trafficking and slavery. (Insightfully, the United Nations is aiming to change this, with UN Sustainable Development Goal #16, Peace, Justice, and Strong Institutions, aiming to “provide legal identity to all, including birth registration, by 2030.”)</w:t>
      </w:r>
    </w:p>
    <w:p>
      <w:r>
        <w:rPr>
          <w:b w:val="0"/>
          <w:i w:val="0"/>
        </w:rPr>
        <w:t xml:space="preserve">Globalization and population growth increase the pressure to find cost-effective solutions to prove identity. Recent advances in biometrics, from iris scanning to DNA analysis and voice pattern recognition, are likely to play an important technical role in fixing this, yet identity is not necessarily something that </w:t>
      </w:r>
      <w:r>
        <w:rPr>
          <w:b w:val="0"/>
          <w:i/>
        </w:rPr>
        <w:t>is</w:t>
      </w:r>
      <w:r>
        <w:rPr>
          <w:b w:val="0"/>
          <w:i w:val="0"/>
        </w:rPr>
        <w:t xml:space="preserve"> fixed. Our identities are records of our past behavior, and they change over time. Our identities can also vary depending on who is doing the identifying. For example, the tax office probably has little interest in your school report cards but may care enormously about the days you spent out of the country as an adult.</w:t>
      </w:r>
    </w:p>
    <w:p>
      <w:r>
        <w:rPr>
          <w:b w:val="0"/>
          <w:i w:val="0"/>
        </w:rPr>
        <w:t>Proof of identity can be a problem for rich and poor alike. For the rich, regulations around anti-money laundering, know-your-customer, and ultimate beneficial ownership increase legal and regulatory costs and hassles. Ninety percent of businesses responding to the International Chamber of Commerce’s 2016 Global Survey on Trade Finance pointed to anti-money laundering as the most significant impediment to trade.</w:t>
      </w:r>
    </w:p>
    <w:p>
      <w:r>
        <w:rPr>
          <w:b w:val="0"/>
          <w:i w:val="0"/>
        </w:rPr>
        <w:t>For the poor, Hernando de Soto, the Peruvian economist famous for his work on the informal economy, observes: “Without an integrated formal property system, a modern market economy is inconceivable.”1 Thus a modern market economy is inconceivable without proper identification, because there are no proven holders of property rights.</w:t>
      </w:r>
    </w:p>
    <w:p>
      <w:r>
        <w:rPr>
          <w:b w:val="0"/>
          <w:i w:val="0"/>
        </w:rPr>
        <w:t>While hassles for the wealthy are a world away from the daily toils of the “great undocumented,” the solution to their problems may be the same: mutual distributed ledgers (MDLs), or blockchain technology. MDLs are unalterable registers that allow groups of people to validate, record, and track transactions across a network of decentralized computer systems. The computers follow a common protocol that allows individuals to add new transactions and distribute them using peer-to-peer architecture. MDLs are multiorganizational databases with a super audit trail. Whereas a central database can lead to a natural monopoly that everyone has to use, the fact that MDLs are mutual—that is, held in common—means they are hard to exploit as natural monopolies. You can’t charge me for my copy of the ledger, because you don’t own it. No one does.</w:t>
      </w:r>
    </w:p>
    <w:p>
      <w:r>
        <w:rPr>
          <w:b w:val="0"/>
          <w:i w:val="0"/>
        </w:rPr>
        <w:t>A common question after two decades of MDLs is “What is the killer app?” Since the 2009 launch of bitcoin, the short and somewhat shaky answer has been cryptocurrencies. Bitcoin has had its ups and downs. It stirs up economic controversy with its community’s libertarian “new currency” agenda and high price volatility. Bitcoin also stirs up social controversy as rumors of heavy criminal trading of drugs and guns rightly attracts the attention of law enforcement agencies. Yet this decentralized cryptocurrency and its underlying MDL technology works, and some regulators grudgingly allow financial firms to use it.</w:t>
      </w:r>
    </w:p>
    <w:p>
      <w:r>
        <w:rPr>
          <w:b w:val="0"/>
          <w:i w:val="0"/>
        </w:rPr>
        <w:t>Now a more fundamental killer app for MDLs is emerging: the secure storage and transmission of digitally signed documents with a super audit trail. These immutable document exchange networks are emerging in trade finance, shipping, and insurance, where everyone has a big problem validating the identity of people and assets. An identity document exchange typically has three parties: (1) the subject, which is an individual or an asset, (2) the certifier, which is usually an organization that notarizes documents, like a government agency, an accounting firm, or a credit referencing agency, and (3) the inquisitor, which is an organization conducting know-your-customer/anti-money-laundering (KYC/AML) checks on the subject.</w:t>
      </w:r>
    </w:p>
    <w:p>
      <w:r>
        <w:rPr>
          <w:b w:val="0"/>
          <w:i w:val="0"/>
        </w:rPr>
        <w:t>Typically, there are two distinct MDLs: a content ledger holding the individually encrypted documents, and a transaction ledger holding encryption key access on a series of “key rings,” which are folders for documents such as identity, health, or academic qualifications. The subject can give the identity certifier permission to put digitally certified documents on the subject’s key rings. For example, a law firm might provide digitally signed copies of documents it has notarized to the subject for them to keep and use. A government might provide each of us with a digitally signed copy of our driving license for us to control. Certifiers have no further access to the data, but inquisitors rely on the data being stamped by a trusted third party, much as a notary public notarizes a physical document.</w:t>
      </w:r>
    </w:p>
    <w:p>
      <w:r>
        <w:rPr>
          <w:b w:val="0"/>
          <w:i w:val="0"/>
        </w:rPr>
        <w:t>The subject gives controlled key usage to inquisitors to inspect the documents with smart contracts, pieces of code recorded on the MDL. The network can restrict the number or timing of inquisitions and record them all for the subject. Third parties such as banks, insurers, or governments can get permission to access documents based on the permissions framework coded into the MDL. Commercial certifiers, such as accountants, lawyers, or notaries, may provide indemnities, such as insurance of validity, to inquisitors for a fee.</w:t>
      </w:r>
    </w:p>
    <w:p>
      <w:r>
        <w:rPr>
          <w:b w:val="0"/>
          <w:i w:val="0"/>
        </w:rPr>
        <w:t>Tellingly, since 2007 Estonia has been operating a universal national digital identity scheme in which all government data about individuals is stored on a distributed ledger that individuals control and can pass to others. This digital identity system powers a low-paperwork society using digital signatures. The scheme is so useful that nonnationals use it for their personal digital signatures elsewhere in Europe.</w:t>
      </w:r>
    </w:p>
    <w:p>
      <w:r>
        <w:rPr>
          <w:b w:val="0"/>
          <w:i w:val="0"/>
        </w:rPr>
        <w:t>Both high-net-worth and low-net-worth customers expect to have a sensible, inexpensive, global way to prove their identity, whether it is for payments, credit, government records, health records, or academic qualifications. MDL technology is ideally suited for immutable identity document exchange networks, and there are many initiatives under way to realize their potential. Empowering individuals to store, update, and manage access to their data seems rather obvious, including exercising their “right to be forgotten” by canceling their keys.</w:t>
      </w:r>
    </w:p>
    <w:p>
      <w:r>
        <w:rPr>
          <w:b w:val="0"/>
          <w:i w:val="0"/>
        </w:rPr>
        <w:t>Proving your identity today is an expensive process. Each identity document validation takes a lot of time and uses low-tech paperwork. People would like to get more use from expensively validated identity documents. One way is to increase the number of uses. For example, in Estonia, banks realized that account access could be given on the national ID as well as a bank card. The rise of many-use IDs could in turn drive consolidation toward a few competitive global systems.</w:t>
      </w:r>
    </w:p>
    <w:p>
      <w:r>
        <w:rPr>
          <w:b w:val="0"/>
          <w:i w:val="0"/>
        </w:rPr>
        <w:t>But this is no panacea. The ultimate question surrounding an immutable identity ledger is this: Will it become a lifeline for people, or a burden? Using ledgers that never lose data could materially alter the way society views identity, privacy, and security. Bureaucratic slips such as a mistyped name can be corrected, but the slip can never be forgotten. Behaviors will change, and societal conventions will alter as a result. For example, we may be more tolerant of other people’s histories when they can see our own unpaid fines or misdemeanors. Perhaps we will be more intrusive with important issues such as lying about academic qualifications, and more forgiving with lighter matters such as a few mediocre grades.</w:t>
      </w:r>
    </w:p>
    <w:p>
      <w:r>
        <w:rPr>
          <w:b w:val="0"/>
          <w:i w:val="0"/>
        </w:rPr>
        <w:t>And think of our permanent legacies. Perhaps we will act more responsibly if our legacy is indelible. For example, we might choose to donate our health data to research through smart contracts triggered by our death certificates. When our identities are forever etched in immutable stone, “Don’t you forget about me” may prove to be a more enduring tune than we ever could have imagined.</w:t>
      </w:r>
    </w:p>
    <w:p>
      <w:r>
        <w:rPr>
          <w:b/>
          <w:i w:val="0"/>
        </w:rPr>
        <w:t>TAKEAWAYS</w:t>
      </w:r>
    </w:p>
    <w:p>
      <w:r>
        <w:rPr>
          <w:b w:val="0"/>
          <w:i w:val="0"/>
        </w:rPr>
        <w:t>Proof of identity can be a problem for rich and poor alike. Blockchain may be able to provide a sensible, inexpensive, global way to prove their identity, whether for payments, credit, government records, health records, or academic qualifications.</w:t>
      </w:r>
    </w:p>
    <w:p>
      <w:pPr>
        <w:pStyle w:val="ListBullet"/>
      </w:pPr>
      <w:r>
        <w:rPr>
          <w:b w:val="0"/>
          <w:i w:val="0"/>
        </w:rPr>
        <w:t>Mutual distributed ledgers can be used for the secure storage and transmission of digitally signed documents with a super audit trail. These immutable document exchange networks are emerging in trade finance, shipping, and insurance, where everyone struggles to validate the identity of people and assets.</w:t>
      </w:r>
    </w:p>
    <w:p>
      <w:pPr>
        <w:pStyle w:val="ListBullet"/>
      </w:pPr>
      <w:r>
        <w:rPr>
          <w:b w:val="0"/>
          <w:i w:val="0"/>
        </w:rPr>
        <w:t>The ultimate question surrounding an immutable identity ledger is this: Will it become a lifeline for people, or a burden? Using ledgers that never lose data could materially alter the way society views identity, privacy, and security.</w:t>
      </w:r>
    </w:p>
    <w:p>
      <w:pPr>
        <w:pStyle w:val="Heading3"/>
      </w:pPr>
      <w:r>
        <w:rPr>
          <w:b/>
          <w:i w:val="0"/>
        </w:rPr>
        <w:t>NOTE</w:t>
      </w:r>
    </w:p>
    <w:p>
      <w:r>
        <w:rPr>
          <w:b w:val="0"/>
          <w:i w:val="0"/>
        </w:rPr>
        <w:t xml:space="preserve">1.  Hernando De Soto, </w:t>
      </w:r>
      <w:r>
        <w:rPr>
          <w:b w:val="0"/>
          <w:i/>
        </w:rPr>
        <w:t>The Mystery of Capital: Why Capitalism Triumphs in the West and Fails Everywhere Else</w:t>
      </w:r>
      <w:r>
        <w:rPr>
          <w:b w:val="0"/>
          <w:i w:val="0"/>
        </w:rPr>
        <w:t xml:space="preserve"> (New York: Basic Books, 2003), p. 164.</w:t>
      </w:r>
    </w:p>
    <w:p>
      <w:r>
        <w:rPr>
          <w:b w:val="0"/>
          <w:i/>
        </w:rPr>
        <w:t>Adapted from content posted on hbr.org, originally published March 16, 2017 (product #H03JA8).</w:t>
      </w:r>
    </w:p>
    <w:p>
      <w:pPr>
        <w:pStyle w:val="Heading1"/>
      </w:pPr>
      <w:r>
        <w:rPr>
          <w:b/>
          <w:i w:val="0"/>
        </w:rPr>
        <w:t>17</w:t>
      </w:r>
    </w:p>
    <w:p>
      <w:pPr>
        <w:pStyle w:val="Heading1"/>
      </w:pPr>
      <w:r>
        <w:rPr>
          <w:b/>
          <w:i w:val="0"/>
        </w:rPr>
        <w:t>MAKING CRYPTOCURRENCY MORE ENVIRONMENTALLY SUSTAINABLE</w:t>
      </w:r>
    </w:p>
    <w:p>
      <w:r>
        <w:rPr>
          <w:b w:val="0"/>
          <w:i w:val="0"/>
        </w:rPr>
        <w:t>by Marc Blinder</w:t>
      </w:r>
    </w:p>
    <w:p>
      <w:r>
        <w:rPr>
          <w:b w:val="0"/>
          <w:i w:val="0"/>
        </w:rPr>
        <w:t>Blockchain has the power to change our world for the better in so many ways. It can provide unbanked people with digital wallets, prevent fraud, and replace outdated systems with more efficient ones. But we still need this new and improved world to be one that we want to live in. The largest cryptocurrencies—bitcoin, bitcoin cash, and Ethereum—require vast amounts of energy consumption to function. In 2017, blockchain used more power than 159 individual nations including Uruguay, Nigeria, and Ireland.1 Unsurprisingly, this is creating a huge environmental problem that poses a threat to the Paris Agreement.</w:t>
      </w:r>
    </w:p>
    <w:p>
      <w:r>
        <w:rPr>
          <w:b w:val="0"/>
          <w:i w:val="0"/>
        </w:rPr>
        <w:t>It’s a brutal, if unintended, consequence for such a promising technology, and “mining” is at the heart of the problem. When bitcoin was first conceived nearly a decade ago, it was a niche fascination for a few hundred hobbyists, or “miners.” Because bitcoin has no bank to regulate it, miners used their computers to verify transactions by solving cryptographic problems, similar to complex math problems. Then, they combined the verified transactions into “blocks” and added them to the blockchain (a public record of all the transactions) to document them—all this, in return for a small sum of bitcoin. But where a single bitcoin once sold for less than a penny on the open market, it now sells for nearly $7,000, and around 200,000 bitcoin transactions occur every day. With these numbers increasing, so has the incentive to create cryptocurrency “mines”—server farms now spread across the world, often massive. Imagine the amount of energy consumed by 25,000 machines calculating math problems 24 hours a day.</w:t>
      </w:r>
    </w:p>
    <w:p>
      <w:r>
        <w:rPr>
          <w:b w:val="0"/>
          <w:i w:val="0"/>
        </w:rPr>
        <w:t>Beyond the environmental concerns, this inefficiency threatens blockchain as a meaningful platform for enterprise. The high energy costs are baked into the system, and, because the cost of running the network is passed on in transaction fees, users of these networks end up paying for them. Initially, companies that use bitcoin may not see the financial consequences, but as they scale, the costs could become fatal.</w:t>
      </w:r>
    </w:p>
    <w:p>
      <w:r>
        <w:rPr>
          <w:b w:val="0"/>
          <w:i w:val="0"/>
        </w:rPr>
        <w:t>The good news: There are a variety of alternatives available that can help organizations cut massive energy costs. Right now, they aren’t being adopted quickly enough. Companies that want to keep their heads above water—along with everyone else’s—need to educate themselves. Below are two areas that are a good place to start.</w:t>
      </w:r>
    </w:p>
    <w:p>
      <w:pPr>
        <w:pStyle w:val="Heading2"/>
      </w:pPr>
      <w:r>
        <w:rPr>
          <w:b/>
          <w:i w:val="0"/>
        </w:rPr>
        <w:t>Green Energy Blockchain Mining</w:t>
      </w:r>
    </w:p>
    <w:p>
      <w:r>
        <w:rPr>
          <w:b w:val="0"/>
          <w:i w:val="0"/>
        </w:rPr>
        <w:t>An immediate fix is mining with solar power and other green energy sources. Each day, Texas alone receives more solar power than we need to replace every nonsolar power plant in the world. There are numerous commercial services for powering crypto mining on server farms that only use clean, renewable energy. Genesis Mining, for instance, enables mining for bitcoin and Ethereum in the cloud. The Iceland-based company uses 100% renewable energy and is now among the largest miners in the world.</w:t>
      </w:r>
    </w:p>
    <w:p>
      <w:r>
        <w:rPr>
          <w:b w:val="0"/>
          <w:i w:val="0"/>
        </w:rPr>
        <w:t>We need to incentivize green energy for future blockchains, too. Every company that uses blockchain also defines its own system for miner compensation. New blockchains could easily offer miners better incentives, like more cryptocurrency, for using green energy—eventually forcing out polluting miners. They could also require all miners to prove that they use green energy and deny payment to those who don’t.</w:t>
      </w:r>
    </w:p>
    <w:p>
      <w:pPr>
        <w:pStyle w:val="Heading2"/>
      </w:pPr>
      <w:r>
        <w:rPr>
          <w:b/>
          <w:i w:val="0"/>
        </w:rPr>
        <w:t>Energy-Efficient Blockchain Systems</w:t>
      </w:r>
    </w:p>
    <w:p>
      <w:r>
        <w:rPr>
          <w:b w:val="0"/>
          <w:i w:val="0"/>
        </w:rPr>
        <w:t>While bitcoin, bitcoin cash, and Ethereum all depend on energy-inefficient cryptographic problem solving known as “proof of work” to operate, many newer blockchains use “proof-of-stake” (PoS) systems that rely on market incentives. Server owners on PoS systems are called “validators”—not “miners.” They put down a deposit, or “stake,” a large amount of cryptocurrency, in exchange for the right to add blocks to the blockchain. In proof-of-work systems, miners compete with each other to see who can solve problems the fastest in exchange for a reward, taking up a large amount of energy. But in PoS systems, validators are chosen by an algorithm that takes their stake into account. Removing the element of competition saves energy and allows each machine in a PoS system to work on one problem at a time, as opposed to a proof-of-work system, in which a plethora of machines are rushing to solve the same problem. Additionally, if a validator fails to behave honestly, they may be removed from the network—which helps keep PoS systems accurate.</w:t>
      </w:r>
    </w:p>
    <w:p>
      <w:r>
        <w:rPr>
          <w:b w:val="0"/>
          <w:i w:val="0"/>
        </w:rPr>
        <w:t>Particularly promising is the delegated-proof-of-stake (DPoS) system, which operates somewhat like a representative democracy. In DPoS systems, everyone who has cryptocurrency tokens can vote on which servers become block producers and manage the blockchain as a whole. However, there is one downside. DPoS is somewhat less censorship resistant than proof-of-work systems. Because it only has 21 block producers, in theory, the network could be brought to a stop by simultaneous subpoenas or cease and desist orders, making it more vulnerable to the thousands upon thousands of nodes on Ethereum. But DPoS has proven to be vastly faster at processing transactions while using less energy, and that’s a trade-off we in the industry should be willing to make.</w:t>
      </w:r>
    </w:p>
    <w:p>
      <w:r>
        <w:rPr>
          <w:b w:val="0"/>
          <w:i w:val="0"/>
        </w:rPr>
        <w:t>Among the largest cryptocurrencies, Ethereum is already working on a transition to PoS, and we should take more collective action to hasten this movement. Developers need to think long and hard before creating new proof-of-work blockchains, because the more successful they become, the worse the ecological impact they may have. Imagine if car companies had been wise enough, several decades ago, to come together and set emission standards for themselves. It would have helped cultivate a healthier planet—and preempted billions of dollars in costs when those standards were finally imposed on them. The blockchain industry is now at a similar inflection point. The question is whether we’ll be wiser than the world-changing industries that came before us.</w:t>
      </w:r>
    </w:p>
    <w:p>
      <w:r>
        <w:rPr>
          <w:b/>
          <w:i w:val="0"/>
        </w:rPr>
        <w:t>TAKEAWAYS</w:t>
      </w:r>
    </w:p>
    <w:p>
      <w:r>
        <w:rPr>
          <w:b w:val="0"/>
          <w:i w:val="0"/>
        </w:rPr>
        <w:t>The largest cryptocurrencies require vast amounts of energy consumption to function. In 2017, blockchain used more power than 159 individual nations including Uruguay, Nigeria, and Ireland. This is creating a huge environmental problem that poses a threat to the Paris Agreement.</w:t>
      </w:r>
    </w:p>
    <w:p>
      <w:pPr>
        <w:pStyle w:val="ListBullet"/>
      </w:pPr>
      <w:r>
        <w:rPr>
          <w:b w:val="0"/>
          <w:i w:val="0"/>
        </w:rPr>
        <w:t>With the value of cryptocurrency increasing, so has the incentive to create “mines”—massive server farms spread across the world, calculating math problems 24 hours a day.</w:t>
      </w:r>
    </w:p>
    <w:p>
      <w:pPr>
        <w:pStyle w:val="ListBullet"/>
      </w:pPr>
      <w:r>
        <w:rPr>
          <w:b w:val="0"/>
          <w:i w:val="0"/>
        </w:rPr>
        <w:t>A variety of alternatives are available that can help organizations cut massive energy costs associated with blockchain, but they aren’t being adopted quickly enough.</w:t>
      </w:r>
    </w:p>
    <w:p>
      <w:pPr>
        <w:pStyle w:val="ListBullet"/>
      </w:pPr>
      <w:r>
        <w:rPr>
          <w:b w:val="0"/>
          <w:i w:val="0"/>
        </w:rPr>
        <w:t>An immediate fix is mining with solar power and other green energy sources. Every company that uses blockchain also defines its own system for miner compensation. New blockchains could easily offer miners better incentives for using green energy.</w:t>
      </w:r>
    </w:p>
    <w:p>
      <w:pPr>
        <w:pStyle w:val="ListBullet"/>
      </w:pPr>
      <w:r>
        <w:rPr>
          <w:b w:val="0"/>
          <w:i w:val="0"/>
        </w:rPr>
        <w:t>Blockchains that use a proof-of-stake system rather than a proof-of-work system are less energy-intensive. If the blockchain industry can make the hard choice to adopt greener decisions now, it may avoid having green standards forced upon it in the future.</w:t>
      </w:r>
    </w:p>
    <w:p>
      <w:pPr>
        <w:pStyle w:val="Heading3"/>
      </w:pPr>
      <w:r>
        <w:rPr>
          <w:b/>
          <w:i w:val="0"/>
        </w:rPr>
        <w:t>NOTE</w:t>
      </w:r>
    </w:p>
    <w:p>
      <w:r>
        <w:rPr>
          <w:b w:val="0"/>
          <w:i w:val="0"/>
        </w:rPr>
        <w:t>1.  “Bitcoin Energy Consumption Index,” Digiconomist, https://digiconomist.net/bitcoin-energy-consumption.</w:t>
      </w:r>
    </w:p>
    <w:p>
      <w:r>
        <w:rPr>
          <w:b w:val="0"/>
          <w:i/>
        </w:rPr>
        <w:t>Adapted from content posted on hbr.org, originally published November 27, 2018 (product #H04O38).</w:t>
      </w:r>
    </w:p>
    <w:p>
      <w:pPr>
        <w:pStyle w:val="Heading1"/>
      </w:pPr>
      <w:r>
        <w:rPr>
          <w:b/>
          <w:i w:val="0"/>
        </w:rPr>
        <w:t>About the Contributors</w:t>
      </w:r>
    </w:p>
    <w:p>
      <w:r>
        <w:rPr>
          <w:b/>
          <w:i w:val="0"/>
        </w:rPr>
        <w:t>ROBLEH ALI</w:t>
      </w:r>
      <w:r>
        <w:rPr>
          <w:b w:val="0"/>
          <w:i w:val="0"/>
        </w:rPr>
        <w:t xml:space="preserve"> is a research scientist at the MIT Digital Currency Initiative.</w:t>
      </w:r>
    </w:p>
    <w:p>
      <w:r>
        <w:rPr>
          <w:b/>
          <w:i w:val="0"/>
        </w:rPr>
        <w:t>ALLISON BERKE</w:t>
      </w:r>
      <w:r>
        <w:rPr>
          <w:b w:val="0"/>
          <w:i w:val="0"/>
        </w:rPr>
        <w:t xml:space="preserve"> is the executive director of the Stanford Cyber Initiative.</w:t>
      </w:r>
    </w:p>
    <w:p>
      <w:r>
        <w:rPr>
          <w:b/>
          <w:i w:val="0"/>
        </w:rPr>
        <w:t>MARC BLINDER</w:t>
      </w:r>
      <w:r>
        <w:rPr>
          <w:b w:val="0"/>
          <w:i w:val="0"/>
        </w:rPr>
        <w:t xml:space="preserve"> is chief product officer of blockchain-based startup AIKON. He developed a social network called MobilePlay (sold to Good Technology) and held leadership roles at Context Optional and Efficient Frontier (sold to Adobe). Follow him on Twitter @mblinder.</w:t>
      </w:r>
    </w:p>
    <w:p>
      <w:r>
        <w:rPr>
          <w:b/>
          <w:i w:val="0"/>
        </w:rPr>
        <w:t>MICHAEL J. CASEY</w:t>
      </w:r>
      <w:r>
        <w:rPr>
          <w:b w:val="0"/>
          <w:i w:val="0"/>
        </w:rPr>
        <w:t xml:space="preserve"> is the author of </w:t>
      </w:r>
      <w:r>
        <w:rPr>
          <w:b w:val="0"/>
          <w:i/>
        </w:rPr>
        <w:t>The Age of Cryptocurrency: How Bitcoin and the Blockchain Are Challenging the Global Economic Order</w:t>
      </w:r>
      <w:r>
        <w:rPr>
          <w:b w:val="0"/>
          <w:i w:val="0"/>
        </w:rPr>
        <w:t>. He is a senior adviser at the MIT Media Lab’s Digital Currency Initiative and a partner with Agentic Group.</w:t>
      </w:r>
    </w:p>
    <w:p>
      <w:r>
        <w:rPr>
          <w:b/>
          <w:i w:val="0"/>
        </w:rPr>
        <w:t>CHRISTIAN CATALANI</w:t>
      </w:r>
      <w:r>
        <w:rPr>
          <w:b w:val="0"/>
          <w:i w:val="0"/>
        </w:rPr>
        <w:t xml:space="preserve"> is the Fred Kayne (1960) Career Development Professor of Entrepreneurship and Assistant Professor of Technological Innovation, Entrepreneurship, and Strategic Management at the MIT Sloan School of Management. Christian is one of the principal investigators of the MIT Digital Currencies Research Study, which gave all MIT undergraduate students access to bitcoin in 2014.</w:t>
      </w:r>
    </w:p>
    <w:p>
      <w:r>
        <w:rPr>
          <w:b/>
          <w:i w:val="0"/>
        </w:rPr>
        <w:t>PRIMAVERA DE FILIPPI</w:t>
      </w:r>
      <w:r>
        <w:rPr>
          <w:b w:val="0"/>
          <w:i w:val="0"/>
        </w:rPr>
        <w:t xml:space="preserve"> is a permanent researcher at the National Center of Scientific Research (CNRS) in Paris. She is faculty associate at the Berkman Klein Center for Internet &amp; Society at Harvard Law School, where she is investigating the concept of “governance-by-design” as it relates to online distributed architectures.</w:t>
      </w:r>
    </w:p>
    <w:p>
      <w:r>
        <w:rPr>
          <w:b/>
          <w:i w:val="0"/>
        </w:rPr>
        <w:t>ANTONIO FATÁS</w:t>
      </w:r>
      <w:r>
        <w:rPr>
          <w:b w:val="0"/>
          <w:i w:val="0"/>
        </w:rPr>
        <w:t xml:space="preserve"> is a professor at INSEAD. He is also a research fellow at the Centre for Economic and Policy Research in London, England.</w:t>
      </w:r>
    </w:p>
    <w:p>
      <w:r>
        <w:rPr>
          <w:b/>
          <w:i w:val="0"/>
        </w:rPr>
        <w:t>BRIAN FORDE</w:t>
      </w:r>
      <w:r>
        <w:rPr>
          <w:b w:val="0"/>
          <w:i w:val="0"/>
        </w:rPr>
        <w:t xml:space="preserve"> is senior lecturer for bitcoin and blockchain at the MIT Sloan School of Management. He was senior adviser for mobile and data innovation in the Obama White House and cofounded one of the largest phone companies in Nicaragua after serving in the U.S. Peace Corps. Brian was named a Young Global Leader and one of the 10 most influential people in bitcoin and blockchain by the World Economic Forum.</w:t>
      </w:r>
    </w:p>
    <w:p>
      <w:r>
        <w:rPr>
          <w:b/>
          <w:i w:val="0"/>
        </w:rPr>
        <w:t>VINAY GUPTA</w:t>
      </w:r>
      <w:r>
        <w:rPr>
          <w:b w:val="0"/>
          <w:i w:val="0"/>
        </w:rPr>
        <w:t xml:space="preserve"> is the founder of Hexayurt Capital, a fund that invests in creating the Internet of Agreements. He was instrumental in creating the Dubai Blockchain Strategy, project-managed the Ethereum blockchain platform release and invented the hexayurt refugee shelter.</w:t>
      </w:r>
    </w:p>
    <w:p>
      <w:r>
        <w:rPr>
          <w:b/>
          <w:i w:val="0"/>
        </w:rPr>
        <w:t>CAMPBELL R. HARVEY</w:t>
      </w:r>
      <w:r>
        <w:rPr>
          <w:b w:val="0"/>
          <w:i w:val="0"/>
        </w:rPr>
        <w:t xml:space="preserve"> is professor of finance and the J. Paul Sticht Professor of International Business at the Fuqua School of Business, Duke University. He served as the 2016 president of the American Finance Association. He is investment strategy adviser to Man Group, PLC, and partner and senior adviser to Research Affiliates, LLC.</w:t>
      </w:r>
    </w:p>
    <w:p>
      <w:r>
        <w:rPr>
          <w:b/>
          <w:i w:val="0"/>
        </w:rPr>
        <w:t>MARCO IANSITI</w:t>
      </w:r>
      <w:r>
        <w:rPr>
          <w:b w:val="0"/>
          <w:i w:val="0"/>
        </w:rPr>
        <w:t xml:space="preserve"> is the David Sarnoff Professor of Business Administration at Harvard Business School, where he heads the Technology and Operations Management Unit and the Digital Initiative. He has advised many companies in the technology sector, including Microsoft, Facebook, and Amazon.</w:t>
      </w:r>
    </w:p>
    <w:p>
      <w:r>
        <w:rPr>
          <w:b/>
          <w:i w:val="0"/>
        </w:rPr>
        <w:t>JOICHI ITO</w:t>
      </w:r>
      <w:r>
        <w:rPr>
          <w:b w:val="0"/>
          <w:i w:val="0"/>
        </w:rPr>
        <w:t xml:space="preserve"> is the director of the MIT Media Lab and MIT professor of the practice in media arts and sciences.</w:t>
      </w:r>
    </w:p>
    <w:p>
      <w:r>
        <w:rPr>
          <w:b/>
          <w:i w:val="0"/>
        </w:rPr>
        <w:t>KARIM R. LAKHANI</w:t>
      </w:r>
      <w:r>
        <w:rPr>
          <w:b w:val="0"/>
          <w:i w:val="0"/>
        </w:rPr>
        <w:t xml:space="preserve"> is the Charles Edward Wilson Professor of Business Administration and the Dorothy and Michael Hintze Fellow at Harvard Business School. He is also the founding director of the Harvard Innovation Science Laboratory.</w:t>
      </w:r>
    </w:p>
    <w:p>
      <w:r>
        <w:rPr>
          <w:b/>
          <w:i w:val="0"/>
        </w:rPr>
        <w:t>MICHAEL MAINELLI</w:t>
      </w:r>
      <w:r>
        <w:rPr>
          <w:b w:val="0"/>
          <w:i w:val="0"/>
        </w:rPr>
        <w:t xml:space="preserve"> is executive chairman of Z/Yen Group. Z/Yen has been working with mutual distributed ledgers since 1995. His book, </w:t>
      </w:r>
      <w:r>
        <w:rPr>
          <w:b w:val="0"/>
          <w:i/>
        </w:rPr>
        <w:t>The Price of Fish: A New Approach to Wicked Economics and Better Decisions</w:t>
      </w:r>
      <w:r>
        <w:rPr>
          <w:b w:val="0"/>
          <w:i w:val="0"/>
        </w:rPr>
        <w:t>, written with Ian Harris, won the 2012 Independent Publisher Book Awards’ Finance, Investment &amp; Economics Gold Prize.</w:t>
      </w:r>
    </w:p>
    <w:p>
      <w:r>
        <w:rPr>
          <w:b/>
          <w:i w:val="0"/>
        </w:rPr>
        <w:t>CHRISTINE MOORMAN</w:t>
      </w:r>
      <w:r>
        <w:rPr>
          <w:b w:val="0"/>
          <w:i w:val="0"/>
        </w:rPr>
        <w:t xml:space="preserve"> is the T. Austin Finch, Sr. Professor of Business Administration at Duke University’s Fuqua School of Business and the editor-in-chief designate of the </w:t>
      </w:r>
      <w:r>
        <w:rPr>
          <w:b w:val="0"/>
          <w:i/>
        </w:rPr>
        <w:t>Journal of Marketing</w:t>
      </w:r>
      <w:r>
        <w:rPr>
          <w:b w:val="0"/>
          <w:i w:val="0"/>
        </w:rPr>
        <w:t>.</w:t>
      </w:r>
    </w:p>
    <w:p>
      <w:r>
        <w:rPr>
          <w:b/>
          <w:i w:val="0"/>
        </w:rPr>
        <w:t>PATRICK MURCK</w:t>
      </w:r>
      <w:r>
        <w:rPr>
          <w:b w:val="0"/>
          <w:i w:val="0"/>
        </w:rPr>
        <w:t xml:space="preserve"> is a fellow at the Berkman Klein Center for Internet &amp; Society at Harvard University, where he works on the Digital Finance Initiative and conducts research into the law and policy implications of blockchains, smart contracts, and financial technology. In addition, Patrick is special counsel at Cooley, a global law firm, as part of the financial technology team. He has been recognized as one of “America’s 50 Outstanding General Counsel” by the </w:t>
      </w:r>
      <w:r>
        <w:rPr>
          <w:b w:val="0"/>
          <w:i/>
        </w:rPr>
        <w:t>National Law Journal</w:t>
      </w:r>
      <w:r>
        <w:rPr>
          <w:b w:val="0"/>
          <w:i w:val="0"/>
        </w:rPr>
        <w:t xml:space="preserve"> and is a member of the IMF’s High-Level Advisory Group on FinTech.</w:t>
      </w:r>
    </w:p>
    <w:p>
      <w:r>
        <w:rPr>
          <w:b/>
          <w:i w:val="0"/>
        </w:rPr>
        <w:t>NEHA NARULA</w:t>
      </w:r>
      <w:r>
        <w:rPr>
          <w:b w:val="0"/>
          <w:i w:val="0"/>
        </w:rPr>
        <w:t xml:space="preserve"> is director of research at the MIT Digital Currency Initiative.</w:t>
      </w:r>
    </w:p>
    <w:p>
      <w:r>
        <w:rPr>
          <w:b/>
          <w:i w:val="0"/>
        </w:rPr>
        <w:t>STEPHEN J. OBIE</w:t>
      </w:r>
      <w:r>
        <w:rPr>
          <w:b w:val="0"/>
          <w:i w:val="0"/>
        </w:rPr>
        <w:t xml:space="preserve"> is a partner at Jones Day and a leader of the firm’s blockchain initiative.</w:t>
      </w:r>
    </w:p>
    <w:p>
      <w:r>
        <w:rPr>
          <w:b/>
          <w:i w:val="0"/>
        </w:rPr>
        <w:t>YUDAN PANG</w:t>
      </w:r>
      <w:r>
        <w:rPr>
          <w:b w:val="0"/>
          <w:i w:val="0"/>
        </w:rPr>
        <w:t xml:space="preserve"> is a marketing PhD student at Harbin Institute of Technology.</w:t>
      </w:r>
    </w:p>
    <w:p>
      <w:r>
        <w:rPr>
          <w:b/>
          <w:i w:val="0"/>
        </w:rPr>
        <w:t>MARK W. RASMUSSEN</w:t>
      </w:r>
      <w:r>
        <w:rPr>
          <w:b w:val="0"/>
          <w:i w:val="0"/>
        </w:rPr>
        <w:t xml:space="preserve"> is a partner at Jones Day and a leader of the firm’s blockchain initiative.</w:t>
      </w:r>
    </w:p>
    <w:p>
      <w:r>
        <w:rPr>
          <w:b/>
          <w:i w:val="0"/>
        </w:rPr>
        <w:t>ALEX TAPSCOTT</w:t>
      </w:r>
      <w:r>
        <w:rPr>
          <w:b w:val="0"/>
          <w:i w:val="0"/>
        </w:rPr>
        <w:t xml:space="preserve"> is founder and CEO of Northwest Passage Ventures, a consultancy, advisory firm, and investor in the blockchain industry. He is a coauthor of </w:t>
      </w:r>
      <w:r>
        <w:rPr>
          <w:b w:val="0"/>
          <w:i/>
        </w:rPr>
        <w:t>Blockchain Revolution: How the Technology Behind Bitcoin Is Changing Money, Business and the World</w:t>
      </w:r>
      <w:r>
        <w:rPr>
          <w:b w:val="0"/>
          <w:i w:val="0"/>
        </w:rPr>
        <w:t>. Follow him on Twitter @alextapscott.</w:t>
      </w:r>
    </w:p>
    <w:p>
      <w:r>
        <w:rPr>
          <w:b/>
          <w:i w:val="0"/>
        </w:rPr>
        <w:t>DON TAPSCOTT</w:t>
      </w:r>
      <w:r>
        <w:rPr>
          <w:b w:val="0"/>
          <w:i w:val="0"/>
        </w:rPr>
        <w:t xml:space="preserve"> is the bestselling author of </w:t>
      </w:r>
      <w:r>
        <w:rPr>
          <w:b w:val="0"/>
          <w:i/>
        </w:rPr>
        <w:t>Wikinomics</w:t>
      </w:r>
      <w:r>
        <w:rPr>
          <w:b w:val="0"/>
          <w:i w:val="0"/>
        </w:rPr>
        <w:t xml:space="preserve">, </w:t>
      </w:r>
      <w:r>
        <w:rPr>
          <w:b w:val="0"/>
          <w:i/>
        </w:rPr>
        <w:t>The Digital Economy</w:t>
      </w:r>
      <w:r>
        <w:rPr>
          <w:b w:val="0"/>
          <w:i w:val="0"/>
        </w:rPr>
        <w:t xml:space="preserve">, and a dozen other acclaimed books about technology, business, and society. According to Thinkers50, Don is the fourth most important living management thinker in the world; he is an adjunct professor at the Rotman School of Management, and chancellor of Trent University. He and his son Alex are coauthors of </w:t>
      </w:r>
      <w:r>
        <w:rPr>
          <w:b w:val="0"/>
          <w:i/>
        </w:rPr>
        <w:t>Blockchain Revolution: How the Technology Behind Bitcoin Is Changing Money, Business, and the World</w:t>
      </w:r>
      <w:r>
        <w:rPr>
          <w:b w:val="0"/>
          <w:i w:val="0"/>
        </w:rPr>
        <w:t>. Follow him on Twitter @dtapscott.</w:t>
      </w:r>
    </w:p>
    <w:p>
      <w:r>
        <w:rPr>
          <w:b/>
          <w:i w:val="0"/>
        </w:rPr>
        <w:t>MARC TOLEDO</w:t>
      </w:r>
      <w:r>
        <w:rPr>
          <w:b w:val="0"/>
          <w:i w:val="0"/>
        </w:rPr>
        <w:t xml:space="preserve"> is a senior associate at PwC focusing on blockchain and digital transformation. In his previous work at the World Bank and Apple, he led large projects related to cybersecurity, machine learning, and artificial intelligence.</w:t>
      </w:r>
    </w:p>
    <w:p>
      <w:r>
        <w:rPr>
          <w:b/>
          <w:i w:val="0"/>
        </w:rPr>
        <w:t>CATHERINE TUCKER</w:t>
      </w:r>
      <w:r>
        <w:rPr>
          <w:b w:val="0"/>
          <w:i w:val="0"/>
        </w:rPr>
        <w:t xml:space="preserve"> is the Distinguished Professor of Management Science at MIT Sloan School of Management.</w:t>
      </w:r>
    </w:p>
    <w:p>
      <w:r>
        <w:rPr>
          <w:b/>
          <w:i w:val="0"/>
        </w:rPr>
        <w:t>BEATRICE WEDER DI MAURO</w:t>
      </w:r>
      <w:r>
        <w:rPr>
          <w:b w:val="0"/>
          <w:i w:val="0"/>
        </w:rPr>
        <w:t xml:space="preserve"> is the Chaired Professor of Economic Policy and International Macroeconomics at the University of Mainz in Germany. She is also a Fellow at the Emerging Markets Institute of INSEAD and a research fellow at the Centre for Economic Policy Research in London, England.</w:t>
      </w:r>
    </w:p>
    <w:p>
      <w:r>
        <w:rPr>
          <w:b/>
          <w:i w:val="0"/>
        </w:rPr>
        <w:t>PINDAR WONG</w:t>
      </w:r>
      <w:r>
        <w:rPr>
          <w:b w:val="0"/>
          <w:i w:val="0"/>
        </w:rPr>
        <w:t xml:space="preserve"> is the chairman of VeriFi Ltd., a discreet internet financial infrastructure consultancy and founder of OBOR.IO, which pioneered the “Belt and Road Blockchain.” He is a bitcoin protocol enthusiast and chairs ScalingBitcoin.org.</w:t>
      </w:r>
    </w:p>
    <w:p>
      <w:pPr>
        <w:pStyle w:val="Heading1"/>
      </w:pPr>
      <w:r>
        <w:rPr>
          <w:b/>
          <w:i w:val="0"/>
        </w:rPr>
        <w:t>Index</w:t>
      </w:r>
    </w:p>
    <w:p>
      <w:pPr>
        <w:pStyle w:val="ListBullet"/>
      </w:pPr>
      <w:r>
        <w:rPr>
          <w:b w:val="0"/>
          <w:i w:val="0"/>
        </w:rPr>
        <w:t>access permissions, 55–56</w:t>
      </w:r>
    </w:p>
    <w:p>
      <w:pPr>
        <w:pStyle w:val="ListBullet"/>
      </w:pPr>
      <w:r>
        <w:rPr>
          <w:b w:val="0"/>
          <w:i w:val="0"/>
        </w:rPr>
        <w:t>accountability, 86, 92, 133</w:t>
      </w:r>
    </w:p>
    <w:p>
      <w:pPr>
        <w:pStyle w:val="ListBullet"/>
      </w:pPr>
      <w:r>
        <w:rPr>
          <w:b w:val="0"/>
          <w:i w:val="0"/>
        </w:rPr>
        <w:t>ad blockers, 105, 109</w:t>
      </w:r>
    </w:p>
    <w:p>
      <w:pPr>
        <w:pStyle w:val="ListBullet"/>
      </w:pPr>
      <w:r>
        <w:rPr>
          <w:b w:val="0"/>
          <w:i w:val="0"/>
        </w:rPr>
        <w:t>additive manufacturing, 89</w:t>
      </w:r>
    </w:p>
    <w:p>
      <w:pPr>
        <w:pStyle w:val="ListBullet"/>
      </w:pPr>
      <w:r>
        <w:rPr>
          <w:b w:val="0"/>
          <w:i w:val="0"/>
        </w:rPr>
        <w:t xml:space="preserve">advertising, 63–64, 101–112. </w:t>
      </w:r>
      <w:r>
        <w:rPr>
          <w:b w:val="0"/>
          <w:i/>
        </w:rPr>
        <w:t>See also</w:t>
      </w:r>
      <w:r>
        <w:rPr>
          <w:b w:val="0"/>
          <w:i w:val="0"/>
        </w:rPr>
        <w:t xml:space="preserve"> marketing</w:t>
      </w:r>
    </w:p>
    <w:p>
      <w:pPr>
        <w:pStyle w:val="ListBullet"/>
      </w:pPr>
      <w:r>
        <w:rPr>
          <w:b w:val="0"/>
          <w:i w:val="0"/>
        </w:rPr>
        <w:t>affiliate programs, 109</w:t>
      </w:r>
    </w:p>
    <w:p>
      <w:pPr>
        <w:pStyle w:val="ListBullet"/>
      </w:pPr>
      <w:r>
        <w:rPr>
          <w:b w:val="0"/>
          <w:i w:val="0"/>
        </w:rPr>
        <w:t>Airbnb, 137</w:t>
      </w:r>
    </w:p>
    <w:p>
      <w:pPr>
        <w:pStyle w:val="ListBullet"/>
      </w:pPr>
      <w:r>
        <w:rPr>
          <w:b w:val="0"/>
          <w:i w:val="0"/>
        </w:rPr>
        <w:t>Akasha, 95</w:t>
      </w:r>
    </w:p>
    <w:p>
      <w:pPr>
        <w:pStyle w:val="ListBullet"/>
      </w:pPr>
      <w:r>
        <w:rPr>
          <w:b w:val="0"/>
          <w:i w:val="0"/>
        </w:rPr>
        <w:t>algorithm-driven decision making, 23–24</w:t>
      </w:r>
    </w:p>
    <w:p>
      <w:pPr>
        <w:pStyle w:val="ListBullet"/>
      </w:pPr>
      <w:r>
        <w:rPr>
          <w:b w:val="0"/>
          <w:i w:val="0"/>
        </w:rPr>
        <w:t>Amazon, 9, 35, 95</w:t>
      </w:r>
    </w:p>
    <w:p>
      <w:pPr>
        <w:pStyle w:val="ListBullet"/>
      </w:pPr>
      <w:r>
        <w:rPr>
          <w:b w:val="0"/>
          <w:i w:val="0"/>
        </w:rPr>
        <w:t>Andreessen Horowitz, 73</w:t>
      </w:r>
    </w:p>
    <w:p>
      <w:pPr>
        <w:pStyle w:val="ListBullet"/>
      </w:pPr>
      <w:r>
        <w:rPr>
          <w:b w:val="0"/>
          <w:i w:val="0"/>
        </w:rPr>
        <w:t>Arcade City, 96–97</w:t>
      </w:r>
    </w:p>
    <w:p>
      <w:pPr>
        <w:pStyle w:val="ListBullet"/>
      </w:pPr>
      <w:r>
        <w:rPr>
          <w:b w:val="0"/>
          <w:i w:val="0"/>
        </w:rPr>
        <w:t>ARPANET, 8, 16</w:t>
      </w:r>
    </w:p>
    <w:p>
      <w:pPr>
        <w:pStyle w:val="ListBullet"/>
      </w:pPr>
      <w:r>
        <w:rPr>
          <w:b w:val="0"/>
          <w:i w:val="0"/>
        </w:rPr>
        <w:t>Artlery, 114</w:t>
      </w:r>
    </w:p>
    <w:p>
      <w:pPr>
        <w:pStyle w:val="ListBullet"/>
      </w:pPr>
      <w:r>
        <w:rPr>
          <w:b w:val="0"/>
          <w:i w:val="0"/>
        </w:rPr>
        <w:t>arts, 113–119</w:t>
      </w:r>
    </w:p>
    <w:p>
      <w:pPr>
        <w:pStyle w:val="ListBullet"/>
      </w:pPr>
      <w:r>
        <w:rPr>
          <w:b w:val="0"/>
          <w:i w:val="0"/>
        </w:rPr>
        <w:t>asset security, 56–57</w:t>
      </w:r>
    </w:p>
    <w:p>
      <w:pPr>
        <w:pStyle w:val="ListBullet"/>
      </w:pPr>
      <w:r>
        <w:rPr>
          <w:b w:val="0"/>
          <w:i w:val="0"/>
        </w:rPr>
        <w:t>Bank of Canada, 17</w:t>
      </w:r>
    </w:p>
    <w:p>
      <w:pPr>
        <w:pStyle w:val="ListBullet"/>
      </w:pPr>
      <w:r>
        <w:rPr>
          <w:b w:val="0"/>
          <w:i w:val="0"/>
        </w:rPr>
        <w:t xml:space="preserve">banks, 70, 77–83. </w:t>
      </w:r>
      <w:r>
        <w:rPr>
          <w:b w:val="0"/>
          <w:i/>
        </w:rPr>
        <w:t>See also</w:t>
      </w:r>
      <w:r>
        <w:rPr>
          <w:b w:val="0"/>
          <w:i w:val="0"/>
        </w:rPr>
        <w:t xml:space="preserve"> financial services sector; financial system</w:t>
      </w:r>
    </w:p>
    <w:p>
      <w:pPr>
        <w:pStyle w:val="ListBullet"/>
      </w:pPr>
      <w:r>
        <w:rPr>
          <w:b w:val="0"/>
          <w:i w:val="0"/>
        </w:rPr>
        <w:t>Basic Attention Tokens (BATs), 109</w:t>
      </w:r>
    </w:p>
    <w:p>
      <w:pPr>
        <w:pStyle w:val="ListBullet"/>
      </w:pPr>
      <w:r>
        <w:rPr>
          <w:b w:val="0"/>
          <w:i w:val="0"/>
        </w:rPr>
        <w:t>Belt and Road consortium, 91</w:t>
      </w:r>
    </w:p>
    <w:p>
      <w:pPr>
        <w:pStyle w:val="ListBullet"/>
      </w:pPr>
      <w:r>
        <w:rPr>
          <w:b w:val="0"/>
          <w:i w:val="0"/>
        </w:rPr>
        <w:t>best practices, 90</w:t>
      </w:r>
    </w:p>
    <w:p>
      <w:pPr>
        <w:pStyle w:val="ListBullet"/>
      </w:pPr>
      <w:r>
        <w:rPr>
          <w:b w:val="0"/>
          <w:i w:val="0"/>
        </w:rPr>
        <w:t>BHP Billiton, 87–88</w:t>
      </w:r>
    </w:p>
    <w:p>
      <w:pPr>
        <w:pStyle w:val="ListBullet"/>
      </w:pPr>
      <w:r>
        <w:rPr>
          <w:b w:val="0"/>
          <w:i w:val="0"/>
        </w:rPr>
        <w:t>biometrics, 146</w:t>
      </w:r>
    </w:p>
    <w:p>
      <w:pPr>
        <w:pStyle w:val="ListBullet"/>
      </w:pPr>
      <w:r>
        <w:rPr>
          <w:b w:val="0"/>
          <w:i w:val="0"/>
        </w:rPr>
        <w:t xml:space="preserve">bitcoin, 18, 90. </w:t>
      </w:r>
      <w:r>
        <w:rPr>
          <w:b w:val="0"/>
          <w:i/>
        </w:rPr>
        <w:t>See also</w:t>
      </w:r>
      <w:r>
        <w:rPr>
          <w:b w:val="0"/>
          <w:i w:val="0"/>
        </w:rPr>
        <w:t xml:space="preserve"> cryptocurrencies</w:t>
      </w:r>
    </w:p>
    <w:p>
      <w:pPr>
        <w:pStyle w:val="ListBullet"/>
      </w:pPr>
      <w:r>
        <w:rPr>
          <w:b w:val="0"/>
          <w:i w:val="0"/>
        </w:rPr>
        <w:t>about, 15, 28</w:t>
      </w:r>
    </w:p>
    <w:p>
      <w:pPr>
        <w:pStyle w:val="ListBullet"/>
      </w:pPr>
      <w:r>
        <w:rPr>
          <w:b w:val="0"/>
          <w:i w:val="0"/>
        </w:rPr>
        <w:t>banks and, 77–83</w:t>
      </w:r>
    </w:p>
    <w:p>
      <w:pPr>
        <w:pStyle w:val="ListBullet"/>
      </w:pPr>
      <w:r>
        <w:rPr>
          <w:b w:val="0"/>
          <w:i w:val="0"/>
        </w:rPr>
        <w:t>bubble, xiii</w:t>
      </w:r>
    </w:p>
    <w:p>
      <w:pPr>
        <w:pStyle w:val="ListBullet"/>
      </w:pPr>
      <w:r>
        <w:rPr>
          <w:b w:val="0"/>
          <w:i w:val="0"/>
        </w:rPr>
        <w:t>controversies around, 46–47, 148</w:t>
      </w:r>
    </w:p>
    <w:p>
      <w:pPr>
        <w:pStyle w:val="ListBullet"/>
      </w:pPr>
      <w:r>
        <w:rPr>
          <w:b w:val="0"/>
          <w:i w:val="0"/>
        </w:rPr>
        <w:t>energy consumption, 154–155</w:t>
      </w:r>
    </w:p>
    <w:p>
      <w:pPr>
        <w:pStyle w:val="ListBullet"/>
      </w:pPr>
      <w:r>
        <w:rPr>
          <w:b w:val="0"/>
          <w:i w:val="0"/>
        </w:rPr>
        <w:t>as killer app, 35–37, 147–148</w:t>
      </w:r>
    </w:p>
    <w:p>
      <w:pPr>
        <w:pStyle w:val="ListBullet"/>
      </w:pPr>
      <w:r>
        <w:rPr>
          <w:b w:val="0"/>
          <w:i w:val="0"/>
        </w:rPr>
        <w:t>mining, 154</w:t>
      </w:r>
    </w:p>
    <w:p>
      <w:pPr>
        <w:pStyle w:val="ListBullet"/>
      </w:pPr>
      <w:r>
        <w:rPr>
          <w:b w:val="0"/>
          <w:i w:val="0"/>
        </w:rPr>
        <w:t>origin of, 11, 39–40</w:t>
      </w:r>
    </w:p>
    <w:p>
      <w:pPr>
        <w:pStyle w:val="ListBullet"/>
      </w:pPr>
      <w:r>
        <w:rPr>
          <w:b w:val="0"/>
          <w:i w:val="0"/>
        </w:rPr>
        <w:t>payment systems, 21</w:t>
      </w:r>
    </w:p>
    <w:p>
      <w:pPr>
        <w:pStyle w:val="ListBullet"/>
      </w:pPr>
      <w:r>
        <w:rPr>
          <w:b w:val="0"/>
          <w:i w:val="0"/>
        </w:rPr>
        <w:t>public blockchain and, 52</w:t>
      </w:r>
    </w:p>
    <w:p>
      <w:pPr>
        <w:pStyle w:val="ListBullet"/>
      </w:pPr>
      <w:r>
        <w:rPr>
          <w:b w:val="0"/>
          <w:i w:val="0"/>
        </w:rPr>
        <w:t>rules of, 36–37, 47</w:t>
      </w:r>
    </w:p>
    <w:p>
      <w:pPr>
        <w:pStyle w:val="ListBullet"/>
      </w:pPr>
      <w:r>
        <w:rPr>
          <w:b w:val="0"/>
          <w:i w:val="0"/>
        </w:rPr>
        <w:t>security risks of, 52–53, 56–57</w:t>
      </w:r>
    </w:p>
    <w:p>
      <w:pPr>
        <w:pStyle w:val="ListBullet"/>
      </w:pPr>
      <w:r>
        <w:rPr>
          <w:b w:val="0"/>
          <w:i w:val="0"/>
        </w:rPr>
        <w:t>transactions, 52–53, 56</w:t>
      </w:r>
    </w:p>
    <w:p>
      <w:pPr>
        <w:pStyle w:val="ListBullet"/>
      </w:pPr>
      <w:r>
        <w:rPr>
          <w:b w:val="0"/>
          <w:i w:val="0"/>
        </w:rPr>
        <w:t>black market trading, 52</w:t>
      </w:r>
    </w:p>
    <w:p>
      <w:pPr>
        <w:pStyle w:val="ListBullet"/>
      </w:pPr>
      <w:r>
        <w:rPr>
          <w:b w:val="0"/>
          <w:i w:val="0"/>
        </w:rPr>
        <w:t>blockchain</w:t>
      </w:r>
    </w:p>
    <w:p>
      <w:pPr>
        <w:pStyle w:val="ListBullet"/>
      </w:pPr>
      <w:r>
        <w:rPr>
          <w:b w:val="0"/>
          <w:i w:val="0"/>
        </w:rPr>
        <w:t>about, xii, xiv–xv, 70–71</w:t>
      </w:r>
    </w:p>
    <w:p>
      <w:pPr>
        <w:pStyle w:val="ListBullet"/>
      </w:pPr>
      <w:r>
        <w:rPr>
          <w:b w:val="0"/>
          <w:i w:val="0"/>
        </w:rPr>
        <w:t>adoption framework, 13–20</w:t>
      </w:r>
    </w:p>
    <w:p>
      <w:pPr>
        <w:pStyle w:val="ListBullet"/>
      </w:pPr>
      <w:r>
        <w:rPr>
          <w:b w:val="0"/>
          <w:i w:val="0"/>
        </w:rPr>
        <w:t>applications of, 102</w:t>
      </w:r>
    </w:p>
    <w:p>
      <w:pPr>
        <w:pStyle w:val="ListBullet"/>
      </w:pPr>
      <w:r>
        <w:rPr>
          <w:b w:val="0"/>
          <w:i w:val="0"/>
        </w:rPr>
        <w:t>architecture, 11–13, 53–55</w:t>
      </w:r>
    </w:p>
    <w:p>
      <w:pPr>
        <w:pStyle w:val="ListBullet"/>
      </w:pPr>
      <w:r>
        <w:rPr>
          <w:b w:val="0"/>
          <w:i w:val="0"/>
        </w:rPr>
        <w:t>arts and, 113–119</w:t>
      </w:r>
    </w:p>
    <w:p>
      <w:pPr>
        <w:pStyle w:val="ListBullet"/>
      </w:pPr>
      <w:r>
        <w:rPr>
          <w:b w:val="0"/>
          <w:i w:val="0"/>
        </w:rPr>
        <w:t>barriers to adoption, 6</w:t>
      </w:r>
    </w:p>
    <w:p>
      <w:pPr>
        <w:pStyle w:val="ListBullet"/>
      </w:pPr>
      <w:r>
        <w:rPr>
          <w:b w:val="0"/>
          <w:i w:val="0"/>
        </w:rPr>
        <w:t>basics of technology, 4–5</w:t>
      </w:r>
    </w:p>
    <w:p>
      <w:pPr>
        <w:pStyle w:val="ListBullet"/>
      </w:pPr>
      <w:r>
        <w:rPr>
          <w:b w:val="0"/>
          <w:i w:val="0"/>
        </w:rPr>
        <w:t>building capabilities for, 24–25</w:t>
      </w:r>
    </w:p>
    <w:p>
      <w:pPr>
        <w:pStyle w:val="ListBullet"/>
      </w:pPr>
      <w:r>
        <w:rPr>
          <w:b w:val="0"/>
          <w:i w:val="0"/>
        </w:rPr>
        <w:t>community, 47–48, 49</w:t>
      </w:r>
    </w:p>
    <w:p>
      <w:pPr>
        <w:pStyle w:val="ListBullet"/>
      </w:pPr>
      <w:r>
        <w:rPr>
          <w:b w:val="0"/>
          <w:i w:val="0"/>
        </w:rPr>
        <w:t>compared with internet, 33–41</w:t>
      </w:r>
    </w:p>
    <w:p>
      <w:pPr>
        <w:pStyle w:val="ListBullet"/>
      </w:pPr>
      <w:r>
        <w:rPr>
          <w:b w:val="0"/>
          <w:i w:val="0"/>
        </w:rPr>
        <w:t>control of, 43–49</w:t>
      </w:r>
    </w:p>
    <w:p>
      <w:pPr>
        <w:pStyle w:val="ListBullet"/>
      </w:pPr>
      <w:r>
        <w:rPr>
          <w:b w:val="0"/>
          <w:i w:val="0"/>
        </w:rPr>
        <w:t>data integrity and, xi–xiii, 123–128</w:t>
      </w:r>
    </w:p>
    <w:p>
      <w:pPr>
        <w:pStyle w:val="ListBullet"/>
      </w:pPr>
      <w:r>
        <w:rPr>
          <w:b w:val="0"/>
          <w:i w:val="0"/>
        </w:rPr>
        <w:t>energy consumption and, 153–159</w:t>
      </w:r>
    </w:p>
    <w:p>
      <w:pPr>
        <w:pStyle w:val="ListBullet"/>
      </w:pPr>
      <w:r>
        <w:rPr>
          <w:b w:val="0"/>
          <w:i w:val="0"/>
        </w:rPr>
        <w:t>financial system and, 33–41, 69–76</w:t>
      </w:r>
    </w:p>
    <w:p>
      <w:pPr>
        <w:pStyle w:val="ListBullet"/>
      </w:pPr>
      <w:r>
        <w:rPr>
          <w:b w:val="0"/>
          <w:i w:val="0"/>
        </w:rPr>
        <w:t>as foundational technology, 7, 25–26</w:t>
      </w:r>
    </w:p>
    <w:p>
      <w:pPr>
        <w:pStyle w:val="ListBullet"/>
      </w:pPr>
      <w:r>
        <w:rPr>
          <w:b w:val="0"/>
          <w:i w:val="0"/>
        </w:rPr>
        <w:t>history of, 27–32</w:t>
      </w:r>
    </w:p>
    <w:p>
      <w:pPr>
        <w:pStyle w:val="ListBullet"/>
      </w:pPr>
      <w:r>
        <w:rPr>
          <w:b w:val="0"/>
          <w:i w:val="0"/>
        </w:rPr>
        <w:t>impact of, xii–xv, 6–7, 25–26, 30–31, 34–35, 40, 74–75</w:t>
      </w:r>
    </w:p>
    <w:p>
      <w:pPr>
        <w:pStyle w:val="ListBullet"/>
      </w:pPr>
      <w:r>
        <w:rPr>
          <w:b w:val="0"/>
          <w:i w:val="0"/>
        </w:rPr>
        <w:t>internet of, 73</w:t>
      </w:r>
    </w:p>
    <w:p>
      <w:pPr>
        <w:pStyle w:val="ListBullet"/>
      </w:pPr>
      <w:r>
        <w:rPr>
          <w:b w:val="0"/>
          <w:i w:val="0"/>
        </w:rPr>
        <w:t>investment in, 21–24, 38, 72–74</w:t>
      </w:r>
    </w:p>
    <w:p>
      <w:pPr>
        <w:pStyle w:val="ListBullet"/>
      </w:pPr>
      <w:r>
        <w:rPr>
          <w:b w:val="0"/>
          <w:i w:val="0"/>
        </w:rPr>
        <w:t>killer app for, 35–37, 147–148</w:t>
      </w:r>
    </w:p>
    <w:p>
      <w:pPr>
        <w:pStyle w:val="ListBullet"/>
      </w:pPr>
      <w:r>
        <w:rPr>
          <w:b w:val="0"/>
          <w:i w:val="0"/>
        </w:rPr>
        <w:t>limitations of, 61–66, 125–126</w:t>
      </w:r>
    </w:p>
    <w:p>
      <w:pPr>
        <w:pStyle w:val="ListBullet"/>
      </w:pPr>
      <w:r>
        <w:rPr>
          <w:b w:val="0"/>
          <w:i w:val="0"/>
        </w:rPr>
        <w:t>marketing and, 101–112</w:t>
      </w:r>
    </w:p>
    <w:p>
      <w:pPr>
        <w:pStyle w:val="ListBullet"/>
      </w:pPr>
      <w:r>
        <w:rPr>
          <w:b w:val="0"/>
          <w:i w:val="0"/>
        </w:rPr>
        <w:t>need for, 123–128</w:t>
      </w:r>
    </w:p>
    <w:p>
      <w:pPr>
        <w:pStyle w:val="ListBullet"/>
      </w:pPr>
      <w:r>
        <w:rPr>
          <w:b w:val="0"/>
          <w:i w:val="0"/>
        </w:rPr>
        <w:t>overview of, 3–7</w:t>
      </w:r>
    </w:p>
    <w:p>
      <w:pPr>
        <w:pStyle w:val="ListBullet"/>
      </w:pPr>
      <w:r>
        <w:rPr>
          <w:b w:val="0"/>
          <w:i w:val="0"/>
        </w:rPr>
        <w:t>proof of identity and, 145–152</w:t>
      </w:r>
    </w:p>
    <w:p>
      <w:pPr>
        <w:pStyle w:val="ListBullet"/>
      </w:pPr>
      <w:r>
        <w:rPr>
          <w:b w:val="0"/>
          <w:i w:val="0"/>
        </w:rPr>
        <w:t>public data and, 135–142</w:t>
      </w:r>
    </w:p>
    <w:p>
      <w:pPr>
        <w:pStyle w:val="ListBullet"/>
      </w:pPr>
      <w:r>
        <w:rPr>
          <w:b w:val="0"/>
          <w:i w:val="0"/>
        </w:rPr>
        <w:t>public vs. private, 51–53, 55–60, 90</w:t>
      </w:r>
    </w:p>
    <w:p>
      <w:pPr>
        <w:pStyle w:val="ListBullet"/>
      </w:pPr>
      <w:r>
        <w:rPr>
          <w:b w:val="0"/>
          <w:i w:val="0"/>
        </w:rPr>
        <w:t>scaling, 29</w:t>
      </w:r>
    </w:p>
    <w:p>
      <w:pPr>
        <w:pStyle w:val="ListBullet"/>
      </w:pPr>
      <w:r>
        <w:rPr>
          <w:b w:val="0"/>
          <w:i w:val="0"/>
        </w:rPr>
        <w:t>security of, 25, 51–60</w:t>
      </w:r>
    </w:p>
    <w:p>
      <w:pPr>
        <w:pStyle w:val="ListBullet"/>
      </w:pPr>
      <w:r>
        <w:rPr>
          <w:b w:val="0"/>
          <w:i w:val="0"/>
        </w:rPr>
        <w:t>sharing economy and, 93–99</w:t>
      </w:r>
    </w:p>
    <w:p>
      <w:pPr>
        <w:pStyle w:val="ListBullet"/>
      </w:pPr>
      <w:r>
        <w:rPr>
          <w:b w:val="0"/>
          <w:i w:val="0"/>
        </w:rPr>
        <w:t>supply chains and, xii, 22, 31, 85–92</w:t>
      </w:r>
    </w:p>
    <w:p>
      <w:pPr>
        <w:pStyle w:val="ListBullet"/>
      </w:pPr>
      <w:r>
        <w:rPr>
          <w:b w:val="0"/>
          <w:i w:val="0"/>
        </w:rPr>
        <w:t>Blockchain Capital, 73</w:t>
      </w:r>
    </w:p>
    <w:p>
      <w:pPr>
        <w:pStyle w:val="ListBullet"/>
      </w:pPr>
      <w:r>
        <w:rPr>
          <w:b w:val="0"/>
          <w:i w:val="0"/>
        </w:rPr>
        <w:t>bots, 107</w:t>
      </w:r>
    </w:p>
    <w:p>
      <w:pPr>
        <w:pStyle w:val="ListBullet"/>
      </w:pPr>
      <w:r>
        <w:rPr>
          <w:b w:val="0"/>
          <w:i w:val="0"/>
        </w:rPr>
        <w:t>Brave, 109</w:t>
      </w:r>
    </w:p>
    <w:p>
      <w:pPr>
        <w:pStyle w:val="ListBullet"/>
      </w:pPr>
      <w:r>
        <w:rPr>
          <w:b w:val="0"/>
          <w:i w:val="0"/>
        </w:rPr>
        <w:t>Brexit, 31</w:t>
      </w:r>
    </w:p>
    <w:p>
      <w:pPr>
        <w:pStyle w:val="ListBullet"/>
      </w:pPr>
      <w:r>
        <w:rPr>
          <w:b w:val="0"/>
          <w:i w:val="0"/>
        </w:rPr>
        <w:t>business models, 23, 30, 62</w:t>
      </w:r>
    </w:p>
    <w:p>
      <w:pPr>
        <w:pStyle w:val="ListBullet"/>
      </w:pPr>
      <w:r>
        <w:rPr>
          <w:b w:val="0"/>
          <w:i w:val="0"/>
        </w:rPr>
        <w:t>CAD-coin, 17</w:t>
      </w:r>
    </w:p>
    <w:p>
      <w:pPr>
        <w:pStyle w:val="ListBullet"/>
      </w:pPr>
      <w:r>
        <w:rPr>
          <w:b w:val="0"/>
          <w:i w:val="0"/>
        </w:rPr>
        <w:t>Capgemini, 71</w:t>
      </w:r>
    </w:p>
    <w:p>
      <w:pPr>
        <w:pStyle w:val="ListBullet"/>
      </w:pPr>
      <w:r>
        <w:rPr>
          <w:b w:val="0"/>
          <w:i w:val="0"/>
        </w:rPr>
        <w:t>capital</w:t>
      </w:r>
    </w:p>
    <w:p>
      <w:pPr>
        <w:pStyle w:val="ListBullet"/>
      </w:pPr>
      <w:r>
        <w:rPr>
          <w:b w:val="0"/>
          <w:i w:val="0"/>
        </w:rPr>
        <w:t>access to, 72</w:t>
      </w:r>
    </w:p>
    <w:p>
      <w:pPr>
        <w:pStyle w:val="ListBullet"/>
      </w:pPr>
      <w:r>
        <w:rPr>
          <w:b w:val="0"/>
          <w:i w:val="0"/>
        </w:rPr>
        <w:t>venture, 38, 72–74, 116</w:t>
      </w:r>
    </w:p>
    <w:p>
      <w:pPr>
        <w:pStyle w:val="ListBullet"/>
      </w:pPr>
      <w:r>
        <w:rPr>
          <w:b w:val="0"/>
          <w:i w:val="0"/>
        </w:rPr>
        <w:t>central banks, 81–82</w:t>
      </w:r>
    </w:p>
    <w:p>
      <w:pPr>
        <w:pStyle w:val="ListBullet"/>
      </w:pPr>
      <w:r>
        <w:rPr>
          <w:b w:val="0"/>
          <w:i w:val="0"/>
        </w:rPr>
        <w:t>Chain.com, 17</w:t>
      </w:r>
    </w:p>
    <w:p>
      <w:pPr>
        <w:pStyle w:val="ListBullet"/>
      </w:pPr>
      <w:r>
        <w:rPr>
          <w:b w:val="0"/>
          <w:i w:val="0"/>
        </w:rPr>
        <w:t>Chipotle Mexican Grill, 85–86, 88–89</w:t>
      </w:r>
    </w:p>
    <w:p>
      <w:pPr>
        <w:pStyle w:val="ListBullet"/>
      </w:pPr>
      <w:r>
        <w:rPr>
          <w:b w:val="0"/>
          <w:i w:val="0"/>
        </w:rPr>
        <w:t>Circle, 79, 80</w:t>
      </w:r>
    </w:p>
    <w:p>
      <w:pPr>
        <w:pStyle w:val="ListBullet"/>
      </w:pPr>
      <w:r>
        <w:rPr>
          <w:b w:val="0"/>
          <w:i w:val="0"/>
        </w:rPr>
        <w:t>circuit switching, 8</w:t>
      </w:r>
    </w:p>
    <w:p>
      <w:pPr>
        <w:pStyle w:val="ListBullet"/>
      </w:pPr>
      <w:r>
        <w:rPr>
          <w:b w:val="0"/>
          <w:i w:val="0"/>
        </w:rPr>
        <w:t>Cisco, 35</w:t>
      </w:r>
    </w:p>
    <w:p>
      <w:pPr>
        <w:pStyle w:val="ListBullet"/>
      </w:pPr>
      <w:r>
        <w:rPr>
          <w:b w:val="0"/>
          <w:i w:val="0"/>
        </w:rPr>
        <w:t>Citigroup, 71</w:t>
      </w:r>
    </w:p>
    <w:p>
      <w:pPr>
        <w:pStyle w:val="ListBullet"/>
      </w:pPr>
      <w:r>
        <w:rPr>
          <w:b w:val="0"/>
          <w:i w:val="0"/>
        </w:rPr>
        <w:t>cloud technology, xi, 21</w:t>
      </w:r>
    </w:p>
    <w:p>
      <w:pPr>
        <w:pStyle w:val="ListBullet"/>
      </w:pPr>
      <w:r>
        <w:rPr>
          <w:b w:val="0"/>
          <w:i w:val="0"/>
        </w:rPr>
        <w:t>CNET, 9</w:t>
      </w:r>
    </w:p>
    <w:p>
      <w:pPr>
        <w:pStyle w:val="ListBullet"/>
      </w:pPr>
      <w:r>
        <w:rPr>
          <w:b w:val="0"/>
          <w:i w:val="0"/>
        </w:rPr>
        <w:t>code as law, 45–46</w:t>
      </w:r>
    </w:p>
    <w:p>
      <w:pPr>
        <w:pStyle w:val="ListBullet"/>
      </w:pPr>
      <w:r>
        <w:rPr>
          <w:b w:val="0"/>
          <w:i w:val="0"/>
        </w:rPr>
        <w:t>commercial banks, 81</w:t>
      </w:r>
    </w:p>
    <w:p>
      <w:pPr>
        <w:pStyle w:val="ListBullet"/>
      </w:pPr>
      <w:r>
        <w:rPr>
          <w:b w:val="0"/>
          <w:i w:val="0"/>
        </w:rPr>
        <w:t>commodities trading, 54</w:t>
      </w:r>
    </w:p>
    <w:p>
      <w:pPr>
        <w:pStyle w:val="ListBullet"/>
      </w:pPr>
      <w:r>
        <w:rPr>
          <w:b w:val="0"/>
          <w:i w:val="0"/>
        </w:rPr>
        <w:t>Commodity Futures Trading Commission (CFTC), 129</w:t>
      </w:r>
    </w:p>
    <w:p>
      <w:pPr>
        <w:pStyle w:val="ListBullet"/>
      </w:pPr>
      <w:r>
        <w:rPr>
          <w:b w:val="0"/>
          <w:i w:val="0"/>
        </w:rPr>
        <w:t>complexity, 14</w:t>
      </w:r>
    </w:p>
    <w:p>
      <w:pPr>
        <w:pStyle w:val="ListBullet"/>
      </w:pPr>
      <w:r>
        <w:rPr>
          <w:b w:val="0"/>
          <w:i w:val="0"/>
        </w:rPr>
        <w:t>computational logic, 5</w:t>
      </w:r>
    </w:p>
    <w:p>
      <w:pPr>
        <w:pStyle w:val="ListBullet"/>
      </w:pPr>
      <w:r>
        <w:rPr>
          <w:b w:val="0"/>
          <w:i w:val="0"/>
        </w:rPr>
        <w:t>consensus protocol, 52, 55–56</w:t>
      </w:r>
    </w:p>
    <w:p>
      <w:pPr>
        <w:pStyle w:val="ListBullet"/>
      </w:pPr>
      <w:r>
        <w:rPr>
          <w:b w:val="0"/>
          <w:i w:val="0"/>
        </w:rPr>
        <w:t>content creation, 108–109</w:t>
      </w:r>
    </w:p>
    <w:p>
      <w:pPr>
        <w:pStyle w:val="ListBullet"/>
      </w:pPr>
      <w:r>
        <w:rPr>
          <w:b w:val="0"/>
          <w:i w:val="0"/>
        </w:rPr>
        <w:t>contracts</w:t>
      </w:r>
    </w:p>
    <w:p>
      <w:pPr>
        <w:pStyle w:val="ListBullet"/>
      </w:pPr>
      <w:r>
        <w:rPr>
          <w:b w:val="0"/>
          <w:i w:val="0"/>
        </w:rPr>
        <w:t>investment, 132</w:t>
      </w:r>
    </w:p>
    <w:p>
      <w:pPr>
        <w:pStyle w:val="ListBullet"/>
      </w:pPr>
      <w:r>
        <w:rPr>
          <w:b w:val="0"/>
          <w:i w:val="0"/>
        </w:rPr>
        <w:t>smart, 19–20, 23, 28, 44–47, 88, 104, 115</w:t>
      </w:r>
    </w:p>
    <w:p>
      <w:pPr>
        <w:pStyle w:val="ListBullet"/>
      </w:pPr>
      <w:r>
        <w:rPr>
          <w:b w:val="0"/>
          <w:i w:val="0"/>
        </w:rPr>
        <w:t>use of, 3–4</w:t>
      </w:r>
    </w:p>
    <w:p>
      <w:pPr>
        <w:pStyle w:val="ListBullet"/>
      </w:pPr>
      <w:r>
        <w:rPr>
          <w:b w:val="0"/>
          <w:i w:val="0"/>
        </w:rPr>
        <w:t>cooperativism, 97, 99</w:t>
      </w:r>
    </w:p>
    <w:p>
      <w:pPr>
        <w:pStyle w:val="ListBullet"/>
      </w:pPr>
      <w:r>
        <w:rPr>
          <w:b w:val="0"/>
          <w:i w:val="0"/>
        </w:rPr>
        <w:t>copyright protection, 108, 138</w:t>
      </w:r>
    </w:p>
    <w:p>
      <w:pPr>
        <w:pStyle w:val="ListBullet"/>
      </w:pPr>
      <w:r>
        <w:rPr>
          <w:b w:val="0"/>
          <w:i w:val="0"/>
        </w:rPr>
        <w:t>Cosmos, 73</w:t>
      </w:r>
    </w:p>
    <w:p>
      <w:pPr>
        <w:pStyle w:val="ListBullet"/>
      </w:pPr>
      <w:r>
        <w:rPr>
          <w:b w:val="0"/>
          <w:i w:val="0"/>
        </w:rPr>
        <w:t>Coupit, 109</w:t>
      </w:r>
    </w:p>
    <w:p>
      <w:pPr>
        <w:pStyle w:val="ListBullet"/>
      </w:pPr>
      <w:r>
        <w:rPr>
          <w:b w:val="0"/>
          <w:i w:val="0"/>
        </w:rPr>
        <w:t>credentialing, 88–89</w:t>
      </w:r>
    </w:p>
    <w:p>
      <w:pPr>
        <w:pStyle w:val="ListBullet"/>
      </w:pPr>
      <w:r>
        <w:rPr>
          <w:b w:val="0"/>
          <w:i w:val="0"/>
        </w:rPr>
        <w:t>credit cards, 103</w:t>
      </w:r>
    </w:p>
    <w:p>
      <w:pPr>
        <w:pStyle w:val="ListBullet"/>
      </w:pPr>
      <w:r>
        <w:rPr>
          <w:b w:val="0"/>
          <w:i w:val="0"/>
        </w:rPr>
        <w:t>Credit Suisse, 71</w:t>
      </w:r>
    </w:p>
    <w:p>
      <w:pPr>
        <w:pStyle w:val="ListBullet"/>
      </w:pPr>
      <w:r>
        <w:rPr>
          <w:b w:val="0"/>
          <w:i w:val="0"/>
        </w:rPr>
        <w:t>crime, 69, 148</w:t>
      </w:r>
    </w:p>
    <w:p>
      <w:pPr>
        <w:pStyle w:val="ListBullet"/>
      </w:pPr>
      <w:r>
        <w:rPr>
          <w:b w:val="0"/>
          <w:i w:val="0"/>
        </w:rPr>
        <w:t>crowdsourcing, 97</w:t>
      </w:r>
    </w:p>
    <w:p>
      <w:pPr>
        <w:pStyle w:val="ListBullet"/>
      </w:pPr>
      <w:r>
        <w:rPr>
          <w:b w:val="0"/>
          <w:i w:val="0"/>
        </w:rPr>
        <w:t xml:space="preserve">cryptocurrencies. </w:t>
      </w:r>
      <w:r>
        <w:rPr>
          <w:b w:val="0"/>
          <w:i/>
        </w:rPr>
        <w:t>See also</w:t>
      </w:r>
      <w:r>
        <w:rPr>
          <w:b w:val="0"/>
          <w:i w:val="0"/>
        </w:rPr>
        <w:t xml:space="preserve"> bitcoin, Ethereum</w:t>
      </w:r>
    </w:p>
    <w:p>
      <w:pPr>
        <w:pStyle w:val="ListBullet"/>
      </w:pPr>
      <w:r>
        <w:rPr>
          <w:b w:val="0"/>
          <w:i w:val="0"/>
        </w:rPr>
        <w:t>blockchain technology and, 34–35</w:t>
      </w:r>
    </w:p>
    <w:p>
      <w:pPr>
        <w:pStyle w:val="ListBullet"/>
      </w:pPr>
      <w:r>
        <w:rPr>
          <w:b w:val="0"/>
          <w:i w:val="0"/>
        </w:rPr>
        <w:t>environmental sustainability of, 153–159</w:t>
      </w:r>
    </w:p>
    <w:p>
      <w:pPr>
        <w:pStyle w:val="ListBullet"/>
      </w:pPr>
      <w:r>
        <w:rPr>
          <w:b w:val="0"/>
          <w:i w:val="0"/>
        </w:rPr>
        <w:t>financial system and, 77–83</w:t>
      </w:r>
    </w:p>
    <w:p>
      <w:pPr>
        <w:pStyle w:val="ListBullet"/>
      </w:pPr>
      <w:r>
        <w:rPr>
          <w:b w:val="0"/>
          <w:i w:val="0"/>
        </w:rPr>
        <w:t>growth of, 131</w:t>
      </w:r>
    </w:p>
    <w:p>
      <w:pPr>
        <w:pStyle w:val="ListBullet"/>
      </w:pPr>
      <w:r>
        <w:rPr>
          <w:b w:val="0"/>
          <w:i w:val="0"/>
        </w:rPr>
        <w:t>investment in, 38–39</w:t>
      </w:r>
    </w:p>
    <w:p>
      <w:pPr>
        <w:pStyle w:val="ListBullet"/>
      </w:pPr>
      <w:r>
        <w:rPr>
          <w:b w:val="0"/>
          <w:i w:val="0"/>
        </w:rPr>
        <w:t>regulation of, 129–134</w:t>
      </w:r>
    </w:p>
    <w:p>
      <w:pPr>
        <w:pStyle w:val="ListBullet"/>
      </w:pPr>
      <w:r>
        <w:rPr>
          <w:b w:val="0"/>
          <w:i w:val="0"/>
        </w:rPr>
        <w:t>as substitutes, 18</w:t>
      </w:r>
    </w:p>
    <w:p>
      <w:pPr>
        <w:pStyle w:val="ListBullet"/>
      </w:pPr>
      <w:r>
        <w:rPr>
          <w:b w:val="0"/>
          <w:i w:val="0"/>
        </w:rPr>
        <w:t>cultural industries, 113–119</w:t>
      </w:r>
    </w:p>
    <w:p>
      <w:pPr>
        <w:pStyle w:val="ListBullet"/>
      </w:pPr>
      <w:r>
        <w:rPr>
          <w:b w:val="0"/>
          <w:i w:val="0"/>
        </w:rPr>
        <w:t>customer data, 103–104</w:t>
      </w:r>
    </w:p>
    <w:p>
      <w:pPr>
        <w:pStyle w:val="ListBullet"/>
      </w:pPr>
      <w:r>
        <w:rPr>
          <w:b w:val="0"/>
          <w:i w:val="0"/>
        </w:rPr>
        <w:t>Custos Media Technologies, 118</w:t>
      </w:r>
    </w:p>
    <w:p>
      <w:pPr>
        <w:pStyle w:val="ListBullet"/>
      </w:pPr>
      <w:r>
        <w:rPr>
          <w:b w:val="0"/>
          <w:i w:val="0"/>
        </w:rPr>
        <w:t>The DAO (decentralized autonomous organization), 44–46, 57, 73</w:t>
      </w:r>
    </w:p>
    <w:p>
      <w:pPr>
        <w:pStyle w:val="ListBullet"/>
      </w:pPr>
      <w:r>
        <w:rPr>
          <w:b w:val="0"/>
          <w:i w:val="0"/>
        </w:rPr>
        <w:t>databases, 21</w:t>
      </w:r>
    </w:p>
    <w:p>
      <w:pPr>
        <w:pStyle w:val="ListBullet"/>
      </w:pPr>
      <w:r>
        <w:rPr>
          <w:b w:val="0"/>
          <w:i w:val="0"/>
        </w:rPr>
        <w:t>data integrity, xi–xiii, 123–128</w:t>
      </w:r>
    </w:p>
    <w:p>
      <w:pPr>
        <w:pStyle w:val="ListBullet"/>
      </w:pPr>
      <w:r>
        <w:rPr>
          <w:b w:val="0"/>
          <w:i w:val="0"/>
        </w:rPr>
        <w:t>data manipulation, 137, 138</w:t>
      </w:r>
    </w:p>
    <w:p>
      <w:pPr>
        <w:pStyle w:val="ListBullet"/>
      </w:pPr>
      <w:r>
        <w:rPr>
          <w:b w:val="0"/>
          <w:i w:val="0"/>
        </w:rPr>
        <w:t>debit cards, 103</w:t>
      </w:r>
    </w:p>
    <w:p>
      <w:pPr>
        <w:pStyle w:val="ListBullet"/>
      </w:pPr>
      <w:r>
        <w:rPr>
          <w:b w:val="0"/>
          <w:i w:val="0"/>
        </w:rPr>
        <w:t>decentralized infrastructure, 43, 49, 94, 95, 99</w:t>
      </w:r>
    </w:p>
    <w:p>
      <w:pPr>
        <w:pStyle w:val="ListBullet"/>
      </w:pPr>
      <w:r>
        <w:rPr>
          <w:b w:val="0"/>
          <w:i w:val="0"/>
        </w:rPr>
        <w:t>decentralized organizations, 95–98</w:t>
      </w:r>
    </w:p>
    <w:p>
      <w:pPr>
        <w:pStyle w:val="ListBullet"/>
      </w:pPr>
      <w:r>
        <w:rPr>
          <w:b w:val="0"/>
          <w:i w:val="0"/>
        </w:rPr>
        <w:t>delegated-proof-of-stake (DPoS) system, 157</w:t>
      </w:r>
    </w:p>
    <w:p>
      <w:pPr>
        <w:pStyle w:val="ListBullet"/>
      </w:pPr>
      <w:r>
        <w:rPr>
          <w:b w:val="0"/>
          <w:i w:val="0"/>
        </w:rPr>
        <w:t>demand chains, 87</w:t>
      </w:r>
    </w:p>
    <w:p>
      <w:pPr>
        <w:pStyle w:val="ListBullet"/>
      </w:pPr>
      <w:r>
        <w:rPr>
          <w:b w:val="0"/>
          <w:i w:val="0"/>
        </w:rPr>
        <w:t>Department of Treasury, 130</w:t>
      </w:r>
    </w:p>
    <w:p>
      <w:pPr>
        <w:pStyle w:val="ListBullet"/>
      </w:pPr>
      <w:r>
        <w:rPr>
          <w:b w:val="0"/>
          <w:i w:val="0"/>
        </w:rPr>
        <w:t>de Soto, Hernando, 147</w:t>
      </w:r>
    </w:p>
    <w:p>
      <w:pPr>
        <w:pStyle w:val="ListBullet"/>
      </w:pPr>
      <w:r>
        <w:rPr>
          <w:b w:val="0"/>
          <w:i w:val="0"/>
        </w:rPr>
        <w:t>developing world, 78</w:t>
      </w:r>
    </w:p>
    <w:p>
      <w:pPr>
        <w:pStyle w:val="ListBullet"/>
      </w:pPr>
      <w:r>
        <w:rPr>
          <w:b w:val="0"/>
          <w:i w:val="0"/>
        </w:rPr>
        <w:t>diamond industry, 22, 88</w:t>
      </w:r>
    </w:p>
    <w:p>
      <w:pPr>
        <w:pStyle w:val="ListBullet"/>
      </w:pPr>
      <w:r>
        <w:rPr>
          <w:b w:val="0"/>
          <w:i w:val="0"/>
        </w:rPr>
        <w:t xml:space="preserve">digital currency, 18, 21, 28, 77–83, 124. </w:t>
      </w:r>
      <w:r>
        <w:rPr>
          <w:b w:val="0"/>
          <w:i/>
        </w:rPr>
        <w:t>See also</w:t>
      </w:r>
      <w:r>
        <w:rPr>
          <w:b w:val="0"/>
          <w:i w:val="0"/>
        </w:rPr>
        <w:t xml:space="preserve"> cryptocurrencies</w:t>
      </w:r>
    </w:p>
    <w:p>
      <w:pPr>
        <w:pStyle w:val="ListBullet"/>
      </w:pPr>
      <w:r>
        <w:rPr>
          <w:b w:val="0"/>
          <w:i w:val="0"/>
        </w:rPr>
        <w:t>Digital Currency Initiative, 38</w:t>
      </w:r>
    </w:p>
    <w:p>
      <w:pPr>
        <w:pStyle w:val="ListBullet"/>
      </w:pPr>
      <w:r>
        <w:rPr>
          <w:b w:val="0"/>
          <w:i w:val="0"/>
        </w:rPr>
        <w:t>digitally signed documents, 148–149</w:t>
      </w:r>
    </w:p>
    <w:p>
      <w:pPr>
        <w:pStyle w:val="ListBullet"/>
      </w:pPr>
      <w:r>
        <w:rPr>
          <w:b w:val="0"/>
          <w:i w:val="0"/>
        </w:rPr>
        <w:t>digital records, 62–66, 138</w:t>
      </w:r>
    </w:p>
    <w:p>
      <w:pPr>
        <w:pStyle w:val="ListBullet"/>
      </w:pPr>
      <w:r>
        <w:rPr>
          <w:b w:val="0"/>
          <w:i w:val="0"/>
        </w:rPr>
        <w:t>digital rights management (DRM), 117</w:t>
      </w:r>
    </w:p>
    <w:p>
      <w:pPr>
        <w:pStyle w:val="ListBullet"/>
      </w:pPr>
      <w:r>
        <w:rPr>
          <w:b w:val="0"/>
          <w:i w:val="0"/>
        </w:rPr>
        <w:t>digital tokens, 87</w:t>
      </w:r>
    </w:p>
    <w:p>
      <w:pPr>
        <w:pStyle w:val="ListBullet"/>
      </w:pPr>
      <w:r>
        <w:rPr>
          <w:b w:val="0"/>
          <w:i w:val="0"/>
        </w:rPr>
        <w:t>disruptive technology, 7</w:t>
      </w:r>
    </w:p>
    <w:p>
      <w:pPr>
        <w:pStyle w:val="ListBullet"/>
      </w:pPr>
      <w:r>
        <w:rPr>
          <w:b w:val="0"/>
          <w:i w:val="0"/>
        </w:rPr>
        <w:t>distributed computer networking, 7–11</w:t>
      </w:r>
    </w:p>
    <w:p>
      <w:pPr>
        <w:pStyle w:val="ListBullet"/>
      </w:pPr>
      <w:r>
        <w:rPr>
          <w:b w:val="0"/>
          <w:i w:val="0"/>
        </w:rPr>
        <w:t>distributed databases, 4</w:t>
      </w:r>
    </w:p>
    <w:p>
      <w:pPr>
        <w:pStyle w:val="ListBullet"/>
      </w:pPr>
      <w:r>
        <w:rPr>
          <w:b w:val="0"/>
          <w:i w:val="0"/>
        </w:rPr>
        <w:t xml:space="preserve">distributed ledger technology. </w:t>
      </w:r>
      <w:r>
        <w:rPr>
          <w:b w:val="0"/>
          <w:i/>
        </w:rPr>
        <w:t>See</w:t>
      </w:r>
      <w:r>
        <w:rPr>
          <w:b w:val="0"/>
          <w:i w:val="0"/>
        </w:rPr>
        <w:t xml:space="preserve"> blockchain</w:t>
      </w:r>
    </w:p>
    <w:p>
      <w:pPr>
        <w:pStyle w:val="ListBullet"/>
      </w:pPr>
      <w:r>
        <w:rPr>
          <w:b w:val="0"/>
          <w:i w:val="0"/>
        </w:rPr>
        <w:t>DoS attacks, 107</w:t>
      </w:r>
    </w:p>
    <w:p>
      <w:pPr>
        <w:pStyle w:val="ListBullet"/>
      </w:pPr>
      <w:r>
        <w:rPr>
          <w:b w:val="0"/>
          <w:i w:val="0"/>
        </w:rPr>
        <w:t>drones, 30</w:t>
      </w:r>
    </w:p>
    <w:p>
      <w:pPr>
        <w:pStyle w:val="ListBullet"/>
      </w:pPr>
      <w:r>
        <w:rPr>
          <w:b w:val="0"/>
          <w:i w:val="0"/>
        </w:rPr>
        <w:t>Dubai, 31</w:t>
      </w:r>
    </w:p>
    <w:p>
      <w:pPr>
        <w:pStyle w:val="ListBullet"/>
      </w:pPr>
      <w:r>
        <w:rPr>
          <w:b w:val="0"/>
          <w:i w:val="0"/>
        </w:rPr>
        <w:t>dynamic pricing, 118</w:t>
      </w:r>
    </w:p>
    <w:p>
      <w:pPr>
        <w:pStyle w:val="ListBullet"/>
      </w:pPr>
      <w:r>
        <w:rPr>
          <w:b w:val="0"/>
          <w:i w:val="0"/>
        </w:rPr>
        <w:t>East Africa, 78</w:t>
      </w:r>
    </w:p>
    <w:p>
      <w:pPr>
        <w:pStyle w:val="ListBullet"/>
      </w:pPr>
      <w:r>
        <w:rPr>
          <w:b w:val="0"/>
          <w:i w:val="0"/>
        </w:rPr>
        <w:t>eBay, 10, 30, 35, 95</w:t>
      </w:r>
    </w:p>
    <w:p>
      <w:pPr>
        <w:pStyle w:val="ListBullet"/>
      </w:pPr>
      <w:r>
        <w:rPr>
          <w:b w:val="0"/>
          <w:i w:val="0"/>
        </w:rPr>
        <w:t>e-commerce, 31</w:t>
      </w:r>
    </w:p>
    <w:p>
      <w:pPr>
        <w:pStyle w:val="ListBullet"/>
      </w:pPr>
      <w:r>
        <w:rPr>
          <w:b w:val="0"/>
          <w:i w:val="0"/>
        </w:rPr>
        <w:t>electricity costs, 52–53</w:t>
      </w:r>
    </w:p>
    <w:p>
      <w:pPr>
        <w:pStyle w:val="ListBullet"/>
      </w:pPr>
      <w:r>
        <w:rPr>
          <w:b w:val="0"/>
          <w:i w:val="0"/>
        </w:rPr>
        <w:t>email, 11, 13, 15, 35, 106–108</w:t>
      </w:r>
    </w:p>
    <w:p>
      <w:pPr>
        <w:pStyle w:val="ListBullet"/>
      </w:pPr>
      <w:r>
        <w:rPr>
          <w:b w:val="0"/>
          <w:i w:val="0"/>
        </w:rPr>
        <w:t>energy consumption, 153–159</w:t>
      </w:r>
    </w:p>
    <w:p>
      <w:pPr>
        <w:pStyle w:val="ListBullet"/>
      </w:pPr>
      <w:r>
        <w:rPr>
          <w:b w:val="0"/>
          <w:i w:val="0"/>
        </w:rPr>
        <w:t>energy efficiency, 156–158</w:t>
      </w:r>
    </w:p>
    <w:p>
      <w:pPr>
        <w:pStyle w:val="ListBullet"/>
      </w:pPr>
      <w:r>
        <w:rPr>
          <w:b w:val="0"/>
          <w:i w:val="0"/>
        </w:rPr>
        <w:t>entertainment industry, 113–119</w:t>
      </w:r>
    </w:p>
    <w:p>
      <w:pPr>
        <w:pStyle w:val="ListBullet"/>
      </w:pPr>
      <w:r>
        <w:rPr>
          <w:b w:val="0"/>
          <w:i w:val="0"/>
        </w:rPr>
        <w:t>Estonia, 149–150</w:t>
      </w:r>
    </w:p>
    <w:p>
      <w:pPr>
        <w:pStyle w:val="ListBullet"/>
      </w:pPr>
      <w:r>
        <w:rPr>
          <w:b w:val="0"/>
          <w:i w:val="0"/>
        </w:rPr>
        <w:t>Ethereum, 28, 44–46, 57, 90, 157</w:t>
      </w:r>
    </w:p>
    <w:p>
      <w:pPr>
        <w:pStyle w:val="ListBullet"/>
      </w:pPr>
      <w:r>
        <w:rPr>
          <w:b w:val="0"/>
          <w:i w:val="0"/>
        </w:rPr>
        <w:t>Ethernet, 34</w:t>
      </w:r>
    </w:p>
    <w:p>
      <w:pPr>
        <w:pStyle w:val="ListBullet"/>
      </w:pPr>
      <w:r>
        <w:rPr>
          <w:b w:val="0"/>
          <w:i w:val="0"/>
        </w:rPr>
        <w:t>Everledger, 88</w:t>
      </w:r>
    </w:p>
    <w:p>
      <w:pPr>
        <w:pStyle w:val="ListBullet"/>
      </w:pPr>
      <w:r>
        <w:rPr>
          <w:b w:val="0"/>
          <w:i w:val="0"/>
        </w:rPr>
        <w:t>“Every Snowflake,” 125–126</w:t>
      </w:r>
    </w:p>
    <w:p>
      <w:pPr>
        <w:pStyle w:val="ListBullet"/>
      </w:pPr>
      <w:r>
        <w:rPr>
          <w:b w:val="0"/>
          <w:i w:val="0"/>
        </w:rPr>
        <w:t>Expedia, 9–10</w:t>
      </w:r>
    </w:p>
    <w:p>
      <w:pPr>
        <w:pStyle w:val="ListBullet"/>
      </w:pPr>
      <w:r>
        <w:rPr>
          <w:b w:val="0"/>
          <w:i w:val="0"/>
        </w:rPr>
        <w:t>Facebook, 24, 95, 103, 105, 109</w:t>
      </w:r>
    </w:p>
    <w:p>
      <w:pPr>
        <w:pStyle w:val="ListBullet"/>
      </w:pPr>
      <w:r>
        <w:rPr>
          <w:b w:val="0"/>
          <w:i w:val="0"/>
        </w:rPr>
        <w:t>Federal Reserve, 130</w:t>
      </w:r>
    </w:p>
    <w:p>
      <w:pPr>
        <w:pStyle w:val="ListBullet"/>
      </w:pPr>
      <w:r>
        <w:rPr>
          <w:b w:val="0"/>
          <w:i w:val="0"/>
        </w:rPr>
        <w:t>film industry, 113–119</w:t>
      </w:r>
    </w:p>
    <w:p>
      <w:pPr>
        <w:pStyle w:val="ListBullet"/>
      </w:pPr>
      <w:r>
        <w:rPr>
          <w:b w:val="0"/>
          <w:i w:val="0"/>
        </w:rPr>
        <w:t>financial intermediaries, 69, 71, 72, 81–82</w:t>
      </w:r>
    </w:p>
    <w:p>
      <w:pPr>
        <w:pStyle w:val="ListBullet"/>
      </w:pPr>
      <w:r>
        <w:rPr>
          <w:b w:val="0"/>
          <w:i w:val="0"/>
        </w:rPr>
        <w:t>financial services sector, 17–19, 22, 25, 28, 77–83</w:t>
      </w:r>
    </w:p>
    <w:p>
      <w:pPr>
        <w:pStyle w:val="ListBullet"/>
      </w:pPr>
      <w:r>
        <w:rPr>
          <w:b w:val="0"/>
          <w:i w:val="0"/>
        </w:rPr>
        <w:t>financial system</w:t>
      </w:r>
    </w:p>
    <w:p>
      <w:pPr>
        <w:pStyle w:val="ListBullet"/>
      </w:pPr>
      <w:r>
        <w:rPr>
          <w:b w:val="0"/>
          <w:i w:val="0"/>
        </w:rPr>
        <w:t>blockchain and, 33–41, 69–76</w:t>
      </w:r>
    </w:p>
    <w:p>
      <w:pPr>
        <w:pStyle w:val="ListBullet"/>
      </w:pPr>
      <w:r>
        <w:rPr>
          <w:b w:val="0"/>
          <w:i w:val="0"/>
        </w:rPr>
        <w:t>cryptocurrencies and, 77–83</w:t>
      </w:r>
    </w:p>
    <w:p>
      <w:pPr>
        <w:pStyle w:val="ListBullet"/>
      </w:pPr>
      <w:r>
        <w:rPr>
          <w:b w:val="0"/>
          <w:i w:val="0"/>
        </w:rPr>
        <w:t>financial transactions, 17, 18, 24, 36–37, 103</w:t>
      </w:r>
    </w:p>
    <w:p>
      <w:pPr>
        <w:pStyle w:val="ListBullet"/>
      </w:pPr>
      <w:r>
        <w:rPr>
          <w:b w:val="0"/>
          <w:i w:val="0"/>
        </w:rPr>
        <w:t>First Data, 22–23</w:t>
      </w:r>
    </w:p>
    <w:p>
      <w:pPr>
        <w:pStyle w:val="ListBullet"/>
      </w:pPr>
      <w:r>
        <w:rPr>
          <w:b w:val="0"/>
          <w:i w:val="0"/>
        </w:rPr>
        <w:t>foundational technology, 7, 13–20</w:t>
      </w:r>
    </w:p>
    <w:p>
      <w:pPr>
        <w:pStyle w:val="ListBullet"/>
      </w:pPr>
      <w:r>
        <w:rPr>
          <w:b w:val="0"/>
          <w:i w:val="0"/>
        </w:rPr>
        <w:t>fraud, 69, 106–108, 130–131</w:t>
      </w:r>
    </w:p>
    <w:p>
      <w:pPr>
        <w:pStyle w:val="ListBullet"/>
      </w:pPr>
      <w:r>
        <w:rPr>
          <w:b w:val="0"/>
          <w:i w:val="0"/>
        </w:rPr>
        <w:t>Genesis Mining, 155–156</w:t>
      </w:r>
    </w:p>
    <w:p>
      <w:pPr>
        <w:pStyle w:val="ListBullet"/>
      </w:pPr>
      <w:r>
        <w:rPr>
          <w:b w:val="0"/>
          <w:i w:val="0"/>
        </w:rPr>
        <w:t>gift cards, 22–23</w:t>
      </w:r>
    </w:p>
    <w:p>
      <w:pPr>
        <w:pStyle w:val="ListBullet"/>
      </w:pPr>
      <w:r>
        <w:rPr>
          <w:b w:val="0"/>
          <w:i w:val="0"/>
        </w:rPr>
        <w:t>global economy, 91</w:t>
      </w:r>
    </w:p>
    <w:p>
      <w:pPr>
        <w:pStyle w:val="ListBullet"/>
      </w:pPr>
      <w:r>
        <w:rPr>
          <w:b w:val="0"/>
          <w:i w:val="0"/>
        </w:rPr>
        <w:t>globalization, 146</w:t>
      </w:r>
    </w:p>
    <w:p>
      <w:pPr>
        <w:pStyle w:val="ListBullet"/>
      </w:pPr>
      <w:r>
        <w:rPr>
          <w:b w:val="0"/>
          <w:i w:val="0"/>
        </w:rPr>
        <w:t>global supply chains, 85–92</w:t>
      </w:r>
    </w:p>
    <w:p>
      <w:pPr>
        <w:pStyle w:val="ListBullet"/>
      </w:pPr>
      <w:r>
        <w:rPr>
          <w:b w:val="0"/>
          <w:i w:val="0"/>
        </w:rPr>
        <w:t>global trade, 31</w:t>
      </w:r>
    </w:p>
    <w:p>
      <w:pPr>
        <w:pStyle w:val="ListBullet"/>
      </w:pPr>
      <w:r>
        <w:rPr>
          <w:b w:val="0"/>
          <w:i w:val="0"/>
        </w:rPr>
        <w:t>gold standard, 36</w:t>
      </w:r>
    </w:p>
    <w:p>
      <w:pPr>
        <w:pStyle w:val="ListBullet"/>
      </w:pPr>
      <w:r>
        <w:rPr>
          <w:b w:val="0"/>
          <w:i w:val="0"/>
        </w:rPr>
        <w:t>Google, 10, 24, 35, 105–106, 109</w:t>
      </w:r>
    </w:p>
    <w:p>
      <w:pPr>
        <w:pStyle w:val="ListBullet"/>
      </w:pPr>
      <w:r>
        <w:rPr>
          <w:b w:val="0"/>
          <w:i w:val="0"/>
        </w:rPr>
        <w:t>governance, 43–44, 90, 92</w:t>
      </w:r>
    </w:p>
    <w:p>
      <w:pPr>
        <w:pStyle w:val="ListBullet"/>
      </w:pPr>
      <w:r>
        <w:rPr>
          <w:b w:val="0"/>
          <w:i w:val="0"/>
        </w:rPr>
        <w:t>government data, 135–142</w:t>
      </w:r>
    </w:p>
    <w:p>
      <w:pPr>
        <w:pStyle w:val="ListBullet"/>
      </w:pPr>
      <w:r>
        <w:rPr>
          <w:b w:val="0"/>
          <w:i w:val="0"/>
        </w:rPr>
        <w:t>green energy sources, 155–156</w:t>
      </w:r>
    </w:p>
    <w:p>
      <w:pPr>
        <w:pStyle w:val="ListBullet"/>
      </w:pPr>
      <w:r>
        <w:rPr>
          <w:b w:val="0"/>
          <w:i w:val="0"/>
        </w:rPr>
        <w:t>hard forks, 45, 47</w:t>
      </w:r>
    </w:p>
    <w:p>
      <w:pPr>
        <w:pStyle w:val="ListBullet"/>
      </w:pPr>
      <w:r>
        <w:rPr>
          <w:b w:val="0"/>
          <w:i w:val="0"/>
        </w:rPr>
        <w:t>HTTP, 35</w:t>
      </w:r>
    </w:p>
    <w:p>
      <w:pPr>
        <w:pStyle w:val="ListBullet"/>
      </w:pPr>
      <w:r>
        <w:rPr>
          <w:b w:val="0"/>
          <w:i w:val="0"/>
        </w:rPr>
        <w:t>ICANN, 91</w:t>
      </w:r>
    </w:p>
    <w:p>
      <w:pPr>
        <w:pStyle w:val="ListBullet"/>
      </w:pPr>
      <w:r>
        <w:rPr>
          <w:b w:val="0"/>
          <w:i w:val="0"/>
        </w:rPr>
        <w:t>ICONOMI, 73</w:t>
      </w:r>
    </w:p>
    <w:p>
      <w:pPr>
        <w:pStyle w:val="ListBullet"/>
      </w:pPr>
      <w:r>
        <w:rPr>
          <w:b w:val="0"/>
          <w:i w:val="0"/>
        </w:rPr>
        <w:t xml:space="preserve">ICOs. </w:t>
      </w:r>
      <w:r>
        <w:rPr>
          <w:b w:val="0"/>
          <w:i/>
        </w:rPr>
        <w:t>See</w:t>
      </w:r>
      <w:r>
        <w:rPr>
          <w:b w:val="0"/>
          <w:i w:val="0"/>
        </w:rPr>
        <w:t xml:space="preserve"> initial coin offerings</w:t>
      </w:r>
    </w:p>
    <w:p>
      <w:pPr>
        <w:pStyle w:val="ListBullet"/>
      </w:pPr>
      <w:r>
        <w:rPr>
          <w:b w:val="0"/>
          <w:i w:val="0"/>
        </w:rPr>
        <w:t>identification credentials, 56–57</w:t>
      </w:r>
    </w:p>
    <w:p>
      <w:pPr>
        <w:pStyle w:val="ListBullet"/>
      </w:pPr>
      <w:r>
        <w:rPr>
          <w:b w:val="0"/>
          <w:i w:val="0"/>
        </w:rPr>
        <w:t>identity verification, 145–152</w:t>
      </w:r>
    </w:p>
    <w:p>
      <w:pPr>
        <w:pStyle w:val="ListBullet"/>
      </w:pPr>
      <w:r>
        <w:rPr>
          <w:b w:val="0"/>
          <w:i w:val="0"/>
        </w:rPr>
        <w:t>inclusive revenues, 116–117</w:t>
      </w:r>
    </w:p>
    <w:p>
      <w:pPr>
        <w:pStyle w:val="ListBullet"/>
      </w:pPr>
      <w:r>
        <w:rPr>
          <w:b w:val="0"/>
          <w:i w:val="0"/>
        </w:rPr>
        <w:t>Industry 4.0 movement, 89</w:t>
      </w:r>
    </w:p>
    <w:p>
      <w:pPr>
        <w:pStyle w:val="ListBullet"/>
      </w:pPr>
      <w:r>
        <w:rPr>
          <w:b w:val="0"/>
          <w:i w:val="0"/>
        </w:rPr>
        <w:t>initial coin offerings (ICOs), 72–74, 131</w:t>
      </w:r>
    </w:p>
    <w:p>
      <w:pPr>
        <w:pStyle w:val="ListBullet"/>
      </w:pPr>
      <w:r>
        <w:rPr>
          <w:b w:val="0"/>
          <w:i w:val="0"/>
        </w:rPr>
        <w:t>initial public offerings (IPOs), 72</w:t>
      </w:r>
    </w:p>
    <w:p>
      <w:pPr>
        <w:pStyle w:val="ListBullet"/>
      </w:pPr>
      <w:r>
        <w:rPr>
          <w:b w:val="0"/>
          <w:i w:val="0"/>
        </w:rPr>
        <w:t>innovation, 31–32</w:t>
      </w:r>
    </w:p>
    <w:p>
      <w:pPr>
        <w:pStyle w:val="ListBullet"/>
      </w:pPr>
      <w:r>
        <w:rPr>
          <w:b w:val="0"/>
          <w:i w:val="0"/>
        </w:rPr>
        <w:t>institutional change, 14</w:t>
      </w:r>
    </w:p>
    <w:p>
      <w:pPr>
        <w:pStyle w:val="ListBullet"/>
      </w:pPr>
      <w:r>
        <w:rPr>
          <w:b w:val="0"/>
          <w:i w:val="0"/>
        </w:rPr>
        <w:t>interbank transfers, 17, 80</w:t>
      </w:r>
    </w:p>
    <w:p>
      <w:pPr>
        <w:pStyle w:val="ListBullet"/>
      </w:pPr>
      <w:r>
        <w:rPr>
          <w:b w:val="0"/>
          <w:i w:val="0"/>
        </w:rPr>
        <w:t>intermediaries</w:t>
      </w:r>
    </w:p>
    <w:p>
      <w:pPr>
        <w:pStyle w:val="ListBullet"/>
      </w:pPr>
      <w:r>
        <w:rPr>
          <w:b w:val="0"/>
          <w:i w:val="0"/>
        </w:rPr>
        <w:t>in cultural industries, 113–114</w:t>
      </w:r>
    </w:p>
    <w:p>
      <w:pPr>
        <w:pStyle w:val="ListBullet"/>
      </w:pPr>
      <w:r>
        <w:rPr>
          <w:b w:val="0"/>
          <w:i w:val="0"/>
        </w:rPr>
        <w:t>financial, 69, 71, 72, 81–82</w:t>
      </w:r>
    </w:p>
    <w:p>
      <w:pPr>
        <w:pStyle w:val="ListBullet"/>
      </w:pPr>
      <w:r>
        <w:rPr>
          <w:b w:val="0"/>
          <w:i w:val="0"/>
        </w:rPr>
        <w:t>lack of, 6, 12–13, 20, 61, 70–71, 94, 102</w:t>
      </w:r>
    </w:p>
    <w:p>
      <w:pPr>
        <w:pStyle w:val="ListBullet"/>
      </w:pPr>
      <w:r>
        <w:rPr>
          <w:b w:val="0"/>
          <w:i w:val="0"/>
        </w:rPr>
        <w:t>last-mile problem and, 63</w:t>
      </w:r>
    </w:p>
    <w:p>
      <w:pPr>
        <w:pStyle w:val="ListBullet"/>
      </w:pPr>
      <w:r>
        <w:rPr>
          <w:b w:val="0"/>
          <w:i w:val="0"/>
        </w:rPr>
        <w:t>new types of, 65</w:t>
      </w:r>
    </w:p>
    <w:p>
      <w:pPr>
        <w:pStyle w:val="ListBullet"/>
      </w:pPr>
      <w:r>
        <w:rPr>
          <w:b w:val="0"/>
          <w:i w:val="0"/>
        </w:rPr>
        <w:t>international transactions, 30, 80</w:t>
      </w:r>
    </w:p>
    <w:p>
      <w:pPr>
        <w:pStyle w:val="ListBullet"/>
      </w:pPr>
      <w:r>
        <w:rPr>
          <w:b w:val="0"/>
          <w:i w:val="0"/>
        </w:rPr>
        <w:t>internet</w:t>
      </w:r>
    </w:p>
    <w:p>
      <w:pPr>
        <w:pStyle w:val="ListBullet"/>
      </w:pPr>
      <w:r>
        <w:rPr>
          <w:b w:val="0"/>
          <w:i w:val="0"/>
        </w:rPr>
        <w:t>compared with blockchain, 33–41</w:t>
      </w:r>
    </w:p>
    <w:p>
      <w:pPr>
        <w:pStyle w:val="ListBullet"/>
      </w:pPr>
      <w:r>
        <w:rPr>
          <w:b w:val="0"/>
          <w:i w:val="0"/>
        </w:rPr>
        <w:t>development of, 7–11, 34–35</w:t>
      </w:r>
    </w:p>
    <w:p>
      <w:pPr>
        <w:pStyle w:val="ListBullet"/>
      </w:pPr>
      <w:r>
        <w:rPr>
          <w:b w:val="0"/>
          <w:i w:val="0"/>
        </w:rPr>
        <w:t>evolution of, xi, 97–98</w:t>
      </w:r>
    </w:p>
    <w:p>
      <w:pPr>
        <w:pStyle w:val="ListBullet"/>
      </w:pPr>
      <w:r>
        <w:rPr>
          <w:b w:val="0"/>
          <w:i w:val="0"/>
        </w:rPr>
        <w:t>impact of, 33–34</w:t>
      </w:r>
    </w:p>
    <w:p>
      <w:pPr>
        <w:pStyle w:val="ListBullet"/>
      </w:pPr>
      <w:r>
        <w:rPr>
          <w:b w:val="0"/>
          <w:i w:val="0"/>
        </w:rPr>
        <w:t>Internet Corporation for Assigned Names and Numbers (ICANN), 91</w:t>
      </w:r>
    </w:p>
    <w:p>
      <w:pPr>
        <w:pStyle w:val="ListBullet"/>
      </w:pPr>
      <w:r>
        <w:rPr>
          <w:b w:val="0"/>
          <w:i w:val="0"/>
        </w:rPr>
        <w:t>internet dating, 31</w:t>
      </w:r>
    </w:p>
    <w:p>
      <w:pPr>
        <w:pStyle w:val="ListBullet"/>
      </w:pPr>
      <w:r>
        <w:rPr>
          <w:b w:val="0"/>
          <w:i w:val="0"/>
        </w:rPr>
        <w:t>Internet of Agreements, 31</w:t>
      </w:r>
    </w:p>
    <w:p>
      <w:pPr>
        <w:pStyle w:val="ListBullet"/>
      </w:pPr>
      <w:r>
        <w:rPr>
          <w:b w:val="0"/>
          <w:i w:val="0"/>
        </w:rPr>
        <w:t>internet of things, 29, 89</w:t>
      </w:r>
    </w:p>
    <w:p>
      <w:pPr>
        <w:pStyle w:val="ListBullet"/>
      </w:pPr>
      <w:r>
        <w:rPr>
          <w:b w:val="0"/>
          <w:i w:val="0"/>
        </w:rPr>
        <w:t>interoperability, 90, 92</w:t>
      </w:r>
    </w:p>
    <w:p>
      <w:pPr>
        <w:pStyle w:val="ListBullet"/>
      </w:pPr>
      <w:r>
        <w:rPr>
          <w:b w:val="0"/>
          <w:i w:val="0"/>
        </w:rPr>
        <w:t>investment contracts, 132</w:t>
      </w:r>
    </w:p>
    <w:p>
      <w:pPr>
        <w:pStyle w:val="ListBullet"/>
      </w:pPr>
      <w:r>
        <w:rPr>
          <w:b w:val="0"/>
          <w:i w:val="0"/>
        </w:rPr>
        <w:t xml:space="preserve">IPOs. </w:t>
      </w:r>
      <w:r>
        <w:rPr>
          <w:b w:val="0"/>
          <w:i/>
        </w:rPr>
        <w:t>See</w:t>
      </w:r>
      <w:r>
        <w:rPr>
          <w:b w:val="0"/>
          <w:i w:val="0"/>
        </w:rPr>
        <w:t xml:space="preserve"> initial public offerings</w:t>
      </w:r>
    </w:p>
    <w:p>
      <w:pPr>
        <w:pStyle w:val="ListBullet"/>
      </w:pPr>
      <w:r>
        <w:rPr>
          <w:b w:val="0"/>
          <w:i w:val="0"/>
        </w:rPr>
        <w:t>Java, 9</w:t>
      </w:r>
    </w:p>
    <w:p>
      <w:pPr>
        <w:pStyle w:val="ListBullet"/>
      </w:pPr>
      <w:r>
        <w:rPr>
          <w:b w:val="0"/>
          <w:i w:val="0"/>
        </w:rPr>
        <w:t>JPMorgan Chase, 71</w:t>
      </w:r>
    </w:p>
    <w:p>
      <w:pPr>
        <w:pStyle w:val="ListBullet"/>
      </w:pPr>
      <w:r>
        <w:rPr>
          <w:b w:val="0"/>
          <w:i w:val="0"/>
        </w:rPr>
        <w:t>Keybase.io, 107</w:t>
      </w:r>
    </w:p>
    <w:p>
      <w:pPr>
        <w:pStyle w:val="ListBullet"/>
      </w:pPr>
      <w:r>
        <w:rPr>
          <w:b w:val="0"/>
          <w:i w:val="0"/>
        </w:rPr>
        <w:t>keystone enterprises, 10–11</w:t>
      </w:r>
    </w:p>
    <w:p>
      <w:pPr>
        <w:pStyle w:val="ListBullet"/>
      </w:pPr>
      <w:r>
        <w:rPr>
          <w:b w:val="0"/>
          <w:i w:val="0"/>
        </w:rPr>
        <w:t>killer apps, 35–37, 147–148</w:t>
      </w:r>
    </w:p>
    <w:p>
      <w:pPr>
        <w:pStyle w:val="ListBullet"/>
      </w:pPr>
      <w:r>
        <w:rPr>
          <w:b w:val="0"/>
          <w:i w:val="0"/>
        </w:rPr>
        <w:t>KODAKOne, 108</w:t>
      </w:r>
    </w:p>
    <w:p>
      <w:pPr>
        <w:pStyle w:val="ListBullet"/>
      </w:pPr>
      <w:r>
        <w:rPr>
          <w:b w:val="0"/>
          <w:i w:val="0"/>
        </w:rPr>
        <w:t>LacCFTC, 132–133</w:t>
      </w:r>
    </w:p>
    <w:p>
      <w:pPr>
        <w:pStyle w:val="ListBullet"/>
      </w:pPr>
      <w:r>
        <w:rPr>
          <w:b w:val="0"/>
          <w:i w:val="0"/>
        </w:rPr>
        <w:t>“last-mile” problem, 62–63, 65, 125–126</w:t>
      </w:r>
    </w:p>
    <w:p>
      <w:pPr>
        <w:pStyle w:val="ListBullet"/>
      </w:pPr>
      <w:r>
        <w:rPr>
          <w:b w:val="0"/>
          <w:i w:val="0"/>
        </w:rPr>
        <w:t xml:space="preserve">laws. </w:t>
      </w:r>
      <w:r>
        <w:rPr>
          <w:b w:val="0"/>
          <w:i/>
        </w:rPr>
        <w:t>See also</w:t>
      </w:r>
      <w:r>
        <w:rPr>
          <w:b w:val="0"/>
          <w:i w:val="0"/>
        </w:rPr>
        <w:t xml:space="preserve"> regulations</w:t>
      </w:r>
    </w:p>
    <w:p>
      <w:pPr>
        <w:pStyle w:val="ListBullet"/>
      </w:pPr>
      <w:r>
        <w:rPr>
          <w:b w:val="0"/>
          <w:i w:val="0"/>
        </w:rPr>
        <w:t>code as law, 45–46</w:t>
      </w:r>
    </w:p>
    <w:p>
      <w:pPr>
        <w:pStyle w:val="ListBullet"/>
      </w:pPr>
      <w:r>
        <w:rPr>
          <w:b w:val="0"/>
          <w:i w:val="0"/>
        </w:rPr>
        <w:t>international, 91</w:t>
      </w:r>
    </w:p>
    <w:p>
      <w:pPr>
        <w:pStyle w:val="ListBullet"/>
      </w:pPr>
      <w:r>
        <w:rPr>
          <w:b w:val="0"/>
          <w:i w:val="0"/>
        </w:rPr>
        <w:t>LaZooz, 96–97</w:t>
      </w:r>
    </w:p>
    <w:p>
      <w:pPr>
        <w:pStyle w:val="ListBullet"/>
      </w:pPr>
      <w:r>
        <w:rPr>
          <w:b w:val="0"/>
          <w:i w:val="0"/>
        </w:rPr>
        <w:t>LeBeau, Zach, 115–116</w:t>
      </w:r>
    </w:p>
    <w:p>
      <w:pPr>
        <w:pStyle w:val="ListBullet"/>
      </w:pPr>
      <w:r>
        <w:rPr>
          <w:b w:val="0"/>
          <w:i w:val="0"/>
        </w:rPr>
        <w:t>ledgers, 12–13, 44, 49, 86, 117</w:t>
      </w:r>
    </w:p>
    <w:p>
      <w:pPr>
        <w:pStyle w:val="ListBullet"/>
      </w:pPr>
      <w:r>
        <w:rPr>
          <w:b w:val="0"/>
          <w:i w:val="0"/>
        </w:rPr>
        <w:t>legacies, 151</w:t>
      </w:r>
    </w:p>
    <w:p>
      <w:pPr>
        <w:pStyle w:val="ListBullet"/>
      </w:pPr>
      <w:r>
        <w:rPr>
          <w:b w:val="0"/>
          <w:i w:val="0"/>
        </w:rPr>
        <w:t>legal industry, 46</w:t>
      </w:r>
    </w:p>
    <w:p>
      <w:pPr>
        <w:pStyle w:val="ListBullet"/>
      </w:pPr>
      <w:r>
        <w:rPr>
          <w:b w:val="0"/>
          <w:i w:val="0"/>
        </w:rPr>
        <w:t>Linux, 39–40</w:t>
      </w:r>
    </w:p>
    <w:p>
      <w:pPr>
        <w:pStyle w:val="ListBullet"/>
      </w:pPr>
      <w:r>
        <w:rPr>
          <w:b w:val="0"/>
          <w:i w:val="0"/>
        </w:rPr>
        <w:t>localized applications, 15–17, 22</w:t>
      </w:r>
    </w:p>
    <w:p>
      <w:pPr>
        <w:pStyle w:val="ListBullet"/>
      </w:pPr>
      <w:r>
        <w:rPr>
          <w:b w:val="0"/>
          <w:i w:val="0"/>
        </w:rPr>
        <w:t>local private networks, 16–17</w:t>
      </w:r>
    </w:p>
    <w:p>
      <w:pPr>
        <w:pStyle w:val="ListBullet"/>
      </w:pPr>
      <w:r>
        <w:rPr>
          <w:b w:val="0"/>
          <w:i w:val="0"/>
        </w:rPr>
        <w:t>loyalty programs, 109</w:t>
      </w:r>
    </w:p>
    <w:p>
      <w:pPr>
        <w:pStyle w:val="ListBullet"/>
      </w:pPr>
      <w:r>
        <w:rPr>
          <w:b w:val="0"/>
          <w:i w:val="0"/>
        </w:rPr>
        <w:t>lumens, 18–19</w:t>
      </w:r>
    </w:p>
    <w:p>
      <w:pPr>
        <w:pStyle w:val="ListBullet"/>
      </w:pPr>
      <w:r>
        <w:rPr>
          <w:b w:val="0"/>
          <w:i w:val="0"/>
        </w:rPr>
        <w:t>Make Access Records Available to Lead American Government Openness Act (MAR-A-LAGO) Act, 136</w:t>
      </w:r>
    </w:p>
    <w:p>
      <w:pPr>
        <w:pStyle w:val="ListBullet"/>
      </w:pPr>
      <w:r>
        <w:rPr>
          <w:b w:val="0"/>
          <w:i w:val="0"/>
        </w:rPr>
        <w:t>market economy, 147</w:t>
      </w:r>
    </w:p>
    <w:p>
      <w:pPr>
        <w:pStyle w:val="ListBullet"/>
      </w:pPr>
      <w:r>
        <w:rPr>
          <w:b w:val="0"/>
          <w:i w:val="0"/>
        </w:rPr>
        <w:t>marketing, 101–112</w:t>
      </w:r>
    </w:p>
    <w:p>
      <w:pPr>
        <w:pStyle w:val="ListBullet"/>
      </w:pPr>
      <w:r>
        <w:rPr>
          <w:b w:val="0"/>
          <w:i w:val="0"/>
        </w:rPr>
        <w:t>fraud and spam, 106–108</w:t>
      </w:r>
    </w:p>
    <w:p>
      <w:pPr>
        <w:pStyle w:val="ListBullet"/>
      </w:pPr>
      <w:r>
        <w:rPr>
          <w:b w:val="0"/>
          <w:i w:val="0"/>
        </w:rPr>
        <w:t>online advertising and, 105–106</w:t>
      </w:r>
    </w:p>
    <w:p>
      <w:pPr>
        <w:pStyle w:val="ListBullet"/>
      </w:pPr>
      <w:r>
        <w:rPr>
          <w:b w:val="0"/>
          <w:i w:val="0"/>
        </w:rPr>
        <w:t>reduced transaction costs and, 103–104</w:t>
      </w:r>
    </w:p>
    <w:p>
      <w:pPr>
        <w:pStyle w:val="ListBullet"/>
      </w:pPr>
      <w:r>
        <w:rPr>
          <w:b w:val="0"/>
          <w:i w:val="0"/>
        </w:rPr>
        <w:t>Mastercard, 103</w:t>
      </w:r>
    </w:p>
    <w:p>
      <w:pPr>
        <w:pStyle w:val="ListBullet"/>
      </w:pPr>
      <w:r>
        <w:rPr>
          <w:b w:val="0"/>
          <w:i w:val="0"/>
        </w:rPr>
        <w:t>media consumption, 108–109</w:t>
      </w:r>
    </w:p>
    <w:p>
      <w:pPr>
        <w:pStyle w:val="ListBullet"/>
      </w:pPr>
      <w:r>
        <w:rPr>
          <w:b w:val="0"/>
          <w:i w:val="0"/>
        </w:rPr>
        <w:t>medical records, 63</w:t>
      </w:r>
    </w:p>
    <w:p>
      <w:pPr>
        <w:pStyle w:val="ListBullet"/>
      </w:pPr>
      <w:r>
        <w:rPr>
          <w:b w:val="0"/>
          <w:i w:val="0"/>
        </w:rPr>
        <w:t>#MeToo movement, 124–125, 127</w:t>
      </w:r>
    </w:p>
    <w:p>
      <w:pPr>
        <w:pStyle w:val="ListBullet"/>
      </w:pPr>
      <w:r>
        <w:rPr>
          <w:b w:val="0"/>
          <w:i w:val="0"/>
        </w:rPr>
        <w:t>micrometering, 117</w:t>
      </w:r>
    </w:p>
    <w:p>
      <w:pPr>
        <w:pStyle w:val="ListBullet"/>
      </w:pPr>
      <w:r>
        <w:rPr>
          <w:b w:val="0"/>
          <w:i w:val="0"/>
        </w:rPr>
        <w:t>micropayments, 64, 102–104, 106–107, 109</w:t>
      </w:r>
    </w:p>
    <w:p>
      <w:pPr>
        <w:pStyle w:val="ListBullet"/>
      </w:pPr>
      <w:r>
        <w:rPr>
          <w:b w:val="0"/>
          <w:i w:val="0"/>
        </w:rPr>
        <w:t>miners, 29, 37, 154</w:t>
      </w:r>
    </w:p>
    <w:p>
      <w:pPr>
        <w:pStyle w:val="ListBullet"/>
      </w:pPr>
      <w:r>
        <w:rPr>
          <w:b w:val="0"/>
          <w:i w:val="0"/>
        </w:rPr>
        <w:t>mobile ads, 105–106</w:t>
      </w:r>
    </w:p>
    <w:p>
      <w:pPr>
        <w:pStyle w:val="ListBullet"/>
      </w:pPr>
      <w:r>
        <w:rPr>
          <w:b w:val="0"/>
          <w:i w:val="0"/>
        </w:rPr>
        <w:t xml:space="preserve">money. </w:t>
      </w:r>
      <w:r>
        <w:rPr>
          <w:b w:val="0"/>
          <w:i/>
        </w:rPr>
        <w:t>See also</w:t>
      </w:r>
      <w:r>
        <w:rPr>
          <w:b w:val="0"/>
          <w:i w:val="0"/>
        </w:rPr>
        <w:t xml:space="preserve"> cryptocurrencies; digital currency</w:t>
      </w:r>
    </w:p>
    <w:p>
      <w:pPr>
        <w:pStyle w:val="ListBullet"/>
      </w:pPr>
      <w:r>
        <w:rPr>
          <w:b w:val="0"/>
          <w:i w:val="0"/>
        </w:rPr>
        <w:t>forms of, 77–78</w:t>
      </w:r>
    </w:p>
    <w:p>
      <w:pPr>
        <w:pStyle w:val="ListBullet"/>
      </w:pPr>
      <w:r>
        <w:rPr>
          <w:b w:val="0"/>
          <w:i w:val="0"/>
        </w:rPr>
        <w:t>storage value of, 80</w:t>
      </w:r>
    </w:p>
    <w:p>
      <w:pPr>
        <w:pStyle w:val="ListBullet"/>
      </w:pPr>
      <w:r>
        <w:rPr>
          <w:b w:val="0"/>
          <w:i w:val="0"/>
        </w:rPr>
        <w:t>money laundering, 24, 146–147</w:t>
      </w:r>
    </w:p>
    <w:p>
      <w:pPr>
        <w:pStyle w:val="ListBullet"/>
      </w:pPr>
      <w:r>
        <w:rPr>
          <w:b w:val="0"/>
          <w:i w:val="0"/>
        </w:rPr>
        <w:t>Moog Inc., 89</w:t>
      </w:r>
    </w:p>
    <w:p>
      <w:pPr>
        <w:pStyle w:val="ListBullet"/>
      </w:pPr>
      <w:r>
        <w:rPr>
          <w:b w:val="0"/>
          <w:i w:val="0"/>
        </w:rPr>
        <w:t>movie industry, 113–119</w:t>
      </w:r>
    </w:p>
    <w:p>
      <w:pPr>
        <w:pStyle w:val="ListBullet"/>
      </w:pPr>
      <w:r>
        <w:rPr>
          <w:b w:val="0"/>
          <w:i w:val="0"/>
        </w:rPr>
        <w:t>music industry, 114–115</w:t>
      </w:r>
    </w:p>
    <w:p>
      <w:pPr>
        <w:pStyle w:val="ListBullet"/>
      </w:pPr>
      <w:r>
        <w:rPr>
          <w:b w:val="0"/>
          <w:i w:val="0"/>
        </w:rPr>
        <w:t xml:space="preserve">mutual distributed ledgers (MDLs), 147–152. </w:t>
      </w:r>
      <w:r>
        <w:rPr>
          <w:b w:val="0"/>
          <w:i/>
        </w:rPr>
        <w:t>See also</w:t>
      </w:r>
      <w:r>
        <w:rPr>
          <w:b w:val="0"/>
          <w:i w:val="0"/>
        </w:rPr>
        <w:t xml:space="preserve"> blockchain</w:t>
      </w:r>
    </w:p>
    <w:p>
      <w:pPr>
        <w:pStyle w:val="ListBullet"/>
      </w:pPr>
      <w:r>
        <w:rPr>
          <w:b w:val="0"/>
          <w:i w:val="0"/>
        </w:rPr>
        <w:t>Mycelia, 114–115</w:t>
      </w:r>
    </w:p>
    <w:p>
      <w:pPr>
        <w:pStyle w:val="ListBullet"/>
      </w:pPr>
      <w:r>
        <w:rPr>
          <w:b w:val="0"/>
          <w:i w:val="0"/>
        </w:rPr>
        <w:t>Napster, 10</w:t>
      </w:r>
    </w:p>
    <w:p>
      <w:pPr>
        <w:pStyle w:val="ListBullet"/>
      </w:pPr>
      <w:r>
        <w:rPr>
          <w:b w:val="0"/>
          <w:i w:val="0"/>
        </w:rPr>
        <w:t>Nasdaq, 17</w:t>
      </w:r>
    </w:p>
    <w:p>
      <w:pPr>
        <w:pStyle w:val="ListBullet"/>
      </w:pPr>
      <w:r>
        <w:rPr>
          <w:b w:val="0"/>
          <w:i w:val="0"/>
        </w:rPr>
        <w:t>national currencies, 77–78</w:t>
      </w:r>
    </w:p>
    <w:p>
      <w:pPr>
        <w:pStyle w:val="ListBullet"/>
      </w:pPr>
      <w:r>
        <w:rPr>
          <w:b w:val="0"/>
          <w:i w:val="0"/>
        </w:rPr>
        <w:t>Netflix, 118</w:t>
      </w:r>
    </w:p>
    <w:p>
      <w:pPr>
        <w:pStyle w:val="ListBullet"/>
      </w:pPr>
      <w:r>
        <w:rPr>
          <w:b w:val="0"/>
          <w:i w:val="0"/>
        </w:rPr>
        <w:t>Netscape, 9</w:t>
      </w:r>
    </w:p>
    <w:p>
      <w:pPr>
        <w:pStyle w:val="ListBullet"/>
      </w:pPr>
      <w:r>
        <w:rPr>
          <w:b w:val="0"/>
          <w:i w:val="0"/>
        </w:rPr>
        <w:t>network architecture, 53–55</w:t>
      </w:r>
    </w:p>
    <w:p>
      <w:pPr>
        <w:pStyle w:val="ListBullet"/>
      </w:pPr>
      <w:r>
        <w:rPr>
          <w:b w:val="0"/>
          <w:i w:val="0"/>
        </w:rPr>
        <w:t>network rules, 36–37, 47–48</w:t>
      </w:r>
    </w:p>
    <w:p>
      <w:pPr>
        <w:pStyle w:val="ListBullet"/>
      </w:pPr>
      <w:r>
        <w:rPr>
          <w:b w:val="0"/>
          <w:i w:val="0"/>
        </w:rPr>
        <w:t>novelty, 13–16</w:t>
      </w:r>
    </w:p>
    <w:p>
      <w:pPr>
        <w:pStyle w:val="ListBullet"/>
      </w:pPr>
      <w:r>
        <w:rPr>
          <w:b w:val="0"/>
          <w:i w:val="0"/>
        </w:rPr>
        <w:t>Obama administration, 136</w:t>
      </w:r>
    </w:p>
    <w:p>
      <w:pPr>
        <w:pStyle w:val="ListBullet"/>
      </w:pPr>
      <w:r>
        <w:rPr>
          <w:b w:val="0"/>
          <w:i w:val="0"/>
        </w:rPr>
        <w:t>online advertising, 105–106</w:t>
      </w:r>
    </w:p>
    <w:p>
      <w:pPr>
        <w:pStyle w:val="ListBullet"/>
      </w:pPr>
      <w:r>
        <w:rPr>
          <w:b w:val="0"/>
          <w:i w:val="0"/>
        </w:rPr>
        <w:t>online theft, 108</w:t>
      </w:r>
    </w:p>
    <w:p>
      <w:pPr>
        <w:pStyle w:val="ListBullet"/>
      </w:pPr>
      <w:r>
        <w:rPr>
          <w:b w:val="0"/>
          <w:i w:val="0"/>
        </w:rPr>
        <w:t>open access, 43, 48</w:t>
      </w:r>
    </w:p>
    <w:p>
      <w:pPr>
        <w:pStyle w:val="ListBullet"/>
      </w:pPr>
      <w:r>
        <w:rPr>
          <w:b w:val="0"/>
          <w:i w:val="0"/>
        </w:rPr>
        <w:t>Open Banking initiative, 81</w:t>
      </w:r>
    </w:p>
    <w:p>
      <w:pPr>
        <w:pStyle w:val="ListBullet"/>
      </w:pPr>
      <w:r>
        <w:rPr>
          <w:b w:val="0"/>
          <w:i w:val="0"/>
        </w:rPr>
        <w:t>OpenBazaar, 95–96</w:t>
      </w:r>
    </w:p>
    <w:p>
      <w:pPr>
        <w:pStyle w:val="ListBullet"/>
      </w:pPr>
      <w:r>
        <w:rPr>
          <w:b w:val="0"/>
          <w:i w:val="0"/>
        </w:rPr>
        <w:t>open data, 135–142</w:t>
      </w:r>
    </w:p>
    <w:p>
      <w:pPr>
        <w:pStyle w:val="ListBullet"/>
      </w:pPr>
      <w:r>
        <w:rPr>
          <w:b w:val="0"/>
          <w:i w:val="0"/>
        </w:rPr>
        <w:t>O’Reilly, Tim, 139</w:t>
      </w:r>
    </w:p>
    <w:p>
      <w:pPr>
        <w:pStyle w:val="ListBullet"/>
      </w:pPr>
      <w:r>
        <w:rPr>
          <w:b w:val="0"/>
          <w:i w:val="0"/>
        </w:rPr>
        <w:t>Paris Agreement, 154</w:t>
      </w:r>
    </w:p>
    <w:p>
      <w:pPr>
        <w:pStyle w:val="ListBullet"/>
      </w:pPr>
      <w:r>
        <w:rPr>
          <w:b w:val="0"/>
          <w:i w:val="0"/>
        </w:rPr>
        <w:t>passport control, 23</w:t>
      </w:r>
    </w:p>
    <w:p>
      <w:pPr>
        <w:pStyle w:val="ListBullet"/>
      </w:pPr>
      <w:r>
        <w:rPr>
          <w:b w:val="0"/>
          <w:i w:val="0"/>
        </w:rPr>
        <w:t>patents, 138</w:t>
      </w:r>
    </w:p>
    <w:p>
      <w:pPr>
        <w:pStyle w:val="ListBullet"/>
      </w:pPr>
      <w:r>
        <w:rPr>
          <w:b w:val="0"/>
          <w:i w:val="0"/>
        </w:rPr>
        <w:t>payment technology, 78, 81–82</w:t>
      </w:r>
    </w:p>
    <w:p>
      <w:pPr>
        <w:pStyle w:val="ListBullet"/>
      </w:pPr>
      <w:r>
        <w:rPr>
          <w:b w:val="0"/>
          <w:i w:val="0"/>
        </w:rPr>
        <w:t>peer-to-peer transmission, 4, 10, 72, 94–95</w:t>
      </w:r>
    </w:p>
    <w:p>
      <w:pPr>
        <w:pStyle w:val="ListBullet"/>
      </w:pPr>
      <w:r>
        <w:rPr>
          <w:b w:val="0"/>
          <w:i w:val="0"/>
        </w:rPr>
        <w:t>permissionless use, 43, 48</w:t>
      </w:r>
    </w:p>
    <w:p>
      <w:pPr>
        <w:pStyle w:val="ListBullet"/>
      </w:pPr>
      <w:r>
        <w:rPr>
          <w:b w:val="0"/>
          <w:i w:val="0"/>
        </w:rPr>
        <w:t>personal information, 102–104, 109, 110</w:t>
      </w:r>
    </w:p>
    <w:p>
      <w:pPr>
        <w:pStyle w:val="ListBullet"/>
      </w:pPr>
      <w:r>
        <w:rPr>
          <w:b w:val="0"/>
          <w:i w:val="0"/>
        </w:rPr>
        <w:t>phishing attacks, 106, 110</w:t>
      </w:r>
    </w:p>
    <w:p>
      <w:pPr>
        <w:pStyle w:val="ListBullet"/>
      </w:pPr>
      <w:r>
        <w:rPr>
          <w:b w:val="0"/>
          <w:i w:val="0"/>
        </w:rPr>
        <w:t>piracy protection, 118</w:t>
      </w:r>
    </w:p>
    <w:p>
      <w:pPr>
        <w:pStyle w:val="ListBullet"/>
      </w:pPr>
      <w:r>
        <w:rPr>
          <w:b w:val="0"/>
          <w:i w:val="0"/>
        </w:rPr>
        <w:t>platform cooperativism, 97, 99</w:t>
      </w:r>
    </w:p>
    <w:p>
      <w:pPr>
        <w:pStyle w:val="ListBullet"/>
      </w:pPr>
      <w:r>
        <w:rPr>
          <w:b w:val="0"/>
          <w:i w:val="0"/>
        </w:rPr>
        <w:t>platform-level players, 24</w:t>
      </w:r>
    </w:p>
    <w:p>
      <w:pPr>
        <w:pStyle w:val="ListBullet"/>
      </w:pPr>
      <w:r>
        <w:rPr>
          <w:b w:val="0"/>
          <w:i w:val="0"/>
        </w:rPr>
        <w:t>Polychain Capital, 73</w:t>
      </w:r>
    </w:p>
    <w:p>
      <w:pPr>
        <w:pStyle w:val="ListBullet"/>
      </w:pPr>
      <w:r>
        <w:rPr>
          <w:b w:val="0"/>
          <w:i w:val="0"/>
        </w:rPr>
        <w:t>population growth, 146</w:t>
      </w:r>
    </w:p>
    <w:p>
      <w:pPr>
        <w:pStyle w:val="ListBullet"/>
      </w:pPr>
      <w:r>
        <w:rPr>
          <w:b w:val="0"/>
          <w:i w:val="0"/>
        </w:rPr>
        <w:t>pop-up ads, 105</w:t>
      </w:r>
    </w:p>
    <w:p>
      <w:pPr>
        <w:pStyle w:val="ListBullet"/>
      </w:pPr>
      <w:r>
        <w:rPr>
          <w:b w:val="0"/>
          <w:i w:val="0"/>
        </w:rPr>
        <w:t>Priceline, 9–10</w:t>
      </w:r>
    </w:p>
    <w:p>
      <w:pPr>
        <w:pStyle w:val="ListBullet"/>
      </w:pPr>
      <w:r>
        <w:rPr>
          <w:b w:val="0"/>
          <w:i w:val="0"/>
        </w:rPr>
        <w:t>pricing mechanisms, 118</w:t>
      </w:r>
    </w:p>
    <w:p>
      <w:pPr>
        <w:pStyle w:val="ListBullet"/>
      </w:pPr>
      <w:r>
        <w:rPr>
          <w:b w:val="0"/>
          <w:i w:val="0"/>
        </w:rPr>
        <w:t>privacy issues, 64, 109, 115, 126, 140, 151</w:t>
      </w:r>
    </w:p>
    <w:p>
      <w:pPr>
        <w:pStyle w:val="ListBullet"/>
      </w:pPr>
      <w:r>
        <w:rPr>
          <w:b w:val="0"/>
          <w:i w:val="0"/>
        </w:rPr>
        <w:t>private blockchain, 53–60, 90</w:t>
      </w:r>
    </w:p>
    <w:p>
      <w:pPr>
        <w:pStyle w:val="ListBullet"/>
      </w:pPr>
      <w:r>
        <w:rPr>
          <w:b w:val="0"/>
          <w:i w:val="0"/>
        </w:rPr>
        <w:t>private keys, 56</w:t>
      </w:r>
    </w:p>
    <w:p>
      <w:pPr>
        <w:pStyle w:val="ListBullet"/>
      </w:pPr>
      <w:r>
        <w:rPr>
          <w:b w:val="0"/>
          <w:i w:val="0"/>
        </w:rPr>
        <w:t>private networks, 16–17, 22</w:t>
      </w:r>
    </w:p>
    <w:p>
      <w:pPr>
        <w:pStyle w:val="ListBullet"/>
      </w:pPr>
      <w:r>
        <w:rPr>
          <w:b w:val="0"/>
          <w:i w:val="0"/>
        </w:rPr>
        <w:t>proof-of-stake (POS) systems, 28–29, 156–158</w:t>
      </w:r>
    </w:p>
    <w:p>
      <w:pPr>
        <w:pStyle w:val="ListBullet"/>
      </w:pPr>
      <w:r>
        <w:rPr>
          <w:b w:val="0"/>
          <w:i w:val="0"/>
        </w:rPr>
        <w:t>proof of work, 29, 156–157</w:t>
      </w:r>
    </w:p>
    <w:p>
      <w:pPr>
        <w:pStyle w:val="ListBullet"/>
      </w:pPr>
      <w:r>
        <w:rPr>
          <w:b w:val="0"/>
          <w:i w:val="0"/>
        </w:rPr>
        <w:t>property rights, 64, 147</w:t>
      </w:r>
    </w:p>
    <w:p>
      <w:pPr>
        <w:pStyle w:val="ListBullet"/>
      </w:pPr>
      <w:r>
        <w:rPr>
          <w:b w:val="0"/>
          <w:i w:val="0"/>
        </w:rPr>
        <w:t>Provenance, 87</w:t>
      </w:r>
    </w:p>
    <w:p>
      <w:pPr>
        <w:pStyle w:val="ListBullet"/>
      </w:pPr>
      <w:r>
        <w:rPr>
          <w:b w:val="0"/>
          <w:i w:val="0"/>
        </w:rPr>
        <w:t>PSD2 directive, 81</w:t>
      </w:r>
    </w:p>
    <w:p>
      <w:pPr>
        <w:pStyle w:val="ListBullet"/>
      </w:pPr>
      <w:r>
        <w:rPr>
          <w:b w:val="0"/>
          <w:i w:val="0"/>
        </w:rPr>
        <w:t>pseudonymity, 4–5</w:t>
      </w:r>
    </w:p>
    <w:p>
      <w:pPr>
        <w:pStyle w:val="ListBullet"/>
      </w:pPr>
      <w:r>
        <w:rPr>
          <w:b w:val="0"/>
          <w:i w:val="0"/>
        </w:rPr>
        <w:t>public blockchain, 137–142</w:t>
      </w:r>
    </w:p>
    <w:p>
      <w:pPr>
        <w:pStyle w:val="ListBullet"/>
      </w:pPr>
      <w:r>
        <w:rPr>
          <w:b w:val="0"/>
          <w:i w:val="0"/>
        </w:rPr>
        <w:t>public data, 135–142</w:t>
      </w:r>
    </w:p>
    <w:p>
      <w:pPr>
        <w:pStyle w:val="ListBullet"/>
      </w:pPr>
      <w:r>
        <w:rPr>
          <w:b w:val="0"/>
          <w:i w:val="0"/>
        </w:rPr>
        <w:t>public identity systems, 23</w:t>
      </w:r>
    </w:p>
    <w:p>
      <w:pPr>
        <w:pStyle w:val="ListBullet"/>
      </w:pPr>
      <w:r>
        <w:rPr>
          <w:b w:val="0"/>
          <w:i w:val="0"/>
        </w:rPr>
        <w:t>public key infrastructure, 118</w:t>
      </w:r>
    </w:p>
    <w:p>
      <w:pPr>
        <w:pStyle w:val="ListBullet"/>
      </w:pPr>
      <w:r>
        <w:rPr>
          <w:b w:val="0"/>
          <w:i w:val="0"/>
        </w:rPr>
        <w:t xml:space="preserve">records. </w:t>
      </w:r>
      <w:r>
        <w:rPr>
          <w:b w:val="0"/>
          <w:i/>
        </w:rPr>
        <w:t>See also</w:t>
      </w:r>
      <w:r>
        <w:rPr>
          <w:b w:val="0"/>
          <w:i w:val="0"/>
        </w:rPr>
        <w:t xml:space="preserve"> transactions</w:t>
      </w:r>
    </w:p>
    <w:p>
      <w:pPr>
        <w:pStyle w:val="ListBullet"/>
      </w:pPr>
      <w:r>
        <w:rPr>
          <w:b w:val="0"/>
          <w:i w:val="0"/>
        </w:rPr>
        <w:t>irreversibility of, 5, 56–57</w:t>
      </w:r>
    </w:p>
    <w:p>
      <w:pPr>
        <w:pStyle w:val="ListBullet"/>
      </w:pPr>
      <w:r>
        <w:rPr>
          <w:b w:val="0"/>
          <w:i w:val="0"/>
        </w:rPr>
        <w:t>regulations, 80–81, 90, 129–134, 139</w:t>
      </w:r>
    </w:p>
    <w:p>
      <w:pPr>
        <w:pStyle w:val="ListBullet"/>
      </w:pPr>
      <w:r>
        <w:rPr>
          <w:b w:val="0"/>
          <w:i w:val="0"/>
        </w:rPr>
        <w:t>regulatory costs, 69–70</w:t>
      </w:r>
    </w:p>
    <w:p>
      <w:pPr>
        <w:pStyle w:val="ListBullet"/>
      </w:pPr>
      <w:r>
        <w:rPr>
          <w:b w:val="0"/>
          <w:i w:val="0"/>
        </w:rPr>
        <w:t>renewable energy, 155–156</w:t>
      </w:r>
    </w:p>
    <w:p>
      <w:pPr>
        <w:pStyle w:val="ListBullet"/>
      </w:pPr>
      <w:r>
        <w:rPr>
          <w:b w:val="0"/>
          <w:i w:val="0"/>
        </w:rPr>
        <w:t>reputation systems, 118</w:t>
      </w:r>
    </w:p>
    <w:p>
      <w:pPr>
        <w:pStyle w:val="ListBullet"/>
      </w:pPr>
      <w:r>
        <w:rPr>
          <w:b w:val="0"/>
          <w:i w:val="0"/>
        </w:rPr>
        <w:t>reserve currencies, 77–78, 82</w:t>
      </w:r>
    </w:p>
    <w:p>
      <w:pPr>
        <w:pStyle w:val="ListBullet"/>
      </w:pPr>
      <w:r>
        <w:rPr>
          <w:b w:val="0"/>
          <w:i w:val="0"/>
        </w:rPr>
        <w:t>“right to be forgotten,” 126, 150</w:t>
      </w:r>
    </w:p>
    <w:p>
      <w:pPr>
        <w:pStyle w:val="ListBullet"/>
      </w:pPr>
      <w:r>
        <w:rPr>
          <w:b w:val="0"/>
          <w:i w:val="0"/>
        </w:rPr>
        <w:t>Ripple, 79–80</w:t>
      </w:r>
    </w:p>
    <w:p>
      <w:pPr>
        <w:pStyle w:val="ListBullet"/>
      </w:pPr>
      <w:r>
        <w:rPr>
          <w:b w:val="0"/>
          <w:i w:val="0"/>
        </w:rPr>
        <w:t xml:space="preserve">risk, 21, 38–39, 51. </w:t>
      </w:r>
      <w:r>
        <w:rPr>
          <w:b w:val="0"/>
          <w:i/>
        </w:rPr>
        <w:t>See also</w:t>
      </w:r>
      <w:r>
        <w:rPr>
          <w:b w:val="0"/>
          <w:i w:val="0"/>
        </w:rPr>
        <w:t xml:space="preserve"> security issues</w:t>
      </w:r>
    </w:p>
    <w:p>
      <w:pPr>
        <w:pStyle w:val="ListBullet"/>
      </w:pPr>
      <w:r>
        <w:rPr>
          <w:b w:val="0"/>
          <w:i w:val="0"/>
        </w:rPr>
        <w:t xml:space="preserve">safety issues. </w:t>
      </w:r>
      <w:r>
        <w:rPr>
          <w:b w:val="0"/>
          <w:i/>
        </w:rPr>
        <w:t>See</w:t>
      </w:r>
      <w:r>
        <w:rPr>
          <w:b w:val="0"/>
          <w:i w:val="0"/>
        </w:rPr>
        <w:t xml:space="preserve"> security issues</w:t>
      </w:r>
    </w:p>
    <w:p>
      <w:pPr>
        <w:pStyle w:val="ListBullet"/>
      </w:pPr>
      <w:r>
        <w:rPr>
          <w:b w:val="0"/>
          <w:i w:val="0"/>
        </w:rPr>
        <w:t>Santander, 71</w:t>
      </w:r>
    </w:p>
    <w:p>
      <w:pPr>
        <w:pStyle w:val="ListBullet"/>
      </w:pPr>
      <w:r>
        <w:rPr>
          <w:b w:val="0"/>
          <w:i w:val="0"/>
        </w:rPr>
        <w:t>Securities and Exchange Commission (SEC), 129–132</w:t>
      </w:r>
    </w:p>
    <w:p>
      <w:pPr>
        <w:pStyle w:val="ListBullet"/>
      </w:pPr>
      <w:r>
        <w:rPr>
          <w:b w:val="0"/>
          <w:i w:val="0"/>
        </w:rPr>
        <w:t>security issues, 6, 29, 51–60</w:t>
      </w:r>
    </w:p>
    <w:p>
      <w:pPr>
        <w:pStyle w:val="ListBullet"/>
      </w:pPr>
      <w:r>
        <w:rPr>
          <w:b w:val="0"/>
          <w:i/>
        </w:rPr>
        <w:t>SEC v. Howey Co</w:t>
      </w:r>
      <w:r>
        <w:rPr>
          <w:b w:val="0"/>
          <w:i w:val="0"/>
        </w:rPr>
        <w:t>., 132</w:t>
      </w:r>
    </w:p>
    <w:p>
      <w:pPr>
        <w:pStyle w:val="ListBullet"/>
      </w:pPr>
      <w:r>
        <w:rPr>
          <w:b w:val="0"/>
          <w:i w:val="0"/>
        </w:rPr>
        <w:t>self-driving cars, 30</w:t>
      </w:r>
    </w:p>
    <w:p>
      <w:pPr>
        <w:pStyle w:val="ListBullet"/>
      </w:pPr>
      <w:r>
        <w:rPr>
          <w:b w:val="0"/>
          <w:i w:val="0"/>
        </w:rPr>
        <w:t>self-regulation, 132</w:t>
      </w:r>
    </w:p>
    <w:p>
      <w:pPr>
        <w:pStyle w:val="ListBullet"/>
      </w:pPr>
      <w:r>
        <w:rPr>
          <w:b w:val="0"/>
          <w:i w:val="0"/>
        </w:rPr>
        <w:t>sharing economy, 93–99</w:t>
      </w:r>
    </w:p>
    <w:p>
      <w:pPr>
        <w:pStyle w:val="ListBullet"/>
      </w:pPr>
      <w:r>
        <w:rPr>
          <w:b w:val="0"/>
          <w:i w:val="0"/>
        </w:rPr>
        <w:t>single-use applications, 15, 21</w:t>
      </w:r>
    </w:p>
    <w:p>
      <w:pPr>
        <w:pStyle w:val="ListBullet"/>
      </w:pPr>
      <w:r>
        <w:rPr>
          <w:b w:val="0"/>
          <w:i w:val="0"/>
        </w:rPr>
        <w:t>SingularDTV, 72, 115–117</w:t>
      </w:r>
    </w:p>
    <w:p>
      <w:pPr>
        <w:pStyle w:val="ListBullet"/>
      </w:pPr>
      <w:r>
        <w:rPr>
          <w:b w:val="0"/>
          <w:i w:val="0"/>
        </w:rPr>
        <w:t>Skype, 10</w:t>
      </w:r>
    </w:p>
    <w:p>
      <w:pPr>
        <w:pStyle w:val="ListBullet"/>
      </w:pPr>
      <w:r>
        <w:rPr>
          <w:b w:val="0"/>
          <w:i w:val="0"/>
        </w:rPr>
        <w:t>smart contracts, 19–20, 23, 28, 44–46, 88, 104, 115</w:t>
      </w:r>
    </w:p>
    <w:p>
      <w:pPr>
        <w:pStyle w:val="ListBullet"/>
      </w:pPr>
      <w:r>
        <w:rPr>
          <w:b w:val="0"/>
          <w:i w:val="0"/>
        </w:rPr>
        <w:t>smartphones, 27</w:t>
      </w:r>
    </w:p>
    <w:p>
      <w:pPr>
        <w:pStyle w:val="ListBullet"/>
      </w:pPr>
      <w:r>
        <w:rPr>
          <w:b w:val="0"/>
          <w:i w:val="0"/>
        </w:rPr>
        <w:t>social media, 30, 105, 107, 110</w:t>
      </w:r>
    </w:p>
    <w:p>
      <w:pPr>
        <w:pStyle w:val="ListBullet"/>
      </w:pPr>
      <w:r>
        <w:rPr>
          <w:b w:val="0"/>
          <w:i w:val="0"/>
        </w:rPr>
        <w:t>social networks, 14, 95</w:t>
      </w:r>
    </w:p>
    <w:p>
      <w:pPr>
        <w:pStyle w:val="ListBullet"/>
      </w:pPr>
      <w:r>
        <w:rPr>
          <w:b w:val="0"/>
          <w:i w:val="0"/>
        </w:rPr>
        <w:t>solar power, 155</w:t>
      </w:r>
    </w:p>
    <w:p>
      <w:pPr>
        <w:pStyle w:val="ListBullet"/>
      </w:pPr>
      <w:r>
        <w:rPr>
          <w:b w:val="0"/>
          <w:i w:val="0"/>
        </w:rPr>
        <w:t>spam, 106–108, 110</w:t>
      </w:r>
    </w:p>
    <w:p>
      <w:pPr>
        <w:pStyle w:val="ListBullet"/>
      </w:pPr>
      <w:r>
        <w:rPr>
          <w:b w:val="0"/>
          <w:i w:val="0"/>
        </w:rPr>
        <w:t>startups, 139, 141</w:t>
      </w:r>
    </w:p>
    <w:p>
      <w:pPr>
        <w:pStyle w:val="ListBullet"/>
      </w:pPr>
      <w:r>
        <w:rPr>
          <w:b w:val="0"/>
          <w:i w:val="0"/>
        </w:rPr>
        <w:t>Steem.io, 95</w:t>
      </w:r>
    </w:p>
    <w:p>
      <w:pPr>
        <w:pStyle w:val="ListBullet"/>
      </w:pPr>
      <w:r>
        <w:rPr>
          <w:b w:val="0"/>
          <w:i w:val="0"/>
        </w:rPr>
        <w:t>Stellar, 18–19</w:t>
      </w:r>
    </w:p>
    <w:p>
      <w:pPr>
        <w:pStyle w:val="ListBullet"/>
      </w:pPr>
      <w:r>
        <w:rPr>
          <w:b w:val="0"/>
          <w:i w:val="0"/>
        </w:rPr>
        <w:t>stock exchanges, 12, 72, 129</w:t>
      </w:r>
    </w:p>
    <w:p>
      <w:pPr>
        <w:pStyle w:val="ListBullet"/>
      </w:pPr>
      <w:r>
        <w:rPr>
          <w:b w:val="0"/>
          <w:i w:val="0"/>
        </w:rPr>
        <w:t>substitute applications, 17–19, 22–23</w:t>
      </w:r>
    </w:p>
    <w:p>
      <w:pPr>
        <w:pStyle w:val="ListBullet"/>
      </w:pPr>
      <w:r>
        <w:rPr>
          <w:b w:val="0"/>
          <w:i w:val="0"/>
        </w:rPr>
        <w:t>Sun, 9</w:t>
      </w:r>
    </w:p>
    <w:p>
      <w:pPr>
        <w:pStyle w:val="ListBullet"/>
      </w:pPr>
      <w:r>
        <w:rPr>
          <w:b w:val="0"/>
          <w:i w:val="0"/>
        </w:rPr>
        <w:t>supply chains, xii, 22, 31, 85–92</w:t>
      </w:r>
    </w:p>
    <w:p>
      <w:pPr>
        <w:pStyle w:val="ListBullet"/>
      </w:pPr>
      <w:r>
        <w:rPr>
          <w:b w:val="0"/>
          <w:i w:val="0"/>
        </w:rPr>
        <w:t>Sustainable Development Goals, 146</w:t>
      </w:r>
    </w:p>
    <w:p>
      <w:pPr>
        <w:pStyle w:val="ListBullet"/>
      </w:pPr>
      <w:r>
        <w:rPr>
          <w:b w:val="0"/>
          <w:i w:val="0"/>
        </w:rPr>
        <w:t>Synereo, 95</w:t>
      </w:r>
    </w:p>
    <w:p>
      <w:pPr>
        <w:pStyle w:val="ListBullet"/>
      </w:pPr>
      <w:r>
        <w:rPr>
          <w:b w:val="0"/>
          <w:i w:val="0"/>
        </w:rPr>
        <w:t>systemic risk, 39</w:t>
      </w:r>
    </w:p>
    <w:p>
      <w:pPr>
        <w:pStyle w:val="ListBullet"/>
      </w:pPr>
      <w:r>
        <w:rPr>
          <w:b w:val="0"/>
          <w:i w:val="0"/>
        </w:rPr>
        <w:t>Szczepanik, Valerie, 130</w:t>
      </w:r>
    </w:p>
    <w:p>
      <w:pPr>
        <w:pStyle w:val="ListBullet"/>
      </w:pPr>
      <w:r>
        <w:rPr>
          <w:b w:val="0"/>
          <w:i w:val="0"/>
        </w:rPr>
        <w:t>TCP/IP, 7–11, 15, 16, 24, 35</w:t>
      </w:r>
    </w:p>
    <w:p>
      <w:pPr>
        <w:pStyle w:val="ListBullet"/>
      </w:pPr>
      <w:r>
        <w:rPr>
          <w:b w:val="0"/>
          <w:i w:val="0"/>
        </w:rPr>
        <w:t>technology adoption</w:t>
      </w:r>
    </w:p>
    <w:p>
      <w:pPr>
        <w:pStyle w:val="ListBullet"/>
      </w:pPr>
      <w:r>
        <w:rPr>
          <w:b w:val="0"/>
          <w:i w:val="0"/>
        </w:rPr>
        <w:t>blockchain, 13–20</w:t>
      </w:r>
    </w:p>
    <w:p>
      <w:pPr>
        <w:pStyle w:val="ListBullet"/>
      </w:pPr>
      <w:r>
        <w:rPr>
          <w:b w:val="0"/>
          <w:i w:val="0"/>
        </w:rPr>
        <w:t>patterns of, 7–11</w:t>
      </w:r>
    </w:p>
    <w:p>
      <w:pPr>
        <w:pStyle w:val="ListBullet"/>
      </w:pPr>
      <w:r>
        <w:rPr>
          <w:b w:val="0"/>
          <w:i w:val="0"/>
        </w:rPr>
        <w:t>telecommunications, 8</w:t>
      </w:r>
    </w:p>
    <w:p>
      <w:pPr>
        <w:pStyle w:val="ListBullet"/>
      </w:pPr>
      <w:r>
        <w:rPr>
          <w:b w:val="0"/>
          <w:i w:val="0"/>
        </w:rPr>
        <w:t>3Com, 34</w:t>
      </w:r>
    </w:p>
    <w:p>
      <w:pPr>
        <w:pStyle w:val="ListBullet"/>
      </w:pPr>
      <w:r>
        <w:rPr>
          <w:b w:val="0"/>
          <w:i w:val="0"/>
        </w:rPr>
        <w:t>transaction costs, 11–12, 22, 30, 32, 72, 102–104</w:t>
      </w:r>
    </w:p>
    <w:p>
      <w:pPr>
        <w:pStyle w:val="ListBullet"/>
      </w:pPr>
      <w:r>
        <w:rPr>
          <w:b w:val="0"/>
          <w:i w:val="0"/>
        </w:rPr>
        <w:t>transactions, 3–4, 91</w:t>
      </w:r>
    </w:p>
    <w:p>
      <w:pPr>
        <w:pStyle w:val="ListBullet"/>
      </w:pPr>
      <w:r>
        <w:rPr>
          <w:b w:val="0"/>
          <w:i w:val="0"/>
        </w:rPr>
        <w:t>automated, 44</w:t>
      </w:r>
    </w:p>
    <w:p>
      <w:pPr>
        <w:pStyle w:val="ListBullet"/>
      </w:pPr>
      <w:r>
        <w:rPr>
          <w:b w:val="0"/>
          <w:i w:val="0"/>
        </w:rPr>
        <w:t>financial, 17, 18, 24, 36–37, 103</w:t>
      </w:r>
    </w:p>
    <w:p>
      <w:pPr>
        <w:pStyle w:val="ListBullet"/>
      </w:pPr>
      <w:r>
        <w:rPr>
          <w:b w:val="0"/>
          <w:i w:val="0"/>
        </w:rPr>
        <w:t>international, 30, 80</w:t>
      </w:r>
    </w:p>
    <w:p>
      <w:pPr>
        <w:pStyle w:val="ListBullet"/>
      </w:pPr>
      <w:r>
        <w:rPr>
          <w:b w:val="0"/>
          <w:i w:val="0"/>
        </w:rPr>
        <w:t>irreversibility of, 5</w:t>
      </w:r>
    </w:p>
    <w:p>
      <w:pPr>
        <w:pStyle w:val="ListBullet"/>
      </w:pPr>
      <w:r>
        <w:rPr>
          <w:b w:val="0"/>
          <w:i w:val="0"/>
        </w:rPr>
        <w:t>reading and writing, 52</w:t>
      </w:r>
    </w:p>
    <w:p>
      <w:pPr>
        <w:pStyle w:val="ListBullet"/>
      </w:pPr>
      <w:r>
        <w:rPr>
          <w:b w:val="0"/>
          <w:i w:val="0"/>
        </w:rPr>
        <w:t>recording, 11–13, 61–62, 137–138</w:t>
      </w:r>
    </w:p>
    <w:p>
      <w:pPr>
        <w:pStyle w:val="ListBullet"/>
      </w:pPr>
      <w:r>
        <w:rPr>
          <w:b w:val="0"/>
          <w:i w:val="0"/>
        </w:rPr>
        <w:t>reversibility of, 56–57</w:t>
      </w:r>
    </w:p>
    <w:p>
      <w:pPr>
        <w:pStyle w:val="ListBullet"/>
      </w:pPr>
      <w:r>
        <w:rPr>
          <w:b w:val="0"/>
          <w:i w:val="0"/>
        </w:rPr>
        <w:t>verification of, 52, 55–56</w:t>
      </w:r>
    </w:p>
    <w:p>
      <w:pPr>
        <w:pStyle w:val="ListBullet"/>
      </w:pPr>
      <w:r>
        <w:rPr>
          <w:b w:val="0"/>
          <w:i w:val="0"/>
        </w:rPr>
        <w:t>transformative applications, 10, 19–20, 23–24</w:t>
      </w:r>
    </w:p>
    <w:p>
      <w:pPr>
        <w:pStyle w:val="ListBullet"/>
      </w:pPr>
      <w:r>
        <w:rPr>
          <w:b w:val="0"/>
          <w:i w:val="0"/>
        </w:rPr>
        <w:t>Trans-Pacific Partnership, 31</w:t>
      </w:r>
    </w:p>
    <w:p>
      <w:pPr>
        <w:pStyle w:val="ListBullet"/>
      </w:pPr>
      <w:r>
        <w:rPr>
          <w:b w:val="0"/>
          <w:i w:val="0"/>
        </w:rPr>
        <w:t>transparency, 4–5, 59, 86, 117, 129, 136</w:t>
      </w:r>
    </w:p>
    <w:p>
      <w:pPr>
        <w:pStyle w:val="ListBullet"/>
      </w:pPr>
      <w:r>
        <w:rPr>
          <w:b w:val="0"/>
          <w:i w:val="0"/>
        </w:rPr>
        <w:t>Trump administration, 135–136</w:t>
      </w:r>
    </w:p>
    <w:p>
      <w:pPr>
        <w:pStyle w:val="ListBullet"/>
      </w:pPr>
      <w:r>
        <w:rPr>
          <w:b w:val="0"/>
          <w:i w:val="0"/>
        </w:rPr>
        <w:t>trust, 44, 48, 62, 70, 89</w:t>
      </w:r>
    </w:p>
    <w:p>
      <w:pPr>
        <w:pStyle w:val="ListBullet"/>
      </w:pPr>
      <w:r>
        <w:rPr>
          <w:b w:val="0"/>
          <w:i w:val="0"/>
        </w:rPr>
        <w:t>Uber, 96, 137</w:t>
      </w:r>
    </w:p>
    <w:p>
      <w:pPr>
        <w:pStyle w:val="ListBullet"/>
      </w:pPr>
      <w:r>
        <w:rPr>
          <w:b w:val="0"/>
          <w:i w:val="0"/>
        </w:rPr>
        <w:t>Union Square Ventures (USV), 73</w:t>
      </w:r>
    </w:p>
    <w:p>
      <w:pPr>
        <w:pStyle w:val="ListBullet"/>
      </w:pPr>
      <w:r>
        <w:rPr>
          <w:b w:val="0"/>
          <w:i w:val="0"/>
        </w:rPr>
        <w:t>usage data, 117</w:t>
      </w:r>
    </w:p>
    <w:p>
      <w:pPr>
        <w:pStyle w:val="ListBullet"/>
      </w:pPr>
      <w:r>
        <w:rPr>
          <w:b w:val="0"/>
          <w:i w:val="0"/>
        </w:rPr>
        <w:t>U.S. dollar, 77–78, 82</w:t>
      </w:r>
    </w:p>
    <w:p>
      <w:pPr>
        <w:pStyle w:val="ListBullet"/>
      </w:pPr>
      <w:r>
        <w:rPr>
          <w:b w:val="0"/>
          <w:i w:val="0"/>
        </w:rPr>
        <w:t>user-generated content, 93</w:t>
      </w:r>
    </w:p>
    <w:p>
      <w:pPr>
        <w:pStyle w:val="ListBullet"/>
      </w:pPr>
      <w:r>
        <w:rPr>
          <w:b w:val="0"/>
          <w:i w:val="0"/>
        </w:rPr>
        <w:t>validators, 156–157</w:t>
      </w:r>
    </w:p>
    <w:p>
      <w:pPr>
        <w:pStyle w:val="ListBullet"/>
      </w:pPr>
      <w:r>
        <w:rPr>
          <w:b w:val="0"/>
          <w:i w:val="0"/>
        </w:rPr>
        <w:t>venture capital, 38, 72–74, 116</w:t>
      </w:r>
    </w:p>
    <w:p>
      <w:pPr>
        <w:pStyle w:val="ListBullet"/>
      </w:pPr>
      <w:r>
        <w:rPr>
          <w:b w:val="0"/>
          <w:i w:val="0"/>
        </w:rPr>
        <w:t>VeriPart, 89</w:t>
      </w:r>
    </w:p>
    <w:p>
      <w:pPr>
        <w:pStyle w:val="ListBullet"/>
      </w:pPr>
      <w:r>
        <w:rPr>
          <w:b w:val="0"/>
          <w:i w:val="0"/>
        </w:rPr>
        <w:t>viral content, 108</w:t>
      </w:r>
    </w:p>
    <w:p>
      <w:pPr>
        <w:pStyle w:val="ListBullet"/>
      </w:pPr>
      <w:r>
        <w:rPr>
          <w:b w:val="0"/>
          <w:i w:val="0"/>
        </w:rPr>
        <w:t>Visa, 103</w:t>
      </w:r>
    </w:p>
    <w:p>
      <w:pPr>
        <w:pStyle w:val="ListBullet"/>
      </w:pPr>
      <w:r>
        <w:rPr>
          <w:b w:val="0"/>
          <w:i w:val="0"/>
        </w:rPr>
        <w:t>Volkswagen, 137</w:t>
      </w:r>
    </w:p>
    <w:p>
      <w:pPr>
        <w:pStyle w:val="ListBullet"/>
      </w:pPr>
      <w:r>
        <w:rPr>
          <w:b w:val="0"/>
          <w:i w:val="0"/>
        </w:rPr>
        <w:t>wallet providers, 37</w:t>
      </w:r>
    </w:p>
    <w:p>
      <w:pPr>
        <w:pStyle w:val="ListBullet"/>
      </w:pPr>
      <w:r>
        <w:rPr>
          <w:b w:val="0"/>
          <w:i w:val="0"/>
        </w:rPr>
        <w:t>Walmart, 87</w:t>
      </w:r>
    </w:p>
    <w:p>
      <w:pPr>
        <w:pStyle w:val="ListBullet"/>
      </w:pPr>
      <w:r>
        <w:rPr>
          <w:b w:val="0"/>
          <w:i w:val="0"/>
        </w:rPr>
        <w:t>web advertising, 105–106</w:t>
      </w:r>
    </w:p>
    <w:p>
      <w:pPr>
        <w:pStyle w:val="ListBullet"/>
      </w:pPr>
      <w:r>
        <w:rPr>
          <w:b w:val="0"/>
          <w:i w:val="0"/>
        </w:rPr>
        <w:t>WeiFund, 116</w:t>
      </w:r>
    </w:p>
    <w:p>
      <w:pPr>
        <w:pStyle w:val="ListBullet"/>
      </w:pPr>
      <w:r>
        <w:rPr>
          <w:b w:val="0"/>
          <w:i w:val="0"/>
        </w:rPr>
        <w:t>Wiper, 117</w:t>
      </w:r>
    </w:p>
    <w:p>
      <w:pPr>
        <w:pStyle w:val="ListBullet"/>
      </w:pPr>
      <w:r>
        <w:rPr>
          <w:b w:val="0"/>
          <w:i w:val="0"/>
        </w:rPr>
        <w:t>YouTube, 118</w:t>
      </w:r>
    </w:p>
    <w:p>
      <w:pPr>
        <w:jc w:val="center"/>
      </w:pPr>
      <w:r>
        <w:drawing>
          <wp:inline xmlns:a="http://schemas.openxmlformats.org/drawingml/2006/main" xmlns:pic="http://schemas.openxmlformats.org/drawingml/2006/picture">
            <wp:extent cx="6210300" cy="8890000"/>
            <wp:docPr id="71" name="Picture 71"/>
            <wp:cNvGraphicFramePr>
              <a:graphicFrameLocks noChangeAspect="1"/>
            </wp:cNvGraphicFramePr>
            <a:graphic>
              <a:graphicData uri="http://schemas.openxmlformats.org/drawingml/2006/picture">
                <pic:pic>
                  <pic:nvPicPr>
                    <pic:cNvPr id="0" name="epub_img_293236862040537783.jpg"/>
                    <pic:cNvPicPr/>
                  </pic:nvPicPr>
                  <pic:blipFill>
                    <a:blip r:embed="rId56"/>
                    <a:stretch>
                      <a:fillRect/>
                    </a:stretch>
                  </pic:blipFill>
                  <pic:spPr>
                    <a:xfrm>
                      <a:off x="0" y="0"/>
                      <a:ext cx="6210300" cy="8890000"/>
                    </a:xfrm>
                    <a:prstGeom prst="rect"/>
                  </pic:spPr>
                </pic:pic>
              </a:graphicData>
            </a:graphic>
          </wp:inline>
        </w:drawing>
      </w:r>
    </w:p>
    <w:p>
      <w:pPr>
        <w:jc w:val="center"/>
      </w:pPr>
      <w:r>
        <w:drawing>
          <wp:inline xmlns:a="http://schemas.openxmlformats.org/drawingml/2006/main" xmlns:pic="http://schemas.openxmlformats.org/drawingml/2006/picture">
            <wp:extent cx="5753100" cy="8890000"/>
            <wp:docPr id="72" name="Picture 72"/>
            <wp:cNvGraphicFramePr>
              <a:graphicFrameLocks noChangeAspect="1"/>
            </wp:cNvGraphicFramePr>
            <a:graphic>
              <a:graphicData uri="http://schemas.openxmlformats.org/drawingml/2006/picture">
                <pic:pic>
                  <pic:nvPicPr>
                    <pic:cNvPr id="0" name="epub_img_6275797335303709484.jpg"/>
                    <pic:cNvPicPr/>
                  </pic:nvPicPr>
                  <pic:blipFill>
                    <a:blip r:embed="rId25"/>
                    <a:stretch>
                      <a:fillRect/>
                    </a:stretch>
                  </pic:blipFill>
                  <pic:spPr>
                    <a:xfrm>
                      <a:off x="0" y="0"/>
                      <a:ext cx="57531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73" name="Picture 73"/>
            <wp:cNvGraphicFramePr>
              <a:graphicFrameLocks noChangeAspect="1"/>
            </wp:cNvGraphicFramePr>
            <a:graphic>
              <a:graphicData uri="http://schemas.openxmlformats.org/drawingml/2006/picture">
                <pic:pic>
                  <pic:nvPicPr>
                    <pic:cNvPr id="0" name="epub_img_4385367215123231491.jpg"/>
                    <pic:cNvPicPr/>
                  </pic:nvPicPr>
                  <pic:blipFill>
                    <a:blip r:embed="rId57"/>
                    <a:stretch>
                      <a:fillRect/>
                    </a:stretch>
                  </pic:blipFill>
                  <pic:spPr>
                    <a:xfrm>
                      <a:off x="0" y="0"/>
                      <a:ext cx="5930900" cy="8890000"/>
                    </a:xfrm>
                    <a:prstGeom prst="rect"/>
                  </pic:spPr>
                </pic:pic>
              </a:graphicData>
            </a:graphic>
          </wp:inline>
        </w:drawing>
      </w:r>
    </w:p>
    <w:p>
      <w:r>
        <w:rPr>
          <w:b w:val="0"/>
          <w:i w:val="0"/>
        </w:rPr>
        <w:t>Insights You Need from Harvard Business Review</w:t>
      </w:r>
    </w:p>
    <w:p>
      <w:r>
        <w:rPr>
          <w:b w:val="0"/>
          <w:i w:val="0"/>
        </w:rPr>
        <w:t>Business is changing. Will you adapt or be left behind?</w:t>
      </w:r>
    </w:p>
    <w:p>
      <w:r>
        <w:rPr>
          <w:b w:val="0"/>
          <w:i w:val="0"/>
        </w:rPr>
        <w:t>Get up to speed and deepen your understanding of the topics that are shaping your company’s future with the Insights You Need from Harvard Business Review series. Featuring HBR’s smartest thinking on fast-moving issues—blockchain, cybersecurity, AI, and more—each book provides the foundational intro-duction and practical case studies your organization needs to compete today and collects the best research, interviews, and analysis to get it ready for tomorrow.</w:t>
      </w:r>
    </w:p>
    <w:p>
      <w:r>
        <w:rPr>
          <w:b w:val="0"/>
          <w:i w:val="0"/>
        </w:rPr>
        <w:t>You can’t afford to ignore how these issues will transform the landscape of business and society. The Insights You Need series will help you grasp these critical ideas—and prepare you and your company for the future.</w:t>
      </w:r>
    </w:p>
    <w:p>
      <w:r>
        <w:rPr>
          <w:b w:val="0"/>
          <w:i w:val="0"/>
        </w:rPr>
        <w:t>Books in the series include:</w:t>
      </w:r>
    </w:p>
    <w:p>
      <w:r>
        <w:rPr>
          <w:b w:val="0"/>
          <w:i/>
        </w:rPr>
        <w:t>Agile</w:t>
      </w:r>
    </w:p>
    <w:p>
      <w:r>
        <w:rPr>
          <w:b w:val="0"/>
          <w:i/>
        </w:rPr>
        <w:t>Artificial Intelligence</w:t>
      </w:r>
    </w:p>
    <w:p>
      <w:r>
        <w:rPr>
          <w:b w:val="0"/>
          <w:i/>
        </w:rPr>
        <w:t>Blockchain</w:t>
      </w:r>
    </w:p>
    <w:p>
      <w:r>
        <w:rPr>
          <w:b w:val="0"/>
          <w:i/>
        </w:rPr>
        <w:t>Climate Change</w:t>
      </w:r>
    </w:p>
    <w:p>
      <w:r>
        <w:rPr>
          <w:b w:val="0"/>
          <w:i/>
        </w:rPr>
        <w:t>Customer Data and Privacy</w:t>
      </w:r>
    </w:p>
    <w:p>
      <w:r>
        <w:rPr>
          <w:b w:val="0"/>
          <w:i/>
        </w:rPr>
        <w:t>Cybersecurity</w:t>
      </w:r>
    </w:p>
    <w:p>
      <w:r>
        <w:rPr>
          <w:b w:val="0"/>
          <w:i/>
        </w:rPr>
        <w:t>Monopolies and Tech Giants</w:t>
      </w:r>
    </w:p>
    <w:p>
      <w:r>
        <w:rPr>
          <w:b w:val="0"/>
          <w:i/>
        </w:rPr>
        <w:t>Strategic Analytics</w:t>
      </w:r>
    </w:p>
    <w:p>
      <w:r>
        <w:rPr>
          <w:b w:val="0"/>
          <w:i/>
        </w:rPr>
        <w:t>The Year in Tech, 2021</w:t>
      </w:r>
    </w:p>
    <w:p>
      <w:pPr>
        <w:jc w:val="center"/>
      </w:pPr>
      <w:r>
        <w:drawing>
          <wp:inline xmlns:a="http://schemas.openxmlformats.org/drawingml/2006/main" xmlns:pic="http://schemas.openxmlformats.org/drawingml/2006/picture">
            <wp:extent cx="6680200" cy="6680200"/>
            <wp:docPr id="74" name="Picture 74"/>
            <wp:cNvGraphicFramePr>
              <a:graphicFrameLocks noChangeAspect="1"/>
            </wp:cNvGraphicFramePr>
            <a:graphic>
              <a:graphicData uri="http://schemas.openxmlformats.org/drawingml/2006/picture">
                <pic:pic>
                  <pic:nvPicPr>
                    <pic:cNvPr id="0" name="epub_img_8874397201209072484.jpg"/>
                    <pic:cNvPicPr/>
                  </pic:nvPicPr>
                  <pic:blipFill>
                    <a:blip r:embed="rId10"/>
                    <a:stretch>
                      <a:fillRect/>
                    </a:stretch>
                  </pic:blipFill>
                  <pic:spPr>
                    <a:xfrm>
                      <a:off x="0" y="0"/>
                      <a:ext cx="6680200" cy="6680200"/>
                    </a:xfrm>
                    <a:prstGeom prst="rect"/>
                  </pic:spPr>
                </pic:pic>
              </a:graphicData>
            </a:graphic>
          </wp:inline>
        </w:drawing>
      </w:r>
    </w:p>
    <w:p>
      <w:r>
        <w:rPr>
          <w:b w:val="0"/>
          <w:i w:val="0"/>
        </w:rPr>
        <w:t>AGILE</w:t>
      </w:r>
    </w:p>
    <w:p>
      <w:r>
        <w:rPr>
          <w:b w:val="0"/>
          <w:i w:val="0"/>
        </w:rPr>
        <w:t>Harvard Business Review Press</w:t>
      </w:r>
    </w:p>
    <w:p>
      <w:r>
        <w:rPr>
          <w:b w:val="0"/>
          <w:i w:val="0"/>
        </w:rPr>
        <w:t>Boston, Massachusetts</w:t>
      </w:r>
    </w:p>
    <w:p>
      <w:r>
        <w:rPr>
          <w:b/>
          <w:i w:val="0"/>
        </w:rPr>
        <w:t>HBR Press Quantity Sales Discounts</w:t>
      </w:r>
    </w:p>
    <w:p>
      <w:r>
        <w:rPr>
          <w:b w:val="0"/>
          <w:i w:val="0"/>
        </w:rPr>
        <w:t>Harvard Business Review Press titles are available at significant quantity discounts when purchased in bulk for client gifts, sales promotions, and premiums. Special editions, including books with corporate logos, customized covers, and letters from the company or CEO printed in the front matter, as well as excerpts of existing books, can also be created in large quantities for special needs.</w:t>
      </w:r>
    </w:p>
    <w:p>
      <w:r>
        <w:rPr>
          <w:b w:val="0"/>
          <w:i w:val="0"/>
        </w:rPr>
        <w:t>For details and discount information for both print and ebook formats, contact booksales@harvardbusiness.org, tel. 800-988-0886, or www.hbr.org/bulksales.</w:t>
      </w:r>
    </w:p>
    <w:p>
      <w:r>
        <w:rPr>
          <w:b w:val="0"/>
          <w:i w:val="0"/>
        </w:rPr>
        <w:t>Copyright 2020 Harvard Business School Publishing Corporation</w:t>
      </w:r>
    </w:p>
    <w:p>
      <w:r>
        <w:rPr>
          <w:b w:val="0"/>
          <w:i w:val="0"/>
        </w:rPr>
        <w:t>All rights reserved</w:t>
      </w:r>
    </w:p>
    <w:p>
      <w:r>
        <w:rPr>
          <w:b w:val="0"/>
          <w:i w:val="0"/>
        </w:rPr>
        <w:t>No part of this publication may be reproduced, stored in or introduced into a retrieval system, or transmitted, in any form, or by any means (electronic, mechanical, photocopying, recording, or otherwise), without the prior permission of the publisher. Requests for permission should be directed to permissions@harvardbusiness.org, or mailed to Permissions, Harvard Business School Publishing, 60 Harvard Way, Boston, Massachusetts 02163.</w:t>
      </w:r>
    </w:p>
    <w:p>
      <w:r>
        <w:rPr>
          <w:b w:val="0"/>
          <w:i w:val="0"/>
        </w:rPr>
        <w:t>The web addresses referenced in this book were live and correct at the time of the book’s publication but may be subject to change.</w:t>
      </w:r>
    </w:p>
    <w:p>
      <w:r>
        <w:rPr>
          <w:b w:val="0"/>
          <w:i w:val="0"/>
        </w:rPr>
        <w:t>Library of Congress Cataloging-in-Publication Data</w:t>
      </w:r>
    </w:p>
    <w:p>
      <w:r>
        <w:rPr>
          <w:b w:val="0"/>
          <w:i w:val="0"/>
        </w:rPr>
        <w:t>Title: Agile.</w:t>
      </w:r>
    </w:p>
    <w:p>
      <w:r>
        <w:rPr>
          <w:b w:val="0"/>
          <w:i w:val="0"/>
        </w:rPr>
        <w:t>Other titles: Agile (Harvard Business Review Press) | Insights you need from Harvard Business Review.</w:t>
      </w:r>
    </w:p>
    <w:p>
      <w:r>
        <w:rPr>
          <w:b w:val="0"/>
          <w:i w:val="0"/>
        </w:rPr>
        <w:t>Description: Boston, Massachusetts : Harvard Business Review Press, [2020] | Series: Insights you need from Harvard Business Review | Includes index.</w:t>
      </w:r>
    </w:p>
    <w:p>
      <w:r>
        <w:rPr>
          <w:b w:val="0"/>
          <w:i w:val="0"/>
        </w:rPr>
        <w:t>Identifiers: LCCN 2019046718 (print) | LCCN 2019046719 (ebook) | ISBN 9781633698956 (paperback) | ISBN 9781633698963 (ebook)</w:t>
      </w:r>
    </w:p>
    <w:p>
      <w:r>
        <w:rPr>
          <w:b w:val="0"/>
          <w:i w:val="0"/>
        </w:rPr>
        <w:t>Subjects: LCSH: Agile project management. | Business planning. | Strategic planning.</w:t>
      </w:r>
    </w:p>
    <w:p>
      <w:r>
        <w:rPr>
          <w:b w:val="0"/>
          <w:i w:val="0"/>
        </w:rPr>
        <w:t>Classification: LCC HD69.P75 A396 2020 (print) | LCC HD69.P75 (ebook) | DDC 658.4—dc23</w:t>
      </w:r>
    </w:p>
    <w:p>
      <w:r>
        <w:rPr>
          <w:b w:val="0"/>
          <w:i w:val="0"/>
        </w:rPr>
        <w:t>LC record available at https://lccn.loc.gov/2019046718</w:t>
      </w:r>
    </w:p>
    <w:p>
      <w:r>
        <w:rPr>
          <w:b w:val="0"/>
          <w:i w:val="0"/>
        </w:rPr>
        <w:t>LC ebook record available at https://lccn.loc.gov/2019046719</w:t>
      </w:r>
    </w:p>
    <w:p>
      <w:r>
        <w:rPr>
          <w:b w:val="0"/>
          <w:i w:val="0"/>
        </w:rPr>
        <w:t>ISBN: 978-1-63369-895-6</w:t>
      </w:r>
    </w:p>
    <w:p>
      <w:r>
        <w:rPr>
          <w:b w:val="0"/>
          <w:i w:val="0"/>
        </w:rPr>
        <w:t>eISBN: 978-1-63369-896-3</w:t>
      </w:r>
    </w:p>
    <w:p>
      <w:pPr>
        <w:pStyle w:val="Heading1"/>
      </w:pPr>
      <w:r>
        <w:rPr>
          <w:b w:val="0"/>
          <w:i w:val="0"/>
        </w:rPr>
        <w:t>Contents</w:t>
      </w:r>
    </w:p>
    <w:p>
      <w:pPr>
        <w:pStyle w:val="ListNumber"/>
      </w:pPr>
      <w:r>
        <w:rPr>
          <w:b w:val="0"/>
          <w:i w:val="0"/>
        </w:rPr>
        <w:t>Introduction</w:t>
      </w:r>
    </w:p>
    <w:p>
      <w:pPr>
        <w:pStyle w:val="ListNumber"/>
      </w:pPr>
      <w:r>
        <w:rPr>
          <w:b w:val="0"/>
          <w:i w:val="0"/>
        </w:rPr>
        <w:t>Agile: How to Get in the Game (and Not Get in the Way)</w:t>
      </w:r>
    </w:p>
    <w:p>
      <w:pPr>
        <w:pStyle w:val="ListNumber"/>
      </w:pPr>
      <w:r>
        <w:rPr>
          <w:b w:val="0"/>
          <w:i/>
        </w:rPr>
        <w:t>Good intentions aren’t enough.</w:t>
      </w:r>
    </w:p>
    <w:p>
      <w:pPr>
        <w:pStyle w:val="ListNumber"/>
      </w:pPr>
      <w:r>
        <w:rPr>
          <w:b w:val="0"/>
          <w:i w:val="0"/>
        </w:rPr>
        <w:t>by Darrell K. Rigby</w:t>
      </w:r>
    </w:p>
    <w:p>
      <w:pPr>
        <w:pStyle w:val="ListNumber"/>
      </w:pPr>
      <w:r>
        <w:rPr>
          <w:b w:val="0"/>
          <w:i w:val="0"/>
        </w:rPr>
        <w:t>1.  Agile at Scale</w:t>
      </w:r>
    </w:p>
    <w:p>
      <w:pPr>
        <w:pStyle w:val="ListNumber"/>
      </w:pPr>
      <w:r>
        <w:rPr>
          <w:b w:val="0"/>
          <w:i/>
        </w:rPr>
        <w:t>Create a truly flexible organization.</w:t>
      </w:r>
    </w:p>
    <w:p>
      <w:pPr>
        <w:pStyle w:val="ListNumber"/>
      </w:pPr>
      <w:r>
        <w:rPr>
          <w:b w:val="0"/>
          <w:i w:val="0"/>
        </w:rPr>
        <w:t>by Darrell K. Rigby, Jeff Sutherland, and Andy Noble</w:t>
      </w:r>
    </w:p>
    <w:p>
      <w:pPr>
        <w:pStyle w:val="ListNumber"/>
      </w:pPr>
      <w:r>
        <w:rPr>
          <w:b w:val="0"/>
          <w:i w:val="0"/>
        </w:rPr>
        <w:t>2.  Why Agile Goes Awry</w:t>
      </w:r>
    </w:p>
    <w:p>
      <w:pPr>
        <w:pStyle w:val="ListNumber"/>
      </w:pPr>
      <w:r>
        <w:rPr>
          <w:b w:val="0"/>
          <w:i/>
        </w:rPr>
        <w:t>And how to fix it.</w:t>
      </w:r>
    </w:p>
    <w:p>
      <w:pPr>
        <w:pStyle w:val="ListNumber"/>
      </w:pPr>
      <w:r>
        <w:rPr>
          <w:b w:val="0"/>
          <w:i w:val="0"/>
        </w:rPr>
        <w:t>by Lindsay McGregor and Neel Doshi</w:t>
      </w:r>
    </w:p>
    <w:p>
      <w:pPr>
        <w:pStyle w:val="ListNumber"/>
      </w:pPr>
      <w:r>
        <w:rPr>
          <w:b w:val="0"/>
          <w:i w:val="0"/>
        </w:rPr>
        <w:t>3.  How to Make Sure Agile Teams Can Work Together</w:t>
      </w:r>
    </w:p>
    <w:p>
      <w:pPr>
        <w:pStyle w:val="ListNumber"/>
      </w:pPr>
      <w:r>
        <w:rPr>
          <w:b w:val="0"/>
          <w:i/>
        </w:rPr>
        <w:t>Combine—and recombine—essential expertise.</w:t>
      </w:r>
    </w:p>
    <w:p>
      <w:pPr>
        <w:pStyle w:val="ListNumber"/>
      </w:pPr>
      <w:r>
        <w:rPr>
          <w:b w:val="0"/>
          <w:i w:val="0"/>
        </w:rPr>
        <w:t>by Alia Crocker, Rob Cross, and Heidi K. Gardner</w:t>
      </w:r>
    </w:p>
    <w:p>
      <w:pPr>
        <w:pStyle w:val="ListNumber"/>
      </w:pPr>
      <w:r>
        <w:rPr>
          <w:b w:val="0"/>
          <w:i w:val="0"/>
        </w:rPr>
        <w:t>4.  How Nextdoor Addressed Racial Profiling on Its Platform</w:t>
      </w:r>
    </w:p>
    <w:p>
      <w:pPr>
        <w:pStyle w:val="ListNumber"/>
      </w:pPr>
      <w:r>
        <w:rPr>
          <w:b w:val="0"/>
          <w:i/>
        </w:rPr>
        <w:t>A data-oriented approach helped the social network recover—quickly.</w:t>
      </w:r>
    </w:p>
    <w:p>
      <w:pPr>
        <w:pStyle w:val="ListNumber"/>
      </w:pPr>
      <w:r>
        <w:rPr>
          <w:b w:val="0"/>
          <w:i w:val="0"/>
        </w:rPr>
        <w:t>by Phil Simon</w:t>
      </w:r>
    </w:p>
    <w:p>
      <w:pPr>
        <w:pStyle w:val="ListNumber"/>
      </w:pPr>
      <w:r>
        <w:rPr>
          <w:b w:val="0"/>
          <w:i w:val="0"/>
        </w:rPr>
        <w:t>5.  HR Goes Agile</w:t>
      </w:r>
    </w:p>
    <w:p>
      <w:pPr>
        <w:pStyle w:val="ListNumber"/>
      </w:pPr>
      <w:r>
        <w:rPr>
          <w:b w:val="0"/>
          <w:i/>
        </w:rPr>
        <w:t>Agile is transforming how organizations hire, develop, and manage their people.</w:t>
      </w:r>
    </w:p>
    <w:p>
      <w:pPr>
        <w:pStyle w:val="ListNumber"/>
      </w:pPr>
      <w:r>
        <w:rPr>
          <w:b w:val="0"/>
          <w:i w:val="0"/>
        </w:rPr>
        <w:t>by Peter Cappelli and Anna Tavis</w:t>
      </w:r>
    </w:p>
    <w:p>
      <w:pPr>
        <w:pStyle w:val="ListNumber"/>
      </w:pPr>
      <w:r>
        <w:rPr>
          <w:b w:val="0"/>
          <w:i w:val="0"/>
        </w:rPr>
        <w:t>6.  How to Make Agile Work for the C-Suite</w:t>
      </w:r>
    </w:p>
    <w:p>
      <w:pPr>
        <w:pStyle w:val="ListNumber"/>
      </w:pPr>
      <w:r>
        <w:rPr>
          <w:b w:val="0"/>
          <w:i/>
        </w:rPr>
        <w:t>Set the tone for your organization.</w:t>
      </w:r>
    </w:p>
    <w:p>
      <w:pPr>
        <w:pStyle w:val="ListNumber"/>
      </w:pPr>
      <w:r>
        <w:rPr>
          <w:b w:val="0"/>
          <w:i w:val="0"/>
        </w:rPr>
        <w:t>by Eric Garton and Andy Noble</w:t>
      </w:r>
    </w:p>
    <w:p>
      <w:pPr>
        <w:pStyle w:val="ListNumber"/>
      </w:pPr>
      <w:r>
        <w:rPr>
          <w:b w:val="0"/>
          <w:i w:val="0"/>
        </w:rPr>
        <w:t>7.  How Agile Teams Can Help Turnarounds Succeed</w:t>
      </w:r>
    </w:p>
    <w:p>
      <w:pPr>
        <w:pStyle w:val="ListNumber"/>
      </w:pPr>
      <w:r>
        <w:rPr>
          <w:b w:val="0"/>
          <w:i/>
        </w:rPr>
        <w:t>Tap the people who are better at handling variable and unpredictable situations.</w:t>
      </w:r>
    </w:p>
    <w:p>
      <w:pPr>
        <w:pStyle w:val="ListNumber"/>
      </w:pPr>
      <w:r>
        <w:rPr>
          <w:b w:val="0"/>
          <w:i w:val="0"/>
        </w:rPr>
        <w:t>by Darrell K. Rigby, Simon Henderson, and Marco D’Avino</w:t>
      </w:r>
    </w:p>
    <w:p>
      <w:pPr>
        <w:pStyle w:val="ListNumber"/>
      </w:pPr>
      <w:r>
        <w:rPr>
          <w:b w:val="0"/>
          <w:i w:val="0"/>
        </w:rPr>
        <w:t>8.  Making Process Improvements Stick</w:t>
      </w:r>
    </w:p>
    <w:p>
      <w:pPr>
        <w:pStyle w:val="ListNumber"/>
      </w:pPr>
      <w:r>
        <w:rPr>
          <w:b w:val="0"/>
          <w:i/>
        </w:rPr>
        <w:t>Don’t let early excitement lead to backsliding.</w:t>
      </w:r>
    </w:p>
    <w:p>
      <w:pPr>
        <w:pStyle w:val="ListNumber"/>
      </w:pPr>
      <w:r>
        <w:rPr>
          <w:b w:val="0"/>
          <w:i w:val="0"/>
        </w:rPr>
        <w:t>About the Contributors</w:t>
      </w:r>
    </w:p>
    <w:p>
      <w:pPr>
        <w:pStyle w:val="ListNumber"/>
      </w:pPr>
      <w:r>
        <w:rPr>
          <w:b w:val="0"/>
          <w:i w:val="0"/>
        </w:rPr>
        <w:t>Index</w:t>
      </w:r>
    </w:p>
    <w:p>
      <w:pPr>
        <w:pStyle w:val="Heading1"/>
      </w:pPr>
      <w:r>
        <w:rPr>
          <w:b w:val="0"/>
          <w:i w:val="0"/>
        </w:rPr>
        <w:t>Introduction</w:t>
      </w:r>
    </w:p>
    <w:p>
      <w:r>
        <w:rPr>
          <w:b w:val="0"/>
          <w:i w:val="0"/>
        </w:rPr>
        <w:t>AGILE: HOW TO GET IN THE GAME (AND NOT GET IN THE WAY)</w:t>
      </w:r>
    </w:p>
    <w:p>
      <w:r>
        <w:rPr>
          <w:b w:val="0"/>
          <w:i w:val="0"/>
        </w:rPr>
        <w:t>by Darrell K. Rigby</w:t>
      </w:r>
    </w:p>
    <w:p>
      <w:r>
        <w:rPr>
          <w:b w:val="0"/>
          <w:i w:val="0"/>
        </w:rPr>
        <w:t xml:space="preserve">Ask general managers what they know about agile, and chances are they’ll respond with an uneasy smile and a deflecting quip such as “just enough to be dangerous.” They may pepper conversations with terms like “sprints” and “time boxes,” use </w:t>
      </w:r>
      <w:r>
        <w:rPr>
          <w:b w:val="0"/>
          <w:i/>
        </w:rPr>
        <w:t>agile</w:t>
      </w:r>
      <w:r>
        <w:rPr>
          <w:b w:val="0"/>
          <w:i w:val="0"/>
        </w:rPr>
        <w:t xml:space="preserve"> as an adjective to describe some new initiative, and claim that their businesses are becoming more and more nimble. But because they haven’t studied the methodology behind agile practices or seen agile teams in action, they couldn’t really tell you what agile is all about or how it’s actually working in their organization.</w:t>
      </w:r>
    </w:p>
    <w:p>
      <w:r>
        <w:rPr>
          <w:b w:val="0"/>
          <w:i w:val="0"/>
        </w:rPr>
        <w:t>What is agile? It’s a mindset and a method for improving innovation through deep customer collaboration and adaptive testing and learning. Here’s how it works.</w:t>
      </w:r>
    </w:p>
    <w:p>
      <w:r>
        <w:rPr>
          <w:b w:val="0"/>
          <w:i w:val="0"/>
        </w:rPr>
        <w:t>Agile teams are small, cross-functional, fully dedicated work groups focused on creating innovative improvements to customer products and services, the business processes that produce them, and the technologies that enable those processes. Each team has an “owner” who is ultimately responsible for delivering value to customers, and a “coach” who helps the team continuously improve its speed, effectiveness, and happiness. Team members break complex problems into small modules and then start building working versions of potential solutions in short cycles (less than a month) known as sprints. The process is transparent to everyone. Team members hold brief daily “stand-up” meetings to review progress and identify roadblocks. They resolve disagreements through experimentation and feedback rather than endless debates or appeals to authority. They test small working prototypes of part or all of the offering with a few customers for short periods of time. If customers get excited, a prototype may be released immediately, even if some senior executive isn’t a fan, or others think it needs more bells and whistles. The team then brainstorms ways to improve future cycles and prepares to attack the next top priority.</w:t>
      </w:r>
    </w:p>
    <w:p>
      <w:r>
        <w:rPr>
          <w:b w:val="0"/>
          <w:i w:val="0"/>
        </w:rPr>
        <w:t>When general managers lack this foundational understanding, their everyday ways of working make adoption of agile—and eventual success—nearly impossible. These managers launch countless initiatives with urgent deadlines instead of assigning the highest priority to two or three. They spread themselves and their best people across too many projects rather than concentrating everyone’s energy on full-time, focused teams. Many managers become overly involved in the work of project teams. They routinely overturn team decisions and add review layers and controls, trying (usually in vain) to keep mistakes from being repeated but, in the meantime, hampering the speed of innovation. With the best of intentions, they erode the benefits that agile innovation can deliver.</w:t>
      </w:r>
    </w:p>
    <w:p>
      <w:r>
        <w:rPr>
          <w:b w:val="0"/>
          <w:i w:val="0"/>
        </w:rPr>
        <w:t>Sound familiar? Too many companies suffer from too much bureaucracy and not enough innovation. Their organizations are unbalanced. Bureaucratic processes originally designed to make successful practices repeatable and scalable have taken over. They have created static business systems—systems that are incapable of adapting to dynamic markets.</w:t>
      </w:r>
    </w:p>
    <w:p>
      <w:r>
        <w:rPr>
          <w:b w:val="0"/>
          <w:i w:val="0"/>
        </w:rPr>
        <w:t>The solution to this problem already exists in thousands of companies. Trouble is, it’s often hidden inside IT, whose techniques and terminology already intimidate other departments. But the IT folks are onto something: agile has revolutionized technology development over the last 30 years. According to a 2018 survey by the website Stack Overflow, 85% of software developers use agile techniques in their work. Agile increases team productivity and employee satisfaction. It minimizes the waste inherent in redundant meetings, repetitive planning, excessive documentation, quality defects, and low-value product features. By improving visibility and continually adapting to customers’ changing priorities, agile boosts customer engagement and satisfaction, brings the most valuable products and features to market faster and more predictably, and reduces risk. When agile engages team members from multiple disciplines as collaborative peers, it broadens organizational experience and builds mutual trust and respect.</w:t>
      </w:r>
    </w:p>
    <w:p>
      <w:r>
        <w:rPr>
          <w:b w:val="0"/>
          <w:i w:val="0"/>
        </w:rPr>
        <w:t>Results like these are now driving agile into more functions and industries. Digital natives such as Amazon, Google, Microsoft, Netflix, Riot Games, and Spotify have led the way in scaling agile across a wide range of innovation activities. John Deere, the farm-equipment manufacturer, has used agile methods to develop new machinery. Mission Bell Winery has used them for everything from wine production to warehousing. C. H. Robinson, a global third-party logistics provider, has applied them in human resources. The list goes on. OpenView has used agile to run its venture capital fund; USAA, to transform its customer service; and 3M, to run a major merger integration. Bosch—a global supplier of technology and services with more than 400,000 associates—has adopted agile principles to guide a step-by-step reshaping of the company, including everything from supply-chain management and product development to marketing and strategic planning.</w:t>
      </w:r>
    </w:p>
    <w:p>
      <w:r>
        <w:rPr>
          <w:b w:val="0"/>
          <w:i w:val="0"/>
        </w:rPr>
        <w:t>How can your company or team take advantage of agile? This book will help you in two ways. If your organization is adopting or expanding agile practices, it will give you the baseline understanding you need to join in the conversation. It will demystify the concept and build a strong foundation for future learning. At the same time, it will enable you to avoid being an impediment. Sure, agile is sometimes accompanied by off-putting jargon (scrum, kanban), indecipherable acronyms (FROCC, MoSCoW), and zealots who often overstate both its uses and its benefits. At root, though, agile is a simple, practical approach to innovation that every manager can master—and actually enjoy.</w:t>
      </w:r>
    </w:p>
    <w:p>
      <w:r>
        <w:rPr>
          <w:b w:val="0"/>
          <w:i w:val="0"/>
        </w:rPr>
        <w:t>To support agile teams, general managers may need to adapt elements of the business’s operating model. They have a lot of levers at their disposal: clarifying ambitions; changing leadership styles and cultures; redefining roles and decisions rights; changing planning, budgeting, and reviewing systems; revamping hiring and talent management systems; and increasing the agility of business processes and technologies. Organization structures may need to change as well. Deciding which tools to deploy, in what sequence, and to what degree requires considerable testing, learning, balancing, and customization.</w:t>
      </w:r>
    </w:p>
    <w:p>
      <w:r>
        <w:rPr>
          <w:b w:val="0"/>
          <w:i w:val="0"/>
        </w:rPr>
        <w:t>Agile is not a panacea. It is most effective and easiest to implement where the problem to be solved is complex; solutions are initially unknown, and product requirements will most likely change; the work can be modularized; and close collaboration with end users (and rapid feedback from them) is feasible. These conditions exist for many product development functions, marketing projects, strategic-planning activities, supply-chain challenges, and resource allocation decisions. They are less common in routine operations such as plant maintenance, purchasing, sales calls, and accounting.</w:t>
      </w:r>
    </w:p>
    <w:p>
      <w:r>
        <w:rPr>
          <w:b w:val="0"/>
          <w:i w:val="0"/>
        </w:rPr>
        <w:t>The greatest impediment to agile success is not the need for better methodologies, more evidence of significant benefits, or proof that agile can work outside IT. It is the mindset and behavior of managers and executives. Those who learn to lead agile’s extension into a broader range of business activities will accelerate profitable growth. This book provides a great start.</w:t>
      </w:r>
    </w:p>
    <w:p>
      <w:r>
        <w:rPr>
          <w:b w:val="0"/>
          <w:i w:val="0"/>
        </w:rPr>
        <w:t>Further Reading</w:t>
      </w:r>
    </w:p>
    <w:p>
      <w:r>
        <w:rPr>
          <w:b w:val="0"/>
          <w:i w:val="0"/>
        </w:rPr>
        <w:t>If you want to dig deeper and further your understanding of agile, I recommend the following titles:</w:t>
      </w:r>
    </w:p>
    <w:p>
      <w:r>
        <w:rPr>
          <w:b w:val="0"/>
          <w:i w:val="0"/>
        </w:rPr>
        <w:t>Doing Agile Right: Transformation Without Chaos, by Darrell Rigby, Sarah Elk, and Steve Berez (Boston: Harvard Business Review Press, 2020).</w:t>
      </w:r>
    </w:p>
    <w:p>
      <w:r>
        <w:rPr>
          <w:b w:val="0"/>
          <w:i w:val="0"/>
        </w:rPr>
        <w:t>Multipliers, Revised and Updated: How the Best Leaders Make Everyone Smarter, by Liz Wiseman (New York: HarperBusiness, 2017).</w:t>
      </w:r>
    </w:p>
    <w:p>
      <w:r>
        <w:rPr>
          <w:b w:val="0"/>
          <w:i w:val="0"/>
        </w:rPr>
        <w:t>The Phoenix Project: A Novel About IT, DevOps, and Helping Your Business Win, 5th anniversary ed., by Gene Kim, Kevin Behr, and George Spafford (Portland, OR: IT Revolution Press, 2018).</w:t>
      </w:r>
    </w:p>
    <w:p>
      <w:r>
        <w:rPr>
          <w:b w:val="0"/>
          <w:i w:val="0"/>
        </w:rPr>
        <w:t>The Principles of Product Development Flow: Second Generation Lean Product Development, by Donald G. Reinertsen (Redondo Beach, CA: Celeritas Publishing, 2009).</w:t>
      </w:r>
    </w:p>
    <w:p>
      <w:r>
        <w:rPr>
          <w:b w:val="0"/>
          <w:i w:val="0"/>
        </w:rPr>
        <w:t>Scrum: The Art of Doing Twice the Work in Half the Time, by Jeff Sutherland (New York: Crown Publishing Group, 2014).</w:t>
      </w:r>
    </w:p>
    <w:p>
      <w:r>
        <w:rPr>
          <w:b w:val="0"/>
          <w:i w:val="0"/>
        </w:rPr>
        <w:t>Time, Talent, Energy: Overcome Organizational Drag and Unleash Your Team’s Productive Power, by Michael C. Mankins (Boston: Harvard Business Review Press, 2017).</w:t>
      </w:r>
    </w:p>
    <w:p>
      <w:pPr>
        <w:pStyle w:val="Heading1"/>
      </w:pPr>
      <w:r>
        <w:rPr>
          <w:b w:val="0"/>
          <w:i w:val="0"/>
        </w:rPr>
        <w:t>1</w:t>
      </w:r>
    </w:p>
    <w:p>
      <w:pPr>
        <w:pStyle w:val="Heading1"/>
      </w:pPr>
      <w:r>
        <w:rPr>
          <w:b w:val="0"/>
          <w:i w:val="0"/>
        </w:rPr>
        <w:t>AGILE AT SCALE</w:t>
      </w:r>
    </w:p>
    <w:p>
      <w:r>
        <w:rPr>
          <w:b w:val="0"/>
          <w:i w:val="0"/>
        </w:rPr>
        <w:t>by Darrell K. Rigby, Jeff Sutherland, and Andy Noble</w:t>
      </w:r>
    </w:p>
    <w:p>
      <w:r>
        <w:rPr>
          <w:b w:val="0"/>
          <w:i w:val="0"/>
        </w:rPr>
        <w:t>By now most business leaders are familiar with agile innovation teams. These small, entrepreneurial groups are designed to stay close to customers and adapt quickly to changing conditions. When implemented correctly, they almost always result in higher team productivity and morale, faster time to market, better quality, and lower risk than traditional approaches can achieve.</w:t>
      </w:r>
    </w:p>
    <w:p>
      <w:r>
        <w:rPr>
          <w:b w:val="0"/>
          <w:i w:val="0"/>
        </w:rPr>
        <w:t>Naturally, leaders who have experienced or heard about agile teams are asking some compelling questions. What if a company were to launch dozens, hundreds, or even thousands of agile teams throughout the organization? Could whole segments of the business learn to operate in this manner? Would scaling up agile improve corporate performance as much as agile methods improve individual team performance?</w:t>
      </w:r>
    </w:p>
    <w:p>
      <w:r>
        <w:rPr>
          <w:b w:val="0"/>
          <w:i w:val="0"/>
        </w:rPr>
        <w:t>In today’s tumultuous markets, where established companies are furiously battling assaults from startups and other insurgent competitors, the prospect of a fast-moving, adaptive organization is highly appealing. But as enticing as such a vision is, turning it into a reality can be challenging. Companies often struggle to know which functions should be reorganized into multidisciplinary agile teams and which should not. And it’s not unusual to launch hundreds of new agile teams only to see them bottlenecked by slow-moving bureaucracies.</w:t>
      </w:r>
    </w:p>
    <w:p>
      <w:r>
        <w:rPr>
          <w:b w:val="0"/>
          <w:i w:val="0"/>
        </w:rPr>
        <w:t>We have studied the scaling up of agile at hundreds of companies, including small firms that run the entire enterprise with agile methods; larger companies that, like Spotify and Netflix, were born agile and have become more so as they’ve grown; and companies that, like Amazon and USAA (the financial services company for the military community), are making the transition from traditional hierarchies to more-agile enterprises. Along with the many success stories are some disappointments. For example, one prominent industrial company’s attempts over the past five years to innovate like a lean startup have not yet generated the financial results sought by activist investors and the board of directors, and several senior executives recently resigned.</w:t>
      </w:r>
    </w:p>
    <w:p>
      <w:r>
        <w:rPr>
          <w:b w:val="0"/>
          <w:i w:val="0"/>
        </w:rPr>
        <w:t>Our studies show that companies can scale up agile effectively and that doing so creates substantial benefits. But leaders must be realistic. Not every function needs to be organized into agile teams; indeed, agile methods aren’t well suited to some activities. Once you begin launching dozens or hundreds of agile teams, however, you can’t just leave the other parts of the business alone. If your newly agile units are constantly frustrated by bureaucratic procedures or a lack of collaboration between operations and innovation teams, sparks will fly from the organizational friction, leading to meltdowns and poor results. Changes are necessary to ensure that the functions that don’t operate as agile teams support the ones that do.</w:t>
      </w:r>
    </w:p>
    <w:p>
      <w:pPr>
        <w:pStyle w:val="Heading3"/>
      </w:pPr>
      <w:r>
        <w:rPr>
          <w:b w:val="0"/>
          <w:i w:val="0"/>
        </w:rPr>
        <w:t>Leading Agile by Being Agile</w:t>
      </w:r>
    </w:p>
    <w:p>
      <w:r>
        <w:rPr>
          <w:b w:val="0"/>
          <w:i w:val="0"/>
        </w:rPr>
        <w:t>For anyone who isn’t familiar with agile, here’s a short review. Agile teams are best suited to innovation—that is, the profitable application of creativity to improve products and services, processes, or business models. They are small and multidisciplinary. Confronted with a large, complex problem, they break it into modules, develop solutions to each component through rapid prototyping and tight feedback loops, and integrate the solutions into a coherent whole. They place more value on adapting to change than on sticking to a plan, and they hold themselves accountable for outcomes (such as growth, profitability, and customer loyalty), not outputs (such as lines of code or number of new products).</w:t>
      </w:r>
    </w:p>
    <w:p>
      <w:r>
        <w:rPr>
          <w:b w:val="0"/>
          <w:i w:val="0"/>
        </w:rPr>
        <w:t>Conditions are ripe for agile teams in any situation where problems are complex, solutions are at first unclear, project requirements are likely to change, close collaboration with end users is feasible, and creative teams will outperform command-and-control groups. Routine operations such as plant maintenance, purchasing, and accounting are less fertile ground. Agile methods caught on first in IT departments and are now widely used in software development. Over time they have spread into functions such as product development, marketing, and even HR. (See “Embracing Agile,” HBR, May 2016, and “HR Goes Agile,” HBR, March–April 2018, which appears in chapter 5.)</w:t>
      </w:r>
    </w:p>
    <w:p>
      <w:r>
        <w:rPr>
          <w:b w:val="0"/>
          <w:i w:val="0"/>
        </w:rPr>
        <w:t>Agile teams work differently from chain-of-command bureaucracies. They are largely self-governing: Senior leaders tell team members where to innovate but not how. And the teams work closely with customers, both external and internal. Ideally, this puts responsibility for innovation in the hands of those who are closest to customers. It reduces layers of control and approval, thereby speeding up work and increasing the teams’ motivation. It also frees up senior leaders to do what only they can do: create and communicate long-term visions, set and sequence strategic priorities, and build the organizational capabilities to achieve those goals.</w:t>
      </w:r>
    </w:p>
    <w:p>
      <w:r>
        <w:rPr>
          <w:b w:val="0"/>
          <w:i w:val="0"/>
        </w:rPr>
        <w:t>When leaders haven’t themselves understood and adopted agile approaches, they may try to scale up agile the way they have attacked other change initiatives: through top-down plans and directives. The track record is better when they behave like an agile team. That means viewing various parts of the organization as their customers—people and groups whose needs differ, are probably misunderstood, and will evolve as agile takes hold. The executive team sets priorities and sequences opportunities to improve those customers’ experiences and increase their success. Leaders plunge in to solve problems and remove constraints rather than delegate that work to subordinates. The agile leadership team, like any other agile team, has an “initiative owner” who is responsible for overall results and a facilitator who coaches team members and helps keep everyone actively engaged.</w:t>
      </w:r>
    </w:p>
    <w:p>
      <w:r>
        <w:rPr>
          <w:b w:val="0"/>
          <w:i w:val="0"/>
        </w:rPr>
        <w:t>Bosch, a leading global supplier of technology and services with more than 400,000 associates and operations in 60-plus countries, took this approach. As leaders began to see that traditional top-down management was no longer effective in a fast-moving, globalized world, the company became an early adopter of agile methods. But different business areas required different approaches, and Bosch’s first attempt to implement what it called a “dual organization”—one in which hot new businesses were run with agile teams while traditional functions were left out of the action—compromised the goal of a holistic transformation. In 2015 members of the board of management, led by CEO Volkmar Denner, decided to build a more unified approach to agile teams. The board acted as a steering committee and named Felix Hieronymi, a software engineer turned agile expert, to guide the effort.</w:t>
      </w:r>
    </w:p>
    <w:p>
      <w:r>
        <w:rPr>
          <w:b w:val="0"/>
          <w:i w:val="0"/>
        </w:rPr>
        <w:t>At first Hieronymi expected to manage the assignment the same way Bosch managed most projects: with a goal, a target completion date, and regular status reports to the board. But that approach felt inconsistent with agile principles, and the company’s divisions were just too skeptical of yet another centrally organized program. So the team shifted gears. “The steering committee turned into a working committee,” Hieronymi told us. “The discussions got far more interactive.” The team compiled and rank-ordered a backlog of corporate priorities that was regularly updated, and it focused on steadily removing companywide barriers to greater agility. Members fanned out to engage division leaders in dialogue. “Strategy evolved from an annual project to a continuous process,” Hieronymi says. “The members of the management board divided themselves into small agile teams and tested various approaches—some with a ‘product owner’ and an ‘agile master’—to tackle tough problems or work on fundamental topics. One group, for instance, drafted the 10 new leadership principles released in 2016. They personally experienced the satisfaction of increasing speed and effectiveness. You can’t gain this experience by reading a book.” Today Bosch operates with a mix of agile teams and traditionally structured units. But it reports that nearly all areas have adopted agile values, are collaborating more effectively, and are adapting more quickly to increasingly dynamic marketplaces.</w:t>
      </w:r>
    </w:p>
    <w:p>
      <w:pPr>
        <w:pStyle w:val="Heading3"/>
      </w:pPr>
      <w:r>
        <w:rPr>
          <w:b w:val="0"/>
          <w:i w:val="0"/>
        </w:rPr>
        <w:t>Getting Agile Rolling</w:t>
      </w:r>
    </w:p>
    <w:p>
      <w:r>
        <w:rPr>
          <w:b w:val="0"/>
          <w:i w:val="0"/>
        </w:rPr>
        <w:t>At Bosch and other advanced agile enterprises, the visions are ambitious. In keeping with agile principles, however, the leadership team doesn’t plan every detail in advance. Leaders recognize that they do not yet know how many agile teams they will require, how quickly they should add them, and how they can address bureaucratic constraints without throwing the organization into chaos. So they typically launch an initial wave of agile teams, gather data on the value those teams create and the constraints they face, and then decide whether, when, and how to take the next step. This lets them weigh the value of increasing agility (in terms of financial results, customer outcomes, and employee performance) against its costs (in terms of both financial investments and organizational challenges). If the benefits outweigh the costs, leaders continue to scale up agile—deploying another wave of teams, unblocking constraints in less agile parts of the organization, and repeating the cycle. If not, they can pause, monitor the market environment, and explore ways to increase the value of the agile teams already in place (for instance, by improving the prioritization of work or upgrading prototyping capabilities) and decrease the costs of change (by publicizing agile successes or hiring experienced agile enthusiasts).</w:t>
      </w:r>
    </w:p>
    <w:p>
      <w:r>
        <w:rPr>
          <w:b w:val="0"/>
          <w:i w:val="0"/>
        </w:rPr>
        <w:t>To get started on this test-and-learn cycle, leadership teams typically employ two essential tools: a taxonomy of potential teams and a sequencing plan reflecting the company’s key priorities. Let’s first look at how each can be employed and then explore what more is needed to tackle large-scale, long-term agile initiatives.</w:t>
      </w:r>
    </w:p>
    <w:p>
      <w:pPr>
        <w:pStyle w:val="Heading3"/>
      </w:pPr>
      <w:r>
        <w:rPr>
          <w:b w:val="0"/>
          <w:i w:val="0"/>
        </w:rPr>
        <w:t>Create a taxonomy of teams</w:t>
      </w:r>
    </w:p>
    <w:p>
      <w:r>
        <w:rPr>
          <w:b w:val="0"/>
          <w:i w:val="0"/>
        </w:rPr>
        <w:t>Just as agile teams compile a backlog of work to be accomplished in the future, companies that successfully scale up agile usually begin by creating a full taxonomy of opportunities. Following agile’s modular approach, they may break the taxonomy into three components—customer experience teams, business process teams, and technology systems teams—and then integrate them. The first component identifies all the experiences that could significantly affect external and internal customer decisions, behaviors, and satisfaction. These can usually be divided into a dozen or so major experiences (for example, one of a retail customer’s major experiences is to buy and pay for a product), which in turn can be divided into dozens of more-specific experiences (the customer may need to choose a payment method, use a coupon, redeem loyalty points, complete the checkout process, and get a receipt). The second component examines the relationships among these experiences and key business processes (improved checkout to reduce time in lines, for instance), aiming to reduce overlapping responsibilities and increase collaboration between process teams and customer experience teams. The third focuses on developing technology systems (such as better mobile-checkout apps) to improve the processes that will support customer experience teams.</w:t>
      </w:r>
    </w:p>
    <w:p>
      <w:r>
        <w:rPr>
          <w:b w:val="0"/>
          <w:i w:val="0"/>
        </w:rPr>
        <w:t>The taxonomy of a $10 billion business might identify anywhere from 350 to 1,000 or more potential teams. Those numbers sound daunting, and senior executives are often loath even to consider so much change. (“How about if we try two or three of these things and see how it goes?”) But the value of a taxonomy is that it encourages exploration of a transformational vision while breaking the journey into small steps that can be paused, turned, or halted at any time. It also helps leaders spot constraints. Once you’ve identified the teams you could launch and the sorts of people you would need to staff them, for instance, you need to ask: Do we have those people? If so, where are they? A taxonomy reveals your talent gaps and the kinds of people you must hire or retrain to fill them. Leaders can also see how each potential team fits into the goal of delivering better customer experiences.</w:t>
      </w:r>
    </w:p>
    <w:p>
      <w:r>
        <w:rPr>
          <w:b w:val="0"/>
          <w:i w:val="0"/>
        </w:rPr>
        <w:t>USAA has more than 500 agile teams up and running and plans to add 100 more in 2018. The taxonomy is fully visible to everyone across the enterprise. “If you don’t have a really good taxonomy, you get redundancy and duplication,” COO Carl Liebert told us. “I want to walk into an auditorium and ask, ‘Who owns the member’s change-of-address experience?’ And I want a clear and confident response from a team that owns that experience, whether a member is calling us, logging in to our website on a laptop, or using our mobile app. No finger-pointing. No answers that begin with ‘It’s complicated.’ ”</w:t>
      </w:r>
    </w:p>
    <w:p>
      <w:r>
        <w:rPr>
          <w:b w:val="0"/>
          <w:i w:val="0"/>
        </w:rPr>
        <w:t>USAA’s taxonomy ties the activities of agile teams to the people responsible for business units and product lines. The goal is to ensure that managers responsible for specific parts of the P&amp;L understand how cross-functional teams will influence their results. The company has senior leaders who act as general managers in each line of business and are fully accountable for business results. But those leaders rely on customer-focused, cross-organizational teams to get much of the work done. The company also depends on technology and digital resources assigned to the experience owners; the goal here is to ensure that business leaders have the end-to-end resources to deliver the outcomes they have committed to. The intent of the taxonomy is to clarify how to engage the right people in the right work without creating confusion. This kind of link is especially important when hierarchical organizational structures do not align with customer behaviors. For example, many companies have separate structures and P&amp;Ls for online and offline operations—but customers want seamlessly integrated omnichannel experiences. A clear taxonomy that launches the right cross-organizational teams makes such alignment possible.</w:t>
      </w:r>
    </w:p>
    <w:p>
      <w:pPr>
        <w:pStyle w:val="Heading3"/>
      </w:pPr>
      <w:r>
        <w:rPr>
          <w:b w:val="0"/>
          <w:i w:val="0"/>
        </w:rPr>
        <w:t>Sequence the transition</w:t>
      </w:r>
    </w:p>
    <w:p>
      <w:r>
        <w:rPr>
          <w:b w:val="0"/>
          <w:i w:val="0"/>
        </w:rPr>
        <w:t>Taxonomy in hand, the leadership team sets priorities and sequences initiatives. Leaders must consider multiple criteria, including strategic importance, budget limitations, availability of people, return on investment, cost of delays, risk levels, and interdependencies among teams. The most important—and the most frequently overlooked—are the pain points felt by customers and employees on the one hand and the organization’s capabilities and constraints on the other. These determine the right balance between how fast the rollout should proceed and how many teams the organization can handle simultaneously.</w:t>
      </w:r>
    </w:p>
    <w:p>
      <w:r>
        <w:rPr>
          <w:b w:val="0"/>
          <w:i w:val="0"/>
        </w:rPr>
        <w:t>A few companies, facing urgent strategic threats and in need of radical change, have pursued big-bang, everything-at-once deployments in some units. For example, in 2015 ING Netherlands anticipated rising customer demand for digital solutions and increasing incursions by new digital competitors (“fintechs”). The management team decided to move aggressively. It dissolved the organizational structures of its most innovative functions, including IT development, product management, channel management, and marketing—essentially abolishing everyone’s job. Then it created small agile “squads” and required nearly 3,500 employees to reapply for 2,500 redesigned positions on those squads. About 40% of the people filling the positions had to learn new jobs, and all had to profoundly change their mindset.</w:t>
      </w:r>
    </w:p>
    <w:p>
      <w:r>
        <w:rPr>
          <w:b w:val="0"/>
          <w:i w:val="0"/>
        </w:rPr>
        <w:t>But big-bang transitions are hard. They require total leadership commitment, a receptive culture, enough talented and experienced agile practitioners to staff hundreds of teams without depleting other capabilities, and highly prescriptive instruction manuals to align everyone’s approach. They also require a high tolerance of risk, along with contingency plans to deal with unexpected breakdowns. ING continues to iron out wrinkles as it expands agile throughout the organization.</w:t>
      </w:r>
    </w:p>
    <w:p>
      <w:r>
        <w:rPr>
          <w:b w:val="0"/>
          <w:i w:val="0"/>
        </w:rPr>
        <w:t>Companies short on those assets are better off rolling out agile in sequenced steps, with each unit matching the implementation of opportunities to its capabilities. At the beginning of its agile initiative, the advanced technology group at 3M Health Information Systems launched 8 to 10 teams every month or two; now, two years in, more than 90 teams are up and running. 3M’s Corporate Research Systems Lab got started later but launched 20 teams in three months.</w:t>
      </w:r>
    </w:p>
    <w:p>
      <w:r>
        <w:rPr>
          <w:b w:val="0"/>
          <w:i w:val="0"/>
        </w:rPr>
        <w:t>Whatever the pace or endpoint, results should begin showing up quickly. Financial results may take a while—Jeff Bezos believes that most initiatives take five to seven years to pay dividends for Amazon—but positive changes in customer behavior and team problem solving provide early signs that initiatives are on the right track. “Agile adoption has already enabled accelerated product deliveries and the release of a beta application six months earlier than originally planned,” says Tammy Sparrow, a senior program manager at 3M Health Information Systems.</w:t>
      </w:r>
    </w:p>
    <w:p>
      <w:r>
        <w:rPr>
          <w:b w:val="0"/>
          <w:i w:val="0"/>
        </w:rPr>
        <w:t>Division leaders can determine the sequencing just as any agile team would. Start with the initiatives that offer potentially the greatest value and the most learning. SAP, the enterprise software company, was an early scaler of agile, launching the process a decade ago. Its leaders expanded agile first in its software development units—a highly customer-centric segment where they could test and refine the approach. They established a small consulting group to train, coach, and embed the new way of working, and they created a results tracker so that everyone could see the teams’ gains. “Showing concrete examples of impressive productivity gains from agile created more and more pull from the organization,” says Sebastian Wagner, who was then a consulting manager in that group. Over the next two years the company rolled out agile to more than 80% of its development organizations, creating more than 2,000 teams. People in sales and marketing saw the need to adapt in order to keep up, so those areas went next. Once the front end of the business was moving at speed, it was time for the back end to make the leap, so SAP shifted its group working on internal IT systems to agile.</w:t>
      </w:r>
    </w:p>
    <w:p>
      <w:r>
        <w:rPr>
          <w:b w:val="0"/>
          <w:i w:val="0"/>
        </w:rPr>
        <w:t>Too many companies make the mistake of going for easy wins. They put teams into offsite incubators. They intervene to create easy workarounds to systemic obstacles. Such coddling increases the odds of a team’s success, but it doesn’t produce the learning environment or organizational changes necessary to scale dozens or hundreds of teams. A company’s early agile teams carry the burden of destiny. Testing them, just like testing any prototype, should reflect diverse, realistic conditions. Like SAP, the most successful companies focus on vital customer experiences that cause the greatest frustrations among functional silos.</w:t>
      </w:r>
    </w:p>
    <w:p>
      <w:r>
        <w:rPr>
          <w:b w:val="0"/>
          <w:i w:val="0"/>
        </w:rPr>
        <w:t xml:space="preserve">Still, no agile team should launch unless and until it is ready to begin. </w:t>
      </w:r>
      <w:r>
        <w:rPr>
          <w:b w:val="0"/>
          <w:i/>
        </w:rPr>
        <w:t>Ready</w:t>
      </w:r>
      <w:r>
        <w:rPr>
          <w:b w:val="0"/>
          <w:i w:val="0"/>
        </w:rPr>
        <w:t xml:space="preserve"> doesn’t mean planned in detail and guaranteed to succeed. It means that the team is:</w:t>
      </w:r>
    </w:p>
    <w:p>
      <w:pPr>
        <w:pStyle w:val="ListBullet"/>
      </w:pPr>
      <w:r>
        <w:rPr>
          <w:b w:val="0"/>
          <w:i w:val="0"/>
        </w:rPr>
        <w:t>Focused on a major business opportunity with a lot at stake</w:t>
      </w:r>
    </w:p>
    <w:p>
      <w:pPr>
        <w:pStyle w:val="ListBullet"/>
      </w:pPr>
      <w:r>
        <w:rPr>
          <w:b w:val="0"/>
          <w:i w:val="0"/>
        </w:rPr>
        <w:t>Responsible for specific outcomes</w:t>
      </w:r>
    </w:p>
    <w:p>
      <w:pPr>
        <w:pStyle w:val="ListBullet"/>
      </w:pPr>
      <w:r>
        <w:rPr>
          <w:b w:val="0"/>
          <w:i w:val="0"/>
        </w:rPr>
        <w:t>Trusted to work autonomously—guided by clear decision rights, properly resourced, and staffed with a small group of multidisciplinary experts who are passionate about the opportunity</w:t>
      </w:r>
    </w:p>
    <w:p>
      <w:pPr>
        <w:pStyle w:val="ListBullet"/>
      </w:pPr>
      <w:r>
        <w:rPr>
          <w:b w:val="0"/>
          <w:i w:val="0"/>
        </w:rPr>
        <w:t>Committed to applying agile values, principles, and practices</w:t>
      </w:r>
    </w:p>
    <w:p>
      <w:pPr>
        <w:pStyle w:val="ListBullet"/>
      </w:pPr>
      <w:r>
        <w:rPr>
          <w:b w:val="0"/>
          <w:i w:val="0"/>
        </w:rPr>
        <w:t>Empowered to collaborate closely with customers</w:t>
      </w:r>
    </w:p>
    <w:p>
      <w:pPr>
        <w:pStyle w:val="ListBullet"/>
      </w:pPr>
      <w:r>
        <w:rPr>
          <w:b w:val="0"/>
          <w:i w:val="0"/>
        </w:rPr>
        <w:t>Able to create rapid prototypes and fast feedback loops</w:t>
      </w:r>
    </w:p>
    <w:p>
      <w:pPr>
        <w:pStyle w:val="ListBullet"/>
      </w:pPr>
      <w:r>
        <w:rPr>
          <w:b w:val="0"/>
          <w:i w:val="0"/>
        </w:rPr>
        <w:t>Supported by senior executives who will address impediments and drive adoption of the team’s work</w:t>
      </w:r>
    </w:p>
    <w:p>
      <w:r>
        <w:rPr>
          <w:b w:val="0"/>
          <w:i w:val="0"/>
        </w:rPr>
        <w:t>Following this checklist will help you plot your sequence for the greatest impact on both customers and the organization.</w:t>
      </w:r>
    </w:p>
    <w:p>
      <w:pPr>
        <w:pStyle w:val="Heading3"/>
      </w:pPr>
      <w:r>
        <w:rPr>
          <w:b w:val="0"/>
          <w:i w:val="0"/>
        </w:rPr>
        <w:t>Master large-scale agile initiatives</w:t>
      </w:r>
    </w:p>
    <w:p>
      <w:r>
        <w:rPr>
          <w:b w:val="0"/>
          <w:i w:val="0"/>
        </w:rPr>
        <w:t>Many executives have trouble imagining that small agile teams can attack large-scale, long-term projects. But in principle there is no limit to the number of agile teams you can create or how large the initiative can be. You can establish “teams of teams” that work on related initiatives—an approach that is highly scalable. Saab’s aeronautics business, for instance, has more than 100 agile teams operating across software, hardware, and fuselage for its Gripen fighter jet—a $43 million item that is certainly one of the most complex products in the world. It coordinates through daily team-of-teams stand-ups. At 7:30 a.m. each frontline agile team holds a 15-minute meeting to flag impediments, some of which cannot be resolved within that team. At 7:45 the impediments requiring coordination are escalated to a team of teams, where leaders work to either settle or further escalate issues. This approach continues, and by 8:45 the executive action team has a list of the critical issues it must resolve to keep progress on track. Aeronautics also coordinates its teams through a common rhythm of three-week sprints, a project master plan that is treated as a living document, and the colocation of traditionally disparate parts of the organization—for instance, putting test pilots and simulators with development teams. The results are dramatic: IHS Jane’s has deemed the Gripen the world’s most cost-effective military aircraft.</w:t>
      </w:r>
    </w:p>
    <w:p>
      <w:pPr>
        <w:pStyle w:val="Heading3"/>
      </w:pPr>
      <w:r>
        <w:rPr>
          <w:b w:val="0"/>
          <w:i w:val="0"/>
        </w:rPr>
        <w:t>Building Agility Across the Business</w:t>
      </w:r>
    </w:p>
    <w:p>
      <w:r>
        <w:rPr>
          <w:b w:val="0"/>
          <w:i w:val="0"/>
        </w:rPr>
        <w:t>Expanding the number of agile teams is an important step toward increasing the agility of a business. But equally important is how those teams interact with the rest of the organization. Even the most advanced agile enterprises—Amazon, Spotify, Google, Netflix, Bosch, Saab, SAP, Salesforce, Riot Games, Tesla, and SpaceX, to name a few—operate with a mix of agile teams and traditional structures. To ensure that bureaucratic functions don’t hamper the work of agile teams or fail to adopt and commercialize the innovations developed by those teams, such companies constantly push for greater change in at least four areas.</w:t>
      </w:r>
    </w:p>
    <w:p>
      <w:pPr>
        <w:pStyle w:val="Heading3"/>
      </w:pPr>
      <w:r>
        <w:rPr>
          <w:b w:val="0"/>
          <w:i w:val="0"/>
        </w:rPr>
        <w:t>Values and principles</w:t>
      </w:r>
    </w:p>
    <w:p>
      <w:r>
        <w:rPr>
          <w:b w:val="0"/>
          <w:i w:val="0"/>
        </w:rPr>
        <w:t>A traditional hierarchical company can usually accommodate a small number of agile teams sprinkled around the organization. Conflicts between the teams and conventional procedures can be resolved through personal interventions and workarounds. When a company launches several hundred agile teams, however, that kind of ad hoc accommodation is no longer possible. Agile teams will be pressing ahead on every front. Traditionally structured parts of the organization will fiercely defend the status quo. As with any change, skeptics can and will produce all kinds of antibodies that attack agile, ranging from refusals to operate on an agile timetable (“Sorry, we can’t get to that software module you need for six months”) to the withholding of funds from big opportunities that require unfamiliar solutions.</w:t>
      </w:r>
    </w:p>
    <w:p>
      <w:r>
        <w:rPr>
          <w:b w:val="0"/>
          <w:i w:val="0"/>
        </w:rPr>
        <w:t>So a leadership team hoping to scale up agile needs to instill agile values and principles throughout the enterprise, including the parts that do not organize into agile teams. This is why Bosch’s leaders developed new leadership principles and fanned out throughout the company: They wanted to ensure that everyone understood that things would be different and that agile would be at the center of the company’s culture.</w:t>
      </w:r>
    </w:p>
    <w:p>
      <w:pPr>
        <w:pStyle w:val="Heading3"/>
      </w:pPr>
      <w:r>
        <w:rPr>
          <w:b w:val="0"/>
          <w:i w:val="0"/>
        </w:rPr>
        <w:t>Operating architectures</w:t>
      </w:r>
    </w:p>
    <w:p>
      <w:r>
        <w:rPr>
          <w:b w:val="0"/>
          <w:i w:val="0"/>
        </w:rPr>
        <w:t>Implementing agile at scale requires modularizing and then seamlessly integrating workstreams. For example, Amazon can deploy software thousands of times a day because its IT architecture was designed to help developers make fast, frequent releases without jeopardizing the firm’s complex systems. But many large companies, no matter how fast they can code programs, can deploy software only a few times a day or a week; that’s how their architecture works.</w:t>
      </w:r>
    </w:p>
    <w:p>
      <w:r>
        <w:rPr>
          <w:b w:val="0"/>
          <w:i w:val="0"/>
        </w:rPr>
        <w:t>Building on the modular approach to product development pioneered by Toyota, Tesla meticulously designs interfaces among the components of its cars to allow each module to innovate independently. Thus the bumper team can change anything as long as it maintains stable interfaces with the parts it affects. Tesla is also abandoning traditional annual release cycles in favor of real-time responses to customer feedback. CEO Elon Musk says that the company makes about 20 engineering changes a week to improve the production and performance of the Model S. Examples include new battery packs, updated safety and autopilot hardware, and software that automatically adjusts the steering wheel and seat for easier entry and exit.</w:t>
      </w:r>
    </w:p>
    <w:p>
      <w:r>
        <w:rPr>
          <w:b w:val="0"/>
          <w:i w:val="0"/>
        </w:rPr>
        <w:t>In the most advanced agile enterprises, innovative product and process architectures are attacking some of the thorniest organizational constraints to further scaling. Riot Games, the developer of the wildly successful multiplayer online battle arena League of Legends, is redesigning the interfaces between agile teams and support-and-control functions that operate conventionally, such as facilities, finance, and HR. Brandon Hsiung, the product lead for this ongoing initiative, says it involves at least two key steps. One is shifting the functions’ definition of their customers. “Their customers are not their functional bosses, or the CEO, or even the board of directors,” he explains. “Their customers are the development teams they serve, who ultimately serve our players.” The company instituted Net Promoter surveys to collect feedback on whether those customers would recommend the functions to others and made it plain that dissatisfied customers could sometimes hire outside providers. “It’s the last thing we want to happen, but we want to make sure our functions develop world-class capabilities that could compete in a free market,” Hsiung says.</w:t>
      </w:r>
    </w:p>
    <w:p>
      <w:r>
        <w:rPr>
          <w:b w:val="0"/>
          <w:i w:val="0"/>
        </w:rPr>
        <w:t>Riot Games also revamped how its corporate functions interact with its agile teams. Some members of corporate functions may be embedded in agile teams, or a portion of a function’s capacity may be dedicated to requests from agile teams. Alternatively, functions might have little formal engagement with the teams after collaborating with them to establish certain boundaries. Says Hsiung: “Silos such as real estate and learning and development might publish philosophies, guidelines, and rules and then say, ‘Here are our guidelines. As long as you operate within them, you can go crazy; do whatever you believe is best for our players.’ ”</w:t>
      </w:r>
    </w:p>
    <w:p>
      <w:r>
        <w:rPr>
          <w:b w:val="0"/>
          <w:i w:val="0"/>
        </w:rPr>
        <w:t>In companies that have scaled up agile, the organization charts of support functions and routine operations generally look much as they did before, though often with fewer management layers and broader spans of control as supervisors learn to trust and empower people. The bigger changes are in the ways functional departments work. Functional priorities are necessarily more fully aligned with corporate strategies. If one of the company’s key priorities is improving customers’ mobile experience, that can’t be number 15 on finance’s funding list or HR’s hiring list. And departments such as legal may need buffer capacity to deal with urgent requests from high-priority agile teams.</w:t>
      </w:r>
    </w:p>
    <w:p>
      <w:r>
        <w:rPr>
          <w:b w:val="0"/>
          <w:i w:val="0"/>
        </w:rPr>
        <w:t>Over time even routine operations with hierarchical structures are likely to develop more-agile mindsets. Of course, finance departments will always manage budgets, but they don’t need to keep questioning the decisions of the owners of agile initiatives. “Our CFO constantly shifts accountability to empowered agile teams,” says Ahmed Sidky, the head of development management at Riot Games. “He’ll say, ‘I am not here to run the finances of the company. You are, as team leaders. I’m here in an advisory capacity.’ In the day-to-day organization, finance partners are embedded in every team. They don’t control what the teams do or don’t do. They are more like finance coaches who ask hard questions and provide deep expertise. But ultimately it’s the team leader who makes decisions, according to what is best for Riot players.”</w:t>
      </w:r>
    </w:p>
    <w:p>
      <w:r>
        <w:rPr>
          <w:b w:val="0"/>
          <w:i w:val="0"/>
        </w:rPr>
        <w:t>Some companies, and some individuals, may find these trade-offs hard to accept and challenging to implement. Reducing control is always scary—until you do so and find that people are happier and success rates triple. In a Bain survey of nearly 1,300 global executives, more respondents agreed with this statement about management than with any other: “Today’s business leaders must trust and empower people, not command and control them.” (Only 5% disagreed.)</w:t>
      </w:r>
    </w:p>
    <w:p>
      <w:pPr>
        <w:pStyle w:val="Heading3"/>
      </w:pPr>
      <w:r>
        <w:rPr>
          <w:b w:val="0"/>
          <w:i w:val="0"/>
        </w:rPr>
        <w:t>Talent acquisition and motivation</w:t>
      </w:r>
    </w:p>
    <w:p>
      <w:r>
        <w:rPr>
          <w:b w:val="0"/>
          <w:i w:val="0"/>
        </w:rPr>
        <w:t>Companies that are scaling up agile need systems for acquiring star players and motivating them to make teams better. (Treat your stars unfairly, and they will bolt to a sexy startup.) They also need to unleash the wasted potential of more-typical team members and build commitment, trust, and joint accountability for outcomes. There’s no practical way to do this without changing HR procedures. A company can no longer hire purely for expertise, for instance; it now needs expertise combined with enthusiasm for work on a collaborative team. It can’t evaluate people according to whether they hit individual objectives; it now needs to look at their performance on agile teams and at team members’ evaluations of one another. Performance assessments typically shift from an annual basis to a system that provides relevant feedback and coaching every few weeks or months. Training and coaching programs encourage the development of cross-functional skills customized to the needs of individual employees. Job titles matter less and change less frequently with self-governing teams and fewer hierarchical levels. Career paths show how product owners—the individuals who set the vision and own the results of an agile team—can continue their personal development, expand their influence, and increase their compensation.</w:t>
      </w:r>
    </w:p>
    <w:p>
      <w:r>
        <w:rPr>
          <w:b w:val="0"/>
          <w:i w:val="0"/>
        </w:rPr>
        <w:t>Companies may also need to revamp their compensation systems to reward group rather than individual accomplishments. They need recognition programs that celebrate contributions immediately. Public recognition is better than confidential cash bonuses at bolstering agile values—it inspires recipients to improve even further, and it motivates others to emulate the recipients’ behaviors. Leaders can also reward “A” players by engaging them in the most vital opportunities, providing them with the most advanced tools and the greatest possible freedom, and connecting them with the most talented mentors in their field.</w:t>
      </w:r>
    </w:p>
    <w:p>
      <w:pPr>
        <w:pStyle w:val="Heading3"/>
      </w:pPr>
      <w:r>
        <w:rPr>
          <w:b w:val="0"/>
          <w:i w:val="0"/>
        </w:rPr>
        <w:t>Annual planning and budgeting cycles</w:t>
      </w:r>
    </w:p>
    <w:p>
      <w:r>
        <w:rPr>
          <w:b w:val="0"/>
          <w:i w:val="0"/>
        </w:rPr>
        <w:t>In bureaucratic companies, annual strategy sessions and budget negotiations are powerful tools for aligning the organization and securing commitments to stretch goals. Agile practitioners begin with different assumptions. They see that customer needs change frequently and that breakthrough insights can occur at any time. In their view, annual cycles constrain innovation and adaptation: Unproductive projects burn resources until their budgets run out, while critical innovations wait in line for the next budget cycle to compete for funding.</w:t>
      </w:r>
    </w:p>
    <w:p>
      <w:r>
        <w:rPr>
          <w:b w:val="0"/>
          <w:i w:val="0"/>
        </w:rPr>
        <w:t>In companies with many agile teams, funding procedures are different. Funders recognize that for two-thirds of successful innovations, the original concept will change significantly during the development process. They expect that teams will drop some features and launch others without waiting for the next annual cycle. As a result, funding procedures evolve to resemble those of a venture capitalist. VCs typically view funding decisions as opportunities to purchase options for further discovery. The objective is not to instantly create a large-scale business but, rather, to find a critical component of the ultimate solution. This leads to a lot of apparent failures but accelerates and reduces the cost of learning. Such an approach works well in an agile enterprise, vastly improving the speed and efficiency of innovation.</w:t>
      </w:r>
    </w:p>
    <w:p>
      <w:r>
        <w:rPr>
          <w:b w:val="0"/>
          <w:i w:val="0"/>
        </w:rPr>
        <w:t>Companies that successfully scale up agile see major changes in their business. Scaling up shifts the mix of work so that the business is doing more innovation relative to routine operations. The business is better able to read changing conditions and priorities, develop adaptive solutions, and avoid the constant crises that so frequently hit traditional hierarchies. Disruptive innovations will come to feel less disruptive and more like adaptive business as usual. The scaling up also brings agile values and principles to business operations and support functions, even if many routine activities remain. It leads to greater efficiency and productivity in some of the business’s big cost centers. It improves operating architectures and organizational models to enhance coordination between agile teams and routine operations. Changes come on line faster and are more responsive to customer needs. Finally, the business delivers measurable improvements in outcomes—not only better financial results but also greater customer loyalty and employee engagement.</w:t>
      </w:r>
    </w:p>
    <w:p>
      <w:r>
        <w:rPr>
          <w:b w:val="0"/>
          <w:i w:val="0"/>
        </w:rPr>
        <w:t>Agile’s test-and-learn approach is often described as incremental and iterative, but no one should mistake incremental development processes for incremental thinking. SpaceX, for example, aims to use agile innovation to begin transporting people to Mars by 2024, with the goal of establishing a self-sustaining colony on the planet. How will that happen? Well, people at the company don’t really know … yet. But they have a vision that it’s possible, and they have some steps in mind. They intend to dramatically improve reliability and reduce expenses, partly by reusing rockets much like airplanes. They intend to improve propulsion systems to launch rockets that can carry at least 100 people. They plan to figure out how to refuel in space. Some of the steps include pushing current technologies as far as possible and then waiting for new partners and new technologies to emerge.</w:t>
      </w:r>
    </w:p>
    <w:p>
      <w:r>
        <w:rPr>
          <w:b w:val="0"/>
          <w:i w:val="0"/>
        </w:rPr>
        <w:t>That’s agile in practice: big ambitions and step-by-step progress. It shows the way to proceed even when, as is so often the case, the future is murky.</w:t>
      </w:r>
    </w:p>
    <w:p>
      <w:r>
        <w:rPr>
          <w:b w:val="0"/>
          <w:i w:val="0"/>
        </w:rPr>
        <w:t>TAKEAWAYS</w:t>
      </w:r>
    </w:p>
    <w:p>
      <w:r>
        <w:rPr>
          <w:b w:val="0"/>
          <w:i w:val="0"/>
        </w:rPr>
        <w:t>Once you’ve seen what agile can do, you’ll want to incorporate it into more parts of your organization. How do you know which functions should be reorganized into multidisciplinary agile teams and which should not? And how can you launch several new teams without creating bottlenecks or being hampered by bureaucracy? Take these steps to ensure a successful scaling up at your organization:</w:t>
      </w:r>
    </w:p>
    <w:p>
      <w:r>
        <w:rPr>
          <w:b w:val="0"/>
          <w:i w:val="0"/>
        </w:rPr>
        <w:t>✓  Don’t just create agile teams; integrate agile methodologies and values into your work, such as viewing different parts of your organization as customers.</w:t>
      </w:r>
    </w:p>
    <w:p>
      <w:r>
        <w:rPr>
          <w:b w:val="0"/>
          <w:i w:val="0"/>
        </w:rPr>
        <w:t>✓  Create a taxonomy of opportunities to set priorities.</w:t>
      </w:r>
    </w:p>
    <w:p>
      <w:r>
        <w:rPr>
          <w:b w:val="0"/>
          <w:i w:val="0"/>
        </w:rPr>
        <w:t>✓  Break workstreams into modules for seamless integration.</w:t>
      </w:r>
    </w:p>
    <w:p>
      <w:r>
        <w:rPr>
          <w:b w:val="0"/>
          <w:i w:val="0"/>
        </w:rPr>
        <w:t>✓  Take a VC-like approach to funding when it’s time to begin your annual budgeting process.</w:t>
      </w:r>
    </w:p>
    <w:p>
      <w:r>
        <w:rPr>
          <w:b w:val="0"/>
          <w:i/>
        </w:rPr>
        <w:t>Reprinted from</w:t>
      </w:r>
      <w:r>
        <w:rPr>
          <w:b w:val="0"/>
          <w:i w:val="0"/>
        </w:rPr>
        <w:t xml:space="preserve"> Harvard Business Review</w:t>
      </w:r>
      <w:r>
        <w:rPr>
          <w:b w:val="0"/>
          <w:i/>
        </w:rPr>
        <w:t>, May–June 2018 (product #R1803F).</w:t>
      </w:r>
    </w:p>
    <w:p>
      <w:pPr>
        <w:pStyle w:val="Heading1"/>
      </w:pPr>
      <w:r>
        <w:rPr>
          <w:b w:val="0"/>
          <w:i w:val="0"/>
        </w:rPr>
        <w:t>2</w:t>
      </w:r>
    </w:p>
    <w:p>
      <w:pPr>
        <w:pStyle w:val="Heading1"/>
      </w:pPr>
      <w:r>
        <w:rPr>
          <w:b w:val="0"/>
          <w:i w:val="0"/>
        </w:rPr>
        <w:t>WHY AGILE GOES AWRY</w:t>
      </w:r>
    </w:p>
    <w:p>
      <w:r>
        <w:rPr>
          <w:b w:val="0"/>
          <w:i w:val="0"/>
        </w:rPr>
        <w:t>by Lindsay McGregor and Neel Doshi</w:t>
      </w:r>
    </w:p>
    <w:p>
      <w:r>
        <w:rPr>
          <w:b w:val="0"/>
          <w:i w:val="0"/>
        </w:rPr>
        <w:t>In the spirit of becoming more adaptive, organizations have rushed to implement agile software development. But many have done so in a way that actually makes them less agile. These companies have become agile in name only, as the process they’ve put in place often ends up hurting engineering motivation and productivity.</w:t>
      </w:r>
    </w:p>
    <w:p>
      <w:pPr>
        <w:pStyle w:val="Heading3"/>
      </w:pPr>
      <w:r>
        <w:rPr>
          <w:b w:val="0"/>
          <w:i w:val="0"/>
        </w:rPr>
        <w:t>Agile Software Development</w:t>
      </w:r>
    </w:p>
    <w:p>
      <w:r>
        <w:rPr>
          <w:b w:val="0"/>
          <w:i w:val="0"/>
        </w:rPr>
        <w:t>Frameworks for adaptive software development like agile have been around for a long time and have manifested in many forms. But at the heart of most of these models are two things: forming hypotheses (for example, what is a feature supposed to accomplish?) and collaborating across domains of expertise on experiments, all in the spirit of driving learning and not careening down a path that proves to be incorrect.</w:t>
      </w:r>
    </w:p>
    <w:p>
      <w:r>
        <w:rPr>
          <w:b w:val="0"/>
          <w:i w:val="0"/>
        </w:rPr>
        <w:t>When Agile was born in 2001, it articulated a set of four critical principles to elevate the craft of software development and improve engineering and product manager motivation.</w:t>
      </w:r>
    </w:p>
    <w:p>
      <w:pPr>
        <w:pStyle w:val="ListNumber"/>
      </w:pPr>
      <w:r>
        <w:rPr>
          <w:b w:val="0"/>
          <w:i w:val="0"/>
        </w:rPr>
        <w:t>Individuals and interactions over processes and tools</w:t>
      </w:r>
    </w:p>
    <w:p>
      <w:pPr>
        <w:pStyle w:val="ListNumber"/>
      </w:pPr>
      <w:r>
        <w:rPr>
          <w:b w:val="0"/>
          <w:i w:val="0"/>
        </w:rPr>
        <w:t>Working software over comprehensive documentation</w:t>
      </w:r>
    </w:p>
    <w:p>
      <w:pPr>
        <w:pStyle w:val="ListNumber"/>
      </w:pPr>
      <w:r>
        <w:rPr>
          <w:b w:val="0"/>
          <w:i w:val="0"/>
        </w:rPr>
        <w:t>Customer collaboration over contract negotiation</w:t>
      </w:r>
    </w:p>
    <w:p>
      <w:pPr>
        <w:pStyle w:val="ListNumber"/>
      </w:pPr>
      <w:r>
        <w:rPr>
          <w:b w:val="0"/>
          <w:i w:val="0"/>
        </w:rPr>
        <w:t>Responding to change over following a plan</w:t>
      </w:r>
    </w:p>
    <w:p>
      <w:r>
        <w:rPr>
          <w:b w:val="0"/>
          <w:i w:val="0"/>
        </w:rPr>
        <w:t>In our research on human motivation, we have analyzed the practices of engineers across over 500 different organizations using a combination of survey-based and experimental approaches. We’ve found that what happens in practice wildly departs from these stated principles.</w:t>
      </w:r>
    </w:p>
    <w:p>
      <w:r>
        <w:rPr>
          <w:b w:val="0"/>
          <w:i w:val="0"/>
        </w:rPr>
        <w:t xml:space="preserve">For example, in common practice, </w:t>
      </w:r>
      <w:r>
        <w:rPr>
          <w:b w:val="0"/>
          <w:i/>
        </w:rPr>
        <w:t>processes and tools</w:t>
      </w:r>
      <w:r>
        <w:rPr>
          <w:b w:val="0"/>
          <w:i w:val="0"/>
        </w:rPr>
        <w:t xml:space="preserve"> have become the driver of work, not </w:t>
      </w:r>
      <w:r>
        <w:rPr>
          <w:b w:val="0"/>
          <w:i/>
        </w:rPr>
        <w:t>individuals and interactions</w:t>
      </w:r>
      <w:r>
        <w:rPr>
          <w:b w:val="0"/>
          <w:i w:val="0"/>
        </w:rPr>
        <w:t xml:space="preserve">. In one large </w:t>
      </w:r>
      <w:r>
        <w:rPr>
          <w:b w:val="0"/>
          <w:i/>
        </w:rPr>
        <w:t>Fortune</w:t>
      </w:r>
      <w:r>
        <w:rPr>
          <w:b w:val="0"/>
          <w:i w:val="0"/>
        </w:rPr>
        <w:t xml:space="preserve"> 100 company, the head of digital products said to us, “We’re not allowed to question the agile process.” In another </w:t>
      </w:r>
      <w:r>
        <w:rPr>
          <w:b w:val="0"/>
          <w:i/>
        </w:rPr>
        <w:t>Fortune</w:t>
      </w:r>
      <w:r>
        <w:rPr>
          <w:b w:val="0"/>
          <w:i w:val="0"/>
        </w:rPr>
        <w:t xml:space="preserve"> 500 organization, product managers and engineers communicated exclusively through their tools, which were used primarily for the former to issue commands to the latter.</w:t>
      </w:r>
    </w:p>
    <w:p>
      <w:r>
        <w:rPr>
          <w:b w:val="0"/>
          <w:i w:val="0"/>
        </w:rPr>
        <w:t>Similarly, documentation often trumps working software. In one large tech company, its product team focused significant up-front time writing small requirements (called “user stories”). These requirements were put into a ticket queue as tasks for the next available engineer to start working on. The bar for documentation to keep the queue moving became high. Ultimately, this process became one of many small “waterfalls,” where work is passed from a product department to designers to engineering. This process is exactly what agile was meant to eliminate. It is no wonder that the CTO of this company said, “My engineers feel like short-order cooks in the back of a diner.”</w:t>
      </w:r>
    </w:p>
    <w:p>
      <w:r>
        <w:rPr>
          <w:b w:val="0"/>
          <w:i w:val="0"/>
        </w:rPr>
        <w:t>When it comes to “responding to change over following a plan,” this often gets misinterpreted to mean “don’t have a plan.” For example, in one fast-growing tech company, the agile teams did not try to understand the broader strategy of the organization. As a result, their attempts to iterate often focused on low-value or strategically unimportant features. Without a plan, teams won’t know how to prioritize actions, and how to invest in those actions responsibly. This principle has gone so far as to let engineers believe that it is not appropriate to have time boxes or common milestones.</w:t>
      </w:r>
    </w:p>
    <w:p>
      <w:r>
        <w:rPr>
          <w:b w:val="0"/>
          <w:i w:val="0"/>
        </w:rPr>
        <w:t>It would be one thing if these misapplications actually improved engineering motivation and performance, but we have found that in practice, the opposite happens. Agile, when practiced as we’ve described, reduces the total motivation of engineers. Because they’re not allowed to experiment, manage their own work, and connect with customers, they feel little sense of play, potential, and purpose; instead they feel emotional and economic pressure to succeed, or inertia. They stop adapting, learning, and putting their best efforts into their work.</w:t>
      </w:r>
    </w:p>
    <w:p>
      <w:r>
        <w:rPr>
          <w:b w:val="0"/>
          <w:i w:val="0"/>
        </w:rPr>
        <w:t>For example, one venture capital partner shared with us a story of how a video game development company continued to build a product for a year, despite every engineer feeling like the game was not worth playing. The company realized it wasted a lot of time and money.</w:t>
      </w:r>
    </w:p>
    <w:p>
      <w:r>
        <w:rPr>
          <w:b w:val="0"/>
          <w:i w:val="0"/>
        </w:rPr>
        <w:t>Agile processes go awry, because as companies strive for high performance, they become either too tactical (focusing too much on process and micromanagement) or too adaptive (avoiding long-term goals, timelines, or cross-functional collaboration).</w:t>
      </w:r>
    </w:p>
    <w:p>
      <w:r>
        <w:rPr>
          <w:b w:val="0"/>
          <w:i w:val="0"/>
        </w:rPr>
        <w:t>The key is balancing both tactical and adaptive performance. Whether you’re an engineer or product manager, here are a few changes to consider for finding this balance, so you can improve your engineering (or any) team’s motivation and performance.</w:t>
      </w:r>
    </w:p>
    <w:p>
      <w:pPr>
        <w:pStyle w:val="Heading3"/>
      </w:pPr>
      <w:r>
        <w:rPr>
          <w:b w:val="0"/>
          <w:i w:val="0"/>
        </w:rPr>
        <w:t>Software Development Should Be a No-Handoff, Collaborative Process</w:t>
      </w:r>
    </w:p>
    <w:p>
      <w:r>
        <w:rPr>
          <w:b w:val="0"/>
          <w:i w:val="0"/>
        </w:rPr>
        <w:t xml:space="preserve">Rather than a process where one person writes requirements (even small ones) while another executes them, all without a guiding strategic North Star, a team striving for true agility should have a </w:t>
      </w:r>
      <w:r>
        <w:rPr>
          <w:b w:val="0"/>
          <w:i/>
        </w:rPr>
        <w:t>no-handoff</w:t>
      </w:r>
      <w:r>
        <w:rPr>
          <w:b w:val="0"/>
          <w:i w:val="0"/>
        </w:rPr>
        <w:t xml:space="preserve"> process versus a process where one person writes requirements while the other executes them. In a no-handoff process, the product manager and the engineers (and any other stakeholders) are collaborative partners from beginning to end in designing a feature.</w:t>
      </w:r>
    </w:p>
    <w:p>
      <w:r>
        <w:rPr>
          <w:b w:val="0"/>
          <w:i w:val="0"/>
        </w:rPr>
        <w:t>First the team, including executives, should articulate the team’s strategic challenges. Challenges take the form of a question, always focused on improving some kind of customer outcome or impact. Think of them as a team’s detailed mission in question form to trigger expansive thinking. The challenges themselves are developed and iterated by the whole team, including its executive sponsors (and customers). Every single person on the team (or any team for that matter) is asked to contribute ideas to each challenge whenever they want.</w:t>
      </w:r>
    </w:p>
    <w:p>
      <w:r>
        <w:rPr>
          <w:b w:val="0"/>
          <w:i w:val="0"/>
        </w:rPr>
        <w:t>For example, in one bank, a challenge was, “How can we help customers be better prepared for possible financial shocks?” Another was, “How can we make it more fun and less of a chore for customers to maintain healthy financial habits?” These challenges produced dozens of ideas from many different people.</w:t>
      </w:r>
    </w:p>
    <w:p>
      <w:r>
        <w:rPr>
          <w:b w:val="0"/>
          <w:i w:val="0"/>
        </w:rPr>
        <w:t>Then, instead of someone writing requirements while another person executes, these teams develop and mature an idea collaboratively, from rough draft to testable hypothesis.</w:t>
      </w:r>
    </w:p>
    <w:p>
      <w:pPr>
        <w:pStyle w:val="Heading3"/>
      </w:pPr>
      <w:r>
        <w:rPr>
          <w:b w:val="0"/>
          <w:i w:val="0"/>
        </w:rPr>
        <w:t>The Team’s Unit of Delivery Should Be Minimally Viable Experiments</w:t>
      </w:r>
    </w:p>
    <w:p>
      <w:r>
        <w:rPr>
          <w:b w:val="0"/>
          <w:i w:val="0"/>
        </w:rPr>
        <w:t>Teams often find they waste time by adapting too much. To avoid this, not only should ideas be formed for a strategic challenge, they should also be executed with fast experiments aimed at learning just enough to know what works for customers. Teams should be maximizing their “speed to truth.”</w:t>
      </w:r>
    </w:p>
    <w:p>
      <w:r>
        <w:rPr>
          <w:b w:val="0"/>
          <w:i w:val="0"/>
        </w:rPr>
        <w:t>In order to reduce wasted effort and increase the team’s decision rights, experiments should be short in nature. If possible, an experiment should be no longer than a week.</w:t>
      </w:r>
    </w:p>
    <w:p>
      <w:r>
        <w:rPr>
          <w:b w:val="0"/>
          <w:i w:val="0"/>
        </w:rPr>
        <w:t>Sometimes this requires the team to minimize a feature to what is absolutely needed to test its weakest assumption. Sometimes it means that the team doesn’t code but instead completes an offline experiment through research.</w:t>
      </w:r>
    </w:p>
    <w:p>
      <w:pPr>
        <w:pStyle w:val="Heading3"/>
      </w:pPr>
      <w:r>
        <w:rPr>
          <w:b w:val="0"/>
          <w:i w:val="0"/>
        </w:rPr>
        <w:t>The Team’s Approach Should Be Customer-Centric</w:t>
      </w:r>
    </w:p>
    <w:p>
      <w:r>
        <w:rPr>
          <w:b w:val="0"/>
          <w:i w:val="0"/>
        </w:rPr>
        <w:t>The process of building software (even internal-use software) should be squarely customer-centric.</w:t>
      </w:r>
    </w:p>
    <w:p>
      <w:r>
        <w:rPr>
          <w:b w:val="0"/>
          <w:i w:val="0"/>
        </w:rPr>
        <w:t>At the simplest, these principles should cover the following:</w:t>
      </w:r>
    </w:p>
    <w:p>
      <w:pPr>
        <w:pStyle w:val="ListBullet"/>
      </w:pPr>
      <w:r>
        <w:rPr>
          <w:b w:val="0"/>
          <w:i w:val="0"/>
        </w:rPr>
        <w:t>Challenges are always framed around customer impact.</w:t>
      </w:r>
    </w:p>
    <w:p>
      <w:pPr>
        <w:pStyle w:val="ListBullet"/>
      </w:pPr>
      <w:r>
        <w:rPr>
          <w:b w:val="0"/>
          <w:i w:val="0"/>
        </w:rPr>
        <w:t>Problem-solving meetings always start with a customer update, and representatives from the front line are included frequently in these discussions.</w:t>
      </w:r>
    </w:p>
    <w:p>
      <w:pPr>
        <w:pStyle w:val="ListBullet"/>
      </w:pPr>
      <w:r>
        <w:rPr>
          <w:b w:val="0"/>
          <w:i w:val="0"/>
        </w:rPr>
        <w:t>Every experiment is built around a customer-centric hypothesis. That way, the team can hold itself accountable to the outcome predicted by the experiment.</w:t>
      </w:r>
    </w:p>
    <w:p>
      <w:r>
        <w:rPr>
          <w:b w:val="0"/>
          <w:i w:val="0"/>
        </w:rPr>
        <w:t>However, even more important is that engineers see with their own eyes how customers use their products. This requires the frontline reps and the engineers working together to see if the product is creating customer impact.</w:t>
      </w:r>
    </w:p>
    <w:p>
      <w:pPr>
        <w:pStyle w:val="Heading3"/>
      </w:pPr>
      <w:r>
        <w:rPr>
          <w:b w:val="0"/>
          <w:i w:val="0"/>
        </w:rPr>
        <w:t>Use Time Boxes to Focus Experimentation and Avoid Waste</w:t>
      </w:r>
    </w:p>
    <w:p>
      <w:r>
        <w:rPr>
          <w:b w:val="0"/>
          <w:i w:val="0"/>
        </w:rPr>
        <w:t>Interestingly, adaptive software development encourages time boxes as a way to ensure an experiment is given the investment that is justified and to signal the acceptable quality level of a given feature. On the other hand, typical agile practitioners avoid time boxes or deadlines, for fear that the deadline will be used to create emotional pressure. One of the worst feelings for a software developer is spending a few months working on something that ends up being not useful. This fills you with emotional pressure (“I let everyone down”) and a sense of inertia (“Why am I even doing this?”).</w:t>
      </w:r>
    </w:p>
    <w:p>
      <w:r>
        <w:rPr>
          <w:b w:val="0"/>
          <w:i w:val="0"/>
        </w:rPr>
        <w:t>To avoid this outcome, be clear about how far an engineer should go before checking to see if the direction is still correct. The greater the uncertainty on a team’s hypothesis, and the greater the risk, the shorter that runway should be. With that in mind, the time box isn’t a deadline. It is a constraint that should guide the level of depth and quality for an experiment before a real test. In this way, time boxes can increase total motivation.</w:t>
      </w:r>
    </w:p>
    <w:p>
      <w:pPr>
        <w:pStyle w:val="Heading3"/>
      </w:pPr>
      <w:r>
        <w:rPr>
          <w:b w:val="0"/>
          <w:i w:val="0"/>
        </w:rPr>
        <w:t>The Team Should Be Organized to Emphasize Collaboration</w:t>
      </w:r>
    </w:p>
    <w:p>
      <w:r>
        <w:rPr>
          <w:b w:val="0"/>
          <w:i w:val="0"/>
        </w:rPr>
        <w:t>To make sure you end up with a no-handoff process, the various stakeholders involved should function as a single cross-functional team, also known as a pod. The goal of the pod is to drive collaboration. Each pod should contain the full set of experts needed to deliver a great product. This may include senior executives. In one organization, for example, product pods include a product manager, a front-end engineer, a back-end engineer, a designer, a quality engineer, and part-time representation from customer service, and a senior executive from a control function.</w:t>
      </w:r>
    </w:p>
    <w:p>
      <w:r>
        <w:rPr>
          <w:b w:val="0"/>
          <w:i w:val="0"/>
        </w:rPr>
        <w:t>In many organizations, there are telltale signs of “faux” pods—teams that call themselves pods but don’t actually operate that way. Signs of faux pods include:</w:t>
      </w:r>
    </w:p>
    <w:p>
      <w:pPr>
        <w:pStyle w:val="ListBullet"/>
      </w:pPr>
      <w:r>
        <w:rPr>
          <w:b w:val="0"/>
          <w:i w:val="0"/>
        </w:rPr>
        <w:t>Experts are in separate, aligned teams, not the same team. For example, a product team has dedicated engineering “sprint teams.” These are not pods.</w:t>
      </w:r>
    </w:p>
    <w:p>
      <w:pPr>
        <w:pStyle w:val="ListBullet"/>
      </w:pPr>
      <w:r>
        <w:rPr>
          <w:b w:val="0"/>
          <w:i w:val="0"/>
        </w:rPr>
        <w:t xml:space="preserve">The team uses tools that prevent real collaboration. For example, when we asked one engineering team’s members why they chose the agile software tools they were using, they said, “These tools will </w:t>
      </w:r>
      <w:r>
        <w:rPr>
          <w:b w:val="0"/>
          <w:i/>
        </w:rPr>
        <w:t>prevent</w:t>
      </w:r>
      <w:r>
        <w:rPr>
          <w:b w:val="0"/>
          <w:i w:val="0"/>
        </w:rPr>
        <w:t xml:space="preserve"> executives from engaging in our work.” All this does is perpetuate a cycle of mistrust.</w:t>
      </w:r>
    </w:p>
    <w:p>
      <w:pPr>
        <w:pStyle w:val="ListBullet"/>
      </w:pPr>
      <w:r>
        <w:rPr>
          <w:b w:val="0"/>
          <w:i w:val="0"/>
        </w:rPr>
        <w:t>Engineering and product functions actually have different goals from the top. Executives in both functions use their hierarchical power to get their people to prioritize the function’s goals above all others, including their pod’s goals. These conflicts ultimately result in clashes in the working teams that prevent true teamwork.</w:t>
      </w:r>
    </w:p>
    <w:p>
      <w:pPr>
        <w:pStyle w:val="ListBullet"/>
      </w:pPr>
      <w:r>
        <w:rPr>
          <w:b w:val="0"/>
          <w:i w:val="0"/>
        </w:rPr>
        <w:t>Rigidly hierarchical talent processes, like performance ratings, hierarchical titles, pressure to get promoted, and up-or-out systems, destroy the teamwork required to make pods function well. These systems will either make team members more beholden to their boss than their team’s customer or put team members in competition with each other. Either way, they will not function as a team.</w:t>
      </w:r>
    </w:p>
    <w:p>
      <w:r>
        <w:rPr>
          <w:b w:val="0"/>
          <w:i w:val="0"/>
        </w:rPr>
        <w:t>The stronger an organization’s silos, the more people will solve for the needs of their silo versus the needs of their team. This makes collaboration and consensus very difficult to achieve without constant escalation.</w:t>
      </w:r>
    </w:p>
    <w:p>
      <w:pPr>
        <w:pStyle w:val="Heading3"/>
      </w:pPr>
      <w:r>
        <w:rPr>
          <w:b w:val="0"/>
          <w:i w:val="0"/>
        </w:rPr>
        <w:t>The Team Should Constantly Question Its Process</w:t>
      </w:r>
    </w:p>
    <w:p>
      <w:r>
        <w:rPr>
          <w:b w:val="0"/>
          <w:i w:val="0"/>
        </w:rPr>
        <w:t xml:space="preserve">A famous maxim of engineering design is known as Conway’s law. It states that </w:t>
      </w:r>
      <w:r>
        <w:rPr>
          <w:b w:val="0"/>
          <w:i/>
        </w:rPr>
        <w:t>any organization that designs a system will produce a design whose structure is a copy of the organization’s communication (that is, process) structure.</w:t>
      </w:r>
      <w:r>
        <w:rPr>
          <w:b w:val="0"/>
          <w:i w:val="0"/>
        </w:rPr>
        <w:t xml:space="preserve"> Basically, if you’re a monolithic organization, you’ll produce monolithic designs. If you’re organized by user segments, your product will optimize for that structure.</w:t>
      </w:r>
    </w:p>
    <w:p>
      <w:r>
        <w:rPr>
          <w:b w:val="0"/>
          <w:i w:val="0"/>
        </w:rPr>
        <w:t>If you want to defeat Conway’s law, the better practice is to constantly adjust your structure and processes to suit the problem at hand. This requires teams that have simple, lightweight processes and structures that they constantly question and tweak.</w:t>
      </w:r>
    </w:p>
    <w:p>
      <w:r>
        <w:rPr>
          <w:b w:val="0"/>
          <w:i w:val="0"/>
        </w:rPr>
        <w:t>Thus, rather than creating agile as a religion that cannot be questioned, engineering teams should be in the habit of constantly diagnosing and iterating their own team’s operating model. In the best examples we’ve seen, on a monthly basis, teams diagnose their operating model and decide if it needs changing to produce a better product.</w:t>
      </w:r>
    </w:p>
    <w:p>
      <w:r>
        <w:rPr>
          <w:b w:val="0"/>
          <w:i w:val="0"/>
        </w:rPr>
        <w:t>The ability to attract, inspire, and retain digital product talent is becoming mission critical for organizations. Most have fallen prey to a simple message—implement agile as a series of ceremonies and everything gets better. Unfortunately, this is often not the case when the human side of the equation is lost. By getting back to the basics of motivation and adaptive performance, you can build an organization that is truly agile.</w:t>
      </w:r>
    </w:p>
    <w:p>
      <w:r>
        <w:rPr>
          <w:b w:val="0"/>
          <w:i w:val="0"/>
        </w:rPr>
        <w:t>TAKEAWAYS</w:t>
      </w:r>
    </w:p>
    <w:p>
      <w:r>
        <w:rPr>
          <w:b w:val="0"/>
          <w:i w:val="0"/>
        </w:rPr>
        <w:t xml:space="preserve">In the rush to become more adaptive, some companies have implemented agile in a way that actually makes them </w:t>
      </w:r>
      <w:r>
        <w:rPr>
          <w:b w:val="0"/>
          <w:i/>
        </w:rPr>
        <w:t>less</w:t>
      </w:r>
      <w:r>
        <w:rPr>
          <w:b w:val="0"/>
          <w:i w:val="0"/>
        </w:rPr>
        <w:t xml:space="preserve"> agile, like misinterpreting “responding to change over following a plan” to mean “we don’t need a plan.” To be agile in more than name only:</w:t>
      </w:r>
    </w:p>
    <w:p>
      <w:r>
        <w:rPr>
          <w:b w:val="0"/>
          <w:i w:val="0"/>
        </w:rPr>
        <w:t>✓  Develop a no-handoff process where the product manager, engineers, and other stakeholders collaborate from beginning to end.</w:t>
      </w:r>
    </w:p>
    <w:p>
      <w:r>
        <w:rPr>
          <w:b w:val="0"/>
          <w:i w:val="0"/>
        </w:rPr>
        <w:t>✓  Create teams that contain the full set of experts needed to deliver on your goal—from senior executives to part-time customer service reps.</w:t>
      </w:r>
    </w:p>
    <w:p>
      <w:r>
        <w:rPr>
          <w:b w:val="0"/>
          <w:i w:val="0"/>
        </w:rPr>
        <w:t>✓  Focus on short experiments (no longer than a week) to reduce wasted effort and increase the team’s decision rights.</w:t>
      </w:r>
    </w:p>
    <w:p>
      <w:r>
        <w:rPr>
          <w:b w:val="0"/>
          <w:i w:val="0"/>
        </w:rPr>
        <w:t>✓  Keep customers at the center of everything—from observing them using products to starting every meeting with customer updates.</w:t>
      </w:r>
    </w:p>
    <w:p>
      <w:r>
        <w:rPr>
          <w:b w:val="0"/>
          <w:i w:val="0"/>
        </w:rPr>
        <w:t>✓  Use time boxes to guide the level of depth and quality for experiments.</w:t>
      </w:r>
    </w:p>
    <w:p>
      <w:r>
        <w:rPr>
          <w:b w:val="0"/>
          <w:i/>
        </w:rPr>
        <w:t>Reprinted from hbr.org, originally published October 1, 2018 (product #H04KA0).</w:t>
      </w:r>
    </w:p>
    <w:p>
      <w:pPr>
        <w:pStyle w:val="Heading1"/>
      </w:pPr>
      <w:r>
        <w:rPr>
          <w:b w:val="0"/>
          <w:i w:val="0"/>
        </w:rPr>
        <w:t>3</w:t>
      </w:r>
    </w:p>
    <w:p>
      <w:pPr>
        <w:pStyle w:val="Heading1"/>
      </w:pPr>
      <w:r>
        <w:rPr>
          <w:b w:val="0"/>
          <w:i w:val="0"/>
        </w:rPr>
        <w:t>HOW TO MAKE SURE AGILE TEAMS CAN WORK TOGETHER</w:t>
      </w:r>
    </w:p>
    <w:p>
      <w:r>
        <w:rPr>
          <w:b w:val="0"/>
          <w:i w:val="0"/>
        </w:rPr>
        <w:t>by Alia Crocker, Rob Cross, and Heidi K. Gardner</w:t>
      </w:r>
    </w:p>
    <w:p>
      <w:r>
        <w:rPr>
          <w:b w:val="0"/>
          <w:i w:val="0"/>
        </w:rPr>
        <w:t>Increasing volatility, uncertainty, growing complexity, and ambiguous information (VUCA) have created a business environment in which agile collaboration is more critical than ever. Organizations need to be continually on the lookout for new market developments and competitive threats, identifying essential experts and nimbly forming and disbanding teams to help tackle those issues quickly. However, these cross-functional groups often bump up against misaligned incentives, hierarchical decision making, and cultural rigidities, causing progress to stall or action to not be taken at all.</w:t>
      </w:r>
    </w:p>
    <w:p>
      <w:r>
        <w:rPr>
          <w:b w:val="0"/>
          <w:i w:val="0"/>
        </w:rPr>
        <w:t>Consider the case of an organization in our consortium, the Connected Commons, that uncovered a groundbreaking audiovisual technology that would differentiate the organization in existing channels but also had the potential to open up entirely new markets. The CEO heralded it as a pivot point in growth and formed a cross-functional initiative of 100-plus top employees to bring it to new commercial channels. Yet, unfortunately, progress did not match expectations. Employees assigned to the effort struggled to make time for the work. They often did not understand the expertise or values of different functions and advocated too aggressively for their own solutions. The group was surprised several times by the demands of external stakeholders. Despite this project’s visibility, critical mandate, and groundbreaking technology, the organization was ultimately hindered when it came to agile collaboration. This story is not unique.</w:t>
      </w:r>
    </w:p>
    <w:p>
      <w:r>
        <w:rPr>
          <w:b w:val="0"/>
          <w:i w:val="0"/>
        </w:rPr>
        <w:t>A significant part of the problem is that work occurs through collaboration in networks of relationships that often do not mirror formal reporting structures or standard work processes. Intuitively, we know that the collaborative intensity of work has skyrocketed, and that collaborations are central to agility. Yet most organizations don’t manage internal collaboration productively and assume that technology or formal org charts can yield agility. These efforts often fail because they lack informal networks—for example, employees who share an interest in a technological innovation like artificial intelligence or a passion for environmental sustainability, and who can bridge the organization’s entrepreneurial and operational systems by bringing cutting-edge ideas to people who have the resources to begin experimenting and implementing them.</w:t>
      </w:r>
    </w:p>
    <w:p>
      <w:r>
        <w:rPr>
          <w:b w:val="0"/>
          <w:i w:val="0"/>
        </w:rPr>
        <w:t>Our research focuses on agility not as a broad ideal but, rather, on where agility matters most—at the point of execution, where teams are working on new products, strategic initiatives, or with top clients. All of these points of execution are essential for organizations, yet all encounter inefficiencies unless they’re managed as a network. We assessed these strategically important groups in a wide range of global organizations via network surveys, which were completed by more than 30,000 employees. We also conducted hundreds of interviews with both workers and leaders in these companies. We found that agility at the point of execution is typically created through group-level networks such as account or new product development teams formed with employees drawn from the whole organization, lateral networks across core work processes, temporary teams and task forces formed to drive a critical organizational change or respond to a strategic threat, and communities of practice that enabled organizations to enjoy true benefits of scale. These and other lateral networks provide agility when they are nurtured along four dimensions—managing the center of the network, engaging the fringe, bridging select silos, and leveraging boundary spanners. Leaders who nurture their internal networks in this way produce better outcomes—financial, strategic, and talent-related. Figure 3-1 shows how.</w:t>
      </w:r>
    </w:p>
    <w:p>
      <w:pPr>
        <w:pStyle w:val="Heading3"/>
      </w:pPr>
      <w:r>
        <w:rPr>
          <w:b w:val="0"/>
          <w:i w:val="0"/>
        </w:rPr>
        <w:t>Managing the Network’s Center</w:t>
      </w:r>
    </w:p>
    <w:p>
      <w:r>
        <w:rPr>
          <w:b w:val="0"/>
          <w:i w:val="0"/>
        </w:rPr>
        <w:t>When agility is viewed through a network lens, it becomes apparent that collaboration is never equally distributed. We typically see that 20%–35% of valuable collaborations come from only 3%–5% of employees. Through no fault of their own, these people become overly relied upon and tend to slow group responsiveness, despite working to their wits’ end. They are more likely to burn out and leave the company, creating network gaps, which then become another barrier to agility. Senior leaders need to consider where overload on the network’s center might preclude agile collaboration and:</w:t>
      </w:r>
    </w:p>
    <w:p>
      <w:pPr>
        <w:pStyle w:val="ListBullet"/>
      </w:pPr>
      <w:r>
        <w:rPr>
          <w:b w:val="0"/>
          <w:i w:val="0"/>
        </w:rPr>
        <w:t>Encourage overwhelmed employees to redistribute collaborative work in conjunction with their managers. Groundbreaking work from the Institute for Corporate Productivity found that acknowledging and shifting collaborative demands in this way is a practice that’s three times more likely to be found in high-performing organizations than in those with lower performance.1</w:t>
      </w:r>
    </w:p>
    <w:p>
      <w:pPr>
        <w:pStyle w:val="ListBullet"/>
      </w:pPr>
      <w:r>
        <w:rPr>
          <w:b w:val="0"/>
          <w:i w:val="0"/>
        </w:rPr>
        <w:t>Understand how employees have ended up in the center—and if it is a result of formal position or personal characteristics, then take the corrective actions necessary to reduce overload. For example, simple shifts in a few behaviors can yield as much as 18%–24% more time for collaboration.2 Such behaviors include managing meetings more efficiently, creating an effective climate of email use, blocking time in calendars for reflective work, negotiating role demands, and avoiding triggers that lead us all to jump in on projects or meetings when we shouldn’t, to name just a few.</w:t>
      </w:r>
    </w:p>
    <w:p>
      <w:pPr>
        <w:pStyle w:val="ListBullet"/>
      </w:pPr>
      <w:r>
        <w:rPr>
          <w:b w:val="0"/>
          <w:i w:val="0"/>
        </w:rPr>
        <w:t>Map the interdependencies between different teams where your central players contribute, in order to understand and plan for potential risks. When a star sits at the center of multiple projects, a surprise shock in one team can create nasty ripples well beyond the jolted team. Be sure team leaders have a backup plan to cover these emergencies.</w:t>
      </w:r>
    </w:p>
    <w:p>
      <w:r>
        <w:rPr>
          <w:b/>
          <w:i w:val="0"/>
        </w:rPr>
        <w:t>FIGURE 3-1</w:t>
      </w:r>
    </w:p>
    <w:p>
      <w:r>
        <w:rPr>
          <w:b w:val="0"/>
          <w:i w:val="0"/>
        </w:rPr>
        <w:t>To manage collaboration, pay attention to four points of execution</w:t>
      </w:r>
    </w:p>
    <w:p>
      <w:r>
        <w:rPr>
          <w:b w:val="0"/>
          <w:i/>
        </w:rPr>
        <w:t>Ask yourself if you’re identifying networks’ centers, leveraging their edges, bringing silos together, and making external connections.</w:t>
      </w:r>
    </w:p>
    <w:p>
      <w:pPr>
        <w:jc w:val="center"/>
      </w:pPr>
      <w:r>
        <w:drawing>
          <wp:inline xmlns:a="http://schemas.openxmlformats.org/drawingml/2006/main" xmlns:pic="http://schemas.openxmlformats.org/drawingml/2006/picture">
            <wp:extent cx="6680200" cy="3695700"/>
            <wp:docPr id="75" name="Picture 75"/>
            <wp:cNvGraphicFramePr>
              <a:graphicFrameLocks noChangeAspect="1"/>
            </wp:cNvGraphicFramePr>
            <a:graphic>
              <a:graphicData uri="http://schemas.openxmlformats.org/drawingml/2006/picture">
                <pic:pic>
                  <pic:nvPicPr>
                    <pic:cNvPr id="0" name="epub_img_4983013398196710761.jpg"/>
                    <pic:cNvPicPr/>
                  </pic:nvPicPr>
                  <pic:blipFill>
                    <a:blip r:embed="rId58"/>
                    <a:stretch>
                      <a:fillRect/>
                    </a:stretch>
                  </pic:blipFill>
                  <pic:spPr>
                    <a:xfrm>
                      <a:off x="0" y="0"/>
                      <a:ext cx="6680200" cy="3695700"/>
                    </a:xfrm>
                    <a:prstGeom prst="rect"/>
                  </pic:spPr>
                </pic:pic>
              </a:graphicData>
            </a:graphic>
          </wp:inline>
        </w:drawing>
      </w:r>
    </w:p>
    <w:p>
      <w:pPr>
        <w:jc w:val="center"/>
      </w:pPr>
      <w:r>
        <w:drawing>
          <wp:inline xmlns:a="http://schemas.openxmlformats.org/drawingml/2006/main" xmlns:pic="http://schemas.openxmlformats.org/drawingml/2006/picture">
            <wp:extent cx="6680200" cy="3695700"/>
            <wp:docPr id="76" name="Picture 76"/>
            <wp:cNvGraphicFramePr>
              <a:graphicFrameLocks noChangeAspect="1"/>
            </wp:cNvGraphicFramePr>
            <a:graphic>
              <a:graphicData uri="http://schemas.openxmlformats.org/drawingml/2006/picture">
                <pic:pic>
                  <pic:nvPicPr>
                    <pic:cNvPr id="0" name="epub_img_4983013398196710761.jpg"/>
                    <pic:cNvPicPr/>
                  </pic:nvPicPr>
                  <pic:blipFill>
                    <a:blip r:embed="rId58"/>
                    <a:stretch>
                      <a:fillRect/>
                    </a:stretch>
                  </pic:blipFill>
                  <pic:spPr>
                    <a:xfrm>
                      <a:off x="0" y="0"/>
                      <a:ext cx="6680200" cy="3695700"/>
                    </a:xfrm>
                    <a:prstGeom prst="rect"/>
                  </pic:spPr>
                </pic:pic>
              </a:graphicData>
            </a:graphic>
          </wp:inline>
        </w:drawing>
      </w:r>
    </w:p>
    <w:p>
      <w:r>
        <w:rPr>
          <w:b w:val="0"/>
          <w:i/>
        </w:rPr>
        <w:t>Source</w:t>
      </w:r>
      <w:r>
        <w:rPr>
          <w:b w:val="0"/>
          <w:i w:val="0"/>
        </w:rPr>
        <w:t>: Alia Crocker et al.</w:t>
      </w:r>
    </w:p>
    <w:p>
      <w:pPr>
        <w:pStyle w:val="Heading3"/>
      </w:pPr>
      <w:r>
        <w:rPr>
          <w:b w:val="0"/>
          <w:i w:val="0"/>
        </w:rPr>
        <w:t>Engaging the Network’s Fringe Players</w:t>
      </w:r>
    </w:p>
    <w:p>
      <w:r>
        <w:rPr>
          <w:b w:val="0"/>
          <w:i w:val="0"/>
        </w:rPr>
        <w:t xml:space="preserve">Agility requires the integration of different capabilities and perspectives to understand VUCA issues and figure out what kinds of experts are needed to tackle them. But those who see the world differently or who are new to a group often languish at the network edges. Whereas those in the center may be overrelied on, those on the fringes are often not tapped in a way that allows for agile collaboration. For example, our research shows that it can take three to five years for a newcomer to replicate the connectivity of a high performer.3 Few organizations provide such luxury of time, however: our research also shows that if an experienced hire doesn’t get integrated into substantive projects </w:t>
      </w:r>
      <w:r>
        <w:rPr>
          <w:b w:val="0"/>
          <w:i/>
        </w:rPr>
        <w:t>within the first year</w:t>
      </w:r>
      <w:r>
        <w:rPr>
          <w:b w:val="0"/>
          <w:i w:val="0"/>
        </w:rPr>
        <w:t>, they are seriously at risk of leaving before they reach the three-year mark.</w:t>
      </w:r>
    </w:p>
    <w:p>
      <w:r>
        <w:rPr>
          <w:b w:val="0"/>
          <w:i w:val="0"/>
        </w:rPr>
        <w:t>Getting others to trust fringe employees is essential for drawing them into agile collaboration. Their competence isn’t usually in question if you have rigorous hiring and merit-based promotion processes; the trick is getting others to trust their motives (“Will he take undue credit?” or “Will she walk away with my clients?”) if few colleagues can vouch for their character. Senior management can help by taking the following actions:</w:t>
      </w:r>
    </w:p>
    <w:p>
      <w:pPr>
        <w:pStyle w:val="ListBullet"/>
      </w:pPr>
      <w:r>
        <w:rPr>
          <w:b w:val="0"/>
          <w:i w:val="0"/>
        </w:rPr>
        <w:t>Create a “hidden gems” program to help unearth high-potential but overlooked experts who could take some of the burden off overworked central players. Role model this behavior by, for example, assigning an up-and-comer to co-lead a high-status initiative.</w:t>
      </w:r>
    </w:p>
    <w:p>
      <w:pPr>
        <w:pStyle w:val="ListBullet"/>
      </w:pPr>
      <w:r>
        <w:rPr>
          <w:b w:val="0"/>
          <w:i w:val="0"/>
        </w:rPr>
        <w:t>Help those on the fringe to create “pull” for their work. Instead of pushing expertise on others across the network, these employees need to be seen as a strategic resource to be pulled into opportunities. This is done by identifying mutual value and matching capabilities from the fringe to needs across the network.</w:t>
      </w:r>
    </w:p>
    <w:p>
      <w:pPr>
        <w:pStyle w:val="ListBullet"/>
      </w:pPr>
      <w:r>
        <w:rPr>
          <w:b w:val="0"/>
          <w:i w:val="0"/>
        </w:rPr>
        <w:t>Pair newcomers and network influencers through staffing or mentoring. This simple practice triples newcomer connectivity compared to those who do not get this experience.</w:t>
      </w:r>
    </w:p>
    <w:p>
      <w:pPr>
        <w:pStyle w:val="ListBullet"/>
      </w:pPr>
      <w:r>
        <w:rPr>
          <w:b w:val="0"/>
          <w:i w:val="0"/>
        </w:rPr>
        <w:t>Create inclusive and trusting environments to facilitate agile collaboration. A culture of fear exists when employees do not feel safe to come forward with ideas, and those on the fringe may be less confident about contributing. High-performing organizations are 2.5 times more likely to facilitate an environment of safe communication.4</w:t>
      </w:r>
    </w:p>
    <w:p>
      <w:pPr>
        <w:pStyle w:val="Heading3"/>
      </w:pPr>
      <w:r>
        <w:rPr>
          <w:b w:val="0"/>
          <w:i w:val="0"/>
        </w:rPr>
        <w:t>Bridging Select Silos</w:t>
      </w:r>
    </w:p>
    <w:p>
      <w:r>
        <w:rPr>
          <w:b w:val="0"/>
          <w:i w:val="0"/>
        </w:rPr>
        <w:t>Every organization we studied struggled with silos across functions, expertise, geography, level, and cultures—whether occupational or national. The network lens can help uncover specific points that, if crossed, could yield agility benefits, rather than inefficiently bridging all silos. Often, this means connecting people across units or geographies doing similar work to yield benefits of scale or identifying points where integrating different perspectives yields agile innovation. This type of multidisciplinary collaboration produces higher revenues and profits because it tackles higher-value problems. Motivating experts to engage in agile collaboration requires them not only to identify and appreciate knowledge from other silos but also to be willing to give up some control and autonomy over a project’s direction. Senior leaders can help motivate experts with the following actions:</w:t>
      </w:r>
    </w:p>
    <w:p>
      <w:pPr>
        <w:pStyle w:val="ListBullet"/>
      </w:pPr>
      <w:r>
        <w:rPr>
          <w:b w:val="0"/>
          <w:i w:val="0"/>
        </w:rPr>
        <w:t>Set specific goals and reward agile collaboration. Our research found that, compared to lower-performing organizations, high-performance organizations are three to five times more likely to reward collaboration,5 motivating employees to move beyond silos. Our studies of firms that use peer feedback to effectively identify and celebrate agile collaborators show that these bottom-up processes often uncover excellent people whom the formal performance reviews might otherwise overlook.</w:t>
      </w:r>
    </w:p>
    <w:p>
      <w:pPr>
        <w:pStyle w:val="ListBullet"/>
      </w:pPr>
      <w:r>
        <w:rPr>
          <w:b w:val="0"/>
          <w:i w:val="0"/>
        </w:rPr>
        <w:t>Use data and analytics to understand where silos exist, in order to unlock possible agile collaboration. In one study, we found discrepancies in connections between headquarters and affiliates, and poor collaboration between engineering and sales. This insight produced the business case for holding brainstorming sessions to build connections and improve communication. A data-driven approach is not only more accurate and less biased than relying on individuals’ perceptions, but also more convincingly demonstrates the quantifiable upside for agile collaboration.</w:t>
      </w:r>
    </w:p>
    <w:p>
      <w:pPr>
        <w:pStyle w:val="ListBullet"/>
      </w:pPr>
      <w:r>
        <w:rPr>
          <w:b w:val="0"/>
          <w:i w:val="0"/>
        </w:rPr>
        <w:t>Identify experts scattered across silos and key cross-points in the firm for agile collaboration. Set up communities of practice or business development initiatives to help share expertise or resources. For example, many business service firms are prompting professionals who serve customers in similar industries such as insurance or biotech to meet informally and share sector insights and leads. The well-connected professionals act as bridges to and from silos. Some firms have successfully tasked high-potential employees with tracking the evolving expertise in adjacent departments, which has to be a dynamic process, definitely not a knowledge database. These employees should be recognized for identifying opportunities to use cross-silo knowledge. Exchange programs or rotational programs can help here, too.</w:t>
      </w:r>
    </w:p>
    <w:p>
      <w:pPr>
        <w:pStyle w:val="Heading3"/>
      </w:pPr>
      <w:r>
        <w:rPr>
          <w:b w:val="0"/>
          <w:i w:val="0"/>
        </w:rPr>
        <w:t>Spanning External Boundaries</w:t>
      </w:r>
    </w:p>
    <w:p>
      <w:r>
        <w:rPr>
          <w:b w:val="0"/>
          <w:i w:val="0"/>
        </w:rPr>
        <w:t>Agility thrives when employees understand their organization within the broader ecosystem and continually scan for market developments that pose either threats or opportunities. Doing so requires dynamic knowledge of external bodies such as competitors, customers, regulators, and expertise communities or associations. Those who span the boundary between internal and external actors can solve problems in unique ways, because they can access knowledge from these different worlds. They can also facilitate agile collaboration by efficiently integrating disparate viewpoints and creating multistakeholder solutions, but they need to be properly empowered, managed, and resourced in order to do so. Senior managers can facilitate this by doing the following:</w:t>
      </w:r>
    </w:p>
    <w:p>
      <w:pPr>
        <w:pStyle w:val="ListBullet"/>
      </w:pPr>
      <w:r>
        <w:rPr>
          <w:b w:val="0"/>
          <w:i w:val="0"/>
        </w:rPr>
        <w:t>Identify and enlist boundary spanners to help tackle vexing problems. People who connect the organization with its ecosystem can propose plans that can be feasibly implemented, since they have access to the shortest informational paths in the network and legitimacy in the broader environmental context.</w:t>
      </w:r>
    </w:p>
    <w:p>
      <w:pPr>
        <w:pStyle w:val="ListBullet"/>
      </w:pPr>
      <w:r>
        <w:rPr>
          <w:b w:val="0"/>
          <w:i w:val="0"/>
        </w:rPr>
        <w:t>Nurture relationships and promote the exchange of information by organizing forums or special events that convene key players from across the ecosystem. This approach helps to create more people in your organization who are capable of functioning as bridges to external parties, and it provides insights on pain points and opportunities in the ecosystem.</w:t>
      </w:r>
    </w:p>
    <w:p>
      <w:pPr>
        <w:pStyle w:val="ListBullet"/>
      </w:pPr>
      <w:r>
        <w:rPr>
          <w:b w:val="0"/>
          <w:i w:val="0"/>
        </w:rPr>
        <w:t>Promote connectivity to key external stakeholders. High-performing organizations are 2.5 times more likely to encourage interaction with external stakeholders such as clients, suppliers, regulatory bodies, or professional associations.6 Senior managers should require employees who are well connected internally to work on external connections, or suggest that those who are well connected externally mentor junior employees in networking to ensure boundary spanning.</w:t>
      </w:r>
    </w:p>
    <w:p>
      <w:r>
        <w:rPr>
          <w:b w:val="0"/>
          <w:i w:val="0"/>
        </w:rPr>
        <w:t>Managing these collaborative players as part of a network can help organizations be more agile. Although agile collaboration requires continual reassessment of complex problems, it is possible for firms to combine and recombine essential expertise from across points in the network to address VUCA issues. By steadily nurturing agile collaboration, senior management can more effectively and more efficiently access the necessary depth of expertise of key collaborators within the organization.</w:t>
      </w:r>
    </w:p>
    <w:p>
      <w:r>
        <w:rPr>
          <w:b w:val="0"/>
          <w:i w:val="0"/>
        </w:rPr>
        <w:t>TAKEAWAYS</w:t>
      </w:r>
    </w:p>
    <w:p>
      <w:r>
        <w:rPr>
          <w:b w:val="0"/>
          <w:i w:val="0"/>
        </w:rPr>
        <w:t>Collaboration is central to agility, yet most work is done by combinations of colleagues that don’t report up the same formal ladder or share standard processes. To enjoy true benefits of scale, networks drawn from employees across core work and temporary teams should nurture themselves by:</w:t>
      </w:r>
    </w:p>
    <w:p>
      <w:r>
        <w:rPr>
          <w:b w:val="0"/>
          <w:i w:val="0"/>
        </w:rPr>
        <w:t>✓  Mapping interdependencies between teams to understand and plan for potential risks</w:t>
      </w:r>
    </w:p>
    <w:p>
      <w:r>
        <w:rPr>
          <w:b w:val="0"/>
          <w:i w:val="0"/>
        </w:rPr>
        <w:t>✓  Drawing in fringe players by creating a “hidden gems” program to help unearth high-potential but overlooked experts; matching capabilities to needs across the network; pairing newcomers and network influencers through staffing or mentoring; and creating inclusive and trusting environments</w:t>
      </w:r>
    </w:p>
    <w:p>
      <w:r>
        <w:rPr>
          <w:b w:val="0"/>
          <w:i w:val="0"/>
        </w:rPr>
        <w:t>✓  Connecting people doing similar work by setting specific goals and rewarding collaboration; using data and analytics to understand where silos exist; and establishing communities of practice to share expertise and resources</w:t>
      </w:r>
    </w:p>
    <w:p>
      <w:r>
        <w:rPr>
          <w:b w:val="0"/>
          <w:i w:val="0"/>
        </w:rPr>
        <w:t>✓  Staying vigilant about overload, considering where it might hinder collaboration and redistributing work accordingly</w:t>
      </w:r>
    </w:p>
    <w:p>
      <w:r>
        <w:rPr>
          <w:b w:val="0"/>
          <w:i w:val="0"/>
        </w:rPr>
        <w:t>✓  Understanding your organization within the broader ecosystem and scanning for market developments that pose threats or opportunities</w:t>
      </w:r>
    </w:p>
    <w:p>
      <w:pPr>
        <w:pStyle w:val="Heading3"/>
      </w:pPr>
      <w:r>
        <w:rPr>
          <w:b w:val="0"/>
          <w:i w:val="0"/>
        </w:rPr>
        <w:t>NOTES</w:t>
      </w:r>
    </w:p>
    <w:p>
      <w:pPr>
        <w:pStyle w:val="ListNumber"/>
      </w:pPr>
      <w:r>
        <w:rPr>
          <w:b w:val="0"/>
          <w:i w:val="0"/>
        </w:rPr>
        <w:t>1. Institute for Corporate Productivity, “Purposeful Collaboration: The Essential Components of Collaborative Cultures,” 2017, http://go.i4cp.com/purposefulcollaboration.pdf.</w:t>
      </w:r>
    </w:p>
    <w:p>
      <w:pPr>
        <w:pStyle w:val="ListNumber"/>
      </w:pPr>
      <w:r>
        <w:rPr>
          <w:b w:val="0"/>
          <w:i w:val="0"/>
        </w:rPr>
        <w:t>2. Network Assessments, “Understanding Collaborative Overload,” 2018, https://www.networkassessments.org/collaborative-overload/.</w:t>
      </w:r>
    </w:p>
    <w:p>
      <w:pPr>
        <w:pStyle w:val="ListNumber"/>
      </w:pPr>
      <w:r>
        <w:rPr>
          <w:b w:val="0"/>
          <w:i w:val="0"/>
        </w:rPr>
        <w:t>3. Connected Commons, “Connect and Adapt—Improving Retention and Engagement in First Five Years,” video, 2019, https://connectedcommons.com/connect-and-adapt-improving-retention-and-engagement-in-first-five-years-video/.</w:t>
      </w:r>
    </w:p>
    <w:p>
      <w:pPr>
        <w:pStyle w:val="ListNumber"/>
      </w:pPr>
      <w:r>
        <w:rPr>
          <w:b w:val="0"/>
          <w:i w:val="0"/>
        </w:rPr>
        <w:t>4. Institute for Corporate Productivity, “Purposeful Collaboration: The Essential Components of Collaborative Cultures.”</w:t>
      </w:r>
    </w:p>
    <w:p>
      <w:pPr>
        <w:pStyle w:val="ListNumber"/>
      </w:pPr>
      <w:r>
        <w:rPr>
          <w:b w:val="0"/>
          <w:i w:val="0"/>
        </w:rPr>
        <w:t>5. Ibid.</w:t>
      </w:r>
    </w:p>
    <w:p>
      <w:pPr>
        <w:pStyle w:val="ListNumber"/>
      </w:pPr>
      <w:r>
        <w:rPr>
          <w:b w:val="0"/>
          <w:i w:val="0"/>
        </w:rPr>
        <w:t>6. Ibid.</w:t>
      </w:r>
    </w:p>
    <w:p>
      <w:r>
        <w:rPr>
          <w:b w:val="0"/>
          <w:i/>
        </w:rPr>
        <w:t>Adapted from content posted on hbr.org, May 15, 2018 (product #H04BXH).</w:t>
      </w:r>
    </w:p>
    <w:p>
      <w:pPr>
        <w:pStyle w:val="Heading1"/>
      </w:pPr>
      <w:r>
        <w:rPr>
          <w:b w:val="0"/>
          <w:i w:val="0"/>
        </w:rPr>
        <w:t>4</w:t>
      </w:r>
    </w:p>
    <w:p>
      <w:pPr>
        <w:pStyle w:val="Heading1"/>
      </w:pPr>
      <w:r>
        <w:rPr>
          <w:b w:val="0"/>
          <w:i w:val="0"/>
        </w:rPr>
        <w:t>HOW NEXTDOOR ADDRESSED RACIAL PROFILING ON ITS PLATFORM</w:t>
      </w:r>
    </w:p>
    <w:p>
      <w:r>
        <w:rPr>
          <w:b w:val="0"/>
          <w:i w:val="0"/>
        </w:rPr>
        <w:t>by Phil Simon</w:t>
      </w:r>
    </w:p>
    <w:p>
      <w:r>
        <w:rPr>
          <w:b w:val="0"/>
          <w:i w:val="0"/>
        </w:rPr>
        <w:t>On March 3, 2015, hyperlocal social network Nextdoor announced that it had raised $110 million in venture capital. The deal valued the company at more than $1 billion—revered, unicorn status. It had to be a giddy moment for CEO Nirav Tolia and cofounders David Wiesen, Prakash Janakiraman, and Sarah Leary. But just three weeks later, all of that celebrating must have seemed like a distant memory.</w:t>
      </w:r>
    </w:p>
    <w:p>
      <w:r>
        <w:rPr>
          <w:b w:val="0"/>
          <w:i w:val="0"/>
        </w:rPr>
        <w:t xml:space="preserve">The news site Fusion ran an article explaining how Nextdoor “is becoming a home for racial profiling.”1 Reporter Pendarvis Harshaw detailed how presumably white members were using Nextdoor’s crime and safety forum to report “suspicious” activities by African Americans and Latinos. Jennifer Medina of the </w:t>
      </w:r>
      <w:r>
        <w:rPr>
          <w:b w:val="0"/>
          <w:i/>
        </w:rPr>
        <w:t>New York Times</w:t>
      </w:r>
      <w:r>
        <w:rPr>
          <w:b w:val="0"/>
          <w:i w:val="0"/>
        </w:rPr>
        <w:t xml:space="preserve"> followed up, reporting that “as Nextdoor has grown, users have complained that it has become a magnet for racial profiling, leading African-American and Latino residents to be seen as suspects in their own neighborhoods.”2</w:t>
      </w:r>
    </w:p>
    <w:p>
      <w:r>
        <w:rPr>
          <w:b w:val="0"/>
          <w:i w:val="0"/>
        </w:rPr>
        <w:t xml:space="preserve">As I discuss in my book </w:t>
      </w:r>
      <w:r>
        <w:rPr>
          <w:b w:val="0"/>
          <w:i/>
        </w:rPr>
        <w:t>Analytics: The Agile Way</w:t>
      </w:r>
      <w:r>
        <w:rPr>
          <w:b w:val="0"/>
          <w:i w:val="0"/>
        </w:rPr>
        <w:t>, how Nextdoor responded illustrates not only the importance of reacting quickly in a crisis but the usefulness of a data-driven, agile approach.</w:t>
      </w:r>
    </w:p>
    <w:p>
      <w:pPr>
        <w:pStyle w:val="Heading3"/>
      </w:pPr>
      <w:r>
        <w:rPr>
          <w:b w:val="0"/>
          <w:i w:val="0"/>
        </w:rPr>
        <w:t>The Response</w:t>
      </w:r>
    </w:p>
    <w:p>
      <w:r>
        <w:rPr>
          <w:b w:val="0"/>
          <w:i w:val="0"/>
        </w:rPr>
        <w:t>Agile teams benefit from different perspectives, skills, and expertise, so the cofounders assembled a small, diverse team to tackle the issue. Members included product head Maryam Mohit, communications director Kelsey Grady, a product manager, a designer, a data scientist, and later a software engineer.</w:t>
      </w:r>
    </w:p>
    <w:p>
      <w:r>
        <w:rPr>
          <w:b w:val="0"/>
          <w:i w:val="0"/>
        </w:rPr>
        <w:t>As for the data, much of Nextdoor’s data here was unstructured text. Especially at first, this sort of data doesn’t lend itself to the type of easy analysis that its structured equivalent does. This goes double when trying to deal with a thorny issue such as racial profiling. Five employees were assigned to read through thousands of user posts.</w:t>
      </w:r>
    </w:p>
    <w:p>
      <w:r>
        <w:rPr>
          <w:b w:val="0"/>
          <w:i w:val="0"/>
        </w:rPr>
        <w:t>The outcome was a three-pronged solution: diversity training for Nextdoor’s neighborhood operations team; an update to Nextdoor’s community guidelines and an accompanying blog post; and a redesign of the app. This last step proved to be the thorniest.</w:t>
      </w:r>
    </w:p>
    <w:p>
      <w:r>
        <w:rPr>
          <w:b w:val="0"/>
          <w:i w:val="0"/>
        </w:rPr>
        <w:t xml:space="preserve">Nextdoor had long allowed people to flag inappropriate posts, by either content or location. For instance, commercial posts didn’t belong in noncommercial areas of the site. Nextdoor realized that a binary (re: flagged or not flagged) was no longer sufficient. Its first attempt at fixing the problem was simply to add a </w:t>
      </w:r>
      <w:r>
        <w:rPr>
          <w:b w:val="0"/>
          <w:i/>
        </w:rPr>
        <w:t>report racial profiling</w:t>
      </w:r>
      <w:r>
        <w:rPr>
          <w:b w:val="0"/>
          <w:i w:val="0"/>
        </w:rPr>
        <w:t xml:space="preserve"> button. But many users didn’t understand the new feature. “Nextdoor members began reporting all kinds of unrelated slights as racial profiling. ‘Somebody reported her neighbor for writing mean things about pit bulls,’ Mohit recall[ed].”3</w:t>
      </w:r>
    </w:p>
    <w:p>
      <w:r>
        <w:rPr>
          <w:b w:val="0"/>
          <w:i w:val="0"/>
        </w:rPr>
        <w:t>The team responded by developing six different variants of its app and testing them. Doing so helped the company answer key questions such as:</w:t>
      </w:r>
    </w:p>
    <w:p>
      <w:pPr>
        <w:pStyle w:val="ListBullet"/>
      </w:pPr>
      <w:r>
        <w:rPr>
          <w:b w:val="0"/>
          <w:i w:val="0"/>
        </w:rPr>
        <w:t>If the app alerted users about the potential for racial bias before they posted, would it change user behavior?</w:t>
      </w:r>
    </w:p>
    <w:p>
      <w:pPr>
        <w:pStyle w:val="ListBullet"/>
      </w:pPr>
      <w:r>
        <w:rPr>
          <w:b w:val="0"/>
          <w:i w:val="0"/>
        </w:rPr>
        <w:t>Characterizing a person isn’t easy. How does an application prompt its users for descriptions of others that are full and fair, rather than based exclusively on race?</w:t>
      </w:r>
    </w:p>
    <w:p>
      <w:pPr>
        <w:pStyle w:val="ListBullet"/>
      </w:pPr>
      <w:r>
        <w:rPr>
          <w:b w:val="0"/>
          <w:i w:val="0"/>
        </w:rPr>
        <w:t>In describing a suspicious person, how many attributes are enough? Which specific attributes are more important than others?</w:t>
      </w:r>
    </w:p>
    <w:p>
      <w:r>
        <w:rPr>
          <w:b w:val="0"/>
          <w:i w:val="0"/>
        </w:rPr>
        <w:t>Using lean methods, the team conducted a series of A/B tests. Blessed with a sufficiently large user base, Nextdoor ran experiments to determine the right answers to these questions. For instance, consider two groups of 25,000 users divided into cohorts (A and B). Each group would see one version of the Nextdoor app with slight but important differences in question wording, order, required fields, and the like.</w:t>
      </w:r>
    </w:p>
    <w:p>
      <w:r>
        <w:rPr>
          <w:b w:val="0"/>
          <w:i w:val="0"/>
        </w:rPr>
        <w:t>Over the course of three months, Nextdoor’s different permutations made clear that certain versions of the app worked far better than others. And by August 2015, the team was ready to launch a new posting protocol in its crime and safety section. Users who mentioned race when posting to “Crime &amp; Safety” forums were prompted to provide additional information, such as hair, clothing, and shoes.</w:t>
      </w:r>
    </w:p>
    <w:p>
      <w:pPr>
        <w:pStyle w:val="Heading3"/>
      </w:pPr>
      <w:r>
        <w:rPr>
          <w:b w:val="0"/>
          <w:i w:val="0"/>
        </w:rPr>
        <w:t>The Results</w:t>
      </w:r>
    </w:p>
    <w:p>
      <w:r>
        <w:rPr>
          <w:b w:val="0"/>
          <w:i w:val="0"/>
        </w:rPr>
        <w:t>Simply adding additional details and a little bit of user friction did not eliminate posts by insensitive people or racist users with axes to grind. But by taking a data-oriented and agile approach to design, the company reported it had reduced racial profiling by 75%.</w:t>
      </w:r>
    </w:p>
    <w:p>
      <w:r>
        <w:rPr>
          <w:b w:val="0"/>
          <w:i w:val="0"/>
        </w:rPr>
        <w:t>Nextdoor was able to stem the bleeding in a relatively short period of time. A different organization would have announced plans to “study the problem” as it continued unabated. Nextdoor took a different approach, and the results speak for themselves.</w:t>
      </w:r>
    </w:p>
    <w:p>
      <w:r>
        <w:rPr>
          <w:b w:val="0"/>
          <w:i w:val="0"/>
        </w:rPr>
        <w:t>TAKEAWAYS</w:t>
      </w:r>
    </w:p>
    <w:p>
      <w:r>
        <w:rPr>
          <w:b w:val="0"/>
          <w:i w:val="0"/>
        </w:rPr>
        <w:t>When multiple reports emerged with details of how presumably white members were using Nextdoor’s crime and safety forum to report “suspicious” activities by African Americans and Latinos, the company responded with the conventional approaches of more diversity training and updates to its community guidelines. But Nextdoor went one step further by also using agile to explore potential app feature solutions. The quick response this approach afforded Nextdoor provides a great example of agile as a solution to even the thorniest problems.</w:t>
      </w:r>
    </w:p>
    <w:p>
      <w:r>
        <w:rPr>
          <w:b w:val="0"/>
          <w:i w:val="0"/>
        </w:rPr>
        <w:t>✓  Nextdoor already had a function for folks to flag inappropriate posts, but it realized the binary (flagged/not flagged) was no longer sufficient.</w:t>
      </w:r>
    </w:p>
    <w:p>
      <w:r>
        <w:rPr>
          <w:b w:val="0"/>
          <w:i w:val="0"/>
        </w:rPr>
        <w:t>✓  Its team developed six variants of its app and conducted a series of A/B tests with users to answer key questions such as “How can an app prompt users for descriptions of others that are full and fair?” and “How many attributes are enough?” to describe a suspicious person.</w:t>
      </w:r>
    </w:p>
    <w:p>
      <w:r>
        <w:rPr>
          <w:b w:val="0"/>
          <w:i w:val="0"/>
        </w:rPr>
        <w:t>✓  After three months, Nextdoor had enough data to demonstrate that certain versions of the app worked better than others.</w:t>
      </w:r>
    </w:p>
    <w:p>
      <w:r>
        <w:rPr>
          <w:b w:val="0"/>
          <w:i w:val="0"/>
        </w:rPr>
        <w:t>✓  Just five months after the initial news reports, Nextdoor was ready to launch a new posting protocol in its crime and safety section that reduced racial profiling by 75%.</w:t>
      </w:r>
    </w:p>
    <w:p>
      <w:pPr>
        <w:pStyle w:val="Heading3"/>
      </w:pPr>
      <w:r>
        <w:rPr>
          <w:b w:val="0"/>
          <w:i w:val="0"/>
        </w:rPr>
        <w:t>NOTES</w:t>
      </w:r>
    </w:p>
    <w:p>
      <w:pPr>
        <w:pStyle w:val="ListNumber"/>
      </w:pPr>
      <w:r>
        <w:rPr>
          <w:b w:val="0"/>
          <w:i w:val="0"/>
        </w:rPr>
        <w:t>1. Pendarvis Harshaw, “Nextdoor, the Social Network for Neighbors, Is Becoming a Home for Racial Profiling,” Splinter, March 24, 2015, https://splinternews.com/nextdoor-the-social-network-for-neighbors-is-becoming-1793846596.</w:t>
      </w:r>
    </w:p>
    <w:p>
      <w:pPr>
        <w:pStyle w:val="ListNumber"/>
      </w:pPr>
      <w:r>
        <w:rPr>
          <w:b w:val="0"/>
          <w:i w:val="0"/>
        </w:rPr>
        <w:t xml:space="preserve">2. Jennifer Medina, “Website Meant to Connect Neighbors Hears Complaints of Racial Profiling,” </w:t>
      </w:r>
      <w:r>
        <w:rPr>
          <w:b w:val="0"/>
          <w:i/>
        </w:rPr>
        <w:t>New York Times</w:t>
      </w:r>
      <w:r>
        <w:rPr>
          <w:b w:val="0"/>
          <w:i w:val="0"/>
        </w:rPr>
        <w:t>, May 18, 2016, https://www.nytimes.com/2016/05/19/us/website-nextdoor-hears-racial-profiling-complaints.html?mtrref=undefined&amp;gwh=D02E4A7AEBE5A737D229D57AF463DF05&amp;gwt=pay&amp;_r=0.</w:t>
      </w:r>
    </w:p>
    <w:p>
      <w:pPr>
        <w:pStyle w:val="ListNumber"/>
      </w:pPr>
      <w:r>
        <w:rPr>
          <w:b w:val="0"/>
          <w:i w:val="0"/>
        </w:rPr>
        <w:t xml:space="preserve">3. Jessi Hempel, “For Nextdoor, Eliminating Racism Is No Quick Fix,” </w:t>
      </w:r>
      <w:r>
        <w:rPr>
          <w:b w:val="0"/>
          <w:i/>
        </w:rPr>
        <w:t>Wired</w:t>
      </w:r>
      <w:r>
        <w:rPr>
          <w:b w:val="0"/>
          <w:i w:val="0"/>
        </w:rPr>
        <w:t>, February 16, 2017, https://www.wired.com/2017/02/for-nextdoor-eliminating-racism-is-no-quick-fix/#.byvblyn7y.</w:t>
      </w:r>
    </w:p>
    <w:p>
      <w:r>
        <w:rPr>
          <w:b w:val="0"/>
          <w:i/>
        </w:rPr>
        <w:t>Adapted from content posted on hbr.org, May 11, 2018 (product #H04BFP).</w:t>
      </w:r>
    </w:p>
    <w:p>
      <w:pPr>
        <w:pStyle w:val="Heading1"/>
      </w:pPr>
      <w:r>
        <w:rPr>
          <w:b w:val="0"/>
          <w:i w:val="0"/>
        </w:rPr>
        <w:t>5</w:t>
      </w:r>
    </w:p>
    <w:p>
      <w:pPr>
        <w:pStyle w:val="Heading1"/>
      </w:pPr>
      <w:r>
        <w:rPr>
          <w:b w:val="0"/>
          <w:i w:val="0"/>
        </w:rPr>
        <w:t>HR GOES AGILE</w:t>
      </w:r>
    </w:p>
    <w:p>
      <w:r>
        <w:rPr>
          <w:b w:val="0"/>
          <w:i w:val="0"/>
        </w:rPr>
        <w:t>by Peter Cappelli and Anna Tavis</w:t>
      </w:r>
    </w:p>
    <w:p>
      <w:r>
        <w:rPr>
          <w:b w:val="0"/>
          <w:i w:val="0"/>
        </w:rPr>
        <w:t>Agile isn’t just for tech anymore. It’s been working its way into other areas and functions, from product development to manufacturing to marketing—and now it’s transforming how organizations hire, develop, and manage their people.</w:t>
      </w:r>
    </w:p>
    <w:p>
      <w:r>
        <w:rPr>
          <w:b w:val="0"/>
          <w:i w:val="0"/>
        </w:rPr>
        <w:t>You could say HR is going “agile lite,” applying the general principles without adopting all the tools and protocols from the tech world. It’s a move away from a rules- and planning-based approach toward a simpler and faster model driven by feedback from participants. This new paradigm has really taken off in the area of performance management. (In a 2017 Deloitte survey, 79% of global executives rated agile performance management as a high organizational priority.) But other HR processes are starting to change too.</w:t>
      </w:r>
    </w:p>
    <w:p>
      <w:r>
        <w:rPr>
          <w:b w:val="0"/>
          <w:i w:val="0"/>
        </w:rPr>
        <w:t>In many companies that’s happening gradually, almost organically, as a spillover from IT, where more than 90% of organizations already use agile practices. At the Bank of Montreal (BMO), for example, the shift began as tech employees joined cross-functional product-development teams to make the bank more customer focused. The business side has learned agile principles from IT colleagues, and IT has learned about customer needs from the business. One result is that BMO now thinks about performance management in terms of teams, not just individuals. Elsewhere the move to agile HR has been faster and more deliberate. GE is a prime example. Seen for many years as a paragon of management through control systems, it switched to FastWorks, a lean approach that cuts back on top-down financial controls and empowers teams to manage projects as needs evolve.</w:t>
      </w:r>
    </w:p>
    <w:p>
      <w:r>
        <w:rPr>
          <w:b w:val="0"/>
          <w:i w:val="0"/>
        </w:rPr>
        <w:t>The changes in HR have been a long time coming. After World War II, when manufacturing dominated the industrial landscape, planning was at the heart of human resources: Companies recruited lifers, gave them rotational assignments to support their development, groomed them years in advance to take on bigger and bigger roles, and tied their raises directly to each incremental move up the ladder. The bureaucracy was the point: Organizations wanted their talent practices to be rules based and internally consistent so that they could reliably meet five-year (and sometimes fifteen-year) plans. That made sense. Every other aspect of companies, from core businesses to administrative functions, took the long view in their goal setting, budgeting, and operations. HR reflected and supported what they were doing.</w:t>
      </w:r>
    </w:p>
    <w:p>
      <w:r>
        <w:rPr>
          <w:b w:val="0"/>
          <w:i w:val="0"/>
        </w:rPr>
        <w:t>By the 1990s, as business became less predictable and companies needed to acquire new skills fast, that traditional approach began to bend—but it didn’t quite break. Lateral hiring from the outside—to get more flexibility—replaced a good deal of the internal development and promotions. “Broadband” compensation gave managers greater latitude to reward people for growth and achievement within roles. For the most part, though, the old model persisted. Like other functions, HR was still built around the long term. Workforce and succession planning carried on, even though changes in the economy and in the business often rendered those plans irrelevant. Annual appraisals continued, despite almost universal dissatisfaction with them.</w:t>
      </w:r>
    </w:p>
    <w:p>
      <w:r>
        <w:rPr>
          <w:b w:val="0"/>
          <w:i w:val="0"/>
        </w:rPr>
        <w:t>Now we’re seeing a more sweeping transformation. Why is this the moment for it? Because rapid innovation has become a strategic imperative for most companies, not just a subset. To get it, businesses have looked to Silicon Valley and to software companies in particular, emulating their agile practices for managing projects. So top-down planning models are giving way to nimbler, user-driven methods that are better suited for adapting in the near term, such as rapid prototyping, iterative feedback, team-based decisions, and task-centered “sprints.” As BMO’s chief transformation officer, Lynn Roger, puts it, “Speed is the new business currency.”</w:t>
      </w:r>
    </w:p>
    <w:p>
      <w:r>
        <w:rPr>
          <w:b w:val="0"/>
          <w:i w:val="0"/>
        </w:rPr>
        <w:t>With the business justification for the old HR systems gone and the agile playbook available to copy, people management is finally getting its long-awaited overhaul too. In this article we’ll illustrate some of the profound changes companies are making in their talent practices and describe the challenges they face in their transition to agile HR.</w:t>
      </w:r>
    </w:p>
    <w:p>
      <w:pPr>
        <w:pStyle w:val="Heading3"/>
      </w:pPr>
      <w:r>
        <w:rPr>
          <w:b w:val="0"/>
          <w:i w:val="0"/>
        </w:rPr>
        <w:t>Where We’re Seeing the Biggest Changes</w:t>
      </w:r>
    </w:p>
    <w:p>
      <w:r>
        <w:rPr>
          <w:b w:val="0"/>
          <w:i w:val="0"/>
        </w:rPr>
        <w:t>Because HR touches every aspect—and every employee—of an organization, its agile transformation may be even more extensive (and more difficult) than the changes in other functions. Companies are redesigning their talent practices in the following areas:</w:t>
      </w:r>
    </w:p>
    <w:p>
      <w:pPr>
        <w:pStyle w:val="Heading3"/>
      </w:pPr>
      <w:r>
        <w:rPr>
          <w:b w:val="0"/>
          <w:i w:val="0"/>
        </w:rPr>
        <w:t>Performance appraisals</w:t>
      </w:r>
    </w:p>
    <w:p>
      <w:r>
        <w:rPr>
          <w:b w:val="0"/>
          <w:i w:val="0"/>
        </w:rPr>
        <w:t>When businesses adopted agile methods in their core operations, they dropped the charade of trying to plan a year or more in advance how projects would go and when they would end. So in many cases the first traditional HR practice to go was the annual performance review, along with employee goals that “cascaded” down from business and unit objectives each year. As individuals worked on shorter-term projects of various lengths, often run by different leaders and organized around teams, the notion that performance feedback would come once a year, from one boss, made little sense. They needed more of it, more often, from more people.</w:t>
      </w:r>
    </w:p>
    <w:p>
      <w:r>
        <w:rPr>
          <w:b w:val="0"/>
          <w:i w:val="0"/>
        </w:rPr>
        <w:t xml:space="preserve">An early-days CEB survey suggested that people actually got </w:t>
      </w:r>
      <w:r>
        <w:rPr>
          <w:b w:val="0"/>
          <w:i/>
        </w:rPr>
        <w:t>less</w:t>
      </w:r>
      <w:r>
        <w:rPr>
          <w:b w:val="0"/>
          <w:i w:val="0"/>
        </w:rPr>
        <w:t xml:space="preserve"> feedback and support when their employers dropped annual reviews. However, that’s because many companies put nothing in their place. Managers felt no pressing need to adopt a new feedback model and shifted their attention to other priorities. But dropping appraisals without a plan to fill the void was of course a recipe for failure.</w:t>
      </w:r>
    </w:p>
    <w:p>
      <w:r>
        <w:rPr>
          <w:b w:val="0"/>
          <w:i w:val="0"/>
        </w:rPr>
        <w:t>Since learning that hard lesson, many organizations have switched to frequent performance assessments, often conducted project by project. This change has spread to a number of industries, including retail (Gap), big pharma (Pfizer), insurance (Cigna), investing (OppenheimerFunds), consumer products (P&amp;G), and accounting (all Big Four firms). It is most famous at GE, across the firm’s range of businesses, and at IBM. Overall, the focus is on delivering more-immediate feedback throughout the year so that teams can become nimbler, “course-correct” mistakes, improve performance, and learn through iteration—all key agile principles.</w:t>
      </w:r>
    </w:p>
    <w:p>
      <w:r>
        <w:rPr>
          <w:b w:val="0"/>
          <w:i w:val="0"/>
        </w:rPr>
        <w:t>In user-centered fashion, managers and employees have had a hand in shaping, testing, and refining new processes. For instance, Johnson &amp; Johnson offered its businesses the chance to participate in an experiment: They could try out a new continual-feedback process, using a customized app with which employees, peers, and bosses could exchange comments in real time.</w:t>
      </w:r>
    </w:p>
    <w:p>
      <w:r>
        <w:rPr>
          <w:b w:val="0"/>
          <w:i w:val="0"/>
        </w:rPr>
        <w:t>The new process was an attempt to move away from J&amp;J’s event-driven “five conversations” framework (which focused on goal setting, career discussion, a midyear performance review, a year-end appraisal, and a compensation review) and toward a model of ongoing dialogue. Those who tried it were asked to share how well everything worked, what the bugs were, and so on. The experiment lasted three months. At first only 20% of the managers in the pilot actively participated. The inertia from prior years of annual appraisals was hard to overcome. But then the company used training to show managers what good feedback could look like and designated “change champions” to model the desired behaviors on their teams. By the end of the three months, 46% of managers in the pilot group had joined in, exchanging 3,000 pieces of feedback. (See the sidebar “Why Intuit’s Transition to Agile Almost Stalled Out.”)</w:t>
      </w:r>
    </w:p>
    <w:p>
      <w:r>
        <w:rPr>
          <w:b w:val="0"/>
          <w:i w:val="0"/>
        </w:rPr>
        <w:t>Why Intuit’s Transition to Agile Almost Stalled Out</w:t>
      </w:r>
    </w:p>
    <w:p>
      <w:r>
        <w:rPr>
          <w:b w:val="0"/>
          <w:i w:val="0"/>
        </w:rPr>
        <w:t>The financial services division at Intuit began shifting to agile in 2009—but four years went by before that became standard operating procedure across the company.</w:t>
      </w:r>
    </w:p>
    <w:p>
      <w:r>
        <w:rPr>
          <w:b w:val="0"/>
          <w:i w:val="0"/>
        </w:rPr>
        <w:t>What took so long? Leaders started with a “waterfall” approach to change management, because that’s what they knew best. It didn’t work. Spotty support from middle management, part-time commitments to the team leading the transformation, scarce administrative resources, and an extended planning cycle all put a big drag on the rollout.</w:t>
      </w:r>
    </w:p>
    <w:p>
      <w:r>
        <w:rPr>
          <w:b w:val="0"/>
          <w:i w:val="0"/>
        </w:rPr>
        <w:t>Before agile could gain traction throughout the organization, the transition team needed to take an agile approach to becoming agile and managing the change. Looking back, Joumana Youssef, one of Intuit’s strategic-change leaders, identifies several critical discoveries that changed the course—and the speed—of the transformation:</w:t>
      </w:r>
    </w:p>
    <w:p>
      <w:pPr>
        <w:pStyle w:val="ListBullet"/>
      </w:pPr>
      <w:r>
        <w:rPr>
          <w:b w:val="0"/>
          <w:i w:val="0"/>
        </w:rPr>
        <w:t>Focus on early adopters. Don’t waste time trying to convert naysayers.</w:t>
      </w:r>
    </w:p>
    <w:p>
      <w:pPr>
        <w:pStyle w:val="ListBullet"/>
      </w:pPr>
      <w:r>
        <w:rPr>
          <w:b w:val="0"/>
          <w:i w:val="0"/>
        </w:rPr>
        <w:t>Form “triple-S” (small, stable, self-managed) teams, give them ownership of their work, and hold them accountable for their commitments.</w:t>
      </w:r>
    </w:p>
    <w:p>
      <w:pPr>
        <w:pStyle w:val="ListBullet"/>
      </w:pPr>
      <w:r>
        <w:rPr>
          <w:b w:val="0"/>
          <w:i w:val="0"/>
        </w:rPr>
        <w:t>Quickly train leaders at all levels in agile methods. Agile teams need to be fully supported to self-manage.</w:t>
      </w:r>
    </w:p>
    <w:p>
      <w:pPr>
        <w:pStyle w:val="ListBullet"/>
      </w:pPr>
      <w:r>
        <w:rPr>
          <w:b w:val="0"/>
          <w:i w:val="0"/>
        </w:rPr>
        <w:t>Expect that changing frontline and middle management will be hard, because people in those roles need time to acclimate to “servant leadership,” which is primarily about coaching and supporting employees rather than monitoring them.</w:t>
      </w:r>
    </w:p>
    <w:p>
      <w:pPr>
        <w:pStyle w:val="ListBullet"/>
      </w:pPr>
      <w:r>
        <w:rPr>
          <w:b w:val="0"/>
          <w:i w:val="0"/>
        </w:rPr>
        <w:t>Stay the course. Even though agile change is faster than a waterfall approach, shifting your organization’s mindset takes persistence.</w:t>
      </w:r>
    </w:p>
    <w:p>
      <w:r>
        <w:rPr>
          <w:b w:val="0"/>
          <w:i w:val="0"/>
        </w:rPr>
        <w:t>Regeneron Pharmaceuticals, a fast-growing biotech company, is going even further with its appraisals overhaul. Michelle Weitzman-Garcia, Regeneron’s head of workforce development, argued that the performance of the scientists working on drug development, the product supply group, the field sales force, and the corporate functions should not be measured on the same cycle or in the same way. She observed that these employee groups needed varying feedback and that they even operated on different calendars.</w:t>
      </w:r>
    </w:p>
    <w:p>
      <w:r>
        <w:rPr>
          <w:b w:val="0"/>
          <w:i w:val="0"/>
        </w:rPr>
        <w:t>So the company created four distinct appraisal processes, tailored to the various groups’ needs. The research scientists and postdocs, for example, crave metrics and are keen on assessing competencies, so they meet with managers twice a year for competency evaluations and milestones reviews. Customer-facing groups include feedback from clients and customers in their assessments. Although having to manage four separate processes adds complexity, they all reinforce the new norm of continual feedback. And Weitzman-Garcia says the benefits to the organization far outweigh the costs to HR.</w:t>
      </w:r>
    </w:p>
    <w:p>
      <w:pPr>
        <w:pStyle w:val="Heading3"/>
      </w:pPr>
      <w:r>
        <w:rPr>
          <w:b w:val="0"/>
          <w:i w:val="0"/>
        </w:rPr>
        <w:t>Coaching</w:t>
      </w:r>
    </w:p>
    <w:p>
      <w:r>
        <w:rPr>
          <w:b w:val="0"/>
          <w:i w:val="0"/>
        </w:rPr>
        <w:t>The companies that most effectively adopt agile talent practices invest in sharpening managers’ coaching skills. Supervisors at Cigna go through “coach” training designed for busy managers: It’s broken into weekly 90-minute videos that can be viewed as people have time. The supervisors also engage in learning sessions, which, like “learning sprints” in agile project management, are brief and spread out to allow individuals to reflect and test-drive new skills on the job. Peer-to-peer feedback is incorporated in Cigna’s manager training too: Colleagues form learning cohorts to share ideas and tactics. They’re having the kinds of conversations companies want supervisors to have with their direct reports, but they feel freer to share mistakes with one another, without the fear of “evaluation” hanging over their heads.</w:t>
      </w:r>
    </w:p>
    <w:p>
      <w:r>
        <w:rPr>
          <w:b w:val="0"/>
          <w:i w:val="0"/>
        </w:rPr>
        <w:t>DigitalOcean, a New York–based startup focused on software as a service (SaaS) infrastructure, engages a full-time professional coach on-site to help all managers give better feedback to employees and, more broadly, to develop internal coaching capabilities. The idea is that once one experiences good coaching, one becomes a better coach. Not everyone is expected to become a great coach—those in the company who prefer coding to coaching can advance along a technical career track—but coaching skills are considered central to a managerial career.</w:t>
      </w:r>
    </w:p>
    <w:p>
      <w:r>
        <w:rPr>
          <w:b w:val="0"/>
          <w:i w:val="0"/>
        </w:rPr>
        <w:t>P&amp;G, too, is intent on making managers better coaches. That’s part of a larger effort to rebuild training and development for supervisors and enhance their role in the organization. By simplifying the performance review process, separating evaluation from development discussions, and eliminating talent calibration sessions (the arbitrary horse trading between supervisors that often comes with a subjective and politicized ranking model), P&amp;G has freed up a lot of time to devote to employees’ growth. But getting supervisors to move from judging employees to coaching them in their day-to-day work has been a challenge in P&amp;G’s tradition-rich culture. So the company has invested heavily in training supervisors on topics such as how to establish employees’ priorities and goals, how to provide feedback about contributions, and how to align employees’ career aspirations with business needs and learning and development plans. The bet is that building employees’ capabilities and relationships with supervisors will increase engagement and therefore help the company innovate and move faster. Even though the jury is still out on the companywide culture shift, P&amp;G is already reporting improvements in these areas, at all levels of management.</w:t>
      </w:r>
    </w:p>
    <w:p>
      <w:pPr>
        <w:pStyle w:val="Heading3"/>
      </w:pPr>
      <w:r>
        <w:rPr>
          <w:b w:val="0"/>
          <w:i w:val="0"/>
        </w:rPr>
        <w:t>Teams</w:t>
      </w:r>
    </w:p>
    <w:p>
      <w:r>
        <w:rPr>
          <w:b w:val="0"/>
          <w:i w:val="0"/>
        </w:rPr>
        <w:t>Traditional HR focused on individuals—their goals, their performance, their needs. But now that so many companies are organizing their work project by project, their management and talent systems are becoming more team focused. Groups are creating, executing, and revising their goals and tasks with scrums—at the team level, in the moment, to adapt quickly to new information as it comes in. (“Scrum” may be the best-known term in the agile lexicon. It comes from rugby, where players pack tightly together to restart play.) They are also taking it upon themselves to track their own progress, identify obstacles, assess their leadership, and generate insights about how to improve performance.</w:t>
      </w:r>
    </w:p>
    <w:p>
      <w:r>
        <w:rPr>
          <w:b w:val="0"/>
          <w:i w:val="0"/>
        </w:rPr>
        <w:t>In that context, organizations must learn to contend with:</w:t>
      </w:r>
    </w:p>
    <w:p>
      <w:pPr>
        <w:pStyle w:val="Heading3"/>
      </w:pPr>
      <w:r>
        <w:rPr>
          <w:b w:val="0"/>
          <w:i w:val="0"/>
        </w:rPr>
        <w:t>Multidirectional feedback. Peer feedback is essential to course corrections and employee development in an agile environment, because team members know better than anyone else what each person is contributing. It’s rarely a formal process, and comments are generally directed to the employee, not the supervisor. That keeps input constructive and prevents the undermining of colleagues that sometimes occurs in hypercompetitive workplaces.</w:t>
      </w:r>
    </w:p>
    <w:p>
      <w:r>
        <w:rPr>
          <w:b w:val="0"/>
          <w:i w:val="0"/>
        </w:rPr>
        <w:t>But some executives believe that peer feedback should have an impact on performance evaluations. Diane Gherson, IBM’s head of HR, explains that “the relationships between managers and employees change in the context of a network [the collection of projects across which employees work].” Because an agile environment makes it practically impossible to “monitor” performance in the old sense, managers at IBM solicit input from others to help them identify and address issues early on. Unless it’s sensitive, that input is shared in the team’s daily stand-up meetings and captured in an app. Employees may choose whether to include managers and others in their comments to peers. The risk of cutthroat behavior is mitigated by the fact that peer comments to the supervisor also go to the team. Anyone trying to undercut colleagues will be exposed.</w:t>
      </w:r>
    </w:p>
    <w:p>
      <w:r>
        <w:rPr>
          <w:b w:val="0"/>
          <w:i w:val="0"/>
        </w:rPr>
        <w:t>In agile organizations, “upward” feedback from employees to team leaders and supervisors is highly valued too. The Mitre Corporation’s not-for-profit research centers have taken steps to encourage it, but they’re finding that this requires concentrated effort. They started with periodic confidential employee surveys and focus groups to discover which issues people wanted to discuss with their managers. HR then distilled that data for supervisors to inform their conversations with direct reports. However, employees were initially hesitant to provide upward feedback—even though it was anonymous and was used for development purposes only—because they weren’t accustomed to voicing their thoughts about what management was doing.</w:t>
      </w:r>
    </w:p>
    <w:p>
      <w:r>
        <w:rPr>
          <w:b w:val="0"/>
          <w:i w:val="0"/>
        </w:rPr>
        <w:t>Mitre also learned that the most critical factor in getting subordinates to be candid was having managers explicitly say that they wanted and appreciated comments. Otherwise people might worry, reasonably, that their leaders weren’t really open to feedback and ready to apply it. As with any employee survey, soliciting upward feedback and not acting on it has a diminishing effect on participation; it erodes the hard-earned trust between employees and their managers. When Mitre’s new performance-management and feedback process began, the CEO acknowledged that the research centers would need to iterate and make improvements. A revised system for upward feedback will roll out this year.</w:t>
      </w:r>
    </w:p>
    <w:p>
      <w:r>
        <w:rPr>
          <w:b w:val="0"/>
          <w:i w:val="0"/>
        </w:rPr>
        <w:t>Because feedback flows in all directions on teams, many companies use technology to manage the sheer volume of it. Apps allow supervisors, coworkers, and clients to give one another immediate feedback from wherever they are. Crucially, supervisors can download all the comments later on, when it’s time to do evaluations. In some apps, employees and supervisors can score progress on goals; at least one helps managers analyze conversations on project management platforms like Slack to provide feedback on collaboration. Cisco uses proprietary technology to collect weekly raw data, or “bread crumbs,” from employees about their peers’ performance. Such tools enable managers to see fluctuations in individual performance over time, even within teams. The apps don’t provide an official record of performance, of course, and employees may want to discuss problems face-to-face to avoid having them recorded in a file that can be downloaded. We know that companies recognize and reward improvement as well as actual performance, however, so hiding problems may not always pay off for employees.</w:t>
      </w:r>
    </w:p>
    <w:p>
      <w:pPr>
        <w:pStyle w:val="Heading3"/>
      </w:pPr>
      <w:r>
        <w:rPr>
          <w:b w:val="0"/>
          <w:i w:val="0"/>
        </w:rPr>
        <w:t>Frontline decision rights. The fundamental shift toward teams has also affected decision rights: Organizations are pushing them down to the front lines, equipping and empowering employees to operate more independently. But that’s a huge behavioral change, and people need support to pull it off. Let’s return to the Bank of Montreal example to illustrate how it can work. When BMO introduced agile teams to design some new customer services, senior leaders weren’t quite ready to give up control, and the people under them were not used to taking it. So the bank embedded agile coaches in business teams. They began by putting everyone, including high-level executives, through “retrospectives”—regular reflection and feedback sessions held after each iteration. These are the agile version of after-action reviews; their purpose is to keep improving processes. Because the retrospectives quickly identified concrete successes, failures, and root causes, senior leaders at BMO immediately recognized their value, which helped them get on board with agile generally and loosen their grip on decision making.</w:t>
      </w:r>
    </w:p>
    <w:p>
      <w:pPr>
        <w:pStyle w:val="Heading3"/>
      </w:pPr>
      <w:r>
        <w:rPr>
          <w:b w:val="0"/>
          <w:i w:val="0"/>
        </w:rPr>
        <w:t>Complex team dynamics. Finally, since the supervisor’s role has moved away from just managing individuals and toward the much more complicated task of promoting productive, healthy team dynamics, people often need help with that, too. Cisco’s special Team Intelligence unit provides that kind of support. It’s charged with identifying the company’s best-performing teams, analyzing how they operate, and helping other teams learn how to become more like them. It uses an enterprise-wide platform called Team Space, which tracks data on team projects, needs, and achievements to both measure and improve what teams are doing within units and across the company.</w:t>
      </w:r>
    </w:p>
    <w:p>
      <w:pPr>
        <w:pStyle w:val="Heading3"/>
      </w:pPr>
      <w:r>
        <w:rPr>
          <w:b w:val="0"/>
          <w:i w:val="0"/>
        </w:rPr>
        <w:t>Compensation</w:t>
      </w:r>
    </w:p>
    <w:p>
      <w:r>
        <w:rPr>
          <w:b w:val="0"/>
          <w:i w:val="0"/>
        </w:rPr>
        <w:t>Pay is changing as well. A simple adaptation to agile work, seen in retail companies such as Macy’s, is to use spot bonuses to recognize contributions when they happen rather than rely solely on end-of-year salary increases. Research and practice have shown that compensation works best as a motivator when it comes as soon as possible after the desired behavior. Instant rewards reinforce instant feedback in a powerful way. Annual merit-based raises are less effective, because too much time goes by.</w:t>
      </w:r>
    </w:p>
    <w:p>
      <w:r>
        <w:rPr>
          <w:b w:val="0"/>
          <w:i w:val="0"/>
        </w:rPr>
        <w:t>Patagonia has actually eliminated annual raises for its knowledge workers. Instead the company adjusts wages for each job much more frequently, according to research on where market rates are going. Increases can also be allocated when employees take on more-difficult projects or go above and beyond in other ways. The company retains a budget for the top 1% of individual contributors, and supervisors can make a case for any contribution that merits that designation, including contributions to teams.</w:t>
      </w:r>
    </w:p>
    <w:p>
      <w:r>
        <w:rPr>
          <w:b w:val="0"/>
          <w:i w:val="0"/>
        </w:rPr>
        <w:t>Compensation is also being used to reinforce agile values such as learning and knowledge sharing. In the startup world, for instance, the online clothing-rental company Rent the Runway dropped separate bonuses, rolling the money into base pay. CEO Jennifer Hyman reports that the bonus program was getting in the way of honest peer feedback. Employees weren’t sharing constructive criticism, knowing it could have negative financial consequences for their colleagues. The new system prevents that problem by “untangling the two, ” Hyman says.</w:t>
      </w:r>
    </w:p>
    <w:p>
      <w:r>
        <w:rPr>
          <w:b w:val="0"/>
          <w:i w:val="0"/>
        </w:rPr>
        <w:t>DigitalOcean redesigned its rewards to promote equitable treatment of employees and a culture of collaboration. Salary adjustments now happen twice a year to respond to changes in the outside labor market and in jobs and performance. More important, DigitalOcean has closed gaps in pay for equivalent work. It’s deliberately heading off internal rivalry, painfully aware of the problems in hypercompetitive cultures (think Microsoft and Amazon). To personalize compensation, the firm maps where people are having impact in their roles and where they need to grow and develop. The data on individuals’ impact on the business is a key factor in discussions about pay. Negotiating to raise your own salary is fiercely discouraged. And only the top 1% of achievement is rewarded financially; otherwise, there is no merit-pay process. All employees are eligible for bonuses, which are based on company performance rather than individual contributions. To further support collaboration, DigitalOcean is diversifying its portfolio of rewards to include nonfinancial, meaningful gifts, such as a Kindle loaded with the CEO’s “best books” picks.</w:t>
      </w:r>
    </w:p>
    <w:p>
      <w:r>
        <w:rPr>
          <w:b w:val="0"/>
          <w:i w:val="0"/>
        </w:rPr>
        <w:t>How does DigitalOcean motivate people to perform their best without inflated financial rewards? Matt Hoffman, its vice president of people, says it focuses on creating a culture that inspires purpose and creativity. So far that seems to be working. The latest engagement survey, via Culture Amp, ranks DigitalOcean 17 points above the industry benchmark in satisfaction with compensation.</w:t>
      </w:r>
    </w:p>
    <w:p>
      <w:pPr>
        <w:pStyle w:val="Heading3"/>
      </w:pPr>
      <w:r>
        <w:rPr>
          <w:b w:val="0"/>
          <w:i w:val="0"/>
        </w:rPr>
        <w:t>Recruiting</w:t>
      </w:r>
    </w:p>
    <w:p>
      <w:r>
        <w:rPr>
          <w:b w:val="0"/>
          <w:i w:val="0"/>
        </w:rPr>
        <w:t>With the improvements in the economy since the Great Recession, recruiting and hiring have become more urgent—and more agile. To scale up quickly in 2015, GE’s new digital division pioneered some interesting recruiting experiments. For instance, a cross-functional team works together on all hiring requisitions. A “head count manager” represents the interests of internal stakeholders who want their positions filled quickly and appropriately. Hiring managers rotate on and off the team, depending on whether they’re currently hiring, and a scrum master oversees the process.</w:t>
      </w:r>
    </w:p>
    <w:p>
      <w:r>
        <w:rPr>
          <w:b w:val="0"/>
          <w:i w:val="0"/>
        </w:rPr>
        <w:t>To keep things moving, the team focuses on vacancies that have cleared all the hurdles—no req’s get started if debate is still ongoing about the desired attributes of candidates. Openings are ranked, and the team concentrates on the top-priority hires until they are completed. It works on several hires at once so that members can share information about candidates who may fit better in other roles. The team keeps track of its cycle time for filling positions and monitors all open requisitions on a kanban board to identify bottlenecks and blocked processes. IBM now takes a similar approach to recruitment.</w:t>
      </w:r>
    </w:p>
    <w:p>
      <w:r>
        <w:rPr>
          <w:b w:val="0"/>
          <w:i w:val="0"/>
        </w:rPr>
        <w:t>Companies are also relying more heavily on technology to find and track candidates who are well suited to an agile work environment. GE, IBM, and Cisco are working with the vendor Ascendify to create software that does just this. The IT recruiting company HackerRank offers an online tool for the same purpose.</w:t>
      </w:r>
    </w:p>
    <w:p>
      <w:pPr>
        <w:pStyle w:val="Heading3"/>
      </w:pPr>
      <w:r>
        <w:rPr>
          <w:b w:val="0"/>
          <w:i w:val="0"/>
        </w:rPr>
        <w:t>Learning and development</w:t>
      </w:r>
    </w:p>
    <w:p>
      <w:r>
        <w:rPr>
          <w:b w:val="0"/>
          <w:i w:val="0"/>
        </w:rPr>
        <w:t>Like hiring, L&amp;D had to change to bring new skills into organizations more quickly. Most companies already have a suite of online learning modules that employees can access on demand. Although helpful for those who have clearly defined needs, this is a bit like giving a student the key to a library and telling her to figure out what she must know and then learn it. Newer approaches use data analysis to identify the skills required for particular jobs and for advancement and then suggest to individual employees what kinds of training and future jobs make sense for them, given their experience and interests.</w:t>
      </w:r>
    </w:p>
    <w:p>
      <w:r>
        <w:rPr>
          <w:b w:val="0"/>
          <w:i w:val="0"/>
        </w:rPr>
        <w:t>IBM uses artificial intelligence to generate such advice, starting with employees’ profiles, which include prior and current roles, expected career trajectory, and training programs completed. The company has also created special training for agile environments—using, for example, animated simulations built around a series of “personas” to illustrate useful behaviors, such as offering constructive criticism. (See the sidebar “What HR Can Learn from Tech.”)</w:t>
      </w:r>
    </w:p>
    <w:p>
      <w:r>
        <w:rPr>
          <w:b w:val="0"/>
          <w:i w:val="0"/>
        </w:rPr>
        <w:t>Traditionally, L&amp;D has included succession planning—the epitome of top-down, long-range thinking, whereby individuals are picked years in advance to take on the most crucial leadership roles, usually in the hope that they will develop certain capabilities on schedule. The world often fails to cooperate with those plans, though. Companies routinely find that by the time senior leadership positions open up, their needs have changed. The most common solution is to ignore the plan and start a search from scratch. But organizations often continue doing long-term succession planning anyway. (About half of large companies have a plan to develop successors for the top job.) Pepsi is one company taking a simple step away from this model by shortening the time frame. It provides brief quarterly updates on the development of possible successors—in contrast to the usual annual updates—and delays appointments so that they happen closer to when successors are likely to step into their roles.</w:t>
      </w:r>
    </w:p>
    <w:p>
      <w:r>
        <w:rPr>
          <w:b w:val="0"/>
          <w:i w:val="0"/>
        </w:rPr>
        <w:t>What HR Can Learn from Tech</w:t>
      </w:r>
    </w:p>
    <w:p>
      <w:r>
        <w:rPr>
          <w:b w:val="0"/>
          <w:i w:val="0"/>
        </w:rPr>
        <w:t>The agile pioneers in the tech world are years ahead of everyone else in adopting the methodology at scale. So who better to provide guidance as managers and HR leaders grapple with how to apply agile talent practices throughout their organizations? In a recent survey, thousands of software developers across many countries and industries identified their biggest obstacles in scaling and the ways they got past them.</w:t>
      </w:r>
    </w:p>
    <w:p>
      <w:pPr>
        <w:jc w:val="center"/>
      </w:pPr>
      <w:r>
        <w:drawing>
          <wp:inline xmlns:a="http://schemas.openxmlformats.org/drawingml/2006/main" xmlns:pic="http://schemas.openxmlformats.org/drawingml/2006/picture">
            <wp:extent cx="6680200" cy="8242300"/>
            <wp:docPr id="77" name="Picture 77"/>
            <wp:cNvGraphicFramePr>
              <a:graphicFrameLocks noChangeAspect="1"/>
            </wp:cNvGraphicFramePr>
            <a:graphic>
              <a:graphicData uri="http://schemas.openxmlformats.org/drawingml/2006/picture">
                <pic:pic>
                  <pic:nvPicPr>
                    <pic:cNvPr id="0" name="epub_img_2362207741281451521.jpg"/>
                    <pic:cNvPicPr/>
                  </pic:nvPicPr>
                  <pic:blipFill>
                    <a:blip r:embed="rId59"/>
                    <a:stretch>
                      <a:fillRect/>
                    </a:stretch>
                  </pic:blipFill>
                  <pic:spPr>
                    <a:xfrm>
                      <a:off x="0" y="0"/>
                      <a:ext cx="6680200" cy="8242300"/>
                    </a:xfrm>
                    <a:prstGeom prst="rect"/>
                  </pic:spPr>
                </pic:pic>
              </a:graphicData>
            </a:graphic>
          </wp:inline>
        </w:drawing>
      </w:r>
    </w:p>
    <w:p>
      <w:pPr>
        <w:jc w:val="center"/>
      </w:pPr>
      <w:r>
        <w:drawing>
          <wp:inline xmlns:a="http://schemas.openxmlformats.org/drawingml/2006/main" xmlns:pic="http://schemas.openxmlformats.org/drawingml/2006/picture">
            <wp:extent cx="6680200" cy="8242300"/>
            <wp:docPr id="78" name="Picture 78"/>
            <wp:cNvGraphicFramePr>
              <a:graphicFrameLocks noChangeAspect="1"/>
            </wp:cNvGraphicFramePr>
            <a:graphic>
              <a:graphicData uri="http://schemas.openxmlformats.org/drawingml/2006/picture">
                <pic:pic>
                  <pic:nvPicPr>
                    <pic:cNvPr id="0" name="epub_img_2362207741281451521.jpg"/>
                    <pic:cNvPicPr/>
                  </pic:nvPicPr>
                  <pic:blipFill>
                    <a:blip r:embed="rId59"/>
                    <a:stretch>
                      <a:fillRect/>
                    </a:stretch>
                  </pic:blipFill>
                  <pic:spPr>
                    <a:xfrm>
                      <a:off x="0" y="0"/>
                      <a:ext cx="6680200" cy="8242300"/>
                    </a:xfrm>
                    <a:prstGeom prst="rect"/>
                  </pic:spPr>
                </pic:pic>
              </a:graphicData>
            </a:graphic>
          </wp:inline>
        </w:drawing>
      </w:r>
    </w:p>
    <w:p>
      <w:r>
        <w:rPr>
          <w:b w:val="0"/>
          <w:i/>
        </w:rPr>
        <w:t>Source</w:t>
      </w:r>
      <w:r>
        <w:rPr>
          <w:b w:val="0"/>
          <w:i w:val="0"/>
        </w:rPr>
        <w:t>: VersionOne’s 2016 State of Agile survey</w:t>
      </w:r>
    </w:p>
    <w:p>
      <w:r>
        <w:rPr>
          <w:b w:val="0"/>
          <w:i/>
        </w:rPr>
        <w:t>Note</w:t>
      </w:r>
      <w:r>
        <w:rPr>
          <w:b w:val="0"/>
          <w:i w:val="0"/>
        </w:rPr>
        <w:t>: Respondents could make multiple selections.</w:t>
      </w:r>
    </w:p>
    <w:p>
      <w:pPr>
        <w:pStyle w:val="Heading3"/>
      </w:pPr>
      <w:r>
        <w:rPr>
          <w:b w:val="0"/>
          <w:i w:val="0"/>
        </w:rPr>
        <w:t>Ongoing Challenges</w:t>
      </w:r>
    </w:p>
    <w:p>
      <w:r>
        <w:rPr>
          <w:b w:val="0"/>
          <w:i w:val="0"/>
        </w:rPr>
        <w:t>To be sure, not every organization or group is in hot pursuit of rapid innovation. Some jobs must remain largely rules based. (Consider the work that accountants, nuclear control-room operators, and surgeons do.) In such cases agile talent practices may not make sense.</w:t>
      </w:r>
    </w:p>
    <w:p>
      <w:r>
        <w:rPr>
          <w:b w:val="0"/>
          <w:i w:val="0"/>
        </w:rPr>
        <w:t>And even when they’re appropriate, they may meet resistance—especially within HR. A lot of processes have to change for an organization to move away from a planning-based “waterfall” model (which is linear rather than flexible and adaptive), and some of them are hardwired into information systems, job titles, and so forth. The move toward cloud-based IT, which is happening independently, has made it easier to adopt app-based tools. But people issues remain a sticking point. Many HR tasks, such as traditional approaches to recruitment, onboarding, and program coordination, will become obsolete, as will expertise in those areas.</w:t>
      </w:r>
    </w:p>
    <w:p>
      <w:r>
        <w:rPr>
          <w:b w:val="0"/>
          <w:i w:val="0"/>
        </w:rPr>
        <w:t>Meanwhile, new tasks are being created. Helping supervisors replace judging with coaching is a big challenge not just in terms of skills but also because it undercuts their status and formal authority. Shifting the focus of management from individuals to teams may be even more difficult, because team dynamics can be a black box to those who are still struggling to understand how to coach individuals. The big question is whether companies can help managers take all this on and see the value in it.</w:t>
      </w:r>
    </w:p>
    <w:p>
      <w:r>
        <w:rPr>
          <w:b w:val="0"/>
          <w:i w:val="0"/>
        </w:rPr>
        <w:t>The HR function will also require reskilling. It will need more expertise in IT support—especially given all the performance data generated by the new apps—and deeper knowledge about teams and hands-on supervision. HR has not had to change in recent decades nearly as much as have the line operations it supports. But now the pressure is on, and it’s coming from the operating level, which makes it much harder to cling to old talent practices.</w:t>
      </w:r>
    </w:p>
    <w:p>
      <w:r>
        <w:rPr>
          <w:b w:val="0"/>
          <w:i w:val="0"/>
        </w:rPr>
        <w:t>TAKEAWAYS</w:t>
      </w:r>
    </w:p>
    <w:p>
      <w:r>
        <w:rPr>
          <w:b w:val="0"/>
          <w:i w:val="0"/>
        </w:rPr>
        <w:t>Agile is extending its reach beyond tech and project management into the most people-centered realm of human resources. It can transform how your organization hires, develops, and manages its people in these key areas:</w:t>
      </w:r>
    </w:p>
    <w:p>
      <w:r>
        <w:rPr>
          <w:b w:val="0"/>
          <w:i w:val="0"/>
        </w:rPr>
        <w:t>✓  Performance appraisals: Frequent performance assessments, often conducted project by project, help employees correct course, improve performance, and learn through iteration.</w:t>
      </w:r>
    </w:p>
    <w:p>
      <w:r>
        <w:rPr>
          <w:b w:val="0"/>
          <w:i w:val="0"/>
        </w:rPr>
        <w:t>✓  Coaching: Video trainings, brief learning sessions that allow employees to test-drive new skills on the job, and peer-to-peer feedback remove the fear of evaluation and create a culture where learning from mistakes is the norm.</w:t>
      </w:r>
    </w:p>
    <w:p>
      <w:r>
        <w:rPr>
          <w:b w:val="0"/>
          <w:i w:val="0"/>
        </w:rPr>
        <w:t>✓  Teams: Collaboration is improved by using multidirectional feedback, shifting decision rights to the front line, and promoting productive and healthy team dynamics.</w:t>
      </w:r>
    </w:p>
    <w:p>
      <w:r>
        <w:rPr>
          <w:b w:val="0"/>
          <w:i w:val="0"/>
        </w:rPr>
        <w:t>✓  Compensation: Spot bonuses to reward and reinforce instant feedback replace annual salary reviews and calendar-based bonuses, and salary reviews and adjustments become more responsive to performance and outside labor market changes.</w:t>
      </w:r>
    </w:p>
    <w:p>
      <w:r>
        <w:rPr>
          <w:b w:val="0"/>
          <w:i w:val="0"/>
        </w:rPr>
        <w:t>✓  Recruiting: A cross-functional team makes all hires, focuses on top-priority vacancies, and works on several hires at once so members can share information about candidates who may fit better in other roles.</w:t>
      </w:r>
    </w:p>
    <w:p>
      <w:r>
        <w:rPr>
          <w:b w:val="0"/>
          <w:i w:val="0"/>
        </w:rPr>
        <w:t>✓  Learning and development: Data analysis identifies the skills required for specific jobs and advancement, so training and future roles for individuals can be personalized.</w:t>
      </w:r>
    </w:p>
    <w:p>
      <w:r>
        <w:rPr>
          <w:b w:val="0"/>
          <w:i/>
        </w:rPr>
        <w:t>Reprinted from</w:t>
      </w:r>
      <w:r>
        <w:rPr>
          <w:b w:val="0"/>
          <w:i w:val="0"/>
        </w:rPr>
        <w:t xml:space="preserve"> Harvard Business Review</w:t>
      </w:r>
      <w:r>
        <w:rPr>
          <w:b w:val="0"/>
          <w:i/>
        </w:rPr>
        <w:t>, March–April 2018 (product #R1802B).</w:t>
      </w:r>
    </w:p>
    <w:p>
      <w:pPr>
        <w:pStyle w:val="Heading1"/>
      </w:pPr>
      <w:r>
        <w:rPr>
          <w:b w:val="0"/>
          <w:i w:val="0"/>
        </w:rPr>
        <w:t>6</w:t>
      </w:r>
    </w:p>
    <w:p>
      <w:pPr>
        <w:pStyle w:val="Heading1"/>
      </w:pPr>
      <w:r>
        <w:rPr>
          <w:b w:val="0"/>
          <w:i w:val="0"/>
        </w:rPr>
        <w:t>HOW TO MAKE AGILE WORK FOR THE C-SUITE</w:t>
      </w:r>
    </w:p>
    <w:p>
      <w:r>
        <w:rPr>
          <w:b w:val="0"/>
          <w:i w:val="0"/>
        </w:rPr>
        <w:t>by Eric Garton and Andy Noble</w:t>
      </w:r>
    </w:p>
    <w:p>
      <w:r>
        <w:rPr>
          <w:b w:val="0"/>
          <w:i w:val="0"/>
        </w:rPr>
        <w:t>Many companies are attempting a radical—and often rapid—shift from hierarchical structures to more agile environments, in order to operate at the speed required by today’s competitive marketplace. Companies like ANZ, the Australian-based banking giant, have made explicit commitments to adopt agile principles, while others like Zappos are on the bleeding edge of organizational transformation. Many stopping points exist along the continuum from hierarchy to holacracy. To successfully transform to a more agile enterprise, companies must make conscious choices about where and how to become agile. They have to decide where to adopt agile principles and mindsets, where to use agile problem-solving methodologies to dynamically address strategic and organizational challenges, and where to more formally deploy the full agile model, including self-managed teams.</w:t>
      </w:r>
    </w:p>
    <w:p>
      <w:r>
        <w:rPr>
          <w:b w:val="0"/>
          <w:i w:val="0"/>
        </w:rPr>
        <w:t>At Bain &amp; Company, we do not believe that companies should try to use agile methods everywhere. In many functional areas, such as plant maintenance, purchasing, sales calls, or accounting, more traditional structures and processes likely will deliver lower-cost, more repeatable outcomes and more scalable organizations. Sorting through every function and every part of your company’s operating model to determine which parts of the agile playbook to adopt requires some deep thinking. It also means you have to figure out how to make the agile and traditional parts of your organization effectively operate with one another. This takes time.</w:t>
      </w:r>
    </w:p>
    <w:p>
      <w:r>
        <w:rPr>
          <w:b w:val="0"/>
          <w:i w:val="0"/>
        </w:rPr>
        <w:t>There is, however, a no-regrets first move available to the leaders of organizations that are working through a complicated transition from a traditional to an agile enterprise, and that is to become agile at the top. Senior leadership teams that embrace agile do a few things differently. Based on our experience working with these teams, we recommend senior teams do the following if they want to become more agile.</w:t>
      </w:r>
    </w:p>
    <w:p>
      <w:pPr>
        <w:pStyle w:val="Heading3"/>
      </w:pPr>
      <w:r>
        <w:rPr>
          <w:b w:val="0"/>
          <w:i w:val="0"/>
        </w:rPr>
        <w:t>Treat your enterprise priorities as a managed backlog</w:t>
      </w:r>
    </w:p>
    <w:p>
      <w:r>
        <w:rPr>
          <w:b w:val="0"/>
          <w:i w:val="0"/>
        </w:rPr>
        <w:t>At the enterprise level, think of all of your corporate initiatives as a backlog, just as software developers think of future product features as a backlog. See your leadership team as an agile scrum that prioritizes the backlog based on importance, then tackles them in sequence until completed. Reprioritize your enterprise backlog when new initiatives are added. This helps maintain focus and velocity while stopping initiative proliferation. Systematic Inc., a 525-employee software company, began applying agile methodologies in 2005. As they spread to all its software development teams, Michael Holm, the company’s CEO and cofounder, began to worry that his leadership team was hindering progress. So in 2010, Holm decided to run his nine-member executive group as an agile team. The group started by meeting every Monday for an hour or two but found the pace of decision making too slow. So it began having daily 20-minute stand-ups at 8:40 a.m. to discuss what members had done the day before, what they would do that day, and where they needed help.</w:t>
      </w:r>
    </w:p>
    <w:p>
      <w:r>
        <w:rPr>
          <w:b w:val="0"/>
          <w:i w:val="0"/>
        </w:rPr>
        <w:t>Executive teams looking to adopt this practice need to focus on fewer things and move from a calendar-based planning process to continuous issue-based planning. When Steve Jobs was running Apple, one of his greatest strengths was ruthlessly focusing the company on its most critical priorities. As documented by Walter Isaacson, “After he righted the company, Jobs began taking his ‘top 100’ people on a retreat each year. On the last day, he would stand in front of a whiteboard and ask, ‘What are the 10 things we should be doing next?’ People would fight to get their suggestions on the list. Jobs would write them down—and then cross off the ones he decreed dumb. After much jockeying, the group would come up with a list of 10. Then Jobs would slash the bottom seven and announce, ‘We can only do three.’ ”</w:t>
      </w:r>
    </w:p>
    <w:p>
      <w:r>
        <w:rPr>
          <w:b w:val="0"/>
          <w:i w:val="0"/>
        </w:rPr>
        <w:t>And it’s not just executive focus that needs to change. The traditional annual strategic planning cycle must be supplemented with real-time, issue-based planning so resources can be allocated more dynamically. Strategy, competitor actions, and timely responses do not fit neatly into a fixed calendar. Companies like Textron and Cardinal Health began moving toward a more continuous planning process years ago after growing frustrated with the pace of decision making. Continuous planning ensures that resources are being directed toward evolving priorities and away from initiatives that have grown less important. The dynamic nature of agile initiatives also requires that executives devise new ways of keeping everything aligned and maintaining enterprise-level visibility, for example, via widely accessible dashboards that connect metrics across the company and link individual team metrics to aggregated company-level metrics.</w:t>
      </w:r>
    </w:p>
    <w:p>
      <w:pPr>
        <w:pStyle w:val="Heading3"/>
      </w:pPr>
      <w:r>
        <w:rPr>
          <w:b w:val="0"/>
          <w:i w:val="0"/>
        </w:rPr>
        <w:t>Create small, talent-rich teams working outside the hierarchy to address your most important priorities</w:t>
      </w:r>
    </w:p>
    <w:p>
      <w:r>
        <w:rPr>
          <w:b w:val="0"/>
          <w:i w:val="0"/>
        </w:rPr>
        <w:t>These teams are given permission to use agile methods and processes and to work outside of the often energy-draining and slower-moving traditional processes and decision hierarchies. Many leading companies such as Airbnb, Spotify, Google, Amazon, and Microsoft have adopted agile as a way of managing innovation and product development. Self-managed teams with limited hierarchy and bureaucracy are explicit features of such organizational models.</w:t>
      </w:r>
    </w:p>
    <w:p>
      <w:r>
        <w:rPr>
          <w:b w:val="0"/>
          <w:i w:val="0"/>
        </w:rPr>
        <w:t>AB InBev has an executive team that works in a more agile way, though the members probably did not study scrum before adopting this way of working; it is inherent to their leadership style and culture. The CEO and his leadership team share a joint table. Issues are worked on quickly and cross-functionally in a less formal, less bureaucratic environment. This means no one has to call a special meeting, and issues do not have to be worked through different functional silos and then reintegrated at the top. This type of management boosts the velocity of decision making.</w:t>
      </w:r>
    </w:p>
    <w:p>
      <w:pPr>
        <w:pStyle w:val="Heading3"/>
      </w:pPr>
      <w:r>
        <w:rPr>
          <w:b w:val="0"/>
          <w:i w:val="0"/>
        </w:rPr>
        <w:t>Time-box your work and make extensive use of test-and-learn techniques</w:t>
      </w:r>
    </w:p>
    <w:p>
      <w:r>
        <w:rPr>
          <w:b w:val="0"/>
          <w:i w:val="0"/>
        </w:rPr>
        <w:t>Working in smaller increments of focused time, typically one to four weeks, also accelerates decision velocity and the overall corporate metabolism. This works well when you have moved from a calendar-based to a continuous planning process. Using test-and-learn techniques with both customers and internal stakeholders allows companies to take minimum viable solutions and iterate on them quickly, abandoning weaker solutions for better ones. This rapid, hypothesis-focused, real-time testing creates early constructive feedback for the team and accelerates the development of solutions.</w:t>
      </w:r>
    </w:p>
    <w:p>
      <w:r>
        <w:rPr>
          <w:b w:val="0"/>
          <w:i w:val="0"/>
        </w:rPr>
        <w:t>No company demonstrates this intense focus on speed better than Amazon, which puts these concepts into practice every day. Amazon makes extensive use of well-researched white papers to help focus the management team on critical decisions. At the outset of a meeting, individuals are given time to read the white papers in silence before thoroughly discussing the merits of a proposal. Not all decisions are treated equally. In his 2016 letter to the shareholders video, CEO Jeff Bezos said, “Many decisions are reversible, two-way doors. Those decisions can use a light-weight process. For those, so what if you’re wrong?”</w:t>
      </w:r>
    </w:p>
    <w:p>
      <w:r>
        <w:rPr>
          <w:b w:val="0"/>
          <w:i w:val="0"/>
        </w:rPr>
        <w:t>One key to making decision velocity and time-boxing possible is establishing the right burden of proof before action. We have seen many weaker companies where the greatest sin a manager could commit was not being able to answer every question the executive team asked, even if the answers to these questions would not have changed the decision. According to Bezos, “Most decisions should probably be made with somewhere around 70% of the information you wish you had. If you wait for 90%, in most cases, you’re probably being slow. Plus, either way, you need to be good at quickly recognizing and correcting bad decisions. If you’re good at course correcting, being wrong may be less costly than you think, whereas being slow is going to be expensive for sure.”</w:t>
      </w:r>
    </w:p>
    <w:p>
      <w:r>
        <w:rPr>
          <w:b w:val="0"/>
          <w:i w:val="0"/>
        </w:rPr>
        <w:t>While we have seen few leadership teams that have embraced all of these ideas equally in the C-suite, companies are increasingly adopting these practices. Making this change stick and permeate through successive layers in the organization requires a change in leadership styles, from command-and-control to models that rely on trust. For leaders, this means learning to let go and to rely on their teams to offer the right answers. Companies like Spotify, with its principle of “loosely coupled and tightly aligned,” and Google, with its broad spans of control, have mastered these concepts. These behavioral changes will not happen without a concerted effort, but we believe that new leadership techniques are within reach of all open-minded and talented executives.</w:t>
      </w:r>
    </w:p>
    <w:p>
      <w:r>
        <w:rPr>
          <w:b w:val="0"/>
          <w:i w:val="0"/>
        </w:rPr>
        <w:t>Take a moment to hold your leadership team and yourself up to a mirror. Agile, and the resulting decision velocity, starts at the top of the house. Senior leadership teams that lead in an agile manner and make high-velocity decisions will see these behaviors mimicked at lower levels in the organization. Failing to do this is the surest way to shorten the half-life of your company and make everyone, including yourself, miserable along the way. But if you develop leaders with the right mindset and an agile approach to management, you can get the maximum value out of your company’s use of its scarcest resources—the time, talent, and energy of your workforce.</w:t>
      </w:r>
    </w:p>
    <w:p>
      <w:r>
        <w:rPr>
          <w:b w:val="0"/>
          <w:i w:val="0"/>
        </w:rPr>
        <w:t>TAKEAWAYS</w:t>
      </w:r>
    </w:p>
    <w:p>
      <w:r>
        <w:rPr>
          <w:b w:val="0"/>
          <w:i w:val="0"/>
        </w:rPr>
        <w:t>If your company is making the complicated transition from a traditional to an agile enterprise, your senior team should adopt the following practices:</w:t>
      </w:r>
    </w:p>
    <w:p>
      <w:r>
        <w:rPr>
          <w:b w:val="0"/>
          <w:i w:val="0"/>
        </w:rPr>
        <w:t>✓  Think of all your corporate initiatives as a backlog, reprioritizing when new initiatives are added.</w:t>
      </w:r>
    </w:p>
    <w:p>
      <w:r>
        <w:rPr>
          <w:b w:val="0"/>
          <w:i w:val="0"/>
        </w:rPr>
        <w:t>✓  Focus on fewer tasks and move from a calendar-based planning process to a continuous issue-based planning process.</w:t>
      </w:r>
    </w:p>
    <w:p>
      <w:r>
        <w:rPr>
          <w:b w:val="0"/>
          <w:i w:val="0"/>
        </w:rPr>
        <w:t>✓  Supplement the traditional annual strategic planning cycle with real-time, issue-based planning to allocate resources more dynamically.</w:t>
      </w:r>
    </w:p>
    <w:p>
      <w:r>
        <w:rPr>
          <w:b w:val="0"/>
          <w:i w:val="0"/>
        </w:rPr>
        <w:t>✓  Create small, talent-rich teams to address your highest priorities and boost the velocity of decision making.</w:t>
      </w:r>
    </w:p>
    <w:p>
      <w:r>
        <w:rPr>
          <w:b w:val="0"/>
          <w:i w:val="0"/>
        </w:rPr>
        <w:t>✓  Work in small increments of focused time.</w:t>
      </w:r>
    </w:p>
    <w:p>
      <w:r>
        <w:rPr>
          <w:b w:val="0"/>
          <w:i w:val="0"/>
        </w:rPr>
        <w:t>✓  Use test-and-learn techniques with both customers and internal stakeholders to accelerate the development of solutions.</w:t>
      </w:r>
    </w:p>
    <w:p>
      <w:r>
        <w:rPr>
          <w:b w:val="0"/>
          <w:i/>
        </w:rPr>
        <w:t>Adapted from content posted on hbr.org, July 19, 2017 (product #H03SEK).</w:t>
      </w:r>
    </w:p>
    <w:p>
      <w:pPr>
        <w:pStyle w:val="Heading1"/>
      </w:pPr>
      <w:r>
        <w:rPr>
          <w:b w:val="0"/>
          <w:i w:val="0"/>
        </w:rPr>
        <w:t>7</w:t>
      </w:r>
    </w:p>
    <w:p>
      <w:pPr>
        <w:pStyle w:val="Heading1"/>
      </w:pPr>
      <w:r>
        <w:rPr>
          <w:b w:val="0"/>
          <w:i w:val="0"/>
        </w:rPr>
        <w:t>HOW AGILE TEAMS CAN HELP TURNAROUNDS SUCCEED</w:t>
      </w:r>
    </w:p>
    <w:p>
      <w:r>
        <w:rPr>
          <w:b w:val="0"/>
          <w:i w:val="0"/>
        </w:rPr>
        <w:t>by Darrell K. Rigby, Simon Henderson, and Marco D’Avino</w:t>
      </w:r>
    </w:p>
    <w:p>
      <w:r>
        <w:rPr>
          <w:b w:val="0"/>
          <w:i w:val="0"/>
        </w:rPr>
        <w:t>Agile—the management approach that relies on small, entrepreneurial, close-to-the-customer teams—has a reputation that reflects its rapid adoption in software development. It’s for techies. It’s for hip Silicon Valley startups. It is most definitely not for big, old-line companies that are facing an existential crisis and require a full-scale turnaround. In that situation, what you need is a clairvoyant dictator, someone who knows exactly what to do and can bring in the mercenaries to do it.</w:t>
      </w:r>
    </w:p>
    <w:p>
      <w:r>
        <w:rPr>
          <w:b w:val="0"/>
          <w:i w:val="0"/>
        </w:rPr>
        <w:t>Let’s look at these myths—for myths they are—in reverse order, dictator first.</w:t>
      </w:r>
    </w:p>
    <w:p>
      <w:r>
        <w:rPr>
          <w:b w:val="0"/>
          <w:i w:val="0"/>
        </w:rPr>
        <w:t>Contrary to conventional wisdom and Hollywood action movies, dictatorial management is ineffective in large-scale crises. Command-and-control systems work best when operations are stable and predictable, commanders have greater knowledge of operating conditions and potential solutions than their subordinates do, centralized decision makers can effectively handle peak decision volumes, and sticking to standard operating procedures is more important than adapting to change.</w:t>
      </w:r>
    </w:p>
    <w:p>
      <w:r>
        <w:rPr>
          <w:b w:val="0"/>
          <w:i w:val="0"/>
        </w:rPr>
        <w:t>None of these conditions exists in extreme events such as natural disasters, terrorist attacks, major military battles—or large-scale business turnarounds. The variability and unpredictability of events are too high for rigid directives. Experienced operators in the field have better knowledge and more current information than remote dictators or their mercenary agents do. Information overloads paralyze command centers, creating devastating bottlenecks. Standard operating procedures fail because the situations are by definition nonstandard.</w:t>
      </w:r>
    </w:p>
    <w:p>
      <w:r>
        <w:rPr>
          <w:b w:val="0"/>
          <w:i w:val="0"/>
        </w:rPr>
        <w:t>Managers who fall prey to the dictator-in-a-crisis myth pay a heavy price. Their responses to unexpected developments are slow and ill-informed (think of Hurricane Katrina, the Chernobyl meltdown, perhaps even the demise of Sears). And their obvious lack of confidence in frontline employees will hinder growth long after the crisis passes.</w:t>
      </w:r>
    </w:p>
    <w:p>
      <w:r>
        <w:rPr>
          <w:b w:val="0"/>
          <w:i w:val="0"/>
        </w:rPr>
        <w:t>For these reasons, modern crisis teams are turning from command-and-control systems to more adaptive, agile approaches. We have worked with some of these teams, and we have observed several others. All are putting that “hip” methodology to work in exactly the places where so many people have believed it was inappropriate.</w:t>
      </w:r>
    </w:p>
    <w:p>
      <w:r>
        <w:rPr>
          <w:b w:val="0"/>
          <w:i w:val="0"/>
        </w:rPr>
        <w:t>An exemplar of the new approach is WorleyParsons, a global engineering and construction firm that specializes in oil field and other energy-related projects. In 2015, the price of oil dropped dramatically. Demand for WorleyParsons’s services crashed, with oil and gas capital projects declining more than 50%. The company was suffering from lower revenue, declining margins, and a falling stock price. Large investments made when the market was growing, including several acquisitions, became a heavy debt load in the downturn.</w:t>
      </w:r>
    </w:p>
    <w:p>
      <w:r>
        <w:rPr>
          <w:b w:val="0"/>
          <w:i w:val="0"/>
        </w:rPr>
        <w:t>As the crisis intensified, management undertook successive rounds of cost cuts. But the organization’s energy and appetite for more cost-cutting was low. The company needed a new way of working, and when executives learned about agile, they decided to try it. Instead of issuing directives from the top, frontline management identified and set up initiatives that eventually involved hundreds of teams throughout the organization. These teams changed their ways of working. They structured their work in sprints with a regimented process to arrive at key decisions. They utilized backlog prioritization, daily huddles, and the other tools of the agile trade. Senior leaders helped clear away obstacles and tracked the teams’ results.</w:t>
      </w:r>
    </w:p>
    <w:p>
      <w:r>
        <w:rPr>
          <w:b w:val="0"/>
          <w:i w:val="0"/>
        </w:rPr>
        <w:t>The agile approach injected a level of speed and accountability not found in many business turnarounds. The teams attacked the cost base from multiple angles. They reduced unnecessary work and process inefficiencies, proposing and then implementing everything from an overhaul of the firm’s IT infrastructure to a ban on business-class travel. Senior executives called on local teams to attack opportunities only they could see and address. Those teams accelerated responses to customers’ requests for proposals, fixed ineffective and inefficient heating and cooling systems, consolidated duplicative support functions among regional and global operations, and fully owned the outcomes.</w:t>
      </w:r>
    </w:p>
    <w:p>
      <w:r>
        <w:rPr>
          <w:b w:val="0"/>
          <w:i w:val="0"/>
        </w:rPr>
        <w:t>The results were both remarkable and quick. In the first 100 days, the firm increased its cash position by 20%, reduced its net debt, and registered a $120 million gain in anticipated profitability. After just one year, margins had increased by five percentage points, cost savings totaled $400 million (on an addressable cost base of $1.2 billion), and the stock price was up more than fourfold. Even more important, thousands of people had now participated in agile-based initiatives. They had learned new skills and gained new confidence. They were more and more focused on growing the top line and innovating, and launched new initiatives accordingly.</w:t>
      </w:r>
    </w:p>
    <w:p>
      <w:r>
        <w:rPr>
          <w:b w:val="0"/>
          <w:i w:val="0"/>
        </w:rPr>
        <w:t>Employing agile in this kind of context does require adapting some conventional practices, and it adds some risk. For example, agile teams usually aim to provide their members with sustainable lifestyles and have them work at a pace that they can maintain indefinitely. In a turnaround, teams may work unsustainable hours for several months at a time. In ordinary circumstances, agile teams usually create a working increment every one to four weeks. In a turnaround, tough circumstances sometimes require creating working increments in a single day. In general, agile teams may be required to make decisions faster and with less information than traditional teams.</w:t>
      </w:r>
    </w:p>
    <w:p>
      <w:r>
        <w:rPr>
          <w:b w:val="0"/>
          <w:i w:val="0"/>
        </w:rPr>
        <w:t>To mitigate such risks, agile turnaround leaders typically take five actions:</w:t>
      </w:r>
    </w:p>
    <w:p>
      <w:pPr>
        <w:pStyle w:val="ListBullet"/>
      </w:pPr>
      <w:r>
        <w:rPr>
          <w:b w:val="0"/>
          <w:i w:val="0"/>
        </w:rPr>
        <w:t>They communicate—even overcommunicate—the strategic ambition to a broader range of people. Since leaders know they will be delegating far more decisions, they ensure that people making those decisions are fully aligned on what to do and why to do it. That way, how they do it can be flexible yet faithful to the strategy.</w:t>
      </w:r>
    </w:p>
    <w:p>
      <w:pPr>
        <w:pStyle w:val="ListBullet"/>
      </w:pPr>
      <w:r>
        <w:rPr>
          <w:b w:val="0"/>
          <w:i w:val="0"/>
        </w:rPr>
        <w:t>They serve as coaches, not commanders. In a turnaround, people are afraid to make mistakes, so they bring decisions to their boss. Strong leaders act as coaches and trainers to expand the quantity and quality of decision makers.</w:t>
      </w:r>
    </w:p>
    <w:p>
      <w:pPr>
        <w:pStyle w:val="ListBullet"/>
      </w:pPr>
      <w:r>
        <w:rPr>
          <w:b w:val="0"/>
          <w:i w:val="0"/>
        </w:rPr>
        <w:t>They strengthen lines of communication among the teams. To avoid becoming a bottleneck, they develop tools that help everyone see what all the teams are doing at any time.</w:t>
      </w:r>
    </w:p>
    <w:p>
      <w:pPr>
        <w:pStyle w:val="ListBullet"/>
      </w:pPr>
      <w:r>
        <w:rPr>
          <w:b w:val="0"/>
          <w:i w:val="0"/>
        </w:rPr>
        <w:t>They accelerate learning loops, emphasizing progress over perfection. They embrace unpredictability and don’t get slowed by excessive precision. Adequate approximations will do.</w:t>
      </w:r>
    </w:p>
    <w:p>
      <w:pPr>
        <w:pStyle w:val="ListBullet"/>
      </w:pPr>
      <w:r>
        <w:rPr>
          <w:b w:val="0"/>
          <w:i w:val="0"/>
        </w:rPr>
        <w:t>They shift measurement and reward systems to larger teams. One of the biggest problems in a crisis is that people focus on doing what is best for the individuals they know and trust—which often means people in their own silos. Effective turnaround leaders enlarge circles of trust and collaboration.</w:t>
      </w:r>
    </w:p>
    <w:p>
      <w:r>
        <w:rPr>
          <w:b w:val="0"/>
          <w:i w:val="0"/>
        </w:rPr>
        <w:t>In a conventional turnaround, a small team of people at the top tries to figure out a company’s problems and make the necessary changes. In an agile turnaround, hundreds or even thousands of employees attack those problems at the root—and are learning skills they can put to work when the company recovers. The agile approach is indisputably better.</w:t>
      </w:r>
    </w:p>
    <w:p>
      <w:r>
        <w:rPr>
          <w:b w:val="0"/>
          <w:i w:val="0"/>
        </w:rPr>
        <w:t>TAKEAWAYS</w:t>
      </w:r>
    </w:p>
    <w:p>
      <w:r>
        <w:rPr>
          <w:b w:val="0"/>
          <w:i w:val="0"/>
        </w:rPr>
        <w:t>Turnarounds require making decisions faster with less information. Agile teams can help leaders reduce those risks by:</w:t>
      </w:r>
    </w:p>
    <w:p>
      <w:r>
        <w:rPr>
          <w:b w:val="0"/>
          <w:i w:val="0"/>
        </w:rPr>
        <w:t>✓  Overcommunicating to a broader range of people to ensure that decision makers are aligned on what to do and why</w:t>
      </w:r>
    </w:p>
    <w:p>
      <w:r>
        <w:rPr>
          <w:b w:val="0"/>
          <w:i w:val="0"/>
        </w:rPr>
        <w:t>✓  Acting as coaches and trainers to expand the quantity and quality of decision makers</w:t>
      </w:r>
    </w:p>
    <w:p>
      <w:r>
        <w:rPr>
          <w:b w:val="0"/>
          <w:i w:val="0"/>
        </w:rPr>
        <w:t>✓  Strengthening the lines of communication so that everyone can see what all teams are doing at any time</w:t>
      </w:r>
    </w:p>
    <w:p>
      <w:r>
        <w:rPr>
          <w:b w:val="0"/>
          <w:i w:val="0"/>
        </w:rPr>
        <w:t>✓  Accelerating learning, emphasizing progress over perfection</w:t>
      </w:r>
    </w:p>
    <w:p>
      <w:r>
        <w:rPr>
          <w:b w:val="0"/>
          <w:i w:val="0"/>
        </w:rPr>
        <w:t>✓  Widening circles of trust and collaboration by shifting measurement and rewards systems to larger teams</w:t>
      </w:r>
    </w:p>
    <w:p>
      <w:r>
        <w:rPr>
          <w:b w:val="0"/>
          <w:i/>
        </w:rPr>
        <w:t>Adapted from content posted on hbr.org, July 2, 2018 (product #H04F74).</w:t>
      </w:r>
    </w:p>
    <w:p>
      <w:pPr>
        <w:pStyle w:val="Heading1"/>
      </w:pPr>
      <w:r>
        <w:rPr>
          <w:b w:val="0"/>
          <w:i w:val="0"/>
        </w:rPr>
        <w:t>8</w:t>
      </w:r>
    </w:p>
    <w:p>
      <w:pPr>
        <w:pStyle w:val="Heading1"/>
      </w:pPr>
      <w:r>
        <w:rPr>
          <w:b w:val="0"/>
          <w:i w:val="0"/>
        </w:rPr>
        <w:t>MAKING PROCESS IMPROVEMENTS STICK</w:t>
      </w:r>
    </w:p>
    <w:p>
      <w:r>
        <w:rPr>
          <w:b w:val="0"/>
          <w:i w:val="0"/>
        </w:rPr>
        <w:t>Starting with Frederick Taylor and W. Edwards Deming, managers have long been obsessed with ways to improve business processes. And in the past 20 years, a host of improvement initiatives, including lean production, Six Sigma, and agile, have swept through a range of industries. Studies show that companies embracing such techniques may enjoy significant improvements in efficiency and costs. But when the University of North Carolina’s Brad Staats and the University of Oxford’s Matthias Holweg and David Upton looked at the benefits, they noticed a gap. “These things always work well initially, but often the gains fade very quickly,” Holweg says. “It’s always felt like researchers were telling only half the story. It’s not just about putting the programs in place—it’s also about making them stick.”</w:t>
      </w:r>
    </w:p>
    <w:p>
      <w:r>
        <w:rPr>
          <w:b w:val="0"/>
          <w:i w:val="0"/>
        </w:rPr>
        <w:t>To understand why some improvements are sustained and others aren’t, the researchers examined 204 lean projects launched from 2012 to 2017 at a European bank with more than 2,000 branches in 14 countries and serving more than 16 million customers. The lean initiative, started by the head office, was supported by a global consulting firm, which helped create an in-house academy to train lean “champions” at each regional subsidiary. Initial projects focused on processes (such as opening an account and making a wire transfer) that could benefit from decreased handoffs and fewer steps and were common to all regions. The regional offices subsequently identified additional projects according to their needs. The projects shared an overarching goal: to increase labor productivity, a key variable in service operations.</w:t>
      </w:r>
    </w:p>
    <w:p>
      <w:r>
        <w:rPr>
          <w:b w:val="0"/>
          <w:i w:val="0"/>
        </w:rPr>
        <w:t>At first glance, the initiative appeared to be a great success. Over the first four years, the bank launched 33 to 51 projects every six months, each involving 1,600 employees, on average. Initial improvements in efficiency averaged 10%; the gains rose to 20% after a year and 31% after two years. Those numbers are in line with the best-performing lean implementations in any industry, the researchers say, and the bank was rightly very pleased.</w:t>
      </w:r>
    </w:p>
    <w:p>
      <w:r>
        <w:rPr>
          <w:b w:val="0"/>
          <w:i w:val="0"/>
        </w:rPr>
        <w:t>But when the researchers looked more closely, they found a more complicated picture. Despite the impressive aggregate gains, 21% of projects failed to yield any improvements. And among the 79% that showed initial improvements, many regressed: Only 73% were still producing results above baseline after a year, and after two years the number fell to 44%. Adding up the projects that had no improvements and the ones for which improvements were temporary, only slightly more than one-third of projects held on to gains after two years.</w:t>
      </w:r>
    </w:p>
    <w:p>
      <w:r>
        <w:rPr>
          <w:b w:val="0"/>
          <w:i w:val="0"/>
        </w:rPr>
        <w:t>The researchers also explored whether projects that were initially successful could not only preserve the gains but also show continuous improvement—getting progressively better over time, which is the goal of many lean projects. Just 51% of them were continuing to improve a year after launch; after two years the figure dropped to 36%.</w:t>
      </w:r>
    </w:p>
    <w:p>
      <w:r>
        <w:rPr>
          <w:b w:val="0"/>
          <w:i w:val="0"/>
        </w:rPr>
        <w:t>Seeking to understand these findings, the researchers looked at factors identified in previous research as influencing the initial success of lean projects: the experience of local leaders driving implementation, the level of training provided, and teams’ familiarity in working together. None explained the difference, suggesting that what accounts for initial success is different from what’s needed to hold on to gains or to improve further.</w:t>
      </w:r>
    </w:p>
    <w:p>
      <w:r>
        <w:rPr>
          <w:b w:val="0"/>
          <w:i w:val="0"/>
        </w:rPr>
        <w:t>Interviews with lean champions in the bank’s 14 countries provided some insight. Managers said that one condition needed to keep improving was visible support from board members and senior leadership—without it, frontline workers believe that the company’s enthusiasm for the effort has waned, and backsliding ensues. They also cited the need for consistent measurement and monitoring and noted that problems arise when significant early improvements give way to diminishing returns. “Addressing the low-hanging fruit is easy; it becomes harder in the long term,” one lean champion told the researchers.</w:t>
      </w:r>
    </w:p>
    <w:p>
      <w:r>
        <w:rPr>
          <w:b w:val="0"/>
          <w:i w:val="0"/>
        </w:rPr>
        <w:t>The data reinforces these observations. Projects with strong support from the head office showed 35% greater improvement after a year than ones without that support; they were also less likely to backslide, with 79% performing above baseline after a year, compared with 61% of projects not driven by the head office. “Senior leadership, through paying attention to the lean improvements, clearly has a major enabling role in sustaining improvements,” the researchers write. Some companies hope that a continuous-improvement mentality will become embedded in their culture and will motivate frontline workers even without the involvement of senior leaders, but this work suggests that hope may be unrealistic. (See the sidebar “ ‘Leaders Must Make Sense of These Things’: In Practice with Helen Bevans.”)</w:t>
      </w:r>
    </w:p>
    <w:p>
      <w:r>
        <w:rPr>
          <w:b w:val="0"/>
          <w:i w:val="0"/>
        </w:rPr>
        <w:t>“Leaders Must Make Sense of These Things”: In Practice with Helen Bevan</w:t>
      </w:r>
    </w:p>
    <w:p>
      <w:r>
        <w:rPr>
          <w:b w:val="0"/>
          <w:i w:val="0"/>
        </w:rPr>
        <w:t>Helen Bevan has spent 25 years overseeing change initiatives at England’s National Health Service, which serves more than 50 million patients and employs 1.2 million health care staffers. She spoke with HBR about the challenges of preserving the gains from one initiative while launching new efforts. Edited excerpts follow.</w:t>
      </w:r>
    </w:p>
    <w:p>
      <w:r>
        <w:rPr>
          <w:b w:val="0"/>
          <w:i w:val="0"/>
        </w:rPr>
        <w:t>Why is it so hard to sustain an initiative’s improvements?</w:t>
      </w:r>
    </w:p>
    <w:p>
      <w:r>
        <w:rPr>
          <w:b w:val="0"/>
          <w:i w:val="0"/>
        </w:rPr>
        <w:t>It’s an issue of energy. And when a new initiative comes along, people ask, “What do we do with the old one?” Much of our workforce models the behavior of senior leaders, and when those leaders shift their energy to something else, it’s hard to sustain things.</w:t>
      </w:r>
    </w:p>
    <w:p>
      <w:r>
        <w:rPr>
          <w:b w:val="0"/>
          <w:i w:val="0"/>
        </w:rPr>
        <w:t>What differentiates changes that stick?</w:t>
      </w:r>
    </w:p>
    <w:p>
      <w:r>
        <w:rPr>
          <w:b w:val="0"/>
          <w:i w:val="0"/>
        </w:rPr>
        <w:t>Sustainability starts at the beginning, in how we frame a project and what it means to the organization and our purpose. It’s the difference between behaving like a buyer and behaving like an investor. If we’re asking doctors to get on board something that’s underway, it’s already too late. We need to get them invested in the project, and thinking like owners, well before it begins. When I look at the difference between projects that are sustained and ones that aren’t, it often has to do with taking the time at the beginning to set them up, frame them the right way, and get people invested.</w:t>
      </w:r>
    </w:p>
    <w:p>
      <w:r>
        <w:rPr>
          <w:b w:val="0"/>
          <w:i w:val="0"/>
        </w:rPr>
        <w:t>Is this especially hard in a health care setting, where efficiencies may seem to conflict with quality care?</w:t>
      </w:r>
    </w:p>
    <w:p>
      <w:r>
        <w:rPr>
          <w:b w:val="0"/>
          <w:i w:val="0"/>
        </w:rPr>
        <w:t>Our purpose is health and wellness. That’s what motivates people in this sector; they don’t come for the pay. If we can frame a project as relating to things that really matter to the people who work here, they will connect with it on an emotional level. Even doctors, who make decisions logically, are more likely to engage and be motivated if an initiative fits with their emotions and values. So we show data and avoid jargon. If we talk about “lean” and “agile” and use words like kanban, kaizen, and scrum, it feels like we’re taking away people’s autonomy. We can convey those concepts perfectly well without those words.</w:t>
      </w:r>
    </w:p>
    <w:p>
      <w:r>
        <w:rPr>
          <w:b w:val="0"/>
          <w:i w:val="0"/>
        </w:rPr>
        <w:t>But don’t people worry that the programs are actually about cost cutting?</w:t>
      </w:r>
    </w:p>
    <w:p>
      <w:r>
        <w:rPr>
          <w:b w:val="0"/>
          <w:i w:val="0"/>
        </w:rPr>
        <w:t>Of course we focus on costs—we have finite resources. But it’s about framing. Instead of talking about waste, we focus on unwarranted variation in care. Every patient with the same condition should get the same high-quality treatment; when that doesn’t happen, it can be a matter of life and death. Variation also adds to cost, so reducing unwarranted variation increases care and reduces cost. We see more success when we frame things in terms of our mission, which is care.</w:t>
      </w:r>
    </w:p>
    <w:p>
      <w:r>
        <w:rPr>
          <w:b w:val="0"/>
          <w:i w:val="0"/>
        </w:rPr>
        <w:t>How do you start an initiative without losing the gains of the previous one?</w:t>
      </w:r>
    </w:p>
    <w:p>
      <w:r>
        <w:rPr>
          <w:b w:val="0"/>
          <w:i w:val="0"/>
        </w:rPr>
        <w:t>Four years ago we did a crowdsourcing exercise in which we asked colleagues about the biggest barriers to change. The most common answer was “confusing strategies.” People said that when a new initiative, target, goal, or focus comes along, they don’t know whether it’s more important than the previous one. We have to find ways to continue the journeys we’ve started by sustaining people’s energy while creating space for new things. Managers and leaders must make sense of those things and reduce ambiguity.</w:t>
      </w:r>
    </w:p>
    <w:p>
      <w:r>
        <w:rPr>
          <w:b w:val="0"/>
          <w:i w:val="0"/>
        </w:rPr>
        <w:t>The researchers also interviewed executives with deep experience leading lean initiatives across a range of industries; from this, they identified three ways in which organizations can help initiatives achieve sustained improvements.</w:t>
      </w:r>
    </w:p>
    <w:p>
      <w:r>
        <w:rPr>
          <w:b w:val="0"/>
          <w:i w:val="0"/>
        </w:rPr>
        <w:t>The first is by communicating the program in a clear narrative that aligns with the organization’s purpose. For example, a hotel might focus on how a lean process will improve guest satisfaction; that’s more likely to motivate employees than an emphasis on cost savings. The second is by directing efforts toward pain points whose easing would clearly benefit employees. For instance, one hospital’s initiative aimed to decrease the time medical personnel spent on paperwork, freeing them up for patient care. The third is by ensuring that senior leaders act as coaches, enabling small wins to increase employees’ motivation and engagement.</w:t>
      </w:r>
    </w:p>
    <w:p>
      <w:r>
        <w:rPr>
          <w:b w:val="0"/>
          <w:i w:val="0"/>
        </w:rPr>
        <w:t>A particularly troublesome obstacle to sustained improvement, the researchers say, is initiative fatigue, which occurs when leaders jump too quickly from one improvement fad to another. (One of the researchers has joked about the danger of airport bookstores, which tempt traveling executives to pick up business books that may send them in pursuit of a new improvement plan.) Embarking on a new project is often more exciting than staying the course, but that doesn’t necessarily deliver the best long-term results. Staats says, “It’s always easier to start something, whether it’s weight loss, going to the gym, or smoking cessation. Getting individual changes to stick is hard, and getting organizational changes to stick is even harder.”</w:t>
      </w:r>
    </w:p>
    <w:p>
      <w:r>
        <w:rPr>
          <w:b w:val="0"/>
          <w:i w:val="0"/>
        </w:rPr>
        <w:t>TAKEAWAYS</w:t>
      </w:r>
    </w:p>
    <w:p>
      <w:r>
        <w:rPr>
          <w:b w:val="0"/>
          <w:i w:val="0"/>
        </w:rPr>
        <w:t>Putting a process improvement such as agile in place isn’t the only challenge—you also need to make it stick. According to research by University of North Carolina’s Brad Staats and the University of Oxford’s Matthias Holweg and David Upton, there are three key things you can do to make organizational changes last. To help initiatives achieve sustained improvements:</w:t>
      </w:r>
    </w:p>
    <w:p>
      <w:r>
        <w:rPr>
          <w:b w:val="0"/>
          <w:i w:val="0"/>
        </w:rPr>
        <w:t>✓  Communicate the program with clear messaging that aligns with the organization’s purpose</w:t>
      </w:r>
    </w:p>
    <w:p>
      <w:r>
        <w:rPr>
          <w:b w:val="0"/>
          <w:i w:val="0"/>
        </w:rPr>
        <w:t>✓  Direct efforts toward addressing pain points that most directly impact employees</w:t>
      </w:r>
    </w:p>
    <w:p>
      <w:r>
        <w:rPr>
          <w:b w:val="0"/>
          <w:i w:val="0"/>
        </w:rPr>
        <w:t>✓  Ensure senior leaders act as coaches to achieve small wins and increase employees’ motivation and engagement</w:t>
      </w:r>
    </w:p>
    <w:p>
      <w:r>
        <w:rPr>
          <w:b w:val="0"/>
          <w:i/>
        </w:rPr>
        <w:t>Reprinted from</w:t>
      </w:r>
      <w:r>
        <w:rPr>
          <w:b w:val="0"/>
          <w:i w:val="0"/>
        </w:rPr>
        <w:t xml:space="preserve"> Harvard Business Review</w:t>
      </w:r>
      <w:r>
        <w:rPr>
          <w:b w:val="0"/>
          <w:i/>
        </w:rPr>
        <w:t>, November–December 2018 (product #F1806A).</w:t>
      </w:r>
    </w:p>
    <w:p>
      <w:pPr>
        <w:pStyle w:val="Heading1"/>
      </w:pPr>
      <w:r>
        <w:rPr>
          <w:b w:val="0"/>
          <w:i w:val="0"/>
        </w:rPr>
        <w:t>About the Contributors</w:t>
      </w:r>
    </w:p>
    <w:p>
      <w:r>
        <w:rPr>
          <w:b w:val="0"/>
          <w:i w:val="0"/>
        </w:rPr>
        <w:t>PETER CAPPELLI is the George W. Taylor Professor of Management at the Wharton School and a director of its Center for Human Resources.</w:t>
      </w:r>
    </w:p>
    <w:p>
      <w:r>
        <w:rPr>
          <w:b w:val="0"/>
          <w:i w:val="0"/>
        </w:rPr>
        <w:t>ALIA CROCKER is an assistant professor of strategy at Babson College. She researches and consults on issues related to strategic human capital.</w:t>
      </w:r>
    </w:p>
    <w:p>
      <w:r>
        <w:rPr>
          <w:b w:val="0"/>
          <w:i w:val="0"/>
        </w:rPr>
        <w:t xml:space="preserve">ROB CROSS is the Edward A. Madden Professor of Global Leadership at Babson College. He is a coauthor of </w:t>
      </w:r>
      <w:r>
        <w:rPr>
          <w:b w:val="0"/>
          <w:i/>
        </w:rPr>
        <w:t>The Hidden Power of Social Networks</w:t>
      </w:r>
      <w:r>
        <w:rPr>
          <w:b w:val="0"/>
          <w:i w:val="0"/>
        </w:rPr>
        <w:t xml:space="preserve"> (Harvard Business Review Press, 2004) and author of a forthcoming book on improving the effectiveness of collaboration (Harvard Business Review Press).</w:t>
      </w:r>
    </w:p>
    <w:p>
      <w:r>
        <w:rPr>
          <w:b w:val="0"/>
          <w:i w:val="0"/>
        </w:rPr>
        <w:t>MARCO D’AVINO is a Bain partner based in Sydney and a leader in Bain Accelerated Transformation.</w:t>
      </w:r>
    </w:p>
    <w:p>
      <w:r>
        <w:rPr>
          <w:b w:val="0"/>
          <w:i w:val="0"/>
        </w:rPr>
        <w:t xml:space="preserve">NEEL DOSHI is a coauthor of the </w:t>
      </w:r>
      <w:r>
        <w:rPr>
          <w:b w:val="0"/>
          <w:i/>
        </w:rPr>
        <w:t>New York Times</w:t>
      </w:r>
      <w:r>
        <w:rPr>
          <w:b w:val="0"/>
          <w:i w:val="0"/>
        </w:rPr>
        <w:t xml:space="preserve"> best-selling book </w:t>
      </w:r>
      <w:r>
        <w:rPr>
          <w:b w:val="0"/>
          <w:i/>
        </w:rPr>
        <w:t>Primed to Perform: How to Build the Highest</w:t>
      </w:r>
      <w:r>
        <w:rPr>
          <w:b w:val="0"/>
          <w:i w:val="0"/>
        </w:rPr>
        <w:t xml:space="preserve"> </w:t>
      </w:r>
      <w:r>
        <w:rPr>
          <w:b w:val="0"/>
          <w:i/>
        </w:rPr>
        <w:t>Performing Cultures through the Science of Total Motivation</w:t>
      </w:r>
      <w:r>
        <w:rPr>
          <w:b w:val="0"/>
          <w:i w:val="0"/>
        </w:rPr>
        <w:t>, and cofounder of Vega Factor, a startup that helps organizations transform their cultures. Previously, Neel was a partner at McKinsey &amp; Company. He received his MBA from Wharton and BS from MIT.</w:t>
      </w:r>
    </w:p>
    <w:p>
      <w:r>
        <w:rPr>
          <w:b w:val="0"/>
          <w:i w:val="0"/>
        </w:rPr>
        <w:t xml:space="preserve">HEIDI K. GARDNER is a distinguished fellow at the Center on the Legal Profession and faculty chair of the Accelerated Leadership Program at Harvard Law School. She is the author of </w:t>
      </w:r>
      <w:r>
        <w:rPr>
          <w:b w:val="0"/>
          <w:i/>
        </w:rPr>
        <w:t>Smart Collaboration: How Professionals and Their Firms Succeed by Breaking Down Silos</w:t>
      </w:r>
      <w:r>
        <w:rPr>
          <w:b w:val="0"/>
          <w:i w:val="0"/>
        </w:rPr>
        <w:t xml:space="preserve"> (Harvard Business Review Press, 2017).</w:t>
      </w:r>
    </w:p>
    <w:p>
      <w:r>
        <w:rPr>
          <w:b w:val="0"/>
          <w:i w:val="0"/>
        </w:rPr>
        <w:t xml:space="preserve">ERIC GARTON is a partner in Bain &amp; Company’s Chicago office and leader of the firm’s Global Organization practice. He is a coauthor of </w:t>
      </w:r>
      <w:r>
        <w:rPr>
          <w:b w:val="0"/>
          <w:i/>
        </w:rPr>
        <w:t>Time, Talent, Energy: Overcome Organizational Drag and Unleash Your Team’s Productive Power</w:t>
      </w:r>
      <w:r>
        <w:rPr>
          <w:b w:val="0"/>
          <w:i w:val="0"/>
        </w:rPr>
        <w:t xml:space="preserve"> (Harvard Business Review Press, 2017).</w:t>
      </w:r>
    </w:p>
    <w:p>
      <w:r>
        <w:rPr>
          <w:b w:val="0"/>
          <w:i w:val="0"/>
        </w:rPr>
        <w:t>SIMON HENDERSON is a Bain partner based in Sydney and the global leader of Bain Accelerated Transformation.</w:t>
      </w:r>
    </w:p>
    <w:p>
      <w:r>
        <w:rPr>
          <w:b w:val="0"/>
          <w:i w:val="0"/>
        </w:rPr>
        <w:t xml:space="preserve">LINDSAY MCGREGOR is a coauthor of the </w:t>
      </w:r>
      <w:r>
        <w:rPr>
          <w:b w:val="0"/>
          <w:i/>
        </w:rPr>
        <w:t>New York Times</w:t>
      </w:r>
      <w:r>
        <w:rPr>
          <w:b w:val="0"/>
          <w:i w:val="0"/>
        </w:rPr>
        <w:t xml:space="preserve"> best-selling book, </w:t>
      </w:r>
      <w:r>
        <w:rPr>
          <w:b w:val="0"/>
          <w:i/>
        </w:rPr>
        <w:t>Primed to Perform: How to Build the Highest Performing Cultures through the Science of Total Motivation,</w:t>
      </w:r>
      <w:r>
        <w:rPr>
          <w:b w:val="0"/>
          <w:i w:val="0"/>
        </w:rPr>
        <w:t xml:space="preserve"> as well as the CEO and cofounder of Vega Factor, a startup that helps organizations transform their cultures. Previously, Lindsay led projects at McKinsey &amp; Company. She received her MBA from Harvard Business School and her BA from Princeton.</w:t>
      </w:r>
    </w:p>
    <w:p>
      <w:r>
        <w:rPr>
          <w:b w:val="0"/>
          <w:i w:val="0"/>
        </w:rPr>
        <w:t>ANDY NOBLE is a partner in Bain &amp; Company’s organization practice and is located in the Boston office.</w:t>
      </w:r>
    </w:p>
    <w:p>
      <w:r>
        <w:rPr>
          <w:b w:val="0"/>
          <w:i w:val="0"/>
        </w:rPr>
        <w:t xml:space="preserve">DARRELL K. RIGBY is a partner in the Boston office of Bain &amp; Company. He heads the firm’s global innovation practice. He is the author of </w:t>
      </w:r>
      <w:r>
        <w:rPr>
          <w:b w:val="0"/>
          <w:i/>
        </w:rPr>
        <w:t>Winning in Turbulence</w:t>
      </w:r>
      <w:r>
        <w:rPr>
          <w:b w:val="0"/>
          <w:i w:val="0"/>
        </w:rPr>
        <w:t xml:space="preserve"> (Harvard Business Review Press, 2009) and a coauthor of the forthcoming </w:t>
      </w:r>
      <w:r>
        <w:rPr>
          <w:b w:val="0"/>
          <w:i/>
        </w:rPr>
        <w:t>Doing Agile Right: Transformation Without Chaos</w:t>
      </w:r>
      <w:r>
        <w:rPr>
          <w:b w:val="0"/>
          <w:i w:val="0"/>
        </w:rPr>
        <w:t xml:space="preserve"> (Harvard Business Review Press, 2020).</w:t>
      </w:r>
    </w:p>
    <w:p>
      <w:r>
        <w:rPr>
          <w:b w:val="0"/>
          <w:i w:val="0"/>
        </w:rPr>
        <w:t xml:space="preserve">PHIL SIMON is a frequent keynote speaker, Slack trainer, and recognized technology authority. He is the award-winning author of nine management books, most recently </w:t>
      </w:r>
      <w:r>
        <w:rPr>
          <w:b w:val="0"/>
          <w:i/>
        </w:rPr>
        <w:t>Slack for Dummies</w:t>
      </w:r>
      <w:r>
        <w:rPr>
          <w:b w:val="0"/>
          <w:i w:val="0"/>
        </w:rPr>
        <w:t>. He also teaches full-time at Arizona State University. Find out more about him at www.philsimon.com.</w:t>
      </w:r>
    </w:p>
    <w:p>
      <w:r>
        <w:rPr>
          <w:b w:val="0"/>
          <w:i w:val="0"/>
        </w:rPr>
        <w:t>JEFF SUTHERLAND is a cocreator of the scrum form of agile innovation and the CEO of Scrum Inc., a consulting and training firm.</w:t>
      </w:r>
    </w:p>
    <w:p>
      <w:r>
        <w:rPr>
          <w:b w:val="0"/>
          <w:i w:val="0"/>
        </w:rPr>
        <w:t xml:space="preserve">ANNA TAVIS is a clinical associate professor of human capital management at New York University and the Perspectives editor at </w:t>
      </w:r>
      <w:r>
        <w:rPr>
          <w:b w:val="0"/>
          <w:i/>
        </w:rPr>
        <w:t>People</w:t>
      </w:r>
      <w:r>
        <w:rPr>
          <w:b w:val="0"/>
          <w:i w:val="0"/>
        </w:rPr>
        <w:t xml:space="preserve"> + </w:t>
      </w:r>
      <w:r>
        <w:rPr>
          <w:b w:val="0"/>
          <w:i/>
        </w:rPr>
        <w:t>Strategy</w:t>
      </w:r>
      <w:r>
        <w:rPr>
          <w:b w:val="0"/>
          <w:i w:val="0"/>
        </w:rPr>
        <w:t>, a journal for HR executives.</w:t>
      </w:r>
    </w:p>
    <w:p>
      <w:pPr>
        <w:pStyle w:val="Heading1"/>
      </w:pPr>
      <w:r>
        <w:rPr>
          <w:b w:val="0"/>
          <w:i w:val="0"/>
        </w:rPr>
        <w:t>Index</w:t>
      </w:r>
    </w:p>
    <w:p>
      <w:pPr>
        <w:pStyle w:val="ListBullet"/>
      </w:pPr>
      <w:r>
        <w:rPr>
          <w:b w:val="0"/>
          <w:i w:val="0"/>
        </w:rPr>
        <w:t>AB InBev, 97–98</w:t>
      </w:r>
    </w:p>
    <w:p>
      <w:pPr>
        <w:pStyle w:val="ListBullet"/>
      </w:pPr>
      <w:r>
        <w:rPr>
          <w:b w:val="0"/>
          <w:i w:val="0"/>
        </w:rPr>
        <w:t xml:space="preserve">A/B testing, 62. </w:t>
      </w:r>
      <w:r>
        <w:rPr>
          <w:b w:val="0"/>
          <w:i/>
        </w:rPr>
        <w:t>See also</w:t>
      </w:r>
      <w:r>
        <w:rPr>
          <w:b w:val="0"/>
          <w:i w:val="0"/>
        </w:rPr>
        <w:t xml:space="preserve"> test-and-learn cycle</w:t>
      </w:r>
    </w:p>
    <w:p>
      <w:pPr>
        <w:pStyle w:val="ListBullet"/>
      </w:pPr>
      <w:r>
        <w:rPr>
          <w:b w:val="0"/>
          <w:i w:val="0"/>
        </w:rPr>
        <w:t>agile methods, 4</w:t>
      </w:r>
    </w:p>
    <w:p>
      <w:pPr>
        <w:pStyle w:val="ListBullet"/>
      </w:pPr>
      <w:r>
        <w:rPr>
          <w:b w:val="0"/>
          <w:i w:val="0"/>
        </w:rPr>
        <w:t>adoption of, xii–xiv, 93–95, 100</w:t>
      </w:r>
    </w:p>
    <w:p>
      <w:pPr>
        <w:pStyle w:val="ListBullet"/>
      </w:pPr>
      <w:r>
        <w:rPr>
          <w:b w:val="0"/>
          <w:i w:val="0"/>
        </w:rPr>
        <w:t>crisis response and, 59–64</w:t>
      </w:r>
    </w:p>
    <w:p>
      <w:pPr>
        <w:pStyle w:val="ListBullet"/>
      </w:pPr>
      <w:r>
        <w:rPr>
          <w:b w:val="0"/>
          <w:i w:val="0"/>
        </w:rPr>
        <w:t>C-suite and, 93–102</w:t>
      </w:r>
    </w:p>
    <w:p>
      <w:pPr>
        <w:pStyle w:val="ListBullet"/>
      </w:pPr>
      <w:r>
        <w:rPr>
          <w:b w:val="0"/>
          <w:i w:val="0"/>
        </w:rPr>
        <w:t>human resources and, 67–92</w:t>
      </w:r>
    </w:p>
    <w:p>
      <w:pPr>
        <w:pStyle w:val="ListBullet"/>
      </w:pPr>
      <w:r>
        <w:rPr>
          <w:b w:val="0"/>
          <w:i w:val="0"/>
        </w:rPr>
        <w:t>introduction to, ix–xvi</w:t>
      </w:r>
    </w:p>
    <w:p>
      <w:pPr>
        <w:pStyle w:val="ListBullet"/>
      </w:pPr>
      <w:r>
        <w:rPr>
          <w:b w:val="0"/>
          <w:i w:val="0"/>
        </w:rPr>
        <w:t>large-scale initiatives, 16–17</w:t>
      </w:r>
    </w:p>
    <w:p>
      <w:pPr>
        <w:pStyle w:val="ListBullet"/>
      </w:pPr>
      <w:r>
        <w:rPr>
          <w:b w:val="0"/>
          <w:i w:val="0"/>
        </w:rPr>
        <w:t>leadership and, 93–102</w:t>
      </w:r>
    </w:p>
    <w:p>
      <w:pPr>
        <w:pStyle w:val="ListBullet"/>
      </w:pPr>
      <w:r>
        <w:rPr>
          <w:b w:val="0"/>
          <w:i w:val="0"/>
        </w:rPr>
        <w:t>misapplication of, 31–33</w:t>
      </w:r>
    </w:p>
    <w:p>
      <w:pPr>
        <w:pStyle w:val="ListBullet"/>
      </w:pPr>
      <w:r>
        <w:rPr>
          <w:b w:val="0"/>
          <w:i w:val="0"/>
        </w:rPr>
        <w:t>resistance to, 89</w:t>
      </w:r>
    </w:p>
    <w:p>
      <w:pPr>
        <w:pStyle w:val="ListBullet"/>
      </w:pPr>
      <w:r>
        <w:rPr>
          <w:b w:val="0"/>
          <w:i w:val="0"/>
        </w:rPr>
        <w:t>results from, 13–14</w:t>
      </w:r>
    </w:p>
    <w:p>
      <w:pPr>
        <w:pStyle w:val="ListBullet"/>
      </w:pPr>
      <w:r>
        <w:rPr>
          <w:b w:val="0"/>
          <w:i w:val="0"/>
        </w:rPr>
        <w:t>roadblocks to, xi</w:t>
      </w:r>
    </w:p>
    <w:p>
      <w:pPr>
        <w:pStyle w:val="ListBullet"/>
      </w:pPr>
      <w:r>
        <w:rPr>
          <w:b w:val="0"/>
          <w:i w:val="0"/>
        </w:rPr>
        <w:t>scaling up, 1–28, 87–88</w:t>
      </w:r>
    </w:p>
    <w:p>
      <w:pPr>
        <w:pStyle w:val="ListBullet"/>
      </w:pPr>
      <w:r>
        <w:rPr>
          <w:b w:val="0"/>
          <w:i w:val="0"/>
        </w:rPr>
        <w:t>transitions to, 12–16</w:t>
      </w:r>
    </w:p>
    <w:p>
      <w:pPr>
        <w:pStyle w:val="ListBullet"/>
      </w:pPr>
      <w:r>
        <w:rPr>
          <w:b w:val="0"/>
          <w:i w:val="0"/>
        </w:rPr>
        <w:t>agile software development, xii, 29–41</w:t>
      </w:r>
    </w:p>
    <w:p>
      <w:pPr>
        <w:pStyle w:val="ListBullet"/>
      </w:pPr>
      <w:r>
        <w:rPr>
          <w:b w:val="0"/>
          <w:i w:val="0"/>
        </w:rPr>
        <w:t>collaboration in, 37–39</w:t>
      </w:r>
    </w:p>
    <w:p>
      <w:pPr>
        <w:pStyle w:val="ListBullet"/>
      </w:pPr>
      <w:r>
        <w:rPr>
          <w:b w:val="0"/>
          <w:i w:val="0"/>
        </w:rPr>
        <w:t>customer-centric, 35–36</w:t>
      </w:r>
    </w:p>
    <w:p>
      <w:pPr>
        <w:pStyle w:val="ListBullet"/>
      </w:pPr>
      <w:r>
        <w:rPr>
          <w:b w:val="0"/>
          <w:i w:val="0"/>
        </w:rPr>
        <w:t>documentation in, 31</w:t>
      </w:r>
    </w:p>
    <w:p>
      <w:pPr>
        <w:pStyle w:val="ListBullet"/>
      </w:pPr>
      <w:r>
        <w:rPr>
          <w:b w:val="0"/>
          <w:i w:val="0"/>
        </w:rPr>
        <w:t>frameworks for, 30</w:t>
      </w:r>
    </w:p>
    <w:p>
      <w:pPr>
        <w:pStyle w:val="ListBullet"/>
      </w:pPr>
      <w:r>
        <w:rPr>
          <w:b w:val="0"/>
          <w:i w:val="0"/>
        </w:rPr>
        <w:t>as no-handoff process, 33–34, 37</w:t>
      </w:r>
    </w:p>
    <w:p>
      <w:pPr>
        <w:pStyle w:val="ListBullet"/>
      </w:pPr>
      <w:r>
        <w:rPr>
          <w:b w:val="0"/>
          <w:i w:val="0"/>
        </w:rPr>
        <w:t>practice of, 31–33</w:t>
      </w:r>
    </w:p>
    <w:p>
      <w:pPr>
        <w:pStyle w:val="ListBullet"/>
      </w:pPr>
      <w:r>
        <w:rPr>
          <w:b w:val="0"/>
          <w:i w:val="0"/>
        </w:rPr>
        <w:t>principles of, 30</w:t>
      </w:r>
    </w:p>
    <w:p>
      <w:pPr>
        <w:pStyle w:val="ListBullet"/>
      </w:pPr>
      <w:r>
        <w:rPr>
          <w:b w:val="0"/>
          <w:i w:val="0"/>
        </w:rPr>
        <w:t>time boxes in, 36–37</w:t>
      </w:r>
    </w:p>
    <w:p>
      <w:pPr>
        <w:pStyle w:val="ListBullet"/>
      </w:pPr>
      <w:r>
        <w:rPr>
          <w:b w:val="0"/>
          <w:i w:val="0"/>
        </w:rPr>
        <w:t>units of delivery for, 34–35</w:t>
      </w:r>
    </w:p>
    <w:p>
      <w:pPr>
        <w:pStyle w:val="ListBullet"/>
      </w:pPr>
      <w:r>
        <w:rPr>
          <w:b w:val="0"/>
          <w:i w:val="0"/>
        </w:rPr>
        <w:t>agile teams, 1–7, 97–98</w:t>
      </w:r>
    </w:p>
    <w:p>
      <w:pPr>
        <w:pStyle w:val="ListBullet"/>
      </w:pPr>
      <w:r>
        <w:rPr>
          <w:b w:val="0"/>
          <w:i w:val="0"/>
        </w:rPr>
        <w:t>benefits of, xii</w:t>
      </w:r>
    </w:p>
    <w:p>
      <w:pPr>
        <w:pStyle w:val="ListBullet"/>
      </w:pPr>
      <w:r>
        <w:rPr>
          <w:b w:val="0"/>
          <w:i w:val="0"/>
        </w:rPr>
        <w:t>characteristics of, x–xi, 3–5</w:t>
      </w:r>
    </w:p>
    <w:p>
      <w:pPr>
        <w:pStyle w:val="ListBullet"/>
      </w:pPr>
      <w:r>
        <w:rPr>
          <w:b w:val="0"/>
          <w:i w:val="0"/>
        </w:rPr>
        <w:t>collaboration on, 37–39, 43–57</w:t>
      </w:r>
    </w:p>
    <w:p>
      <w:pPr>
        <w:pStyle w:val="ListBullet"/>
      </w:pPr>
      <w:r>
        <w:rPr>
          <w:b w:val="0"/>
          <w:i w:val="0"/>
        </w:rPr>
        <w:t>conditions for, 4</w:t>
      </w:r>
    </w:p>
    <w:p>
      <w:pPr>
        <w:pStyle w:val="ListBullet"/>
      </w:pPr>
      <w:r>
        <w:rPr>
          <w:b w:val="0"/>
          <w:i w:val="0"/>
        </w:rPr>
        <w:t>getting started with, 7–8</w:t>
      </w:r>
    </w:p>
    <w:p>
      <w:pPr>
        <w:pStyle w:val="ListBullet"/>
      </w:pPr>
      <w:r>
        <w:rPr>
          <w:b w:val="0"/>
          <w:i w:val="0"/>
        </w:rPr>
        <w:t>interaction of, across business, 17–25</w:t>
      </w:r>
    </w:p>
    <w:p>
      <w:pPr>
        <w:pStyle w:val="ListBullet"/>
      </w:pPr>
      <w:r>
        <w:rPr>
          <w:b w:val="0"/>
          <w:i w:val="0"/>
        </w:rPr>
        <w:t>interdependencies between, 48</w:t>
      </w:r>
    </w:p>
    <w:p>
      <w:pPr>
        <w:pStyle w:val="ListBullet"/>
      </w:pPr>
      <w:r>
        <w:rPr>
          <w:b w:val="0"/>
          <w:i w:val="0"/>
        </w:rPr>
        <w:t>large-scale initiatives for, 16–17</w:t>
      </w:r>
    </w:p>
    <w:p>
      <w:pPr>
        <w:pStyle w:val="ListBullet"/>
      </w:pPr>
      <w:r>
        <w:rPr>
          <w:b w:val="0"/>
          <w:i w:val="0"/>
        </w:rPr>
        <w:t>leading, xi, 3–8</w:t>
      </w:r>
    </w:p>
    <w:p>
      <w:pPr>
        <w:pStyle w:val="ListBullet"/>
      </w:pPr>
      <w:r>
        <w:rPr>
          <w:b w:val="0"/>
          <w:i w:val="0"/>
        </w:rPr>
        <w:t>questioning by, 39–40</w:t>
      </w:r>
    </w:p>
    <w:p>
      <w:pPr>
        <w:pStyle w:val="ListBullet"/>
      </w:pPr>
      <w:r>
        <w:rPr>
          <w:b w:val="0"/>
          <w:i w:val="0"/>
        </w:rPr>
        <w:t>readiness of, 15–16</w:t>
      </w:r>
    </w:p>
    <w:p>
      <w:pPr>
        <w:pStyle w:val="ListBullet"/>
      </w:pPr>
      <w:r>
        <w:rPr>
          <w:b w:val="0"/>
          <w:i w:val="0"/>
        </w:rPr>
        <w:t>sequence of deploying, 12–16</w:t>
      </w:r>
    </w:p>
    <w:p>
      <w:pPr>
        <w:pStyle w:val="ListBullet"/>
      </w:pPr>
      <w:r>
        <w:rPr>
          <w:b w:val="0"/>
          <w:i w:val="0"/>
        </w:rPr>
        <w:t>supporting, xiii–xiv</w:t>
      </w:r>
    </w:p>
    <w:p>
      <w:pPr>
        <w:pStyle w:val="ListBullet"/>
      </w:pPr>
      <w:r>
        <w:rPr>
          <w:b w:val="0"/>
          <w:i w:val="0"/>
        </w:rPr>
        <w:t>taxonomy of, 9–11</w:t>
      </w:r>
    </w:p>
    <w:p>
      <w:pPr>
        <w:pStyle w:val="ListBullet"/>
      </w:pPr>
      <w:r>
        <w:rPr>
          <w:b w:val="0"/>
          <w:i w:val="0"/>
        </w:rPr>
        <w:t>for turnarounds, 103–110</w:t>
      </w:r>
    </w:p>
    <w:p>
      <w:pPr>
        <w:pStyle w:val="ListBullet"/>
      </w:pPr>
      <w:r>
        <w:rPr>
          <w:b w:val="0"/>
          <w:i w:val="0"/>
        </w:rPr>
        <w:t>units of delivery for, 34–35</w:t>
      </w:r>
    </w:p>
    <w:p>
      <w:pPr>
        <w:pStyle w:val="ListBullet"/>
      </w:pPr>
      <w:r>
        <w:rPr>
          <w:b w:val="0"/>
          <w:i w:val="0"/>
        </w:rPr>
        <w:t>agility</w:t>
      </w:r>
    </w:p>
    <w:p>
      <w:pPr>
        <w:pStyle w:val="ListBullet"/>
      </w:pPr>
      <w:r>
        <w:rPr>
          <w:b w:val="0"/>
          <w:i w:val="0"/>
        </w:rPr>
        <w:t>building across the business, 17–25</w:t>
      </w:r>
    </w:p>
    <w:p>
      <w:pPr>
        <w:pStyle w:val="ListBullet"/>
      </w:pPr>
      <w:r>
        <w:rPr>
          <w:b w:val="0"/>
          <w:i w:val="0"/>
        </w:rPr>
        <w:t>points of execution, 45–46</w:t>
      </w:r>
    </w:p>
    <w:p>
      <w:pPr>
        <w:pStyle w:val="ListBullet"/>
      </w:pPr>
      <w:r>
        <w:rPr>
          <w:b w:val="0"/>
          <w:i w:val="0"/>
        </w:rPr>
        <w:t>Amazon, xii, 2, 13, 18, 19, 83, 97, 99</w:t>
      </w:r>
    </w:p>
    <w:p>
      <w:pPr>
        <w:pStyle w:val="ListBullet"/>
      </w:pPr>
      <w:r>
        <w:rPr>
          <w:b w:val="0"/>
          <w:i w:val="0"/>
        </w:rPr>
        <w:t xml:space="preserve">analytics, 52. </w:t>
      </w:r>
      <w:r>
        <w:rPr>
          <w:b w:val="0"/>
          <w:i/>
        </w:rPr>
        <w:t>See also</w:t>
      </w:r>
      <w:r>
        <w:rPr>
          <w:b w:val="0"/>
          <w:i w:val="0"/>
        </w:rPr>
        <w:t xml:space="preserve"> collaboration</w:t>
      </w:r>
    </w:p>
    <w:p>
      <w:pPr>
        <w:pStyle w:val="ListBullet"/>
      </w:pPr>
      <w:r>
        <w:rPr>
          <w:b w:val="0"/>
          <w:i w:val="0"/>
        </w:rPr>
        <w:t>annual appraisals, 23, 69, 71–72</w:t>
      </w:r>
    </w:p>
    <w:p>
      <w:pPr>
        <w:pStyle w:val="ListBullet"/>
      </w:pPr>
      <w:r>
        <w:rPr>
          <w:b w:val="0"/>
          <w:i w:val="0"/>
        </w:rPr>
        <w:t>annual planning, 24–25, 96</w:t>
      </w:r>
    </w:p>
    <w:p>
      <w:pPr>
        <w:pStyle w:val="ListBullet"/>
      </w:pPr>
      <w:r>
        <w:rPr>
          <w:b w:val="0"/>
          <w:i w:val="0"/>
        </w:rPr>
        <w:t>ANZ, 93</w:t>
      </w:r>
    </w:p>
    <w:p>
      <w:pPr>
        <w:pStyle w:val="ListBullet"/>
      </w:pPr>
      <w:r>
        <w:rPr>
          <w:b w:val="0"/>
          <w:i w:val="0"/>
        </w:rPr>
        <w:t>Apple, 96</w:t>
      </w:r>
    </w:p>
    <w:p>
      <w:pPr>
        <w:pStyle w:val="ListBullet"/>
      </w:pPr>
      <w:r>
        <w:rPr>
          <w:b w:val="0"/>
          <w:i w:val="0"/>
        </w:rPr>
        <w:t xml:space="preserve">apps, for feedback, 80–81. </w:t>
      </w:r>
      <w:r>
        <w:rPr>
          <w:b w:val="0"/>
          <w:i/>
        </w:rPr>
        <w:t>See also</w:t>
      </w:r>
      <w:r>
        <w:rPr>
          <w:b w:val="0"/>
          <w:i w:val="0"/>
        </w:rPr>
        <w:t xml:space="preserve"> feedback</w:t>
      </w:r>
    </w:p>
    <w:p>
      <w:pPr>
        <w:pStyle w:val="ListBullet"/>
      </w:pPr>
      <w:r>
        <w:rPr>
          <w:b w:val="0"/>
          <w:i w:val="0"/>
        </w:rPr>
        <w:t xml:space="preserve">artificial intelligence and HR, 86. </w:t>
      </w:r>
      <w:r>
        <w:rPr>
          <w:b w:val="0"/>
          <w:i/>
        </w:rPr>
        <w:t>See also</w:t>
      </w:r>
      <w:r>
        <w:rPr>
          <w:b w:val="0"/>
          <w:i w:val="0"/>
        </w:rPr>
        <w:t xml:space="preserve"> human resources (HR)</w:t>
      </w:r>
    </w:p>
    <w:p>
      <w:pPr>
        <w:pStyle w:val="ListBullet"/>
      </w:pPr>
      <w:r>
        <w:rPr>
          <w:b w:val="0"/>
          <w:i w:val="0"/>
        </w:rPr>
        <w:t>Ascendify, 85</w:t>
      </w:r>
    </w:p>
    <w:p>
      <w:pPr>
        <w:pStyle w:val="ListBullet"/>
      </w:pPr>
      <w:r>
        <w:rPr>
          <w:b w:val="0"/>
          <w:i w:val="0"/>
        </w:rPr>
        <w:t>backlog, enterprise priorities as, 95–97</w:t>
      </w:r>
    </w:p>
    <w:p>
      <w:pPr>
        <w:pStyle w:val="ListBullet"/>
      </w:pPr>
      <w:r>
        <w:rPr>
          <w:b w:val="0"/>
          <w:i w:val="0"/>
        </w:rPr>
        <w:t>Bain &amp; Company, 94</w:t>
      </w:r>
    </w:p>
    <w:p>
      <w:pPr>
        <w:pStyle w:val="ListBullet"/>
      </w:pPr>
      <w:r>
        <w:rPr>
          <w:b w:val="0"/>
          <w:i w:val="0"/>
        </w:rPr>
        <w:t>Bank of Montreal (BMO), 68, 70, 81</w:t>
      </w:r>
    </w:p>
    <w:p>
      <w:pPr>
        <w:pStyle w:val="ListBullet"/>
      </w:pPr>
      <w:r>
        <w:rPr>
          <w:b w:val="0"/>
          <w:i w:val="0"/>
        </w:rPr>
        <w:t>Bevan, Helen, 115–117</w:t>
      </w:r>
    </w:p>
    <w:p>
      <w:pPr>
        <w:pStyle w:val="ListBullet"/>
      </w:pPr>
      <w:r>
        <w:rPr>
          <w:b w:val="0"/>
          <w:i w:val="0"/>
        </w:rPr>
        <w:t>Bezos, Jeff, 13, 99</w:t>
      </w:r>
    </w:p>
    <w:p>
      <w:pPr>
        <w:pStyle w:val="ListBullet"/>
      </w:pPr>
      <w:r>
        <w:rPr>
          <w:b w:val="0"/>
          <w:i w:val="0"/>
        </w:rPr>
        <w:t>Bosch, xiii, 5–7, 18</w:t>
      </w:r>
    </w:p>
    <w:p>
      <w:pPr>
        <w:pStyle w:val="ListBullet"/>
      </w:pPr>
      <w:r>
        <w:rPr>
          <w:b w:val="0"/>
          <w:i w:val="0"/>
        </w:rPr>
        <w:t xml:space="preserve">boundary spanners, 46, 53–55. </w:t>
      </w:r>
      <w:r>
        <w:rPr>
          <w:b w:val="0"/>
          <w:i/>
        </w:rPr>
        <w:t>See also</w:t>
      </w:r>
      <w:r>
        <w:rPr>
          <w:b w:val="0"/>
          <w:i w:val="0"/>
        </w:rPr>
        <w:t xml:space="preserve"> agile teams</w:t>
      </w:r>
    </w:p>
    <w:p>
      <w:pPr>
        <w:pStyle w:val="ListBullet"/>
      </w:pPr>
      <w:r>
        <w:rPr>
          <w:b w:val="0"/>
          <w:i w:val="0"/>
        </w:rPr>
        <w:t>budgeting cycles, 24–25</w:t>
      </w:r>
    </w:p>
    <w:p>
      <w:pPr>
        <w:pStyle w:val="ListBullet"/>
      </w:pPr>
      <w:r>
        <w:rPr>
          <w:b w:val="0"/>
          <w:i w:val="0"/>
        </w:rPr>
        <w:t>bureaucracy, xi, 2, 3, 4, 8, 18, 24, 68–69, 97</w:t>
      </w:r>
    </w:p>
    <w:p>
      <w:pPr>
        <w:pStyle w:val="ListBullet"/>
      </w:pPr>
      <w:r>
        <w:rPr>
          <w:b w:val="0"/>
          <w:i w:val="0"/>
        </w:rPr>
        <w:t>businesses</w:t>
      </w:r>
    </w:p>
    <w:p>
      <w:pPr>
        <w:pStyle w:val="ListBullet"/>
      </w:pPr>
      <w:r>
        <w:rPr>
          <w:b w:val="0"/>
          <w:i w:val="0"/>
        </w:rPr>
        <w:t>operating architectures of, 19–23</w:t>
      </w:r>
    </w:p>
    <w:p>
      <w:pPr>
        <w:pStyle w:val="ListBullet"/>
      </w:pPr>
      <w:r>
        <w:rPr>
          <w:b w:val="0"/>
          <w:i w:val="0"/>
        </w:rPr>
        <w:t>planning and budgeting cycles of, 24–25</w:t>
      </w:r>
    </w:p>
    <w:p>
      <w:pPr>
        <w:pStyle w:val="ListBullet"/>
      </w:pPr>
      <w:r>
        <w:rPr>
          <w:b w:val="0"/>
          <w:i w:val="0"/>
        </w:rPr>
        <w:t>talent acquisition and motivation in, 23–24</w:t>
      </w:r>
    </w:p>
    <w:p>
      <w:pPr>
        <w:pStyle w:val="ListBullet"/>
      </w:pPr>
      <w:r>
        <w:rPr>
          <w:b w:val="0"/>
          <w:i w:val="0"/>
        </w:rPr>
        <w:t>values and principles of, 18–19, 26</w:t>
      </w:r>
    </w:p>
    <w:p>
      <w:pPr>
        <w:pStyle w:val="ListBullet"/>
      </w:pPr>
      <w:r>
        <w:rPr>
          <w:b w:val="0"/>
          <w:i w:val="0"/>
        </w:rPr>
        <w:t>Cappelli, Peter, 67–92</w:t>
      </w:r>
    </w:p>
    <w:p>
      <w:pPr>
        <w:pStyle w:val="ListBullet"/>
      </w:pPr>
      <w:r>
        <w:rPr>
          <w:b w:val="0"/>
          <w:i w:val="0"/>
        </w:rPr>
        <w:t>Cardinal Health, 96</w:t>
      </w:r>
    </w:p>
    <w:p>
      <w:pPr>
        <w:pStyle w:val="ListBullet"/>
      </w:pPr>
      <w:r>
        <w:rPr>
          <w:b w:val="0"/>
          <w:i w:val="0"/>
        </w:rPr>
        <w:t>change</w:t>
      </w:r>
    </w:p>
    <w:p>
      <w:pPr>
        <w:pStyle w:val="ListBullet"/>
      </w:pPr>
      <w:r>
        <w:rPr>
          <w:b w:val="0"/>
          <w:i w:val="0"/>
        </w:rPr>
        <w:t>adapting to, 4</w:t>
      </w:r>
    </w:p>
    <w:p>
      <w:pPr>
        <w:pStyle w:val="ListBullet"/>
      </w:pPr>
      <w:r>
        <w:rPr>
          <w:b w:val="0"/>
          <w:i w:val="0"/>
        </w:rPr>
        <w:t>barriers to, 117</w:t>
      </w:r>
    </w:p>
    <w:p>
      <w:pPr>
        <w:pStyle w:val="ListBullet"/>
      </w:pPr>
      <w:r>
        <w:rPr>
          <w:b w:val="0"/>
          <w:i w:val="0"/>
        </w:rPr>
        <w:t>big-bang, 12–13</w:t>
      </w:r>
    </w:p>
    <w:p>
      <w:pPr>
        <w:pStyle w:val="ListBullet"/>
      </w:pPr>
      <w:r>
        <w:rPr>
          <w:b w:val="0"/>
          <w:i w:val="0"/>
        </w:rPr>
        <w:t>management of, 73–74</w:t>
      </w:r>
    </w:p>
    <w:p>
      <w:pPr>
        <w:pStyle w:val="ListBullet"/>
      </w:pPr>
      <w:r>
        <w:rPr>
          <w:b w:val="0"/>
          <w:i w:val="0"/>
        </w:rPr>
        <w:t>sustaining initiatives, 111–120</w:t>
      </w:r>
    </w:p>
    <w:p>
      <w:pPr>
        <w:pStyle w:val="ListBullet"/>
      </w:pPr>
      <w:r>
        <w:rPr>
          <w:b w:val="0"/>
          <w:i w:val="0"/>
        </w:rPr>
        <w:t>C. H. Robinson, xii–xiii</w:t>
      </w:r>
    </w:p>
    <w:p>
      <w:pPr>
        <w:pStyle w:val="ListBullet"/>
      </w:pPr>
      <w:r>
        <w:rPr>
          <w:b w:val="0"/>
          <w:i w:val="0"/>
        </w:rPr>
        <w:t>Cigna, 75–76</w:t>
      </w:r>
    </w:p>
    <w:p>
      <w:pPr>
        <w:pStyle w:val="ListBullet"/>
      </w:pPr>
      <w:r>
        <w:rPr>
          <w:b w:val="0"/>
          <w:i w:val="0"/>
        </w:rPr>
        <w:t>Cisco, 80, 82, 85</w:t>
      </w:r>
    </w:p>
    <w:p>
      <w:pPr>
        <w:pStyle w:val="ListBullet"/>
      </w:pPr>
      <w:r>
        <w:rPr>
          <w:b w:val="0"/>
          <w:i w:val="0"/>
        </w:rPr>
        <w:t>coaching, 23, 75–77, 90, 91, 108</w:t>
      </w:r>
    </w:p>
    <w:p>
      <w:pPr>
        <w:pStyle w:val="ListBullet"/>
      </w:pPr>
      <w:r>
        <w:rPr>
          <w:b w:val="0"/>
          <w:i w:val="0"/>
        </w:rPr>
        <w:t>collaboration, 37–39, 43–57</w:t>
      </w:r>
    </w:p>
    <w:p>
      <w:pPr>
        <w:pStyle w:val="ListBullet"/>
      </w:pPr>
      <w:r>
        <w:rPr>
          <w:b w:val="0"/>
          <w:i w:val="0"/>
        </w:rPr>
        <w:t>command-and-control management, 100, 104–105</w:t>
      </w:r>
    </w:p>
    <w:p>
      <w:pPr>
        <w:pStyle w:val="ListBullet"/>
      </w:pPr>
      <w:r>
        <w:rPr>
          <w:b w:val="0"/>
          <w:i w:val="0"/>
        </w:rPr>
        <w:t xml:space="preserve">communication, 107–108. </w:t>
      </w:r>
      <w:r>
        <w:rPr>
          <w:b w:val="0"/>
          <w:i/>
        </w:rPr>
        <w:t>See also</w:t>
      </w:r>
      <w:r>
        <w:rPr>
          <w:b w:val="0"/>
          <w:i w:val="0"/>
        </w:rPr>
        <w:t xml:space="preserve"> information, exchange of</w:t>
      </w:r>
    </w:p>
    <w:p>
      <w:pPr>
        <w:pStyle w:val="ListBullet"/>
      </w:pPr>
      <w:r>
        <w:rPr>
          <w:b w:val="0"/>
          <w:i w:val="0"/>
        </w:rPr>
        <w:t>compensation systems, 24, 69, 82–84, 91</w:t>
      </w:r>
    </w:p>
    <w:p>
      <w:pPr>
        <w:pStyle w:val="ListBullet"/>
      </w:pPr>
      <w:r>
        <w:rPr>
          <w:b w:val="0"/>
          <w:i w:val="0"/>
        </w:rPr>
        <w:t>Connected Commons, 44</w:t>
      </w:r>
    </w:p>
    <w:p>
      <w:pPr>
        <w:pStyle w:val="ListBullet"/>
      </w:pPr>
      <w:r>
        <w:rPr>
          <w:b w:val="0"/>
          <w:i w:val="0"/>
        </w:rPr>
        <w:t xml:space="preserve">constraints, 10, 12. </w:t>
      </w:r>
      <w:r>
        <w:rPr>
          <w:b w:val="0"/>
          <w:i/>
        </w:rPr>
        <w:t>See also</w:t>
      </w:r>
      <w:r>
        <w:rPr>
          <w:b w:val="0"/>
          <w:i w:val="0"/>
        </w:rPr>
        <w:t xml:space="preserve"> agile methods, scaling up</w:t>
      </w:r>
    </w:p>
    <w:p>
      <w:pPr>
        <w:pStyle w:val="ListBullet"/>
      </w:pPr>
      <w:r>
        <w:rPr>
          <w:b w:val="0"/>
          <w:i w:val="0"/>
        </w:rPr>
        <w:t>continuous planning, 96–97</w:t>
      </w:r>
    </w:p>
    <w:p>
      <w:pPr>
        <w:pStyle w:val="ListBullet"/>
      </w:pPr>
      <w:r>
        <w:rPr>
          <w:b w:val="0"/>
          <w:i w:val="0"/>
        </w:rPr>
        <w:t>Conway’s law, 39</w:t>
      </w:r>
    </w:p>
    <w:p>
      <w:pPr>
        <w:pStyle w:val="ListBullet"/>
      </w:pPr>
      <w:r>
        <w:rPr>
          <w:b w:val="0"/>
          <w:i w:val="0"/>
        </w:rPr>
        <w:t>corporate initiatives, 95–97, 111–120</w:t>
      </w:r>
    </w:p>
    <w:p>
      <w:pPr>
        <w:pStyle w:val="ListBullet"/>
      </w:pPr>
      <w:r>
        <w:rPr>
          <w:b w:val="0"/>
          <w:i w:val="0"/>
        </w:rPr>
        <w:t xml:space="preserve">corporate strategies, 21–22. </w:t>
      </w:r>
      <w:r>
        <w:rPr>
          <w:b w:val="0"/>
          <w:i/>
        </w:rPr>
        <w:t>See also</w:t>
      </w:r>
      <w:r>
        <w:rPr>
          <w:b w:val="0"/>
          <w:i w:val="0"/>
        </w:rPr>
        <w:t xml:space="preserve"> agile methods, scaling up</w:t>
      </w:r>
    </w:p>
    <w:p>
      <w:pPr>
        <w:pStyle w:val="ListBullet"/>
      </w:pPr>
      <w:r>
        <w:rPr>
          <w:b w:val="0"/>
          <w:i w:val="0"/>
        </w:rPr>
        <w:t>crisis response, 59–64</w:t>
      </w:r>
    </w:p>
    <w:p>
      <w:pPr>
        <w:pStyle w:val="ListBullet"/>
      </w:pPr>
      <w:r>
        <w:rPr>
          <w:b w:val="0"/>
          <w:i w:val="0"/>
        </w:rPr>
        <w:t>Crocker, Alia, 43–57</w:t>
      </w:r>
    </w:p>
    <w:p>
      <w:pPr>
        <w:pStyle w:val="ListBullet"/>
      </w:pPr>
      <w:r>
        <w:rPr>
          <w:b w:val="0"/>
          <w:i w:val="0"/>
        </w:rPr>
        <w:t>Cross, Rob, 43–57</w:t>
      </w:r>
    </w:p>
    <w:p>
      <w:pPr>
        <w:pStyle w:val="ListBullet"/>
      </w:pPr>
      <w:r>
        <w:rPr>
          <w:b w:val="0"/>
          <w:i w:val="0"/>
        </w:rPr>
        <w:t>cross-functional teams, 37–39, 43–44</w:t>
      </w:r>
    </w:p>
    <w:p>
      <w:pPr>
        <w:pStyle w:val="ListBullet"/>
      </w:pPr>
      <w:r>
        <w:rPr>
          <w:b w:val="0"/>
          <w:i w:val="0"/>
        </w:rPr>
        <w:t xml:space="preserve">culture of fear, 50. </w:t>
      </w:r>
      <w:r>
        <w:rPr>
          <w:b w:val="0"/>
          <w:i/>
        </w:rPr>
        <w:t>See also</w:t>
      </w:r>
      <w:r>
        <w:rPr>
          <w:b w:val="0"/>
          <w:i w:val="0"/>
        </w:rPr>
        <w:t xml:space="preserve"> agile teams</w:t>
      </w:r>
    </w:p>
    <w:p>
      <w:pPr>
        <w:pStyle w:val="ListBullet"/>
      </w:pPr>
      <w:r>
        <w:rPr>
          <w:b w:val="0"/>
          <w:i w:val="0"/>
        </w:rPr>
        <w:t>customer-centric focus, 35–36</w:t>
      </w:r>
    </w:p>
    <w:p>
      <w:pPr>
        <w:pStyle w:val="ListBullet"/>
      </w:pPr>
      <w:r>
        <w:rPr>
          <w:b w:val="0"/>
          <w:i w:val="0"/>
        </w:rPr>
        <w:t>customer experiences, 15</w:t>
      </w:r>
    </w:p>
    <w:p>
      <w:pPr>
        <w:pStyle w:val="ListBullet"/>
      </w:pPr>
      <w:r>
        <w:rPr>
          <w:b w:val="0"/>
          <w:i w:val="0"/>
        </w:rPr>
        <w:t>customer feedback, 20–21</w:t>
      </w:r>
    </w:p>
    <w:p>
      <w:pPr>
        <w:pStyle w:val="ListBullet"/>
      </w:pPr>
      <w:r>
        <w:rPr>
          <w:b w:val="0"/>
          <w:i w:val="0"/>
        </w:rPr>
        <w:t>data, 52, 61</w:t>
      </w:r>
    </w:p>
    <w:p>
      <w:pPr>
        <w:pStyle w:val="ListBullet"/>
      </w:pPr>
      <w:r>
        <w:rPr>
          <w:b w:val="0"/>
          <w:i w:val="0"/>
        </w:rPr>
        <w:t>D’Avino, Marco, 103–110</w:t>
      </w:r>
    </w:p>
    <w:p>
      <w:pPr>
        <w:pStyle w:val="ListBullet"/>
      </w:pPr>
      <w:r>
        <w:rPr>
          <w:b w:val="0"/>
          <w:i w:val="0"/>
        </w:rPr>
        <w:t>deadlines, 36–37</w:t>
      </w:r>
    </w:p>
    <w:p>
      <w:pPr>
        <w:pStyle w:val="ListBullet"/>
      </w:pPr>
      <w:r>
        <w:rPr>
          <w:b w:val="0"/>
          <w:i w:val="0"/>
        </w:rPr>
        <w:t>decision making, 81, 95–97, 99–100, 107–108</w:t>
      </w:r>
    </w:p>
    <w:p>
      <w:pPr>
        <w:pStyle w:val="ListBullet"/>
      </w:pPr>
      <w:r>
        <w:rPr>
          <w:b w:val="0"/>
          <w:i w:val="0"/>
        </w:rPr>
        <w:t>Deming, W. Edwards, 111</w:t>
      </w:r>
    </w:p>
    <w:p>
      <w:pPr>
        <w:pStyle w:val="ListBullet"/>
      </w:pPr>
      <w:r>
        <w:rPr>
          <w:b w:val="0"/>
          <w:i w:val="0"/>
        </w:rPr>
        <w:t>Denner, Volkmar, 6</w:t>
      </w:r>
    </w:p>
    <w:p>
      <w:pPr>
        <w:pStyle w:val="ListBullet"/>
      </w:pPr>
      <w:r>
        <w:rPr>
          <w:b w:val="0"/>
          <w:i w:val="0"/>
        </w:rPr>
        <w:t>dictatorial management, 104–105</w:t>
      </w:r>
    </w:p>
    <w:p>
      <w:pPr>
        <w:pStyle w:val="ListBullet"/>
      </w:pPr>
      <w:r>
        <w:rPr>
          <w:b w:val="0"/>
          <w:i w:val="0"/>
        </w:rPr>
        <w:t>DigitalOcean, 76, 83–84</w:t>
      </w:r>
    </w:p>
    <w:p>
      <w:pPr>
        <w:pStyle w:val="ListBullet"/>
      </w:pPr>
      <w:r>
        <w:rPr>
          <w:b w:val="0"/>
          <w:i w:val="0"/>
        </w:rPr>
        <w:t>Doshi, Neel, 29–41</w:t>
      </w:r>
    </w:p>
    <w:p>
      <w:pPr>
        <w:pStyle w:val="ListBullet"/>
      </w:pPr>
      <w:r>
        <w:rPr>
          <w:b w:val="0"/>
          <w:i w:val="0"/>
        </w:rPr>
        <w:t xml:space="preserve">efficiency, 26. </w:t>
      </w:r>
      <w:r>
        <w:rPr>
          <w:b w:val="0"/>
          <w:i/>
        </w:rPr>
        <w:t>See also</w:t>
      </w:r>
      <w:r>
        <w:rPr>
          <w:b w:val="0"/>
          <w:i w:val="0"/>
        </w:rPr>
        <w:t xml:space="preserve"> agile methods, results from</w:t>
      </w:r>
    </w:p>
    <w:p>
      <w:pPr>
        <w:pStyle w:val="ListBullet"/>
      </w:pPr>
      <w:r>
        <w:rPr>
          <w:b w:val="0"/>
          <w:i w:val="0"/>
        </w:rPr>
        <w:t>employees</w:t>
      </w:r>
    </w:p>
    <w:p>
      <w:pPr>
        <w:pStyle w:val="ListBullet"/>
      </w:pPr>
      <w:r>
        <w:rPr>
          <w:b w:val="0"/>
          <w:i w:val="0"/>
        </w:rPr>
        <w:t>coaching of, 75–77, 90, 91, 108</w:t>
      </w:r>
    </w:p>
    <w:p>
      <w:pPr>
        <w:pStyle w:val="ListBullet"/>
      </w:pPr>
      <w:r>
        <w:rPr>
          <w:b w:val="0"/>
          <w:i w:val="0"/>
        </w:rPr>
        <w:t>compensation of, 24, 69, 82–84, 91</w:t>
      </w:r>
    </w:p>
    <w:p>
      <w:pPr>
        <w:pStyle w:val="ListBullet"/>
      </w:pPr>
      <w:r>
        <w:rPr>
          <w:b w:val="0"/>
          <w:i w:val="0"/>
        </w:rPr>
        <w:t>empowerment of, 22–23</w:t>
      </w:r>
    </w:p>
    <w:p>
      <w:pPr>
        <w:pStyle w:val="ListBullet"/>
      </w:pPr>
      <w:r>
        <w:rPr>
          <w:b w:val="0"/>
          <w:i w:val="0"/>
        </w:rPr>
        <w:t>fringe, 49–50</w:t>
      </w:r>
    </w:p>
    <w:p>
      <w:pPr>
        <w:pStyle w:val="ListBullet"/>
      </w:pPr>
      <w:r>
        <w:rPr>
          <w:b w:val="0"/>
          <w:i w:val="0"/>
        </w:rPr>
        <w:t>learning and development of, 86, 87, 89, 92</w:t>
      </w:r>
    </w:p>
    <w:p>
      <w:pPr>
        <w:pStyle w:val="ListBullet"/>
      </w:pPr>
      <w:r>
        <w:rPr>
          <w:b w:val="0"/>
          <w:i w:val="0"/>
        </w:rPr>
        <w:t>motivation of, 23–24, 51–52, 84</w:t>
      </w:r>
    </w:p>
    <w:p>
      <w:pPr>
        <w:pStyle w:val="ListBullet"/>
      </w:pPr>
      <w:r>
        <w:rPr>
          <w:b w:val="0"/>
          <w:i w:val="0"/>
        </w:rPr>
        <w:t>performance appraisals for, 23, 70–75, 91</w:t>
      </w:r>
    </w:p>
    <w:p>
      <w:pPr>
        <w:pStyle w:val="ListBullet"/>
      </w:pPr>
      <w:r>
        <w:rPr>
          <w:b w:val="0"/>
          <w:i w:val="0"/>
        </w:rPr>
        <w:t>recruitment of, 84–85, 91–92</w:t>
      </w:r>
    </w:p>
    <w:p>
      <w:pPr>
        <w:pStyle w:val="ListBullet"/>
      </w:pPr>
      <w:r>
        <w:rPr>
          <w:b w:val="0"/>
          <w:i w:val="0"/>
        </w:rPr>
        <w:t>rewarding, 24</w:t>
      </w:r>
    </w:p>
    <w:p>
      <w:pPr>
        <w:pStyle w:val="ListBullet"/>
      </w:pPr>
      <w:r>
        <w:rPr>
          <w:b w:val="0"/>
          <w:i w:val="0"/>
        </w:rPr>
        <w:t>enterprise priorities, as backlog, 95–97</w:t>
      </w:r>
    </w:p>
    <w:p>
      <w:pPr>
        <w:pStyle w:val="ListBullet"/>
      </w:pPr>
      <w:r>
        <w:rPr>
          <w:b w:val="0"/>
          <w:i w:val="0"/>
        </w:rPr>
        <w:t>experiments, 34–37</w:t>
      </w:r>
    </w:p>
    <w:p>
      <w:pPr>
        <w:pStyle w:val="ListBullet"/>
      </w:pPr>
      <w:r>
        <w:rPr>
          <w:b w:val="0"/>
          <w:i w:val="0"/>
        </w:rPr>
        <w:t>expertise, 50, 52–53</w:t>
      </w:r>
    </w:p>
    <w:p>
      <w:pPr>
        <w:pStyle w:val="ListBullet"/>
      </w:pPr>
      <w:r>
        <w:rPr>
          <w:b w:val="0"/>
          <w:i w:val="0"/>
        </w:rPr>
        <w:t>external boundaries, 53–55</w:t>
      </w:r>
    </w:p>
    <w:p>
      <w:pPr>
        <w:pStyle w:val="ListBullet"/>
      </w:pPr>
      <w:r>
        <w:rPr>
          <w:b w:val="0"/>
          <w:i w:val="0"/>
        </w:rPr>
        <w:t>external stakeholders, 44, 54</w:t>
      </w:r>
    </w:p>
    <w:p>
      <w:pPr>
        <w:pStyle w:val="ListBullet"/>
      </w:pPr>
      <w:r>
        <w:rPr>
          <w:b w:val="0"/>
          <w:i w:val="0"/>
        </w:rPr>
        <w:t>FastWorks, 68</w:t>
      </w:r>
    </w:p>
    <w:p>
      <w:pPr>
        <w:pStyle w:val="ListBullet"/>
      </w:pPr>
      <w:r>
        <w:rPr>
          <w:b w:val="0"/>
          <w:i w:val="0"/>
        </w:rPr>
        <w:t xml:space="preserve">faux pods, 37–39. </w:t>
      </w:r>
      <w:r>
        <w:rPr>
          <w:b w:val="0"/>
          <w:i/>
        </w:rPr>
        <w:t>See also</w:t>
      </w:r>
      <w:r>
        <w:rPr>
          <w:b w:val="0"/>
          <w:i w:val="0"/>
        </w:rPr>
        <w:t xml:space="preserve"> agile teams</w:t>
      </w:r>
    </w:p>
    <w:p>
      <w:pPr>
        <w:pStyle w:val="ListBullet"/>
      </w:pPr>
      <w:r>
        <w:rPr>
          <w:b w:val="0"/>
          <w:i w:val="0"/>
        </w:rPr>
        <w:t xml:space="preserve">fear, culture of, 50. </w:t>
      </w:r>
      <w:r>
        <w:rPr>
          <w:b w:val="0"/>
          <w:i/>
        </w:rPr>
        <w:t>See also</w:t>
      </w:r>
      <w:r>
        <w:rPr>
          <w:b w:val="0"/>
          <w:i w:val="0"/>
        </w:rPr>
        <w:t xml:space="preserve"> agile teams</w:t>
      </w:r>
    </w:p>
    <w:p>
      <w:pPr>
        <w:pStyle w:val="ListBullet"/>
      </w:pPr>
      <w:r>
        <w:rPr>
          <w:b w:val="0"/>
          <w:i w:val="0"/>
        </w:rPr>
        <w:t>feedback</w:t>
      </w:r>
    </w:p>
    <w:p>
      <w:pPr>
        <w:pStyle w:val="ListBullet"/>
      </w:pPr>
      <w:r>
        <w:rPr>
          <w:b w:val="0"/>
          <w:i w:val="0"/>
        </w:rPr>
        <w:t>for employees, 70–75</w:t>
      </w:r>
    </w:p>
    <w:p>
      <w:pPr>
        <w:pStyle w:val="ListBullet"/>
      </w:pPr>
      <w:r>
        <w:rPr>
          <w:b w:val="0"/>
          <w:i w:val="0"/>
        </w:rPr>
        <w:t>multidirectional, 78–81</w:t>
      </w:r>
    </w:p>
    <w:p>
      <w:pPr>
        <w:pStyle w:val="ListBullet"/>
      </w:pPr>
      <w:r>
        <w:rPr>
          <w:b w:val="0"/>
          <w:i w:val="0"/>
        </w:rPr>
        <w:t>peer, 51–52, 76, 78–79, 83</w:t>
      </w:r>
    </w:p>
    <w:p>
      <w:pPr>
        <w:pStyle w:val="ListBullet"/>
      </w:pPr>
      <w:r>
        <w:rPr>
          <w:b w:val="0"/>
          <w:i w:val="0"/>
        </w:rPr>
        <w:t>technology for managing, 80–81</w:t>
      </w:r>
    </w:p>
    <w:p>
      <w:pPr>
        <w:pStyle w:val="ListBullet"/>
      </w:pPr>
      <w:r>
        <w:rPr>
          <w:b w:val="0"/>
          <w:i w:val="0"/>
        </w:rPr>
        <w:t>upward, 79–80</w:t>
      </w:r>
    </w:p>
    <w:p>
      <w:pPr>
        <w:pStyle w:val="ListBullet"/>
      </w:pPr>
      <w:r>
        <w:rPr>
          <w:b w:val="0"/>
          <w:i w:val="0"/>
        </w:rPr>
        <w:t xml:space="preserve">financial results, 13. </w:t>
      </w:r>
      <w:r>
        <w:rPr>
          <w:b w:val="0"/>
          <w:i/>
        </w:rPr>
        <w:t>See also</w:t>
      </w:r>
      <w:r>
        <w:rPr>
          <w:b w:val="0"/>
          <w:i w:val="0"/>
        </w:rPr>
        <w:t xml:space="preserve"> agile methods, results from</w:t>
      </w:r>
    </w:p>
    <w:p>
      <w:pPr>
        <w:pStyle w:val="ListBullet"/>
      </w:pPr>
      <w:r>
        <w:rPr>
          <w:b w:val="0"/>
          <w:i w:val="0"/>
        </w:rPr>
        <w:t xml:space="preserve">functional departments, 21–22. </w:t>
      </w:r>
      <w:r>
        <w:rPr>
          <w:b w:val="0"/>
          <w:i/>
        </w:rPr>
        <w:t>See also</w:t>
      </w:r>
      <w:r>
        <w:rPr>
          <w:b w:val="0"/>
          <w:i w:val="0"/>
        </w:rPr>
        <w:t xml:space="preserve"> agile methods, scaling up</w:t>
      </w:r>
    </w:p>
    <w:p>
      <w:pPr>
        <w:pStyle w:val="ListBullet"/>
      </w:pPr>
      <w:r>
        <w:rPr>
          <w:b w:val="0"/>
          <w:i w:val="0"/>
        </w:rPr>
        <w:t>funding procedures, 24–25</w:t>
      </w:r>
    </w:p>
    <w:p>
      <w:pPr>
        <w:pStyle w:val="ListBullet"/>
      </w:pPr>
      <w:r>
        <w:rPr>
          <w:b w:val="0"/>
          <w:i w:val="0"/>
        </w:rPr>
        <w:t>Gardner, Heidi K., 43–57</w:t>
      </w:r>
    </w:p>
    <w:p>
      <w:pPr>
        <w:pStyle w:val="ListBullet"/>
      </w:pPr>
      <w:r>
        <w:rPr>
          <w:b w:val="0"/>
          <w:i w:val="0"/>
        </w:rPr>
        <w:t>Garton, Eric, 93–102</w:t>
      </w:r>
    </w:p>
    <w:p>
      <w:pPr>
        <w:pStyle w:val="ListBullet"/>
      </w:pPr>
      <w:r>
        <w:rPr>
          <w:b w:val="0"/>
          <w:i w:val="0"/>
        </w:rPr>
        <w:t>General Electric (GE), 68, 71, 84–85</w:t>
      </w:r>
    </w:p>
    <w:p>
      <w:pPr>
        <w:pStyle w:val="ListBullet"/>
      </w:pPr>
      <w:r>
        <w:rPr>
          <w:b w:val="0"/>
          <w:i w:val="0"/>
        </w:rPr>
        <w:t>Gherson, Diane, 78</w:t>
      </w:r>
    </w:p>
    <w:p>
      <w:pPr>
        <w:pStyle w:val="ListBullet"/>
      </w:pPr>
      <w:r>
        <w:rPr>
          <w:b w:val="0"/>
          <w:i w:val="0"/>
        </w:rPr>
        <w:t>Google, xii, 18, 100</w:t>
      </w:r>
    </w:p>
    <w:p>
      <w:pPr>
        <w:pStyle w:val="ListBullet"/>
      </w:pPr>
      <w:r>
        <w:rPr>
          <w:b w:val="0"/>
          <w:i w:val="0"/>
        </w:rPr>
        <w:t>Grady, Kelsey, 60</w:t>
      </w:r>
    </w:p>
    <w:p>
      <w:pPr>
        <w:pStyle w:val="ListBullet"/>
      </w:pPr>
      <w:r>
        <w:rPr>
          <w:b w:val="0"/>
          <w:i w:val="0"/>
        </w:rPr>
        <w:t>Gripen fighter jet, 17</w:t>
      </w:r>
    </w:p>
    <w:p>
      <w:pPr>
        <w:pStyle w:val="ListBullet"/>
      </w:pPr>
      <w:r>
        <w:rPr>
          <w:b w:val="0"/>
          <w:i w:val="0"/>
        </w:rPr>
        <w:t>HackerRank, 85</w:t>
      </w:r>
    </w:p>
    <w:p>
      <w:pPr>
        <w:pStyle w:val="ListBullet"/>
      </w:pPr>
      <w:r>
        <w:rPr>
          <w:b w:val="0"/>
          <w:i w:val="0"/>
        </w:rPr>
        <w:t>Harshaw, Pendarvis, 60</w:t>
      </w:r>
    </w:p>
    <w:p>
      <w:pPr>
        <w:pStyle w:val="ListBullet"/>
      </w:pPr>
      <w:r>
        <w:rPr>
          <w:b w:val="0"/>
          <w:i w:val="0"/>
        </w:rPr>
        <w:t>Henderson, Simon, 103–110</w:t>
      </w:r>
    </w:p>
    <w:p>
      <w:pPr>
        <w:pStyle w:val="ListBullet"/>
      </w:pPr>
      <w:r>
        <w:rPr>
          <w:b w:val="0"/>
          <w:i w:val="0"/>
        </w:rPr>
        <w:t>Hieronymi, Felix, 6–7</w:t>
      </w:r>
    </w:p>
    <w:p>
      <w:pPr>
        <w:pStyle w:val="ListBullet"/>
      </w:pPr>
      <w:r>
        <w:rPr>
          <w:b w:val="0"/>
          <w:i w:val="0"/>
        </w:rPr>
        <w:t>hiring process and agile, 84–85</w:t>
      </w:r>
    </w:p>
    <w:p>
      <w:pPr>
        <w:pStyle w:val="ListBullet"/>
      </w:pPr>
      <w:r>
        <w:rPr>
          <w:b w:val="0"/>
          <w:i w:val="0"/>
        </w:rPr>
        <w:t>Holm, Michael, 95</w:t>
      </w:r>
    </w:p>
    <w:p>
      <w:pPr>
        <w:pStyle w:val="ListBullet"/>
      </w:pPr>
      <w:r>
        <w:rPr>
          <w:b w:val="0"/>
          <w:i w:val="0"/>
        </w:rPr>
        <w:t>Holweg, Matthias, 111–112, 119</w:t>
      </w:r>
    </w:p>
    <w:p>
      <w:pPr>
        <w:pStyle w:val="ListBullet"/>
      </w:pPr>
      <w:r>
        <w:rPr>
          <w:b w:val="0"/>
          <w:i w:val="0"/>
        </w:rPr>
        <w:t>Hsiung, Brandon, 20–21</w:t>
      </w:r>
    </w:p>
    <w:p>
      <w:pPr>
        <w:pStyle w:val="ListBullet"/>
      </w:pPr>
      <w:r>
        <w:rPr>
          <w:b w:val="0"/>
          <w:i w:val="0"/>
        </w:rPr>
        <w:t>human resources (HR)</w:t>
      </w:r>
    </w:p>
    <w:p>
      <w:pPr>
        <w:pStyle w:val="ListBullet"/>
      </w:pPr>
      <w:r>
        <w:rPr>
          <w:b w:val="0"/>
          <w:i w:val="0"/>
        </w:rPr>
        <w:t>agile practices in, 67–92</w:t>
      </w:r>
    </w:p>
    <w:p>
      <w:pPr>
        <w:pStyle w:val="ListBullet"/>
      </w:pPr>
      <w:r>
        <w:rPr>
          <w:b w:val="0"/>
          <w:i w:val="0"/>
        </w:rPr>
        <w:t>challenges for, 89–90</w:t>
      </w:r>
    </w:p>
    <w:p>
      <w:pPr>
        <w:pStyle w:val="ListBullet"/>
      </w:pPr>
      <w:r>
        <w:rPr>
          <w:b w:val="0"/>
          <w:i w:val="0"/>
        </w:rPr>
        <w:t>coaching, 75–77, 90, 91</w:t>
      </w:r>
    </w:p>
    <w:p>
      <w:pPr>
        <w:pStyle w:val="ListBullet"/>
      </w:pPr>
      <w:r>
        <w:rPr>
          <w:b w:val="0"/>
          <w:i w:val="0"/>
        </w:rPr>
        <w:t>compensation systems, 24, 69, 82–84, 91</w:t>
      </w:r>
    </w:p>
    <w:p>
      <w:pPr>
        <w:pStyle w:val="ListBullet"/>
      </w:pPr>
      <w:r>
        <w:rPr>
          <w:b w:val="0"/>
          <w:i w:val="0"/>
        </w:rPr>
        <w:t>evolution of, 68–70</w:t>
      </w:r>
    </w:p>
    <w:p>
      <w:pPr>
        <w:pStyle w:val="ListBullet"/>
      </w:pPr>
      <w:r>
        <w:rPr>
          <w:b w:val="0"/>
          <w:i w:val="0"/>
        </w:rPr>
        <w:t>learning and development, 86, 87, 89, 92</w:t>
      </w:r>
    </w:p>
    <w:p>
      <w:pPr>
        <w:pStyle w:val="ListBullet"/>
      </w:pPr>
      <w:r>
        <w:rPr>
          <w:b w:val="0"/>
          <w:i w:val="0"/>
        </w:rPr>
        <w:t>performance appraisals, 23, 70–75, 91</w:t>
      </w:r>
    </w:p>
    <w:p>
      <w:pPr>
        <w:pStyle w:val="ListBullet"/>
      </w:pPr>
      <w:r>
        <w:rPr>
          <w:b w:val="0"/>
          <w:i w:val="0"/>
        </w:rPr>
        <w:t>recruitment, 23–24, 84–85, 91–92</w:t>
      </w:r>
    </w:p>
    <w:p>
      <w:pPr>
        <w:pStyle w:val="ListBullet"/>
      </w:pPr>
      <w:r>
        <w:rPr>
          <w:b w:val="0"/>
          <w:i w:val="0"/>
        </w:rPr>
        <w:t>team management, 77–81</w:t>
      </w:r>
    </w:p>
    <w:p>
      <w:pPr>
        <w:pStyle w:val="ListBullet"/>
      </w:pPr>
      <w:r>
        <w:rPr>
          <w:b w:val="0"/>
          <w:i w:val="0"/>
        </w:rPr>
        <w:t>Hyman, Jennifer, 83</w:t>
      </w:r>
    </w:p>
    <w:p>
      <w:pPr>
        <w:pStyle w:val="ListBullet"/>
      </w:pPr>
      <w:r>
        <w:rPr>
          <w:b w:val="0"/>
          <w:i w:val="0"/>
        </w:rPr>
        <w:t>IBM, 71, 78–79, 85, 86</w:t>
      </w:r>
    </w:p>
    <w:p>
      <w:pPr>
        <w:pStyle w:val="ListBullet"/>
      </w:pPr>
      <w:r>
        <w:rPr>
          <w:b w:val="0"/>
          <w:i w:val="0"/>
        </w:rPr>
        <w:t>improvement initiatives, 111–120</w:t>
      </w:r>
    </w:p>
    <w:p>
      <w:pPr>
        <w:pStyle w:val="ListBullet"/>
      </w:pPr>
      <w:r>
        <w:rPr>
          <w:b w:val="0"/>
          <w:i w:val="0"/>
        </w:rPr>
        <w:t xml:space="preserve">incrementalism, 26. </w:t>
      </w:r>
      <w:r>
        <w:rPr>
          <w:b w:val="0"/>
          <w:i/>
        </w:rPr>
        <w:t>See also</w:t>
      </w:r>
      <w:r>
        <w:rPr>
          <w:b w:val="0"/>
          <w:i w:val="0"/>
        </w:rPr>
        <w:t xml:space="preserve"> test-and-learn cycle</w:t>
      </w:r>
    </w:p>
    <w:p>
      <w:pPr>
        <w:pStyle w:val="ListBullet"/>
      </w:pPr>
      <w:r>
        <w:rPr>
          <w:b w:val="0"/>
          <w:i w:val="0"/>
        </w:rPr>
        <w:t xml:space="preserve">informal networks, 45. </w:t>
      </w:r>
      <w:r>
        <w:rPr>
          <w:b w:val="0"/>
          <w:i/>
        </w:rPr>
        <w:t>See also</w:t>
      </w:r>
      <w:r>
        <w:rPr>
          <w:b w:val="0"/>
          <w:i w:val="0"/>
        </w:rPr>
        <w:t xml:space="preserve"> agile teams</w:t>
      </w:r>
    </w:p>
    <w:p>
      <w:pPr>
        <w:pStyle w:val="ListBullet"/>
      </w:pPr>
      <w:r>
        <w:rPr>
          <w:b w:val="0"/>
          <w:i w:val="0"/>
        </w:rPr>
        <w:t xml:space="preserve">information, exchange of, 54. </w:t>
      </w:r>
      <w:r>
        <w:rPr>
          <w:b w:val="0"/>
          <w:i/>
        </w:rPr>
        <w:t>See also</w:t>
      </w:r>
      <w:r>
        <w:rPr>
          <w:b w:val="0"/>
          <w:i w:val="0"/>
        </w:rPr>
        <w:t xml:space="preserve"> communication</w:t>
      </w:r>
    </w:p>
    <w:p>
      <w:pPr>
        <w:pStyle w:val="ListBullet"/>
      </w:pPr>
      <w:r>
        <w:rPr>
          <w:b w:val="0"/>
          <w:i w:val="0"/>
        </w:rPr>
        <w:t>information technology (IT), xi–xii</w:t>
      </w:r>
    </w:p>
    <w:p>
      <w:pPr>
        <w:pStyle w:val="ListBullet"/>
      </w:pPr>
      <w:r>
        <w:rPr>
          <w:b w:val="0"/>
          <w:i w:val="0"/>
        </w:rPr>
        <w:t>ING Netherlands, 12–13</w:t>
      </w:r>
    </w:p>
    <w:p>
      <w:pPr>
        <w:pStyle w:val="ListBullet"/>
      </w:pPr>
      <w:r>
        <w:rPr>
          <w:b w:val="0"/>
          <w:i w:val="0"/>
        </w:rPr>
        <w:t>initiative fatigue, 118–119</w:t>
      </w:r>
    </w:p>
    <w:p>
      <w:pPr>
        <w:pStyle w:val="ListBullet"/>
      </w:pPr>
      <w:r>
        <w:rPr>
          <w:b w:val="0"/>
          <w:i w:val="0"/>
        </w:rPr>
        <w:t xml:space="preserve">initiative owner, 5. </w:t>
      </w:r>
      <w:r>
        <w:rPr>
          <w:b w:val="0"/>
          <w:i/>
        </w:rPr>
        <w:t>See also</w:t>
      </w:r>
      <w:r>
        <w:rPr>
          <w:b w:val="0"/>
          <w:i w:val="0"/>
        </w:rPr>
        <w:t xml:space="preserve"> agile teams</w:t>
      </w:r>
    </w:p>
    <w:p>
      <w:pPr>
        <w:pStyle w:val="ListBullet"/>
      </w:pPr>
      <w:r>
        <w:rPr>
          <w:b w:val="0"/>
          <w:i w:val="0"/>
        </w:rPr>
        <w:t>initiatives</w:t>
      </w:r>
    </w:p>
    <w:p>
      <w:pPr>
        <w:pStyle w:val="ListBullet"/>
      </w:pPr>
      <w:r>
        <w:rPr>
          <w:b w:val="0"/>
          <w:i w:val="0"/>
        </w:rPr>
        <w:t>improvement, 111–120</w:t>
      </w:r>
    </w:p>
    <w:p>
      <w:pPr>
        <w:pStyle w:val="ListBullet"/>
      </w:pPr>
      <w:r>
        <w:rPr>
          <w:b w:val="0"/>
          <w:i w:val="0"/>
        </w:rPr>
        <w:t>large-scale, 16–17</w:t>
      </w:r>
    </w:p>
    <w:p>
      <w:pPr>
        <w:pStyle w:val="ListBullet"/>
      </w:pPr>
      <w:r>
        <w:rPr>
          <w:b w:val="0"/>
          <w:i w:val="0"/>
        </w:rPr>
        <w:t>results from, 13–14</w:t>
      </w:r>
    </w:p>
    <w:p>
      <w:pPr>
        <w:pStyle w:val="ListBullet"/>
      </w:pPr>
      <w:r>
        <w:rPr>
          <w:b w:val="0"/>
          <w:i w:val="0"/>
        </w:rPr>
        <w:t>innovation, x, xi, 3, 4–5, 25, 26, 69</w:t>
      </w:r>
    </w:p>
    <w:p>
      <w:pPr>
        <w:pStyle w:val="ListBullet"/>
      </w:pPr>
      <w:r>
        <w:rPr>
          <w:b w:val="0"/>
          <w:i w:val="0"/>
        </w:rPr>
        <w:t xml:space="preserve">interdependencies, 48. </w:t>
      </w:r>
      <w:r>
        <w:rPr>
          <w:b w:val="0"/>
          <w:i/>
        </w:rPr>
        <w:t>See also</w:t>
      </w:r>
      <w:r>
        <w:rPr>
          <w:b w:val="0"/>
          <w:i w:val="0"/>
        </w:rPr>
        <w:t xml:space="preserve"> agile teams</w:t>
      </w:r>
    </w:p>
    <w:p>
      <w:pPr>
        <w:pStyle w:val="ListBullet"/>
      </w:pPr>
      <w:r>
        <w:rPr>
          <w:b w:val="0"/>
          <w:i w:val="0"/>
        </w:rPr>
        <w:t>Intuit, 73–74</w:t>
      </w:r>
    </w:p>
    <w:p>
      <w:pPr>
        <w:pStyle w:val="ListBullet"/>
      </w:pPr>
      <w:r>
        <w:rPr>
          <w:b w:val="0"/>
          <w:i w:val="0"/>
        </w:rPr>
        <w:t>Isaacson, Walter, 96</w:t>
      </w:r>
    </w:p>
    <w:p>
      <w:pPr>
        <w:pStyle w:val="ListBullet"/>
      </w:pPr>
      <w:r>
        <w:rPr>
          <w:b w:val="0"/>
          <w:i w:val="0"/>
        </w:rPr>
        <w:t xml:space="preserve">issue-based planning, 96. </w:t>
      </w:r>
      <w:r>
        <w:rPr>
          <w:b w:val="0"/>
          <w:i/>
        </w:rPr>
        <w:t>See also</w:t>
      </w:r>
      <w:r>
        <w:rPr>
          <w:b w:val="0"/>
          <w:i w:val="0"/>
        </w:rPr>
        <w:t xml:space="preserve"> planning</w:t>
      </w:r>
    </w:p>
    <w:p>
      <w:pPr>
        <w:pStyle w:val="ListBullet"/>
      </w:pPr>
      <w:r>
        <w:rPr>
          <w:b w:val="0"/>
          <w:i w:val="0"/>
        </w:rPr>
        <w:t>Janakiraman, Prakash, 59</w:t>
      </w:r>
    </w:p>
    <w:p>
      <w:pPr>
        <w:pStyle w:val="ListBullet"/>
      </w:pPr>
      <w:r>
        <w:rPr>
          <w:b w:val="0"/>
          <w:i w:val="0"/>
        </w:rPr>
        <w:t>Jobs, Steve, 96</w:t>
      </w:r>
    </w:p>
    <w:p>
      <w:pPr>
        <w:pStyle w:val="ListBullet"/>
      </w:pPr>
      <w:r>
        <w:rPr>
          <w:b w:val="0"/>
          <w:i w:val="0"/>
        </w:rPr>
        <w:t>John Deere, xii</w:t>
      </w:r>
    </w:p>
    <w:p>
      <w:pPr>
        <w:pStyle w:val="ListBullet"/>
      </w:pPr>
      <w:r>
        <w:rPr>
          <w:b w:val="0"/>
          <w:i w:val="0"/>
        </w:rPr>
        <w:t>Johnson &amp; Johnson, 72</w:t>
      </w:r>
    </w:p>
    <w:p>
      <w:pPr>
        <w:pStyle w:val="ListBullet"/>
      </w:pPr>
      <w:r>
        <w:rPr>
          <w:b w:val="0"/>
          <w:i w:val="0"/>
        </w:rPr>
        <w:t>large-scale initiatives, 16–17</w:t>
      </w:r>
    </w:p>
    <w:p>
      <w:pPr>
        <w:pStyle w:val="ListBullet"/>
      </w:pPr>
      <w:r>
        <w:rPr>
          <w:b w:val="0"/>
          <w:i w:val="0"/>
        </w:rPr>
        <w:t>lateral networks, 45–46</w:t>
      </w:r>
    </w:p>
    <w:p>
      <w:pPr>
        <w:pStyle w:val="ListBullet"/>
      </w:pPr>
      <w:r>
        <w:rPr>
          <w:b w:val="0"/>
          <w:i w:val="0"/>
        </w:rPr>
        <w:t>leadership</w:t>
      </w:r>
    </w:p>
    <w:p>
      <w:pPr>
        <w:pStyle w:val="ListBullet"/>
      </w:pPr>
      <w:r>
        <w:rPr>
          <w:b w:val="0"/>
          <w:i w:val="0"/>
        </w:rPr>
        <w:t>agile, xi, 3–8, 93–102</w:t>
      </w:r>
    </w:p>
    <w:p>
      <w:pPr>
        <w:pStyle w:val="ListBullet"/>
      </w:pPr>
      <w:r>
        <w:rPr>
          <w:b w:val="0"/>
          <w:i w:val="0"/>
        </w:rPr>
        <w:t>dictatorial, 104–105</w:t>
      </w:r>
    </w:p>
    <w:p>
      <w:pPr>
        <w:pStyle w:val="ListBullet"/>
      </w:pPr>
      <w:r>
        <w:rPr>
          <w:b w:val="0"/>
          <w:i w:val="0"/>
        </w:rPr>
        <w:t>style, 100</w:t>
      </w:r>
    </w:p>
    <w:p>
      <w:pPr>
        <w:pStyle w:val="ListBullet"/>
      </w:pPr>
      <w:r>
        <w:rPr>
          <w:b w:val="0"/>
          <w:i w:val="0"/>
        </w:rPr>
        <w:t>support from, for process improvements, 114–117</w:t>
      </w:r>
    </w:p>
    <w:p>
      <w:pPr>
        <w:pStyle w:val="ListBullet"/>
      </w:pPr>
      <w:r>
        <w:rPr>
          <w:b w:val="0"/>
          <w:i w:val="0"/>
        </w:rPr>
        <w:t>during turnarounds, 104–105, 107–108</w:t>
      </w:r>
    </w:p>
    <w:p>
      <w:pPr>
        <w:pStyle w:val="ListBullet"/>
      </w:pPr>
      <w:r>
        <w:rPr>
          <w:b w:val="0"/>
          <w:i w:val="0"/>
        </w:rPr>
        <w:t>learning and development, 86, 87, 89, 92</w:t>
      </w:r>
    </w:p>
    <w:p>
      <w:pPr>
        <w:pStyle w:val="ListBullet"/>
      </w:pPr>
      <w:r>
        <w:rPr>
          <w:b w:val="0"/>
          <w:i w:val="0"/>
        </w:rPr>
        <w:t>learning loops, 108</w:t>
      </w:r>
    </w:p>
    <w:p>
      <w:pPr>
        <w:pStyle w:val="ListBullet"/>
      </w:pPr>
      <w:r>
        <w:rPr>
          <w:b w:val="0"/>
          <w:i w:val="0"/>
        </w:rPr>
        <w:t>learning sprints, 75–76</w:t>
      </w:r>
    </w:p>
    <w:p>
      <w:pPr>
        <w:pStyle w:val="ListBullet"/>
      </w:pPr>
      <w:r>
        <w:rPr>
          <w:b w:val="0"/>
          <w:i w:val="0"/>
        </w:rPr>
        <w:t>Leary, Sarah, 59</w:t>
      </w:r>
    </w:p>
    <w:p>
      <w:pPr>
        <w:pStyle w:val="ListBullet"/>
      </w:pPr>
      <w:r>
        <w:rPr>
          <w:b w:val="0"/>
          <w:i w:val="0"/>
        </w:rPr>
        <w:t>Liebert, Carl, 10–11</w:t>
      </w:r>
    </w:p>
    <w:p>
      <w:pPr>
        <w:pStyle w:val="ListBullet"/>
      </w:pPr>
      <w:r>
        <w:rPr>
          <w:b w:val="0"/>
          <w:i w:val="0"/>
        </w:rPr>
        <w:t>Macy’s, 82</w:t>
      </w:r>
    </w:p>
    <w:p>
      <w:pPr>
        <w:pStyle w:val="ListBullet"/>
      </w:pPr>
      <w:r>
        <w:rPr>
          <w:b w:val="0"/>
          <w:i w:val="0"/>
        </w:rPr>
        <w:t>McGregor, Lindsay, 29–41</w:t>
      </w:r>
    </w:p>
    <w:p>
      <w:pPr>
        <w:pStyle w:val="ListBullet"/>
      </w:pPr>
      <w:r>
        <w:rPr>
          <w:b w:val="0"/>
          <w:i w:val="0"/>
        </w:rPr>
        <w:t xml:space="preserve">measurement systems, 108. </w:t>
      </w:r>
      <w:r>
        <w:rPr>
          <w:b w:val="0"/>
          <w:i/>
        </w:rPr>
        <w:t>See also</w:t>
      </w:r>
      <w:r>
        <w:rPr>
          <w:b w:val="0"/>
          <w:i w:val="0"/>
        </w:rPr>
        <w:t xml:space="preserve"> agile teams</w:t>
      </w:r>
    </w:p>
    <w:p>
      <w:pPr>
        <w:pStyle w:val="ListBullet"/>
      </w:pPr>
      <w:r>
        <w:rPr>
          <w:b w:val="0"/>
          <w:i w:val="0"/>
        </w:rPr>
        <w:t>Medina, Jennifer, 60</w:t>
      </w:r>
    </w:p>
    <w:p>
      <w:pPr>
        <w:pStyle w:val="ListBullet"/>
      </w:pPr>
      <w:r>
        <w:rPr>
          <w:b w:val="0"/>
          <w:i w:val="0"/>
        </w:rPr>
        <w:t>meetings, stand-up, x, 96</w:t>
      </w:r>
    </w:p>
    <w:p>
      <w:pPr>
        <w:pStyle w:val="ListBullet"/>
      </w:pPr>
      <w:r>
        <w:rPr>
          <w:b w:val="0"/>
          <w:i w:val="0"/>
        </w:rPr>
        <w:t>Microsoft, xii</w:t>
      </w:r>
    </w:p>
    <w:p>
      <w:pPr>
        <w:pStyle w:val="ListBullet"/>
      </w:pPr>
      <w:r>
        <w:rPr>
          <w:b w:val="0"/>
          <w:i w:val="0"/>
        </w:rPr>
        <w:t>minimally viable experiments, 34–35</w:t>
      </w:r>
    </w:p>
    <w:p>
      <w:pPr>
        <w:pStyle w:val="ListBullet"/>
      </w:pPr>
      <w:r>
        <w:rPr>
          <w:b w:val="0"/>
          <w:i w:val="0"/>
        </w:rPr>
        <w:t>Mission Bell Winery, xii</w:t>
      </w:r>
    </w:p>
    <w:p>
      <w:pPr>
        <w:pStyle w:val="ListBullet"/>
      </w:pPr>
      <w:r>
        <w:rPr>
          <w:b w:val="0"/>
          <w:i w:val="0"/>
        </w:rPr>
        <w:t>Mitre Corporation, 79–80</w:t>
      </w:r>
    </w:p>
    <w:p>
      <w:pPr>
        <w:pStyle w:val="ListBullet"/>
      </w:pPr>
      <w:r>
        <w:rPr>
          <w:b w:val="0"/>
          <w:i w:val="0"/>
        </w:rPr>
        <w:t>Mohit, Maryam, 60</w:t>
      </w:r>
    </w:p>
    <w:p>
      <w:pPr>
        <w:pStyle w:val="ListBullet"/>
      </w:pPr>
      <w:r>
        <w:rPr>
          <w:b w:val="0"/>
          <w:i w:val="0"/>
        </w:rPr>
        <w:t>motivation, 30–31, 51–52, 84</w:t>
      </w:r>
    </w:p>
    <w:p>
      <w:pPr>
        <w:pStyle w:val="ListBullet"/>
      </w:pPr>
      <w:r>
        <w:rPr>
          <w:b w:val="0"/>
          <w:i w:val="0"/>
        </w:rPr>
        <w:t>multidirectional feedback, 78–81</w:t>
      </w:r>
    </w:p>
    <w:p>
      <w:pPr>
        <w:pStyle w:val="ListBullet"/>
      </w:pPr>
      <w:r>
        <w:rPr>
          <w:b w:val="0"/>
          <w:i w:val="0"/>
        </w:rPr>
        <w:t>Musk, Elon, 20</w:t>
      </w:r>
    </w:p>
    <w:p>
      <w:pPr>
        <w:pStyle w:val="ListBullet"/>
      </w:pPr>
      <w:r>
        <w:rPr>
          <w:b w:val="0"/>
          <w:i w:val="0"/>
        </w:rPr>
        <w:t>National Health Service, 115</w:t>
      </w:r>
    </w:p>
    <w:p>
      <w:pPr>
        <w:pStyle w:val="ListBullet"/>
      </w:pPr>
      <w:r>
        <w:rPr>
          <w:b w:val="0"/>
          <w:i w:val="0"/>
        </w:rPr>
        <w:t>Netflix, xii, 2, 18</w:t>
      </w:r>
    </w:p>
    <w:p>
      <w:pPr>
        <w:pStyle w:val="ListBullet"/>
      </w:pPr>
      <w:r>
        <w:rPr>
          <w:b w:val="0"/>
          <w:i w:val="0"/>
        </w:rPr>
        <w:t>networks</w:t>
      </w:r>
    </w:p>
    <w:p>
      <w:pPr>
        <w:pStyle w:val="ListBullet"/>
      </w:pPr>
      <w:r>
        <w:rPr>
          <w:b w:val="0"/>
          <w:i w:val="0"/>
        </w:rPr>
        <w:t>center of, 46–48</w:t>
      </w:r>
    </w:p>
    <w:p>
      <w:pPr>
        <w:pStyle w:val="ListBullet"/>
      </w:pPr>
      <w:r>
        <w:rPr>
          <w:b w:val="0"/>
          <w:i w:val="0"/>
        </w:rPr>
        <w:t>external boundaries, 53–55</w:t>
      </w:r>
    </w:p>
    <w:p>
      <w:pPr>
        <w:pStyle w:val="ListBullet"/>
      </w:pPr>
      <w:r>
        <w:rPr>
          <w:b w:val="0"/>
          <w:i w:val="0"/>
        </w:rPr>
        <w:t>fringe players in, 49–50</w:t>
      </w:r>
    </w:p>
    <w:p>
      <w:pPr>
        <w:pStyle w:val="ListBullet"/>
      </w:pPr>
      <w:r>
        <w:rPr>
          <w:b w:val="0"/>
          <w:i w:val="0"/>
        </w:rPr>
        <w:t>lateral, 45–46</w:t>
      </w:r>
    </w:p>
    <w:p>
      <w:pPr>
        <w:pStyle w:val="ListBullet"/>
      </w:pPr>
      <w:r>
        <w:rPr>
          <w:b w:val="0"/>
          <w:i w:val="0"/>
        </w:rPr>
        <w:t>Nextdoor, 59–65</w:t>
      </w:r>
    </w:p>
    <w:p>
      <w:pPr>
        <w:pStyle w:val="ListBullet"/>
      </w:pPr>
      <w:r>
        <w:rPr>
          <w:b w:val="0"/>
          <w:i w:val="0"/>
        </w:rPr>
        <w:t>Noble, Andy, 1–28, 93–102</w:t>
      </w:r>
    </w:p>
    <w:p>
      <w:pPr>
        <w:pStyle w:val="ListBullet"/>
      </w:pPr>
      <w:r>
        <w:rPr>
          <w:b w:val="0"/>
          <w:i w:val="0"/>
        </w:rPr>
        <w:t>no-handoff process, 33–34, 37</w:t>
      </w:r>
    </w:p>
    <w:p>
      <w:pPr>
        <w:pStyle w:val="ListBullet"/>
      </w:pPr>
      <w:r>
        <w:rPr>
          <w:b w:val="0"/>
          <w:i w:val="0"/>
        </w:rPr>
        <w:t>OpenView, xiii</w:t>
      </w:r>
    </w:p>
    <w:p>
      <w:pPr>
        <w:pStyle w:val="ListBullet"/>
      </w:pPr>
      <w:r>
        <w:rPr>
          <w:b w:val="0"/>
          <w:i w:val="0"/>
        </w:rPr>
        <w:t xml:space="preserve">operating architectures, 19–23. </w:t>
      </w:r>
      <w:r>
        <w:rPr>
          <w:b w:val="0"/>
          <w:i/>
        </w:rPr>
        <w:t>See also</w:t>
      </w:r>
      <w:r>
        <w:rPr>
          <w:b w:val="0"/>
          <w:i w:val="0"/>
        </w:rPr>
        <w:t xml:space="preserve"> agile methods, scaling up</w:t>
      </w:r>
    </w:p>
    <w:p>
      <w:pPr>
        <w:pStyle w:val="ListBullet"/>
      </w:pPr>
      <w:r>
        <w:rPr>
          <w:b w:val="0"/>
          <w:i w:val="0"/>
        </w:rPr>
        <w:t>opportunities</w:t>
      </w:r>
    </w:p>
    <w:p>
      <w:pPr>
        <w:pStyle w:val="ListBullet"/>
      </w:pPr>
      <w:r>
        <w:rPr>
          <w:b w:val="0"/>
          <w:i w:val="0"/>
        </w:rPr>
        <w:t>scanning for, 53</w:t>
      </w:r>
    </w:p>
    <w:p>
      <w:pPr>
        <w:pStyle w:val="ListBullet"/>
      </w:pPr>
      <w:r>
        <w:rPr>
          <w:b w:val="0"/>
          <w:i w:val="0"/>
        </w:rPr>
        <w:t>taxonomy of, 9–11</w:t>
      </w:r>
    </w:p>
    <w:p>
      <w:pPr>
        <w:pStyle w:val="ListBullet"/>
      </w:pPr>
      <w:r>
        <w:rPr>
          <w:b w:val="0"/>
          <w:i w:val="0"/>
        </w:rPr>
        <w:t>organizational structures, 11, 21–22, 39</w:t>
      </w:r>
    </w:p>
    <w:p>
      <w:pPr>
        <w:pStyle w:val="ListBullet"/>
      </w:pPr>
      <w:r>
        <w:rPr>
          <w:b w:val="0"/>
          <w:i w:val="0"/>
        </w:rPr>
        <w:t>outcomes, 4, 26</w:t>
      </w:r>
    </w:p>
    <w:p>
      <w:pPr>
        <w:pStyle w:val="ListBullet"/>
      </w:pPr>
      <w:r>
        <w:rPr>
          <w:b w:val="0"/>
          <w:i w:val="0"/>
        </w:rPr>
        <w:t>P&amp;G, 76–77</w:t>
      </w:r>
    </w:p>
    <w:p>
      <w:pPr>
        <w:pStyle w:val="ListBullet"/>
      </w:pPr>
      <w:r>
        <w:rPr>
          <w:b w:val="0"/>
          <w:i w:val="0"/>
        </w:rPr>
        <w:t>Patagonia, 82–83</w:t>
      </w:r>
    </w:p>
    <w:p>
      <w:pPr>
        <w:pStyle w:val="ListBullet"/>
      </w:pPr>
      <w:r>
        <w:rPr>
          <w:b w:val="0"/>
          <w:i w:val="0"/>
        </w:rPr>
        <w:t>peer feedback, 51–52, 76, 78–79, 83</w:t>
      </w:r>
    </w:p>
    <w:p>
      <w:pPr>
        <w:pStyle w:val="ListBullet"/>
      </w:pPr>
      <w:r>
        <w:rPr>
          <w:b w:val="0"/>
          <w:i w:val="0"/>
        </w:rPr>
        <w:t>Pepsi, 87, 89</w:t>
      </w:r>
    </w:p>
    <w:p>
      <w:pPr>
        <w:pStyle w:val="ListBullet"/>
      </w:pPr>
      <w:r>
        <w:rPr>
          <w:b w:val="0"/>
          <w:i w:val="0"/>
        </w:rPr>
        <w:t>performance appraisals, 23, 70–75, 78–79, 91</w:t>
      </w:r>
    </w:p>
    <w:p>
      <w:pPr>
        <w:pStyle w:val="ListBullet"/>
      </w:pPr>
      <w:r>
        <w:rPr>
          <w:b w:val="0"/>
          <w:i w:val="0"/>
        </w:rPr>
        <w:t>performance management, 67–68</w:t>
      </w:r>
    </w:p>
    <w:p>
      <w:pPr>
        <w:pStyle w:val="ListBullet"/>
      </w:pPr>
      <w:r>
        <w:rPr>
          <w:b w:val="0"/>
          <w:i w:val="0"/>
        </w:rPr>
        <w:t>planning, 24–25, 86, 87, 89, 96–97</w:t>
      </w:r>
    </w:p>
    <w:p>
      <w:pPr>
        <w:pStyle w:val="ListBullet"/>
      </w:pPr>
      <w:r>
        <w:rPr>
          <w:b w:val="0"/>
          <w:i w:val="0"/>
        </w:rPr>
        <w:t xml:space="preserve">pods, 37–39. </w:t>
      </w:r>
      <w:r>
        <w:rPr>
          <w:b w:val="0"/>
          <w:i/>
        </w:rPr>
        <w:t>See also</w:t>
      </w:r>
      <w:r>
        <w:rPr>
          <w:b w:val="0"/>
          <w:i w:val="0"/>
        </w:rPr>
        <w:t xml:space="preserve"> agile teams</w:t>
      </w:r>
    </w:p>
    <w:p>
      <w:pPr>
        <w:pStyle w:val="ListBullet"/>
      </w:pPr>
      <w:r>
        <w:rPr>
          <w:b w:val="0"/>
          <w:i w:val="0"/>
        </w:rPr>
        <w:t>principles and agile, 18–19, 26</w:t>
      </w:r>
    </w:p>
    <w:p>
      <w:pPr>
        <w:pStyle w:val="ListBullet"/>
      </w:pPr>
      <w:r>
        <w:rPr>
          <w:b w:val="0"/>
          <w:i w:val="0"/>
        </w:rPr>
        <w:t>process improvements, 111–120</w:t>
      </w:r>
    </w:p>
    <w:p>
      <w:pPr>
        <w:pStyle w:val="ListBullet"/>
      </w:pPr>
      <w:r>
        <w:rPr>
          <w:b w:val="0"/>
          <w:i w:val="0"/>
        </w:rPr>
        <w:t>product development, 19–20</w:t>
      </w:r>
    </w:p>
    <w:p>
      <w:pPr>
        <w:pStyle w:val="ListBullet"/>
      </w:pPr>
      <w:r>
        <w:rPr>
          <w:b w:val="0"/>
          <w:i w:val="0"/>
        </w:rPr>
        <w:t>productivity, 26</w:t>
      </w:r>
    </w:p>
    <w:p>
      <w:pPr>
        <w:pStyle w:val="ListBullet"/>
      </w:pPr>
      <w:r>
        <w:rPr>
          <w:b w:val="0"/>
          <w:i w:val="0"/>
        </w:rPr>
        <w:t>prototypes, x</w:t>
      </w:r>
    </w:p>
    <w:p>
      <w:pPr>
        <w:pStyle w:val="ListBullet"/>
      </w:pPr>
      <w:r>
        <w:rPr>
          <w:b w:val="0"/>
          <w:i w:val="0"/>
        </w:rPr>
        <w:t>racial profiling, 59–65</w:t>
      </w:r>
    </w:p>
    <w:p>
      <w:pPr>
        <w:pStyle w:val="ListBullet"/>
      </w:pPr>
      <w:r>
        <w:rPr>
          <w:b w:val="0"/>
          <w:i w:val="0"/>
        </w:rPr>
        <w:t xml:space="preserve">recognition programs, 24. </w:t>
      </w:r>
      <w:r>
        <w:rPr>
          <w:b w:val="0"/>
          <w:i/>
        </w:rPr>
        <w:t>See also</w:t>
      </w:r>
      <w:r>
        <w:rPr>
          <w:b w:val="0"/>
          <w:i w:val="0"/>
        </w:rPr>
        <w:t xml:space="preserve"> talent acquisition</w:t>
      </w:r>
    </w:p>
    <w:p>
      <w:pPr>
        <w:pStyle w:val="ListBullet"/>
      </w:pPr>
      <w:r>
        <w:rPr>
          <w:b w:val="0"/>
          <w:i w:val="0"/>
        </w:rPr>
        <w:t xml:space="preserve">recruitment, 84–85, 91–92. </w:t>
      </w:r>
      <w:r>
        <w:rPr>
          <w:b w:val="0"/>
          <w:i/>
        </w:rPr>
        <w:t>See also</w:t>
      </w:r>
      <w:r>
        <w:rPr>
          <w:b w:val="0"/>
          <w:i w:val="0"/>
        </w:rPr>
        <w:t xml:space="preserve"> talent acquisition</w:t>
      </w:r>
    </w:p>
    <w:p>
      <w:pPr>
        <w:pStyle w:val="ListBullet"/>
      </w:pPr>
      <w:r>
        <w:rPr>
          <w:b w:val="0"/>
          <w:i w:val="0"/>
        </w:rPr>
        <w:t>Regeneron Pharmaceuticals, 74–75</w:t>
      </w:r>
    </w:p>
    <w:p>
      <w:pPr>
        <w:pStyle w:val="ListBullet"/>
      </w:pPr>
      <w:r>
        <w:rPr>
          <w:b w:val="0"/>
          <w:i w:val="0"/>
        </w:rPr>
        <w:t>Rent the Runway, 83</w:t>
      </w:r>
    </w:p>
    <w:p>
      <w:pPr>
        <w:pStyle w:val="ListBullet"/>
      </w:pPr>
      <w:r>
        <w:rPr>
          <w:b w:val="0"/>
          <w:i w:val="0"/>
        </w:rPr>
        <w:t xml:space="preserve">reskilling, 90. </w:t>
      </w:r>
      <w:r>
        <w:rPr>
          <w:b w:val="0"/>
          <w:i/>
        </w:rPr>
        <w:t>See also</w:t>
      </w:r>
      <w:r>
        <w:rPr>
          <w:b w:val="0"/>
          <w:i w:val="0"/>
        </w:rPr>
        <w:t xml:space="preserve"> human resources (HR)</w:t>
      </w:r>
    </w:p>
    <w:p>
      <w:pPr>
        <w:pStyle w:val="ListBullet"/>
      </w:pPr>
      <w:r>
        <w:rPr>
          <w:b w:val="0"/>
          <w:i w:val="0"/>
        </w:rPr>
        <w:t>results, 13–14</w:t>
      </w:r>
    </w:p>
    <w:p>
      <w:pPr>
        <w:pStyle w:val="ListBullet"/>
      </w:pPr>
      <w:r>
        <w:rPr>
          <w:b w:val="0"/>
          <w:i w:val="0"/>
        </w:rPr>
        <w:t xml:space="preserve">reward systems, 108. </w:t>
      </w:r>
      <w:r>
        <w:rPr>
          <w:b w:val="0"/>
          <w:i/>
        </w:rPr>
        <w:t>See also</w:t>
      </w:r>
      <w:r>
        <w:rPr>
          <w:b w:val="0"/>
          <w:i w:val="0"/>
        </w:rPr>
        <w:t xml:space="preserve"> agile teams</w:t>
      </w:r>
    </w:p>
    <w:p>
      <w:pPr>
        <w:pStyle w:val="ListBullet"/>
      </w:pPr>
      <w:r>
        <w:rPr>
          <w:b w:val="0"/>
          <w:i w:val="0"/>
        </w:rPr>
        <w:t>Rigby, Darrell K., ix–xvi, 1–28, 103–110</w:t>
      </w:r>
    </w:p>
    <w:p>
      <w:pPr>
        <w:pStyle w:val="ListBullet"/>
      </w:pPr>
      <w:r>
        <w:rPr>
          <w:b w:val="0"/>
          <w:i w:val="0"/>
        </w:rPr>
        <w:t>Riot Games, xii, 18, 20–22</w:t>
      </w:r>
    </w:p>
    <w:p>
      <w:pPr>
        <w:pStyle w:val="ListBullet"/>
      </w:pPr>
      <w:r>
        <w:rPr>
          <w:b w:val="0"/>
          <w:i w:val="0"/>
        </w:rPr>
        <w:t>Roger, Lynn, 70</w:t>
      </w:r>
    </w:p>
    <w:p>
      <w:pPr>
        <w:pStyle w:val="ListBullet"/>
      </w:pPr>
      <w:r>
        <w:rPr>
          <w:b w:val="0"/>
          <w:i w:val="0"/>
        </w:rPr>
        <w:t>Saab, 16–17, 18</w:t>
      </w:r>
    </w:p>
    <w:p>
      <w:pPr>
        <w:pStyle w:val="ListBullet"/>
      </w:pPr>
      <w:r>
        <w:rPr>
          <w:b w:val="0"/>
          <w:i w:val="0"/>
        </w:rPr>
        <w:t>salaries, 82–84, 91</w:t>
      </w:r>
    </w:p>
    <w:p>
      <w:pPr>
        <w:pStyle w:val="ListBullet"/>
      </w:pPr>
      <w:r>
        <w:rPr>
          <w:b w:val="0"/>
          <w:i w:val="0"/>
        </w:rPr>
        <w:t>Salesforce, 18</w:t>
      </w:r>
    </w:p>
    <w:p>
      <w:pPr>
        <w:pStyle w:val="ListBullet"/>
      </w:pPr>
      <w:r>
        <w:rPr>
          <w:b w:val="0"/>
          <w:i w:val="0"/>
        </w:rPr>
        <w:t>SAP, 14–15, 18</w:t>
      </w:r>
    </w:p>
    <w:p>
      <w:pPr>
        <w:pStyle w:val="ListBullet"/>
      </w:pPr>
      <w:r>
        <w:rPr>
          <w:b w:val="0"/>
          <w:i w:val="0"/>
        </w:rPr>
        <w:t xml:space="preserve">scrums, 77–78. </w:t>
      </w:r>
      <w:r>
        <w:rPr>
          <w:b w:val="0"/>
          <w:i/>
        </w:rPr>
        <w:t>See also</w:t>
      </w:r>
      <w:r>
        <w:rPr>
          <w:b w:val="0"/>
          <w:i w:val="0"/>
        </w:rPr>
        <w:t xml:space="preserve"> agile teams</w:t>
      </w:r>
    </w:p>
    <w:p>
      <w:pPr>
        <w:pStyle w:val="ListBullet"/>
      </w:pPr>
      <w:r>
        <w:rPr>
          <w:b w:val="0"/>
          <w:i w:val="0"/>
        </w:rPr>
        <w:t xml:space="preserve">self-managed teams, 97. </w:t>
      </w:r>
      <w:r>
        <w:rPr>
          <w:b w:val="0"/>
          <w:i/>
        </w:rPr>
        <w:t>See also</w:t>
      </w:r>
      <w:r>
        <w:rPr>
          <w:b w:val="0"/>
          <w:i w:val="0"/>
        </w:rPr>
        <w:t xml:space="preserve"> agile teams</w:t>
      </w:r>
    </w:p>
    <w:p>
      <w:pPr>
        <w:pStyle w:val="ListBullet"/>
      </w:pPr>
      <w:r>
        <w:rPr>
          <w:b w:val="0"/>
          <w:i w:val="0"/>
        </w:rPr>
        <w:t>Sidky, Ahmed, 22</w:t>
      </w:r>
    </w:p>
    <w:p>
      <w:pPr>
        <w:pStyle w:val="ListBullet"/>
      </w:pPr>
      <w:r>
        <w:rPr>
          <w:b w:val="0"/>
          <w:i w:val="0"/>
        </w:rPr>
        <w:t xml:space="preserve">silos, 39, 51–53, 98, 108. </w:t>
      </w:r>
      <w:r>
        <w:rPr>
          <w:b w:val="0"/>
          <w:i/>
        </w:rPr>
        <w:t>See also</w:t>
      </w:r>
      <w:r>
        <w:rPr>
          <w:b w:val="0"/>
          <w:i w:val="0"/>
        </w:rPr>
        <w:t xml:space="preserve"> agile teams</w:t>
      </w:r>
    </w:p>
    <w:p>
      <w:pPr>
        <w:pStyle w:val="ListBullet"/>
      </w:pPr>
      <w:r>
        <w:rPr>
          <w:b w:val="0"/>
          <w:i w:val="0"/>
        </w:rPr>
        <w:t>Simon, Phil, 59–65</w:t>
      </w:r>
    </w:p>
    <w:p>
      <w:pPr>
        <w:pStyle w:val="ListBullet"/>
      </w:pPr>
      <w:r>
        <w:rPr>
          <w:b w:val="0"/>
          <w:i w:val="0"/>
        </w:rPr>
        <w:t>software development</w:t>
      </w:r>
    </w:p>
    <w:p>
      <w:pPr>
        <w:pStyle w:val="ListBullet"/>
      </w:pPr>
      <w:r>
        <w:rPr>
          <w:b w:val="0"/>
          <w:i w:val="0"/>
        </w:rPr>
        <w:t>agile, xii, 29–41</w:t>
      </w:r>
    </w:p>
    <w:p>
      <w:pPr>
        <w:pStyle w:val="ListBullet"/>
      </w:pPr>
      <w:r>
        <w:rPr>
          <w:b w:val="0"/>
          <w:i w:val="0"/>
        </w:rPr>
        <w:t>customer-centric, 35–36</w:t>
      </w:r>
    </w:p>
    <w:p>
      <w:pPr>
        <w:pStyle w:val="ListBullet"/>
      </w:pPr>
      <w:r>
        <w:rPr>
          <w:b w:val="0"/>
          <w:i w:val="0"/>
        </w:rPr>
        <w:t>as no-handoff process, 33–34, 37</w:t>
      </w:r>
    </w:p>
    <w:p>
      <w:pPr>
        <w:pStyle w:val="ListBullet"/>
      </w:pPr>
      <w:r>
        <w:rPr>
          <w:b w:val="0"/>
          <w:i w:val="0"/>
        </w:rPr>
        <w:t>SpaceX, 18, 26–27</w:t>
      </w:r>
    </w:p>
    <w:p>
      <w:pPr>
        <w:pStyle w:val="ListBullet"/>
      </w:pPr>
      <w:r>
        <w:rPr>
          <w:b w:val="0"/>
          <w:i w:val="0"/>
        </w:rPr>
        <w:t>Sparrow, Tammy, 14</w:t>
      </w:r>
    </w:p>
    <w:p>
      <w:pPr>
        <w:pStyle w:val="ListBullet"/>
      </w:pPr>
      <w:r>
        <w:rPr>
          <w:b w:val="0"/>
          <w:i w:val="0"/>
        </w:rPr>
        <w:t>Spotify, xii, 2, 18, 100</w:t>
      </w:r>
    </w:p>
    <w:p>
      <w:pPr>
        <w:pStyle w:val="ListBullet"/>
      </w:pPr>
      <w:r>
        <w:rPr>
          <w:b w:val="0"/>
          <w:i w:val="0"/>
        </w:rPr>
        <w:t>sprints, x</w:t>
      </w:r>
    </w:p>
    <w:p>
      <w:pPr>
        <w:pStyle w:val="ListBullet"/>
      </w:pPr>
      <w:r>
        <w:rPr>
          <w:b w:val="0"/>
          <w:i w:val="0"/>
        </w:rPr>
        <w:t>sprint teams, 38</w:t>
      </w:r>
    </w:p>
    <w:p>
      <w:pPr>
        <w:pStyle w:val="ListBullet"/>
      </w:pPr>
      <w:r>
        <w:rPr>
          <w:b w:val="0"/>
          <w:i w:val="0"/>
        </w:rPr>
        <w:t>Staats, Brad, 111, 119</w:t>
      </w:r>
    </w:p>
    <w:p>
      <w:pPr>
        <w:pStyle w:val="ListBullet"/>
      </w:pPr>
      <w:r>
        <w:rPr>
          <w:b w:val="0"/>
          <w:i w:val="0"/>
        </w:rPr>
        <w:t>stakeholders, external, 44, 54</w:t>
      </w:r>
    </w:p>
    <w:p>
      <w:pPr>
        <w:pStyle w:val="ListBullet"/>
      </w:pPr>
      <w:r>
        <w:rPr>
          <w:b w:val="0"/>
          <w:i w:val="0"/>
        </w:rPr>
        <w:t>stand-up meetings, x, 96</w:t>
      </w:r>
    </w:p>
    <w:p>
      <w:pPr>
        <w:pStyle w:val="ListBullet"/>
      </w:pPr>
      <w:r>
        <w:rPr>
          <w:b w:val="0"/>
          <w:i w:val="0"/>
        </w:rPr>
        <w:t>strategic planning, 96–97</w:t>
      </w:r>
    </w:p>
    <w:p>
      <w:pPr>
        <w:pStyle w:val="ListBullet"/>
      </w:pPr>
      <w:r>
        <w:rPr>
          <w:b w:val="0"/>
          <w:i w:val="0"/>
        </w:rPr>
        <w:t>succession planning, 86, 87, 89</w:t>
      </w:r>
    </w:p>
    <w:p>
      <w:pPr>
        <w:pStyle w:val="ListBullet"/>
      </w:pPr>
      <w:r>
        <w:rPr>
          <w:b w:val="0"/>
          <w:i w:val="0"/>
        </w:rPr>
        <w:t>sustainability, of process improvements, 111–120</w:t>
      </w:r>
    </w:p>
    <w:p>
      <w:pPr>
        <w:pStyle w:val="ListBullet"/>
      </w:pPr>
      <w:r>
        <w:rPr>
          <w:b w:val="0"/>
          <w:i w:val="0"/>
        </w:rPr>
        <w:t>Sutherland, Jeff, 1–28</w:t>
      </w:r>
    </w:p>
    <w:p>
      <w:pPr>
        <w:pStyle w:val="ListBullet"/>
      </w:pPr>
      <w:r>
        <w:rPr>
          <w:b w:val="0"/>
          <w:i w:val="0"/>
        </w:rPr>
        <w:t>Systematic Inc., 95–96</w:t>
      </w:r>
    </w:p>
    <w:p>
      <w:pPr>
        <w:pStyle w:val="ListBullet"/>
      </w:pPr>
      <w:r>
        <w:rPr>
          <w:b w:val="0"/>
          <w:i w:val="0"/>
        </w:rPr>
        <w:t xml:space="preserve">talent acquisition, 23–24. </w:t>
      </w:r>
      <w:r>
        <w:rPr>
          <w:b w:val="0"/>
          <w:i/>
        </w:rPr>
        <w:t>See also</w:t>
      </w:r>
      <w:r>
        <w:rPr>
          <w:b w:val="0"/>
          <w:i w:val="0"/>
        </w:rPr>
        <w:t xml:space="preserve"> recruitment</w:t>
      </w:r>
    </w:p>
    <w:p>
      <w:pPr>
        <w:pStyle w:val="ListBullet"/>
      </w:pPr>
      <w:r>
        <w:rPr>
          <w:b w:val="0"/>
          <w:i w:val="0"/>
        </w:rPr>
        <w:t>Tavis, Anna, 67–92</w:t>
      </w:r>
    </w:p>
    <w:p>
      <w:pPr>
        <w:pStyle w:val="ListBullet"/>
      </w:pPr>
      <w:r>
        <w:rPr>
          <w:b w:val="0"/>
          <w:i w:val="0"/>
        </w:rPr>
        <w:t xml:space="preserve">taxonomy, of teams, 9–11. </w:t>
      </w:r>
      <w:r>
        <w:rPr>
          <w:b w:val="0"/>
          <w:i/>
        </w:rPr>
        <w:t>See also</w:t>
      </w:r>
      <w:r>
        <w:rPr>
          <w:b w:val="0"/>
          <w:i w:val="0"/>
        </w:rPr>
        <w:t xml:space="preserve"> agile methods, scaling up</w:t>
      </w:r>
    </w:p>
    <w:p>
      <w:pPr>
        <w:pStyle w:val="ListBullet"/>
      </w:pPr>
      <w:r>
        <w:rPr>
          <w:b w:val="0"/>
          <w:i w:val="0"/>
        </w:rPr>
        <w:t>Taylor, Frederick, 111</w:t>
      </w:r>
    </w:p>
    <w:p>
      <w:pPr>
        <w:pStyle w:val="ListBullet"/>
      </w:pPr>
      <w:r>
        <w:rPr>
          <w:b w:val="0"/>
          <w:i w:val="0"/>
        </w:rPr>
        <w:t>teams</w:t>
      </w:r>
    </w:p>
    <w:p>
      <w:pPr>
        <w:pStyle w:val="ListBullet"/>
      </w:pPr>
      <w:r>
        <w:rPr>
          <w:b w:val="0"/>
          <w:i w:val="0"/>
        </w:rPr>
        <w:t xml:space="preserve">agile. </w:t>
      </w:r>
      <w:r>
        <w:rPr>
          <w:b w:val="0"/>
          <w:i/>
        </w:rPr>
        <w:t>See</w:t>
      </w:r>
      <w:r>
        <w:rPr>
          <w:b w:val="0"/>
          <w:i w:val="0"/>
        </w:rPr>
        <w:t xml:space="preserve"> agile teams</w:t>
      </w:r>
    </w:p>
    <w:p>
      <w:pPr>
        <w:pStyle w:val="ListBullet"/>
      </w:pPr>
      <w:r>
        <w:rPr>
          <w:b w:val="0"/>
          <w:i w:val="0"/>
        </w:rPr>
        <w:t>communication among, 108</w:t>
      </w:r>
    </w:p>
    <w:p>
      <w:pPr>
        <w:pStyle w:val="ListBullet"/>
      </w:pPr>
      <w:r>
        <w:rPr>
          <w:b w:val="0"/>
          <w:i w:val="0"/>
        </w:rPr>
        <w:t>decision making in, 81</w:t>
      </w:r>
    </w:p>
    <w:p>
      <w:pPr>
        <w:pStyle w:val="ListBullet"/>
      </w:pPr>
      <w:r>
        <w:rPr>
          <w:b w:val="0"/>
          <w:i w:val="0"/>
        </w:rPr>
        <w:t>dynamics of, 81–82, 89–90</w:t>
      </w:r>
    </w:p>
    <w:p>
      <w:pPr>
        <w:pStyle w:val="ListBullet"/>
      </w:pPr>
      <w:r>
        <w:rPr>
          <w:b w:val="0"/>
          <w:i w:val="0"/>
        </w:rPr>
        <w:t>feedback in, 79–81</w:t>
      </w:r>
    </w:p>
    <w:p>
      <w:pPr>
        <w:pStyle w:val="ListBullet"/>
      </w:pPr>
      <w:r>
        <w:rPr>
          <w:b w:val="0"/>
          <w:i w:val="0"/>
        </w:rPr>
        <w:t>management of, 77–81, 91</w:t>
      </w:r>
    </w:p>
    <w:p>
      <w:pPr>
        <w:pStyle w:val="ListBullet"/>
      </w:pPr>
      <w:r>
        <w:rPr>
          <w:b w:val="0"/>
          <w:i w:val="0"/>
        </w:rPr>
        <w:t>self-managed, 97</w:t>
      </w:r>
    </w:p>
    <w:p>
      <w:pPr>
        <w:pStyle w:val="ListBullet"/>
      </w:pPr>
      <w:r>
        <w:rPr>
          <w:b w:val="0"/>
          <w:i w:val="0"/>
        </w:rPr>
        <w:t>sprint, 38</w:t>
      </w:r>
    </w:p>
    <w:p>
      <w:pPr>
        <w:pStyle w:val="ListBullet"/>
      </w:pPr>
      <w:r>
        <w:rPr>
          <w:b w:val="0"/>
          <w:i w:val="0"/>
        </w:rPr>
        <w:t>tech industry, xi–xii, 87–88</w:t>
      </w:r>
    </w:p>
    <w:p>
      <w:pPr>
        <w:pStyle w:val="ListBullet"/>
      </w:pPr>
      <w:r>
        <w:rPr>
          <w:b w:val="0"/>
          <w:i w:val="0"/>
        </w:rPr>
        <w:t>Tesla, 18, 19–20</w:t>
      </w:r>
    </w:p>
    <w:p>
      <w:pPr>
        <w:pStyle w:val="ListBullet"/>
      </w:pPr>
      <w:r>
        <w:rPr>
          <w:b w:val="0"/>
          <w:i w:val="0"/>
        </w:rPr>
        <w:t>test-and-learn cycle, 8, 26, 98–101</w:t>
      </w:r>
    </w:p>
    <w:p>
      <w:pPr>
        <w:pStyle w:val="ListBullet"/>
      </w:pPr>
      <w:r>
        <w:rPr>
          <w:b w:val="0"/>
          <w:i w:val="0"/>
        </w:rPr>
        <w:t>Textron, 96</w:t>
      </w:r>
    </w:p>
    <w:p>
      <w:pPr>
        <w:pStyle w:val="ListBullet"/>
      </w:pPr>
      <w:r>
        <w:rPr>
          <w:b w:val="0"/>
          <w:i w:val="0"/>
        </w:rPr>
        <w:t>threats, scanning for, 53</w:t>
      </w:r>
    </w:p>
    <w:p>
      <w:pPr>
        <w:pStyle w:val="ListBullet"/>
      </w:pPr>
      <w:r>
        <w:rPr>
          <w:b w:val="0"/>
          <w:i w:val="0"/>
        </w:rPr>
        <w:t>3M, xiii</w:t>
      </w:r>
    </w:p>
    <w:p>
      <w:pPr>
        <w:pStyle w:val="ListBullet"/>
      </w:pPr>
      <w:r>
        <w:rPr>
          <w:b w:val="0"/>
          <w:i w:val="0"/>
        </w:rPr>
        <w:t>3M Corporate Research Systems Lab, 13</w:t>
      </w:r>
    </w:p>
    <w:p>
      <w:pPr>
        <w:pStyle w:val="ListBullet"/>
      </w:pPr>
      <w:r>
        <w:rPr>
          <w:b w:val="0"/>
          <w:i w:val="0"/>
        </w:rPr>
        <w:t>3M Health Information Systems, 13, 14</w:t>
      </w:r>
    </w:p>
    <w:p>
      <w:pPr>
        <w:pStyle w:val="ListBullet"/>
      </w:pPr>
      <w:r>
        <w:rPr>
          <w:b w:val="0"/>
          <w:i w:val="0"/>
        </w:rPr>
        <w:t>time boxes, 36–37, 98–101</w:t>
      </w:r>
    </w:p>
    <w:p>
      <w:pPr>
        <w:pStyle w:val="ListBullet"/>
      </w:pPr>
      <w:r>
        <w:rPr>
          <w:b w:val="0"/>
          <w:i w:val="0"/>
        </w:rPr>
        <w:t>Tolia, Nirav, 59</w:t>
      </w:r>
    </w:p>
    <w:p>
      <w:pPr>
        <w:pStyle w:val="ListBullet"/>
      </w:pPr>
      <w:r>
        <w:rPr>
          <w:b w:val="0"/>
          <w:i w:val="0"/>
        </w:rPr>
        <w:t>top-down management, 6, 68–69</w:t>
      </w:r>
    </w:p>
    <w:p>
      <w:pPr>
        <w:pStyle w:val="ListBullet"/>
      </w:pPr>
      <w:r>
        <w:rPr>
          <w:b w:val="0"/>
          <w:i w:val="0"/>
        </w:rPr>
        <w:t>Toyota, 19</w:t>
      </w:r>
    </w:p>
    <w:p>
      <w:pPr>
        <w:pStyle w:val="ListBullet"/>
      </w:pPr>
      <w:r>
        <w:rPr>
          <w:b w:val="0"/>
          <w:i w:val="0"/>
        </w:rPr>
        <w:t xml:space="preserve">training, 23. </w:t>
      </w:r>
      <w:r>
        <w:rPr>
          <w:b w:val="0"/>
          <w:i/>
        </w:rPr>
        <w:t>See also</w:t>
      </w:r>
      <w:r>
        <w:rPr>
          <w:b w:val="0"/>
          <w:i w:val="0"/>
        </w:rPr>
        <w:t xml:space="preserve"> learning and development</w:t>
      </w:r>
    </w:p>
    <w:p>
      <w:pPr>
        <w:pStyle w:val="ListBullet"/>
      </w:pPr>
      <w:r>
        <w:rPr>
          <w:b w:val="0"/>
          <w:i w:val="0"/>
        </w:rPr>
        <w:t xml:space="preserve">transitions, 12–13. </w:t>
      </w:r>
      <w:r>
        <w:rPr>
          <w:b w:val="0"/>
          <w:i/>
        </w:rPr>
        <w:t>See also</w:t>
      </w:r>
      <w:r>
        <w:rPr>
          <w:b w:val="0"/>
          <w:i w:val="0"/>
        </w:rPr>
        <w:t xml:space="preserve"> agile methods, scaling up</w:t>
      </w:r>
    </w:p>
    <w:p>
      <w:pPr>
        <w:pStyle w:val="ListBullet"/>
      </w:pPr>
      <w:r>
        <w:rPr>
          <w:b w:val="0"/>
          <w:i w:val="0"/>
        </w:rPr>
        <w:t>turnarounds, 103–110</w:t>
      </w:r>
    </w:p>
    <w:p>
      <w:pPr>
        <w:pStyle w:val="ListBullet"/>
      </w:pPr>
      <w:r>
        <w:rPr>
          <w:b w:val="0"/>
          <w:i w:val="0"/>
        </w:rPr>
        <w:t>Upton, David, 111, 119</w:t>
      </w:r>
    </w:p>
    <w:p>
      <w:pPr>
        <w:pStyle w:val="ListBullet"/>
      </w:pPr>
      <w:r>
        <w:rPr>
          <w:b w:val="0"/>
          <w:i w:val="0"/>
        </w:rPr>
        <w:t xml:space="preserve">upward feedback, 79–80. </w:t>
      </w:r>
      <w:r>
        <w:rPr>
          <w:b w:val="0"/>
          <w:i/>
        </w:rPr>
        <w:t>See also</w:t>
      </w:r>
      <w:r>
        <w:rPr>
          <w:b w:val="0"/>
          <w:i w:val="0"/>
        </w:rPr>
        <w:t xml:space="preserve"> feedback</w:t>
      </w:r>
    </w:p>
    <w:p>
      <w:pPr>
        <w:pStyle w:val="ListBullet"/>
      </w:pPr>
      <w:r>
        <w:rPr>
          <w:b w:val="0"/>
          <w:i w:val="0"/>
        </w:rPr>
        <w:t>USAA, xiii, 2, 10–11</w:t>
      </w:r>
    </w:p>
    <w:p>
      <w:pPr>
        <w:pStyle w:val="ListBullet"/>
      </w:pPr>
      <w:r>
        <w:rPr>
          <w:b w:val="0"/>
          <w:i w:val="0"/>
        </w:rPr>
        <w:t>values and agile, 18–19, 26</w:t>
      </w:r>
    </w:p>
    <w:p>
      <w:pPr>
        <w:pStyle w:val="ListBullet"/>
      </w:pPr>
      <w:r>
        <w:rPr>
          <w:b w:val="0"/>
          <w:i w:val="0"/>
        </w:rPr>
        <w:t>VUCA (volatility, uncertainty, complexity, ambiguity) issues, 43, 49, 55</w:t>
      </w:r>
    </w:p>
    <w:p>
      <w:pPr>
        <w:pStyle w:val="ListBullet"/>
      </w:pPr>
      <w:r>
        <w:rPr>
          <w:b w:val="0"/>
          <w:i w:val="0"/>
        </w:rPr>
        <w:t xml:space="preserve">wages, 82–84. </w:t>
      </w:r>
      <w:r>
        <w:rPr>
          <w:b w:val="0"/>
          <w:i/>
        </w:rPr>
        <w:t>See also</w:t>
      </w:r>
      <w:r>
        <w:rPr>
          <w:b w:val="0"/>
          <w:i w:val="0"/>
        </w:rPr>
        <w:t xml:space="preserve"> compensation systems</w:t>
      </w:r>
    </w:p>
    <w:p>
      <w:pPr>
        <w:pStyle w:val="ListBullet"/>
      </w:pPr>
      <w:r>
        <w:rPr>
          <w:b w:val="0"/>
          <w:i w:val="0"/>
        </w:rPr>
        <w:t>Wagner, Sebastian, 14</w:t>
      </w:r>
    </w:p>
    <w:p>
      <w:pPr>
        <w:pStyle w:val="ListBullet"/>
      </w:pPr>
      <w:r>
        <w:rPr>
          <w:b w:val="0"/>
          <w:i w:val="0"/>
        </w:rPr>
        <w:t>waterfall model, 89</w:t>
      </w:r>
    </w:p>
    <w:p>
      <w:pPr>
        <w:pStyle w:val="ListBullet"/>
      </w:pPr>
      <w:r>
        <w:rPr>
          <w:b w:val="0"/>
          <w:i w:val="0"/>
        </w:rPr>
        <w:t>Weitzman-Garcia, Michelle, 74–75</w:t>
      </w:r>
    </w:p>
    <w:p>
      <w:pPr>
        <w:pStyle w:val="ListBullet"/>
      </w:pPr>
      <w:r>
        <w:rPr>
          <w:b w:val="0"/>
          <w:i w:val="0"/>
        </w:rPr>
        <w:t>Wiesen, David, 59</w:t>
      </w:r>
    </w:p>
    <w:p>
      <w:pPr>
        <w:pStyle w:val="ListBullet"/>
      </w:pPr>
      <w:r>
        <w:rPr>
          <w:b w:val="0"/>
          <w:i w:val="0"/>
        </w:rPr>
        <w:t>WorleyParsons, 105–107</w:t>
      </w:r>
    </w:p>
    <w:p>
      <w:pPr>
        <w:pStyle w:val="ListBullet"/>
      </w:pPr>
      <w:r>
        <w:rPr>
          <w:b w:val="0"/>
          <w:i w:val="0"/>
        </w:rPr>
        <w:t>Zappos, 93</w:t>
      </w:r>
    </w:p>
    <w:p>
      <w:pPr>
        <w:jc w:val="center"/>
      </w:pPr>
      <w:r>
        <w:drawing>
          <wp:inline xmlns:a="http://schemas.openxmlformats.org/drawingml/2006/main" xmlns:pic="http://schemas.openxmlformats.org/drawingml/2006/picture">
            <wp:extent cx="5753100" cy="8890000"/>
            <wp:docPr id="79" name="Picture 79"/>
            <wp:cNvGraphicFramePr>
              <a:graphicFrameLocks noChangeAspect="1"/>
            </wp:cNvGraphicFramePr>
            <a:graphic>
              <a:graphicData uri="http://schemas.openxmlformats.org/drawingml/2006/picture">
                <pic:pic>
                  <pic:nvPicPr>
                    <pic:cNvPr id="0" name="epub_img_6275797335303709484.jpg"/>
                    <pic:cNvPicPr/>
                  </pic:nvPicPr>
                  <pic:blipFill>
                    <a:blip r:embed="rId25"/>
                    <a:stretch>
                      <a:fillRect/>
                    </a:stretch>
                  </pic:blipFill>
                  <pic:spPr>
                    <a:xfrm>
                      <a:off x="0" y="0"/>
                      <a:ext cx="57531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80" name="Picture 80"/>
            <wp:cNvGraphicFramePr>
              <a:graphicFrameLocks noChangeAspect="1"/>
            </wp:cNvGraphicFramePr>
            <a:graphic>
              <a:graphicData uri="http://schemas.openxmlformats.org/drawingml/2006/picture">
                <pic:pic>
                  <pic:nvPicPr>
                    <pic:cNvPr id="0" name="epub_img_7441356833883062829.jpg"/>
                    <pic:cNvPicPr/>
                  </pic:nvPicPr>
                  <pic:blipFill>
                    <a:blip r:embed="rId26"/>
                    <a:stretch>
                      <a:fillRect/>
                    </a:stretch>
                  </pic:blipFill>
                  <pic:spPr>
                    <a:xfrm>
                      <a:off x="0" y="0"/>
                      <a:ext cx="59309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81" name="Picture 81"/>
            <wp:cNvGraphicFramePr>
              <a:graphicFrameLocks noChangeAspect="1"/>
            </wp:cNvGraphicFramePr>
            <a:graphic>
              <a:graphicData uri="http://schemas.openxmlformats.org/drawingml/2006/picture">
                <pic:pic>
                  <pic:nvPicPr>
                    <pic:cNvPr id="0" name="epub_img_2697136247624731719.jpg"/>
                    <pic:cNvPicPr/>
                  </pic:nvPicPr>
                  <pic:blipFill>
                    <a:blip r:embed="rId60"/>
                    <a:stretch>
                      <a:fillRect/>
                    </a:stretch>
                  </pic:blipFill>
                  <pic:spPr>
                    <a:xfrm>
                      <a:off x="0" y="0"/>
                      <a:ext cx="5930900" cy="8890000"/>
                    </a:xfrm>
                    <a:prstGeom prst="rect"/>
                  </pic:spPr>
                </pic:pic>
              </a:graphicData>
            </a:graphic>
          </wp:inline>
        </w:drawing>
      </w:r>
    </w:p>
    <w:p>
      <w:r>
        <w:rPr>
          <w:b w:val="0"/>
          <w:i w:val="0"/>
        </w:rPr>
        <w:t>Insights You Need from Harvard Business Review</w:t>
      </w:r>
    </w:p>
    <w:p>
      <w:r>
        <w:rPr>
          <w:b w:val="0"/>
          <w:i w:val="0"/>
        </w:rPr>
        <w:t>Business is changing. Will you adapt or be left behind?</w:t>
      </w:r>
    </w:p>
    <w:p>
      <w:r>
        <w:rPr>
          <w:b w:val="0"/>
          <w:i w:val="0"/>
        </w:rPr>
        <w:t>Get up to speed and deepen your understanding of the topics that are shaping your company’s future with the Insights You Need from Harvard Business Review series. Featuring HBR’s smartest thinking on fast-moving issues—blockchain, cybersecurity, AI, and more—each book provides the foundational introduction and practical case studies your organization needs to compete today and collects the best research, interviews, and analysis to get it ready for tomorrow.</w:t>
      </w:r>
    </w:p>
    <w:p>
      <w:r>
        <w:rPr>
          <w:b w:val="0"/>
          <w:i w:val="0"/>
        </w:rPr>
        <w:t>You can’t afford to ignore how these issues will transform the landscape of business and society. The Insights You Need series will help you grasp these critical ideas—and prepare you and your company for the future.</w:t>
      </w:r>
    </w:p>
    <w:p>
      <w:r>
        <w:rPr>
          <w:b w:val="0"/>
          <w:i w:val="0"/>
        </w:rPr>
        <w:t>Books in the series includes:</w:t>
      </w:r>
    </w:p>
    <w:p>
      <w:r>
        <w:rPr>
          <w:b w:val="0"/>
          <w:i/>
        </w:rPr>
        <w:t>Agile</w:t>
      </w:r>
    </w:p>
    <w:p>
      <w:r>
        <w:rPr>
          <w:b w:val="0"/>
          <w:i/>
        </w:rPr>
        <w:t>Artificial Intelligence</w:t>
      </w:r>
    </w:p>
    <w:p>
      <w:r>
        <w:rPr>
          <w:b w:val="0"/>
          <w:i/>
        </w:rPr>
        <w:t>Blockchain</w:t>
      </w:r>
    </w:p>
    <w:p>
      <w:r>
        <w:rPr>
          <w:b w:val="0"/>
          <w:i/>
        </w:rPr>
        <w:t>Climate Change</w:t>
      </w:r>
    </w:p>
    <w:p>
      <w:r>
        <w:rPr>
          <w:b w:val="0"/>
          <w:i/>
        </w:rPr>
        <w:t>Coronavirus: Leadership and Recovery</w:t>
      </w:r>
    </w:p>
    <w:p>
      <w:r>
        <w:rPr>
          <w:b w:val="0"/>
          <w:i/>
        </w:rPr>
        <w:t>Customer Data and Privacy</w:t>
      </w:r>
    </w:p>
    <w:p>
      <w:r>
        <w:rPr>
          <w:b w:val="0"/>
          <w:i/>
        </w:rPr>
        <w:t>Cybersecurity</w:t>
      </w:r>
    </w:p>
    <w:p>
      <w:r>
        <w:rPr>
          <w:b w:val="0"/>
          <w:i/>
        </w:rPr>
        <w:t>Monopolies and Tech Giants</w:t>
      </w:r>
    </w:p>
    <w:p>
      <w:r>
        <w:rPr>
          <w:b w:val="0"/>
          <w:i/>
        </w:rPr>
        <w:t>Strategic Analytics</w:t>
      </w:r>
    </w:p>
    <w:p>
      <w:r>
        <w:rPr>
          <w:b w:val="0"/>
          <w:i/>
        </w:rPr>
        <w:t>The Year in Tech, 2021</w:t>
      </w:r>
    </w:p>
    <w:p>
      <w:pPr>
        <w:jc w:val="center"/>
      </w:pPr>
      <w:r>
        <w:drawing>
          <wp:inline xmlns:a="http://schemas.openxmlformats.org/drawingml/2006/main" xmlns:pic="http://schemas.openxmlformats.org/drawingml/2006/picture">
            <wp:extent cx="5930900" cy="8890000"/>
            <wp:docPr id="82" name="Picture 82"/>
            <wp:cNvGraphicFramePr>
              <a:graphicFrameLocks noChangeAspect="1"/>
            </wp:cNvGraphicFramePr>
            <a:graphic>
              <a:graphicData uri="http://schemas.openxmlformats.org/drawingml/2006/picture">
                <pic:pic>
                  <pic:nvPicPr>
                    <pic:cNvPr id="0" name="epub_img_3578825046338996941.jpg"/>
                    <pic:cNvPicPr/>
                  </pic:nvPicPr>
                  <pic:blipFill>
                    <a:blip r:embed="rId61"/>
                    <a:stretch>
                      <a:fillRect/>
                    </a:stretch>
                  </pic:blipFill>
                  <pic:spPr>
                    <a:xfrm>
                      <a:off x="0" y="0"/>
                      <a:ext cx="5930900" cy="8890000"/>
                    </a:xfrm>
                    <a:prstGeom prst="rect"/>
                  </pic:spPr>
                </pic:pic>
              </a:graphicData>
            </a:graphic>
          </wp:inline>
        </w:drawing>
      </w:r>
    </w:p>
    <w:p>
      <w:r>
        <w:rPr>
          <w:b/>
          <w:i w:val="0"/>
        </w:rPr>
        <w:t>HBR Press Quantity Sales Discounts</w:t>
      </w:r>
    </w:p>
    <w:p>
      <w:r>
        <w:rPr>
          <w:b w:val="0"/>
          <w:i w:val="0"/>
        </w:rPr>
        <w:t>Harvard Business Review Press titles are available at significant quantity discounts when purchased in bulk for client gifts, sales promotions, and premiums. Special editions, including books with corporate logos, customized covers, and letters from the company or CEO printed in the front matter, as well as excerpts of existing books, can also be created in large quantities for special needs.</w:t>
      </w:r>
    </w:p>
    <w:p>
      <w:r>
        <w:rPr>
          <w:b w:val="0"/>
          <w:i w:val="0"/>
        </w:rPr>
        <w:t>For details and discount information for both print andebook formats, contact booksales@harvardbusiness.org,tel. 800-988-0886, or www.hbr.org/bulksales.</w:t>
      </w:r>
    </w:p>
    <w:p>
      <w:r>
        <w:rPr>
          <w:b w:val="0"/>
          <w:i w:val="0"/>
        </w:rPr>
        <w:t>Copyright 2020 Harvard Business School Publishing Corporation</w:t>
      </w:r>
    </w:p>
    <w:p>
      <w:r>
        <w:rPr>
          <w:b w:val="0"/>
          <w:i w:val="0"/>
        </w:rPr>
        <w:t>All rights reserved</w:t>
      </w:r>
    </w:p>
    <w:p>
      <w:r>
        <w:rPr>
          <w:b w:val="0"/>
          <w:i w:val="0"/>
        </w:rPr>
        <w:t>No part of this publication may be reproduced, stored in or introduced into a retrieval system, or transmitted, in any form, or by any means (electronic, mechanical, photocopying, recording, or otherwise), without the prior permission of the publisher. Requests for permission should be directed to permissions@harvardbusiness.org, or mailed to Permissions, Harvard Business School Publishing, 60 Harvard Way, Boston, Massachusetts 02163.</w:t>
      </w:r>
    </w:p>
    <w:p>
      <w:r>
        <w:rPr>
          <w:b w:val="0"/>
          <w:i w:val="0"/>
        </w:rPr>
        <w:t>The web addresses referenced in this book were live and correct at the time of the book’s publication but may be subject to change.</w:t>
      </w:r>
    </w:p>
    <w:p>
      <w:r>
        <w:rPr>
          <w:b w:val="0"/>
          <w:i w:val="0"/>
        </w:rPr>
        <w:t>Library of Congress Cataloging-in-Publication Data</w:t>
      </w:r>
    </w:p>
    <w:p>
      <w:r>
        <w:rPr>
          <w:b w:val="0"/>
          <w:i w:val="0"/>
        </w:rPr>
        <w:t>Names: Harvard Business Review Press.</w:t>
      </w:r>
    </w:p>
    <w:p>
      <w:r>
        <w:rPr>
          <w:b w:val="0"/>
          <w:i w:val="0"/>
        </w:rPr>
        <w:t>Title: Climate change : the insights you need from Harvard Business Review.</w:t>
      </w:r>
    </w:p>
    <w:p>
      <w:r>
        <w:rPr>
          <w:b w:val="0"/>
          <w:i w:val="0"/>
        </w:rPr>
        <w:t>Other titles: Climate change (Harvard Business Review)</w:t>
      </w:r>
    </w:p>
    <w:p>
      <w:r>
        <w:rPr>
          <w:b w:val="0"/>
          <w:i w:val="0"/>
        </w:rPr>
        <w:t>Description: Boston, Massachusetts : Harvard Business Review Press, [2020] | Series: Insights you need | Includes index.</w:t>
      </w:r>
    </w:p>
    <w:p>
      <w:r>
        <w:rPr>
          <w:b w:val="0"/>
          <w:i w:val="0"/>
        </w:rPr>
        <w:t>Identifiers: LCCN 2020013972 (print) | LCCN 2020013973 (ebook)</w:t>
      </w:r>
    </w:p>
    <w:p>
      <w:r>
        <w:rPr>
          <w:b w:val="0"/>
          <w:i w:val="0"/>
        </w:rPr>
        <w:t>Subjects: LCSH: Climatic changes—Economic aspects. | Social responsibility of business.</w:t>
      </w:r>
    </w:p>
    <w:p>
      <w:r>
        <w:rPr>
          <w:b w:val="0"/>
          <w:i w:val="0"/>
        </w:rPr>
        <w:t>Classification: LCC QC903 .C552445 2020 (print) | LCC QC903 (ebook) | DDC 333.71/3—dc23</w:t>
      </w:r>
    </w:p>
    <w:p>
      <w:r>
        <w:rPr>
          <w:b w:val="0"/>
          <w:i w:val="0"/>
        </w:rPr>
        <w:t>LC record available at https://lccn.loc.gov/2020013972</w:t>
      </w:r>
    </w:p>
    <w:p>
      <w:r>
        <w:rPr>
          <w:b w:val="0"/>
          <w:i w:val="0"/>
        </w:rPr>
        <w:t>LC ebook record available at https://lccn.loc.gov/2020013973</w:t>
      </w:r>
    </w:p>
    <w:p>
      <w:r>
        <w:rPr>
          <w:b w:val="0"/>
          <w:i w:val="0"/>
        </w:rPr>
        <w:t>ISBN: 978-1-63369-992-2</w:t>
      </w:r>
    </w:p>
    <w:p>
      <w:r>
        <w:rPr>
          <w:b w:val="0"/>
          <w:i w:val="0"/>
        </w:rPr>
        <w:t>eISBN: 978-1-63369-993-9</w:t>
      </w:r>
    </w:p>
    <w:p>
      <w:pPr>
        <w:pStyle w:val="Heading1"/>
      </w:pPr>
      <w:r>
        <w:rPr>
          <w:b w:val="0"/>
          <w:i w:val="0"/>
        </w:rPr>
        <w:t>Contents</w:t>
      </w:r>
    </w:p>
    <w:p>
      <w:pPr>
        <w:pStyle w:val="ListNumber"/>
      </w:pPr>
      <w:r>
        <w:rPr>
          <w:b w:val="0"/>
          <w:i w:val="0"/>
        </w:rPr>
        <w:t>Introduction</w:t>
      </w:r>
    </w:p>
    <w:p>
      <w:pPr>
        <w:pStyle w:val="ListNumber"/>
      </w:pPr>
      <w:r>
        <w:rPr>
          <w:b w:val="0"/>
          <w:i w:val="0"/>
        </w:rPr>
        <w:t>Climate Action: The New Business Imperative</w:t>
      </w:r>
    </w:p>
    <w:p>
      <w:pPr>
        <w:pStyle w:val="ListNumber"/>
      </w:pPr>
      <w:r>
        <w:rPr>
          <w:b w:val="0"/>
          <w:i/>
        </w:rPr>
        <w:t>Pave the way for a better future.</w:t>
      </w:r>
    </w:p>
    <w:p>
      <w:pPr>
        <w:pStyle w:val="ListNumber"/>
      </w:pPr>
      <w:r>
        <w:rPr>
          <w:b w:val="0"/>
          <w:i w:val="0"/>
        </w:rPr>
        <w:t>by Dante Disparte</w:t>
      </w:r>
    </w:p>
    <w:p>
      <w:pPr>
        <w:pStyle w:val="ListNumber"/>
      </w:pPr>
      <w:r>
        <w:rPr>
          <w:b w:val="0"/>
          <w:i w:val="0"/>
        </w:rPr>
        <w:t>Section 1</w:t>
      </w:r>
    </w:p>
    <w:p>
      <w:pPr>
        <w:pStyle w:val="ListNumber"/>
      </w:pPr>
      <w:r>
        <w:rPr>
          <w:b w:val="0"/>
          <w:i w:val="0"/>
        </w:rPr>
        <w:t>Understanding Climate Change</w:t>
      </w:r>
    </w:p>
    <w:p>
      <w:pPr>
        <w:pStyle w:val="ListNumber"/>
      </w:pPr>
      <w:r>
        <w:rPr>
          <w:b w:val="0"/>
          <w:i w:val="0"/>
        </w:rPr>
        <w:t>1.  Leading a New Era of Climate Action</w:t>
      </w:r>
    </w:p>
    <w:p>
      <w:pPr>
        <w:pStyle w:val="ListNumber"/>
      </w:pPr>
      <w:r>
        <w:rPr>
          <w:b w:val="0"/>
          <w:i/>
        </w:rPr>
        <w:t>Incremental change is not enough.</w:t>
      </w:r>
    </w:p>
    <w:p>
      <w:pPr>
        <w:pStyle w:val="ListNumber"/>
      </w:pPr>
      <w:r>
        <w:rPr>
          <w:b w:val="0"/>
          <w:i w:val="0"/>
        </w:rPr>
        <w:t>by Andrew Winston</w:t>
      </w:r>
    </w:p>
    <w:p>
      <w:pPr>
        <w:pStyle w:val="ListNumber"/>
      </w:pPr>
      <w:r>
        <w:rPr>
          <w:b w:val="0"/>
          <w:i w:val="0"/>
        </w:rPr>
        <w:t>2.  When Environmental Regulations Are Tighter at Home, Companies Emit More Abroad</w:t>
      </w:r>
    </w:p>
    <w:p>
      <w:pPr>
        <w:pStyle w:val="ListNumber"/>
      </w:pPr>
      <w:r>
        <w:rPr>
          <w:b w:val="0"/>
          <w:i/>
        </w:rPr>
        <w:t>There should be no haven for pollution.</w:t>
      </w:r>
    </w:p>
    <w:p>
      <w:pPr>
        <w:pStyle w:val="ListNumber"/>
      </w:pPr>
      <w:r>
        <w:rPr>
          <w:b w:val="0"/>
          <w:i w:val="0"/>
        </w:rPr>
        <w:t>by Itzhak (Zahi) Ben-David, Stefanie Kleimeier, and Michael Viehs</w:t>
      </w:r>
    </w:p>
    <w:p>
      <w:pPr>
        <w:pStyle w:val="ListNumber"/>
      </w:pPr>
      <w:r>
        <w:rPr>
          <w:b w:val="0"/>
          <w:i w:val="0"/>
        </w:rPr>
        <w:t>3.  The State of Socially Responsible Investing</w:t>
      </w:r>
    </w:p>
    <w:p>
      <w:pPr>
        <w:pStyle w:val="ListNumber"/>
      </w:pPr>
      <w:r>
        <w:rPr>
          <w:b w:val="0"/>
          <w:i/>
        </w:rPr>
        <w:t>Bring capital to cause.</w:t>
      </w:r>
    </w:p>
    <w:p>
      <w:pPr>
        <w:pStyle w:val="ListNumber"/>
      </w:pPr>
      <w:r>
        <w:rPr>
          <w:b w:val="0"/>
          <w:i w:val="0"/>
        </w:rPr>
        <w:t>by Adam Connaker and Saadia Madsbjerg</w:t>
      </w:r>
    </w:p>
    <w:p>
      <w:pPr>
        <w:pStyle w:val="ListNumber"/>
      </w:pPr>
      <w:r>
        <w:rPr>
          <w:b w:val="0"/>
          <w:i w:val="0"/>
        </w:rPr>
        <w:t>4.  Dematerialization and What It Means for the Economy—and Climate Change</w:t>
      </w:r>
    </w:p>
    <w:p>
      <w:pPr>
        <w:pStyle w:val="ListNumber"/>
      </w:pPr>
      <w:r>
        <w:rPr>
          <w:b w:val="0"/>
          <w:i/>
        </w:rPr>
        <w:t>Is using fewer resources enough?</w:t>
      </w:r>
    </w:p>
    <w:p>
      <w:pPr>
        <w:pStyle w:val="ListNumber"/>
      </w:pPr>
      <w:r>
        <w:rPr>
          <w:b w:val="0"/>
          <w:i w:val="0"/>
        </w:rPr>
        <w:t>An interview with Andrew McAfee by Curt Nickisch</w:t>
      </w:r>
    </w:p>
    <w:p>
      <w:pPr>
        <w:pStyle w:val="ListNumber"/>
      </w:pPr>
      <w:r>
        <w:rPr>
          <w:b w:val="0"/>
          <w:i w:val="0"/>
        </w:rPr>
        <w:t>Section 2</w:t>
      </w:r>
    </w:p>
    <w:p>
      <w:pPr>
        <w:pStyle w:val="ListNumber"/>
      </w:pPr>
      <w:r>
        <w:rPr>
          <w:b w:val="0"/>
          <w:i w:val="0"/>
        </w:rPr>
        <w:t>Taking Action</w:t>
      </w:r>
    </w:p>
    <w:p>
      <w:pPr>
        <w:pStyle w:val="ListNumber"/>
      </w:pPr>
      <w:r>
        <w:rPr>
          <w:b w:val="0"/>
          <w:i w:val="0"/>
        </w:rPr>
        <w:t>5.  Why “Degrowth” Shouldn’t Scare Businesses</w:t>
      </w:r>
    </w:p>
    <w:p>
      <w:pPr>
        <w:pStyle w:val="ListNumber"/>
      </w:pPr>
      <w:r>
        <w:rPr>
          <w:b w:val="0"/>
          <w:i/>
        </w:rPr>
        <w:t>How to respond when customers want less.</w:t>
      </w:r>
    </w:p>
    <w:p>
      <w:pPr>
        <w:pStyle w:val="ListNumber"/>
      </w:pPr>
      <w:r>
        <w:rPr>
          <w:b w:val="0"/>
          <w:i w:val="0"/>
        </w:rPr>
        <w:t>by Thomas Roulet and Joel Bothello</w:t>
      </w:r>
    </w:p>
    <w:p>
      <w:pPr>
        <w:pStyle w:val="ListNumber"/>
      </w:pPr>
      <w:r>
        <w:rPr>
          <w:b w:val="0"/>
          <w:i w:val="0"/>
        </w:rPr>
        <w:t>6.  Is Your Company Ready for a Zero-Carbon Future?</w:t>
      </w:r>
    </w:p>
    <w:p>
      <w:pPr>
        <w:pStyle w:val="ListNumber"/>
      </w:pPr>
      <w:r>
        <w:rPr>
          <w:b w:val="0"/>
          <w:i/>
        </w:rPr>
        <w:t>Reduce your risk by accounting for it in your strategy.</w:t>
      </w:r>
    </w:p>
    <w:p>
      <w:pPr>
        <w:pStyle w:val="ListNumber"/>
      </w:pPr>
      <w:r>
        <w:rPr>
          <w:b w:val="0"/>
          <w:i w:val="0"/>
        </w:rPr>
        <w:t>by Nigel Topping</w:t>
      </w:r>
    </w:p>
    <w:p>
      <w:pPr>
        <w:pStyle w:val="ListNumber"/>
      </w:pPr>
      <w:r>
        <w:rPr>
          <w:b w:val="0"/>
          <w:i w:val="0"/>
        </w:rPr>
        <w:t>7.  Making Cryptocurrency More Environmentally Sustainable</w:t>
      </w:r>
    </w:p>
    <w:p>
      <w:pPr>
        <w:pStyle w:val="ListNumber"/>
      </w:pPr>
      <w:r>
        <w:rPr>
          <w:b w:val="0"/>
          <w:i/>
        </w:rPr>
        <w:t>Balance the high energy costs of bitcoin and blockchain.</w:t>
      </w:r>
    </w:p>
    <w:p>
      <w:pPr>
        <w:pStyle w:val="ListNumber"/>
      </w:pPr>
      <w:r>
        <w:rPr>
          <w:b w:val="0"/>
          <w:i w:val="0"/>
        </w:rPr>
        <w:t>by Marc Blinder</w:t>
      </w:r>
    </w:p>
    <w:p>
      <w:pPr>
        <w:pStyle w:val="ListNumber"/>
      </w:pPr>
      <w:r>
        <w:rPr>
          <w:b w:val="0"/>
          <w:i w:val="0"/>
        </w:rPr>
        <w:t>8.  Climate Change Is Going to Transform Where and How We Build</w:t>
      </w:r>
    </w:p>
    <w:p>
      <w:pPr>
        <w:pStyle w:val="ListNumber"/>
      </w:pPr>
      <w:r>
        <w:rPr>
          <w:b w:val="0"/>
          <w:i/>
        </w:rPr>
        <w:t>Invest in resilience.</w:t>
      </w:r>
    </w:p>
    <w:p>
      <w:pPr>
        <w:pStyle w:val="ListNumber"/>
      </w:pPr>
      <w:r>
        <w:rPr>
          <w:b w:val="0"/>
          <w:i w:val="0"/>
        </w:rPr>
        <w:t>by John D. Macomber</w:t>
      </w:r>
    </w:p>
    <w:p>
      <w:pPr>
        <w:pStyle w:val="ListNumber"/>
      </w:pPr>
      <w:r>
        <w:rPr>
          <w:b w:val="0"/>
          <w:i w:val="0"/>
        </w:rPr>
        <w:t>9.  How Businesses Can Brace for Catastrophe</w:t>
      </w:r>
    </w:p>
    <w:p>
      <w:pPr>
        <w:pStyle w:val="ListNumber"/>
      </w:pPr>
      <w:r>
        <w:rPr>
          <w:b w:val="0"/>
          <w:i/>
        </w:rPr>
        <w:t>Anticipate, cope, and adapt.</w:t>
      </w:r>
    </w:p>
    <w:p>
      <w:pPr>
        <w:pStyle w:val="ListNumber"/>
      </w:pPr>
      <w:r>
        <w:rPr>
          <w:b w:val="0"/>
          <w:i w:val="0"/>
        </w:rPr>
        <w:t>by Yvette Mucharraz y Cano</w:t>
      </w:r>
    </w:p>
    <w:p>
      <w:pPr>
        <w:pStyle w:val="ListNumber"/>
      </w:pPr>
      <w:r>
        <w:rPr>
          <w:b w:val="0"/>
          <w:i w:val="0"/>
        </w:rPr>
        <w:t>10.  Young People Are Leading the Way on Climate Change, and Companies Need to Pay Attention</w:t>
      </w:r>
    </w:p>
    <w:p>
      <w:pPr>
        <w:pStyle w:val="ListNumber"/>
      </w:pPr>
      <w:r>
        <w:rPr>
          <w:b w:val="0"/>
          <w:i/>
        </w:rPr>
        <w:t>Join them.</w:t>
      </w:r>
    </w:p>
    <w:p>
      <w:pPr>
        <w:pStyle w:val="ListNumber"/>
      </w:pPr>
      <w:r>
        <w:rPr>
          <w:b w:val="0"/>
          <w:i w:val="0"/>
        </w:rPr>
        <w:t>by Andrew Winston</w:t>
      </w:r>
    </w:p>
    <w:p>
      <w:pPr>
        <w:pStyle w:val="ListNumber"/>
      </w:pPr>
      <w:r>
        <w:rPr>
          <w:b w:val="0"/>
          <w:i w:val="0"/>
        </w:rPr>
        <w:t>About the Contributors</w:t>
      </w:r>
    </w:p>
    <w:p>
      <w:pPr>
        <w:pStyle w:val="ListNumber"/>
      </w:pPr>
      <w:r>
        <w:rPr>
          <w:b w:val="0"/>
          <w:i w:val="0"/>
        </w:rPr>
        <w:t>Index</w:t>
      </w:r>
    </w:p>
    <w:p>
      <w:pPr>
        <w:pStyle w:val="Heading1"/>
      </w:pPr>
      <w:r>
        <w:rPr>
          <w:b w:val="0"/>
          <w:i w:val="0"/>
        </w:rPr>
        <w:t>Introduction</w:t>
      </w:r>
    </w:p>
    <w:p>
      <w:pPr>
        <w:pStyle w:val="Heading1"/>
      </w:pPr>
      <w:r>
        <w:rPr>
          <w:b w:val="0"/>
          <w:i w:val="0"/>
        </w:rPr>
        <w:t>CLIMATE ACTION: THE NEW BUSINESS IMPERATIVE</w:t>
      </w:r>
    </w:p>
    <w:p>
      <w:r>
        <w:rPr>
          <w:b w:val="0"/>
          <w:i w:val="0"/>
        </w:rPr>
        <w:t>by Dante Disparte</w:t>
      </w:r>
    </w:p>
    <w:p>
      <w:r>
        <w:rPr>
          <w:b w:val="0"/>
          <w:i w:val="0"/>
        </w:rPr>
        <w:t xml:space="preserve">Climate change demands immediate action—from organizations, governments, and society alike. But business leaders often find themselves asking, </w:t>
      </w:r>
      <w:r>
        <w:rPr>
          <w:b w:val="0"/>
          <w:i/>
        </w:rPr>
        <w:t>how</w:t>
      </w:r>
      <w:r>
        <w:rPr>
          <w:b w:val="0"/>
          <w:i w:val="0"/>
        </w:rPr>
        <w:t>? How should companies respond? What steps are effective given operating and financial constraints? What can realistically move the needle for an issue so vast? Will shareholders and other stakeholders forgive potentially inferior returns in favor of global longevity? This last question underscores the fundamental tension between those organizations that want as much as they can have as fast as they can have it and those who want to stretch the economically viable horizon for as long as possible. Climate change should push every leader, every industry, every country, and every person to aim for long-term prosperity.</w:t>
      </w:r>
    </w:p>
    <w:p>
      <w:r>
        <w:rPr>
          <w:b w:val="0"/>
          <w:i w:val="0"/>
        </w:rPr>
        <w:t>Against these questions, responses to climate change have often erred on the side of incrementalism—or, worse yet, token steps bordering on “greenwashing” or marketing campaigns. There is good news, though. First, there are real measures leaders can put in place to position their firms (and collectively, the planet) on a path to equilibrium, resilience, and competitive advantage. Second, stakeholders can see through the thin veneer of greenwashing and expect enterprises to rise to the occasion.</w:t>
      </w:r>
    </w:p>
    <w:p>
      <w:r>
        <w:rPr>
          <w:b w:val="0"/>
          <w:i w:val="0"/>
        </w:rPr>
        <w:t>In the last 20 years, there have been more disaster declarations in the United States than the preceding 50. The cluster of multibillion-dollar disasters, including Hurricanes Katrina, Sandy, Maria, Irma, and Harvey, were in concentrated areas, showing the link between extreme weather and rising temperatures. Hurricane Harvey, for instance, was the wettest storm in U.S. history, turning Houston, Texas, into a lake. Hurricane Maria triggered the second-longest blackout in history, plunging the U.S. territory of Puerto Rico into six months of darkness and claiming more than 3,000 lives. California’s fire seasons, meanwhile, courtesy of a progressively hotter and drier environment, have worsened each year, with the 2018 Camp Fire being the deadliest and costliest on record, triggering what may be the first climate change bankruptcy of the electric utility, PG&amp;E.</w:t>
      </w:r>
    </w:p>
    <w:p>
      <w:r>
        <w:rPr>
          <w:b w:val="0"/>
          <w:i w:val="0"/>
        </w:rPr>
        <w:t>The same pattern holds true around the world, with unprecedented speed and scale. Typhoon Haiyan in the Philippines caused the worst recorded blackout in history, showing how critical infrastructure, as currently designed, can be a single point of failure. Australia’s record 2019 bushfires caused devastation across the continent, killing over a billion animals and causing some species to go extinct. The last decade has been the hottest in history, which creates an environment where vector-borne diseases, like Zika, will continue their inexorable march north. The threat of communicable diseases and pandemics, like COVID-19, will also thrive in a world where climate change goes unchecked. While climate science and mitigation efforts often focus on large-scale impacts, climate risk is both attritional and acute when it comes to critical infrastructure that keeps the global economy going.</w:t>
      </w:r>
    </w:p>
    <w:p>
      <w:r>
        <w:rPr>
          <w:b w:val="0"/>
          <w:i w:val="0"/>
        </w:rPr>
        <w:t>In the face of such threats and catastrophes, the private sector has the wherewithal, ingenuity, and balance sheet to make a material difference. Some businesses are already leading the charge. Clothing companies like Patagonia and H&amp;M have been encouraging customers to use less by repairing clothing, embracing a business model of degrowth. Investors and banks, like HSBC, are looking to offer deals and funding to companies that emphasize sustainability. Other companies have made carbon reduction a priority—and partner with suppliers that do the same—in order to align themselves with the Paris Agreement and reach net-zero emissions by 2050.</w:t>
      </w:r>
    </w:p>
    <w:p>
      <w:r>
        <w:rPr>
          <w:b w:val="0"/>
          <w:i w:val="0"/>
        </w:rPr>
        <w:t>Organizations must follow these examples for the sake of the earth and future generations. There is opportunity in responding to climate risk, and leaders must have the clarity to make the right choices to position their firms for longevity.</w:t>
      </w:r>
    </w:p>
    <w:p>
      <w:pPr>
        <w:pStyle w:val="Heading2"/>
      </w:pPr>
      <w:r>
        <w:rPr>
          <w:b w:val="0"/>
          <w:i w:val="0"/>
        </w:rPr>
        <w:t>What This Book Will Do</w:t>
      </w:r>
    </w:p>
    <w:p>
      <w:r>
        <w:rPr>
          <w:b w:val="0"/>
          <w:i w:val="0"/>
        </w:rPr>
        <w:t>This book addresses this opportunity in an accessible and practical way. It offers pragmatic guidance to help shape strategy, company responses, and approaches to climate action that all business leaders can apply.</w:t>
      </w:r>
    </w:p>
    <w:p>
      <w:r>
        <w:rPr>
          <w:b w:val="0"/>
          <w:i w:val="0"/>
        </w:rPr>
        <w:t>The first section of the book will help you understand the key drivers of climate change, its causes, and its global impacts. It lays out the leadership priority of investing in the new economy while divesting from the carbon-hungry economy of the industrial age. You will learn how looser environmental regulations across the globe contribute to more pollution, even from those companies reducing emissions globally, and you’ll also see the state of responsible investment and asset allocation and how ESG–focused investment is becoming mainstream.</w:t>
      </w:r>
    </w:p>
    <w:p>
      <w:r>
        <w:rPr>
          <w:b w:val="0"/>
          <w:i w:val="0"/>
        </w:rPr>
        <w:t>Rising to the climate change occasion requires bold moves, institutional fortitude, and clear-sighted leadership. The second section outlines key considerations for reducing adverse climate impacts, responding to climate change in the present tense, and moving away from incremental steps to more holistic, whole-of-business strategies, from folding carbon-reduction into your everyday operations to building organizational resilience in the face of catastrophe.</w:t>
      </w:r>
    </w:p>
    <w:p>
      <w:r>
        <w:rPr>
          <w:b w:val="0"/>
          <w:i w:val="0"/>
        </w:rPr>
        <w:t>As you read this book, consider whether you and your organization are ready to make the important commitment toward immediate climate action by asking some key questions:</w:t>
      </w:r>
    </w:p>
    <w:p>
      <w:pPr>
        <w:pStyle w:val="ListNumber"/>
      </w:pPr>
      <w:r>
        <w:rPr>
          <w:b w:val="0"/>
          <w:i w:val="0"/>
        </w:rPr>
        <w:t>How is my company’s investment and operational strategy aligned to the reality of climate change?</w:t>
      </w:r>
    </w:p>
    <w:p>
      <w:pPr>
        <w:pStyle w:val="ListNumber"/>
      </w:pPr>
      <w:r>
        <w:rPr>
          <w:b w:val="0"/>
          <w:i w:val="0"/>
        </w:rPr>
        <w:t>Is my organization ready for a zero-carbon future and ready to respond to the emerging pressure of stakeholders, employees, and customers? If not, what steps do we need to take to become ready?</w:t>
      </w:r>
    </w:p>
    <w:p>
      <w:pPr>
        <w:pStyle w:val="ListNumber"/>
      </w:pPr>
      <w:r>
        <w:rPr>
          <w:b w:val="0"/>
          <w:i w:val="0"/>
        </w:rPr>
        <w:t>What new business models or innovative products can my company pursue to reduce emissions, encourage dematerialization, and contribute to degrowth?</w:t>
      </w:r>
    </w:p>
    <w:p>
      <w:pPr>
        <w:pStyle w:val="ListNumber"/>
      </w:pPr>
      <w:r>
        <w:rPr>
          <w:b w:val="0"/>
          <w:i w:val="0"/>
        </w:rPr>
        <w:t>Should catastrophe strike, how will my organization respond to protect people, communities, supply chains, and other assets? Are we prepared for such instances?</w:t>
      </w:r>
    </w:p>
    <w:p>
      <w:pPr>
        <w:pStyle w:val="ListNumber"/>
      </w:pPr>
      <w:r>
        <w:rPr>
          <w:b w:val="0"/>
          <w:i w:val="0"/>
        </w:rPr>
        <w:t>What policies should I, as a leader, be backing, and how can I lobby these policies? Who should I be speaking to, and how can I make my commitment to climate action known to the public?</w:t>
      </w:r>
    </w:p>
    <w:p>
      <w:r>
        <w:rPr>
          <w:b w:val="0"/>
          <w:i w:val="0"/>
        </w:rPr>
        <w:t>Much can be done to fight climate change, and it is up to organizations to join the charge. Leaders must make resilience, equilibrium, and true stakeholder capitalism a way of life. Reframing climate change as a business imperative and unique market opportunity is a necessary part of this change. The time is now. Actively work to prevent climate change and pave the way for a better future.</w:t>
      </w:r>
    </w:p>
    <w:p>
      <w:pPr>
        <w:jc w:val="center"/>
      </w:pPr>
      <w:r>
        <w:drawing>
          <wp:inline xmlns:a="http://schemas.openxmlformats.org/drawingml/2006/main" xmlns:pic="http://schemas.openxmlformats.org/drawingml/2006/picture">
            <wp:extent cx="5930900" cy="8890000"/>
            <wp:docPr id="83" name="Picture 83"/>
            <wp:cNvGraphicFramePr>
              <a:graphicFrameLocks noChangeAspect="1"/>
            </wp:cNvGraphicFramePr>
            <a:graphic>
              <a:graphicData uri="http://schemas.openxmlformats.org/drawingml/2006/picture">
                <pic:pic>
                  <pic:nvPicPr>
                    <pic:cNvPr id="0" name="epub_img_9209893636611562700.jpg"/>
                    <pic:cNvPicPr/>
                  </pic:nvPicPr>
                  <pic:blipFill>
                    <a:blip r:embed="rId62"/>
                    <a:stretch>
                      <a:fillRect/>
                    </a:stretch>
                  </pic:blipFill>
                  <pic:spPr>
                    <a:xfrm>
                      <a:off x="0" y="0"/>
                      <a:ext cx="5930900" cy="8890000"/>
                    </a:xfrm>
                    <a:prstGeom prst="rect"/>
                  </pic:spPr>
                </pic:pic>
              </a:graphicData>
            </a:graphic>
          </wp:inline>
        </w:drawing>
      </w:r>
    </w:p>
    <w:p>
      <w:pPr>
        <w:pStyle w:val="Heading1"/>
      </w:pPr>
      <w:r>
        <w:rPr>
          <w:b w:val="0"/>
          <w:i w:val="0"/>
        </w:rPr>
        <w:t>1</w:t>
      </w:r>
    </w:p>
    <w:p>
      <w:pPr>
        <w:pStyle w:val="Heading1"/>
      </w:pPr>
      <w:r>
        <w:rPr>
          <w:b w:val="0"/>
          <w:i w:val="0"/>
        </w:rPr>
        <w:t>LEADING A NEW ERA OF CLIMATE ACTION</w:t>
      </w:r>
    </w:p>
    <w:p>
      <w:r>
        <w:rPr>
          <w:b w:val="0"/>
          <w:i w:val="0"/>
        </w:rPr>
        <w:t>by Andrew Winston</w:t>
      </w:r>
    </w:p>
    <w:p>
      <w:r>
        <w:rPr>
          <w:b w:val="0"/>
          <w:i w:val="0"/>
        </w:rPr>
        <w:t xml:space="preserve">Climate change is a global emergency. It’s threatening crops, water supplies, infrastructure, and livelihoods. It’s damaging the broader economy and company bottom lines </w:t>
      </w:r>
      <w:r>
        <w:rPr>
          <w:b w:val="0"/>
          <w:i/>
        </w:rPr>
        <w:t>today,</w:t>
      </w:r>
      <w:r>
        <w:rPr>
          <w:b w:val="0"/>
          <w:i w:val="0"/>
        </w:rPr>
        <w:t xml:space="preserve"> not in some distant future. In recent years, AT&amp;T has spent $874 million on repairs after natural disasters that the company ties to climate change. The reinsurance leader Swiss Re has seen large increases in payouts for damage caused by extreme weather events—$2.5 billion more in 2017 than it had predicted—a trend that CEO Christian Mumenthaler attributes to rising global temperatures.1 If we don’t move quickly toward action on climate, says Mark Carney, the Bank of England governor, we’ll see company bankruptcies and raise the odds of systemic economic collapse.2</w:t>
      </w:r>
    </w:p>
    <w:p>
      <w:r>
        <w:rPr>
          <w:b w:val="0"/>
          <w:i w:val="0"/>
        </w:rPr>
        <w:t xml:space="preserve">Corporate leaders are at last absorbing this; nearly every large company has significant plans to cut carbon emissions and is acting. But given the scale of the crisis and the pace at which it’s developing, these efforts are woefully inadequate. Critical UN reports in 2018 and 2019 make two things clear: (1) To avoid </w:t>
      </w:r>
      <w:r>
        <w:rPr>
          <w:b w:val="0"/>
          <w:i/>
        </w:rPr>
        <w:t>some</w:t>
      </w:r>
      <w:r>
        <w:rPr>
          <w:b w:val="0"/>
          <w:i w:val="0"/>
        </w:rPr>
        <w:t xml:space="preserve"> of the worst outcomes of climate change, the world must cut carbon emissions by 45% by 2030 and eliminate them entirely by midcentury.3 (2) Current government plans and commitments are not remotely close to putting us on that path. Emissions are still rising. (See figure 1-1.)</w:t>
      </w:r>
    </w:p>
    <w:p>
      <w:r>
        <w:rPr>
          <w:b w:val="0"/>
          <w:i w:val="0"/>
        </w:rPr>
        <w:t>Countries, cities, and businesses need to move simultaneously along two paths: reducing emissions dramatically (mitigation) and investing in resilience while planning for vast change (adaptation). My focus here is on mitigation, because adaptation alone—building ever-higher walls to keep out the sea and simply turning up the air-conditioning as the outdoors becomes uninhabitable—won’t save us. If we allow climate change to destroy the plant and animal ecosystems we rely on, there will be no replacements. The good news is that business has enormous potential to profitably cut emissions faster and even more.</w:t>
      </w:r>
    </w:p>
    <w:p>
      <w:r>
        <w:rPr>
          <w:b/>
          <w:i w:val="0"/>
        </w:rPr>
        <w:t>FIGURE 1-1</w:t>
      </w:r>
    </w:p>
    <w:p>
      <w:r>
        <w:rPr>
          <w:b w:val="0"/>
          <w:i w:val="0"/>
        </w:rPr>
        <w:t>Alarming forecast: current climate policies are grossly inadequate</w:t>
      </w:r>
    </w:p>
    <w:p>
      <w:r>
        <w:rPr>
          <w:b w:val="0"/>
          <w:i/>
        </w:rPr>
        <w:t>To hold global warming to 1.5° Celsius above preindustrial levels and prevent the worst impacts of climate change, the world must cut carbon emissions to zero by midcentury. Yet emissions are still rising, and under existing policies reductions won’t begin to approach what’s needed. If we stay on the current path, temperatures will probably increase by about 3° C, with catastrophic effects.</w:t>
      </w:r>
    </w:p>
    <w:p>
      <w:pPr>
        <w:jc w:val="center"/>
      </w:pPr>
      <w:r>
        <w:drawing>
          <wp:inline xmlns:a="http://schemas.openxmlformats.org/drawingml/2006/main" xmlns:pic="http://schemas.openxmlformats.org/drawingml/2006/picture">
            <wp:extent cx="6680200" cy="4521200"/>
            <wp:docPr id="84" name="Picture 84"/>
            <wp:cNvGraphicFramePr>
              <a:graphicFrameLocks noChangeAspect="1"/>
            </wp:cNvGraphicFramePr>
            <a:graphic>
              <a:graphicData uri="http://schemas.openxmlformats.org/drawingml/2006/picture">
                <pic:pic>
                  <pic:nvPicPr>
                    <pic:cNvPr id="0" name="epub_img_2460656186725117023.jpg"/>
                    <pic:cNvPicPr/>
                  </pic:nvPicPr>
                  <pic:blipFill>
                    <a:blip r:embed="rId63"/>
                    <a:stretch>
                      <a:fillRect/>
                    </a:stretch>
                  </pic:blipFill>
                  <pic:spPr>
                    <a:xfrm>
                      <a:off x="0" y="0"/>
                      <a:ext cx="6680200" cy="4521200"/>
                    </a:xfrm>
                    <a:prstGeom prst="rect"/>
                  </pic:spPr>
                </pic:pic>
              </a:graphicData>
            </a:graphic>
          </wp:inline>
        </w:drawing>
      </w:r>
    </w:p>
    <w:p>
      <w:pPr>
        <w:jc w:val="center"/>
      </w:pPr>
      <w:r>
        <w:drawing>
          <wp:inline xmlns:a="http://schemas.openxmlformats.org/drawingml/2006/main" xmlns:pic="http://schemas.openxmlformats.org/drawingml/2006/picture">
            <wp:extent cx="6680200" cy="4521200"/>
            <wp:docPr id="85" name="Picture 85"/>
            <wp:cNvGraphicFramePr>
              <a:graphicFrameLocks noChangeAspect="1"/>
            </wp:cNvGraphicFramePr>
            <a:graphic>
              <a:graphicData uri="http://schemas.openxmlformats.org/drawingml/2006/picture">
                <pic:pic>
                  <pic:nvPicPr>
                    <pic:cNvPr id="0" name="epub_img_2460656186725117023.jpg"/>
                    <pic:cNvPicPr/>
                  </pic:nvPicPr>
                  <pic:blipFill>
                    <a:blip r:embed="rId63"/>
                    <a:stretch>
                      <a:fillRect/>
                    </a:stretch>
                  </pic:blipFill>
                  <pic:spPr>
                    <a:xfrm>
                      <a:off x="0" y="0"/>
                      <a:ext cx="6680200" cy="4521200"/>
                    </a:xfrm>
                    <a:prstGeom prst="rect"/>
                  </pic:spPr>
                </pic:pic>
              </a:graphicData>
            </a:graphic>
          </wp:inline>
        </w:drawing>
      </w:r>
    </w:p>
    <w:p>
      <w:r>
        <w:rPr>
          <w:b w:val="0"/>
          <w:i/>
        </w:rPr>
        <w:t>Source:</w:t>
      </w:r>
      <w:r>
        <w:rPr>
          <w:b w:val="0"/>
          <w:i w:val="0"/>
        </w:rPr>
        <w:t xml:space="preserve"> Climate Action Tracker</w:t>
      </w:r>
    </w:p>
    <w:p>
      <w:r>
        <w:rPr>
          <w:b w:val="0"/>
          <w:i/>
        </w:rPr>
        <w:t>Note:</w:t>
      </w:r>
      <w:r>
        <w:rPr>
          <w:b w:val="0"/>
          <w:i w:val="0"/>
        </w:rPr>
        <w:t xml:space="preserve"> Bandwidths represent high and low emissions estimates.</w:t>
      </w:r>
    </w:p>
    <w:p>
      <w:r>
        <w:rPr>
          <w:b w:val="0"/>
          <w:i w:val="0"/>
        </w:rPr>
        <w:t>If the main question for business were still “Which actions will both cut emissions and create short-term value?” we know the answer: Slash carbon in energy-intensive industries and in operations, transportation, and buildings; buy lots of renewable energy, which is strategically smart because it has been competitive with fossil fuels for years; reduce waste, particularly in critical sectors such as food and agriculture; expand the use of circular business models that minimize resource use; embed climate change metrics in corporate systems and key performance indicators; and more. Again, most companies have begun to take advantage of these “basic” opportunities and will accelerate adoption as they see the payoff grow. So let’s assume that they will continue down this path. Then what?</w:t>
      </w:r>
    </w:p>
    <w:p>
      <w:r>
        <w:rPr>
          <w:b w:val="0"/>
          <w:i w:val="0"/>
        </w:rPr>
        <w:t xml:space="preserve">Given the urgency, we must ask a different, and harder, question: “What are </w:t>
      </w:r>
      <w:r>
        <w:rPr>
          <w:b w:val="0"/>
          <w:i/>
        </w:rPr>
        <w:t>all</w:t>
      </w:r>
      <w:r>
        <w:rPr>
          <w:b w:val="0"/>
          <w:i w:val="0"/>
        </w:rPr>
        <w:t xml:space="preserve"> the things business can possibly do with its vast resources?” What capital—financial, human, brand, and political—can companies bring to bear?</w:t>
      </w:r>
    </w:p>
    <w:p>
      <w:r>
        <w:rPr>
          <w:b w:val="0"/>
          <w:i w:val="0"/>
        </w:rPr>
        <w:t>Drawing on 20 years of consulting to global corporations and working on climate change issues, I see three actions that companies must now focus on to drive deeper change:</w:t>
      </w:r>
    </w:p>
    <w:p>
      <w:pPr>
        <w:pStyle w:val="ListBullet"/>
      </w:pPr>
      <w:r>
        <w:rPr>
          <w:b w:val="0"/>
          <w:i w:val="0"/>
        </w:rPr>
        <w:t>Using political influence to demand aggressive climate policies around the world</w:t>
      </w:r>
    </w:p>
    <w:p>
      <w:pPr>
        <w:pStyle w:val="ListBullet"/>
      </w:pPr>
      <w:r>
        <w:rPr>
          <w:b w:val="0"/>
          <w:i w:val="0"/>
        </w:rPr>
        <w:t>Empowering suppliers, customers, and employees to drive change</w:t>
      </w:r>
    </w:p>
    <w:p>
      <w:pPr>
        <w:pStyle w:val="ListBullet"/>
      </w:pPr>
      <w:r>
        <w:rPr>
          <w:b w:val="0"/>
          <w:i w:val="0"/>
        </w:rPr>
        <w:t>Rethinking investments and business models to eliminate waste and carbon throughout the economy</w:t>
      </w:r>
    </w:p>
    <w:p>
      <w:r>
        <w:rPr>
          <w:b w:val="0"/>
          <w:i w:val="0"/>
        </w:rPr>
        <w:t>These actions may feel unnatural to some executives if they appear to put larger interests ahead of immediate shareholder profits. But the tide is turning on the very idea of shareholder primacy. The roughly 200 largest multinationals based in the United States recently declared, through the Business Roundtable, that they will no longer focus solely on shareholders or on the short run. We are at a pivotal moment as the climate crisis propels companies’ growing sense of social purpose. The result, I believe, is the will needed to finally achieve this deeper change.</w:t>
      </w:r>
    </w:p>
    <w:p>
      <w:pPr>
        <w:pStyle w:val="Heading2"/>
      </w:pPr>
      <w:r>
        <w:rPr>
          <w:b w:val="0"/>
          <w:i w:val="0"/>
        </w:rPr>
        <w:t>What’s in It for Us?</w:t>
      </w:r>
    </w:p>
    <w:p>
      <w:r>
        <w:rPr>
          <w:b w:val="0"/>
          <w:i w:val="0"/>
        </w:rPr>
        <w:t>Before I dig into the three areas of change, it’s fair to ask why a company would commit to such challenging and possibly risky initiatives. One argument is macro/societal and the other is microeconomic. The former is straightforward: Companies need healthy people and a viable planet; with expensive runaway climate change on the horizon, they have an economic imperative and a moral responsibility to do everything they can to ensure a thriving world. As Unilever’s former CEO Paul Polman says, “Business simply can’t be a bystander in a system that gives it life in the first place.”4 And let’s not forget that even as they pursue their own self-interest, executives sometimes just do what they believe is the right thing, which may or may not pay off—from ceasing to sell assault weapons at Dick’s Sporting Goods and Walmart to funding by Apple and Microsoft of programs to reduce homelessness in their neighborhoods.</w:t>
      </w:r>
    </w:p>
    <w:p>
      <w:r>
        <w:rPr>
          <w:b w:val="0"/>
          <w:i w:val="0"/>
        </w:rPr>
        <w:t>The microeconomic argument, however, is often overlooked. Stakeholders, particularly customers and employees, have increasingly high standards for the companies they buy from and work for. Business customers are demanding more sustainability performance from suppliers every year. Consumers are seeking out sustainable brands (50% of consumer packaged goods growth from 2013 to 2018 came from sustainability-marketed products), and Deloitte’s global surveys show that up to 87% of the under-40 crowd—the Millennials who will make up 75% of the global workforce in five years—believes that a company’s success should be measured in more than just financial terms.5 And 9 in 10 members of Gen Z agree that companies have a responsibility to engage with environmental and social issues.</w:t>
      </w:r>
    </w:p>
    <w:p>
      <w:r>
        <w:rPr>
          <w:b w:val="0"/>
          <w:i w:val="0"/>
        </w:rPr>
        <w:t>Employees are now directly pressuring their companies to do more on climate, particularly in the tech sector. In direct and public appeals, Google employees have asked their executives to cut ties to climate deniers, and Microsoft’s employees staged a walkout in protest of the company’s “complicity in the climate crisis.” At Amazon more than 8,700 workers have signed an open letter to CEO Jeff Bezos with a list of demands, including developing a plan to get to zero emissions and eliminating donations to climate-denying legislators. Their efforts clearly played a part in pushing Bezos to announce large ambitions to be carbon neutral by 2040 and to buy 100,000 electric vehicles.</w:t>
      </w:r>
    </w:p>
    <w:p>
      <w:r>
        <w:rPr>
          <w:b w:val="0"/>
          <w:i w:val="0"/>
        </w:rPr>
        <w:t xml:space="preserve">Because of pressure like this, along with increasingly dire warnings from climate scientists and global bodies including the UN, corporate efforts to reduce emissions have become table stakes—something any company </w:t>
      </w:r>
      <w:r>
        <w:rPr>
          <w:b w:val="0"/>
          <w:i/>
        </w:rPr>
        <w:t>must</w:t>
      </w:r>
      <w:r>
        <w:rPr>
          <w:b w:val="0"/>
          <w:i w:val="0"/>
        </w:rPr>
        <w:t xml:space="preserve"> do to earn respect from employees and customers. And what is common and accepted practice, regardless of the short-term return on investment (ROI), can sometimes shift very quickly. Consider that nobody could prove the value of diversity and inclusion when companies first dove into that issue. Now we have good data—but the norms changed first.</w:t>
      </w:r>
    </w:p>
    <w:p>
      <w:r>
        <w:rPr>
          <w:b w:val="0"/>
          <w:i w:val="0"/>
        </w:rPr>
        <w:t xml:space="preserve">I’ve seen firsthand how this can play out on sustainability issues. Nearly six years ago, in my book </w:t>
      </w:r>
      <w:r>
        <w:rPr>
          <w:b w:val="0"/>
          <w:i/>
        </w:rPr>
        <w:t>The Big Pivot</w:t>
      </w:r>
      <w:r>
        <w:rPr>
          <w:b w:val="0"/>
          <w:i w:val="0"/>
        </w:rPr>
        <w:t>, I advocated setting science-based emissions-reduction goals. Virtually no companies were doing that then, and I argued with many who wondered why a company would set a goal not required by law. Now, owing to peer pressure—and because it’s rational—those goals are all but standard for big companies, with about 750 signed up and more than 200 committing to 100% renewable energy. They moved from “Why would we?” to “You’re a laggard if you don’t.”</w:t>
      </w:r>
    </w:p>
    <w:p>
      <w:r>
        <w:rPr>
          <w:b w:val="0"/>
          <w:i w:val="0"/>
        </w:rPr>
        <w:t>The first companies to try the most innovative sustainability strategies are generally B Corps or purpose-driven, privately held businesses like Patagonia and IKEA, which have more leeway to experiment. The story is similar for many of the next-gen climate ideas I lay out below: Big public companies are just dipping their toes in the water, while smaller, nimbler, sustainability-focused companies take the lead. Their examples matter, because over the past decade the largest firms started emulating the midsize leaders—or just buying them. To mitigate the worst effects of climate change, more companies need to follow, and fast.</w:t>
      </w:r>
    </w:p>
    <w:p>
      <w:r>
        <w:rPr>
          <w:b w:val="0"/>
          <w:i w:val="0"/>
        </w:rPr>
        <w:t>Let’s return now to the three broad activities that every company, big or small, must undertake.</w:t>
      </w:r>
    </w:p>
    <w:p>
      <w:pPr>
        <w:pStyle w:val="Heading2"/>
      </w:pPr>
      <w:r>
        <w:rPr>
          <w:b w:val="0"/>
          <w:i w:val="0"/>
        </w:rPr>
        <w:t>1. Use Political Influence for Climate Good</w:t>
      </w:r>
    </w:p>
    <w:p>
      <w:r>
        <w:rPr>
          <w:b w:val="0"/>
          <w:i w:val="0"/>
        </w:rPr>
        <w:t xml:space="preserve">Given the scale of the climate crisis, business alone can’t solve it. But business does have a powerful tool beyond its own practices and products: extensive and deep tendrils in the halls of political power. All over the world, but especially in market economies, companies have enormous influence over governments and politicians. Through large campaign donations and—in the United States after the Supreme Court case </w:t>
      </w:r>
      <w:r>
        <w:rPr>
          <w:b w:val="0"/>
          <w:i/>
        </w:rPr>
        <w:t>Citizens United</w:t>
      </w:r>
      <w:r>
        <w:rPr>
          <w:b w:val="0"/>
          <w:i w:val="0"/>
        </w:rPr>
        <w:t>—nearly unlimited spending on political ads, the corporate agenda gets an outsize voice in society. How can and should companies use that power?</w:t>
      </w:r>
    </w:p>
    <w:p>
      <w:r>
        <w:rPr>
          <w:b w:val="0"/>
          <w:i w:val="0"/>
        </w:rPr>
        <w:t>Business’s government relations have traditionally been aimed at reshaping or fighting regulations. But over the past few years many companies have, at least on the surface, been supporting some climate policy. Hundreds of multinationals with operations in the United States have signed statements such as “We Are Still In” and the recent “United for the Paris Agreement” to let the world know that they will cut emissions in keeping with the Paris Climate Accords and that they want the U.S. government to stay aboard, despite announcements that it would not. Another group of large companies called for the world to hold warming to just 1.5°C. Signatories came from every corner of the planet: Sweden (Electrolux), Japan (ASICS), India (Mahindra Group), Switzerland (Nestlé), Germany (SAP), and many other places and sectors.</w:t>
      </w:r>
    </w:p>
    <w:p>
      <w:r>
        <w:rPr>
          <w:b/>
          <w:i w:val="0"/>
        </w:rPr>
        <w:t>FIGURE 1-2</w:t>
      </w:r>
    </w:p>
    <w:p>
      <w:r>
        <w:rPr>
          <w:b w:val="0"/>
          <w:i w:val="0"/>
        </w:rPr>
        <w:t>Rising temperatures, rising risks: flooding cities</w:t>
      </w:r>
    </w:p>
    <w:p>
      <w:r>
        <w:rPr>
          <w:b w:val="0"/>
          <w:i/>
        </w:rPr>
        <w:t>If the global temperature were to increase by …</w:t>
      </w:r>
    </w:p>
    <w:p>
      <w:pPr>
        <w:jc w:val="center"/>
      </w:pPr>
      <w:r>
        <w:drawing>
          <wp:inline xmlns:a="http://schemas.openxmlformats.org/drawingml/2006/main" xmlns:pic="http://schemas.openxmlformats.org/drawingml/2006/picture">
            <wp:extent cx="6680200" cy="7683500"/>
            <wp:docPr id="86" name="Picture 86"/>
            <wp:cNvGraphicFramePr>
              <a:graphicFrameLocks noChangeAspect="1"/>
            </wp:cNvGraphicFramePr>
            <a:graphic>
              <a:graphicData uri="http://schemas.openxmlformats.org/drawingml/2006/picture">
                <pic:pic>
                  <pic:nvPicPr>
                    <pic:cNvPr id="0" name="epub_img_3087065088814434254.jpg"/>
                    <pic:cNvPicPr/>
                  </pic:nvPicPr>
                  <pic:blipFill>
                    <a:blip r:embed="rId64"/>
                    <a:stretch>
                      <a:fillRect/>
                    </a:stretch>
                  </pic:blipFill>
                  <pic:spPr>
                    <a:xfrm>
                      <a:off x="0" y="0"/>
                      <a:ext cx="6680200" cy="7683500"/>
                    </a:xfrm>
                    <a:prstGeom prst="rect"/>
                  </pic:spPr>
                </pic:pic>
              </a:graphicData>
            </a:graphic>
          </wp:inline>
        </w:drawing>
      </w:r>
    </w:p>
    <w:p>
      <w:pPr>
        <w:jc w:val="center"/>
      </w:pPr>
      <w:r>
        <w:drawing>
          <wp:inline xmlns:a="http://schemas.openxmlformats.org/drawingml/2006/main" xmlns:pic="http://schemas.openxmlformats.org/drawingml/2006/picture">
            <wp:extent cx="6680200" cy="7683500"/>
            <wp:docPr id="87" name="Picture 87"/>
            <wp:cNvGraphicFramePr>
              <a:graphicFrameLocks noChangeAspect="1"/>
            </wp:cNvGraphicFramePr>
            <a:graphic>
              <a:graphicData uri="http://schemas.openxmlformats.org/drawingml/2006/picture">
                <pic:pic>
                  <pic:nvPicPr>
                    <pic:cNvPr id="0" name="epub_img_3087065088814434254.jpg"/>
                    <pic:cNvPicPr/>
                  </pic:nvPicPr>
                  <pic:blipFill>
                    <a:blip r:embed="rId64"/>
                    <a:stretch>
                      <a:fillRect/>
                    </a:stretch>
                  </pic:blipFill>
                  <pic:spPr>
                    <a:xfrm>
                      <a:off x="0" y="0"/>
                      <a:ext cx="6680200" cy="7683500"/>
                    </a:xfrm>
                    <a:prstGeom prst="rect"/>
                  </pic:spPr>
                </pic:pic>
              </a:graphicData>
            </a:graphic>
          </wp:inline>
        </w:drawing>
      </w:r>
    </w:p>
    <w:p>
      <w:r>
        <w:rPr>
          <w:b w:val="0"/>
          <w:i/>
        </w:rPr>
        <w:t>Source:</w:t>
      </w:r>
      <w:r>
        <w:rPr>
          <w:b w:val="0"/>
          <w:i w:val="0"/>
        </w:rPr>
        <w:t xml:space="preserve"> World Resources Institute</w:t>
      </w:r>
    </w:p>
    <w:p>
      <w:r>
        <w:rPr>
          <w:b w:val="0"/>
          <w:i w:val="0"/>
        </w:rPr>
        <w:t xml:space="preserve">But statements alone are inadequate. Companies must lobby for the policies that will lead to a low-carbon future, and senior executives need to show up in person. Without collective government action, we have little chance of avoiding the direst outcomes of climate change. One industry—fossil fuels—has had a dominant, decades-long influence on climate policies in world capitals, and for good reason: Policies aimed at reducing emissions pose an existential threat to the business. Companies in every other sector must grasp that climate change, which may spin out of control without enlightened policies, is an existential threat to </w:t>
      </w:r>
      <w:r>
        <w:rPr>
          <w:b w:val="0"/>
          <w:i/>
        </w:rPr>
        <w:t>their</w:t>
      </w:r>
      <w:r>
        <w:rPr>
          <w:b w:val="0"/>
          <w:i w:val="0"/>
        </w:rPr>
        <w:t xml:space="preserve"> businesses.</w:t>
      </w:r>
    </w:p>
    <w:p>
      <w:r>
        <w:rPr>
          <w:b w:val="0"/>
          <w:i w:val="0"/>
        </w:rPr>
        <w:t>For the most part, non–fossil fuel companies engage only in occasional special lobbying days organized by the likes of Ceres, the American Sustainable Business Council, and Business Climate Leaders. Those events are important, of course, but even the groups themselves acknowledge that the number of big companies with a consistent climate-action focus is small. As Joe Britton, a former chief of staff for U.S. senator Martin Heinrich, told me, these temporary “fly-ins” are better than nothing, but they are overshadowed by the daily swarm of fossil fuel lobbyists. In response, Britton left his position to create a new lobbying organization, with the help of other Capitol Hill insiders, to deploy a fuller and more constant political message to Congress on climate.</w:t>
      </w:r>
    </w:p>
    <w:p>
      <w:r>
        <w:rPr>
          <w:b w:val="0"/>
          <w:i w:val="0"/>
        </w:rPr>
        <w:t>There’s also a major disconnect between what companies say about their commitments to fight climate change and what those who represent them—the trade associations or even their own government relations people—actually push for. As transparency increases, companies should worry about any gap between their sustainability commitments and their lobbying. An NGO, Australia’s LobbyWatch, is calling out the mining giant BHP and others for such disconnects. And the U.K.–based influencemap.org is tracking corporate lobbying activity on climate at hundreds of companies and publicly highlighting hypocrisy.</w:t>
      </w:r>
    </w:p>
    <w:p>
      <w:r>
        <w:rPr>
          <w:b w:val="0"/>
          <w:i w:val="0"/>
        </w:rPr>
        <w:t>For leaders, aggressive climate lobbying is not just about appearances; it can create advantage. If 100% of your energy comes from renewables, a price on carbon won’t affect your own cost structure much. And if you make products or provide services that help reduce emissions, you benefit from tighter carbon controls. That’s surely one reason that Germany’s Siemens, with a portfolio of products that improve energy efficiency, states that its top political engagement goal is “combating climate change.”</w:t>
      </w:r>
    </w:p>
    <w:p>
      <w:r>
        <w:rPr>
          <w:b w:val="0"/>
          <w:i w:val="0"/>
        </w:rPr>
        <w:t>Hugh Welsh, the president for North America at DSM, a large Dutch company that offers nutrition, health, and sustainable-living products and solutions, can attest to this. He has worked for years to bring a business voice on climate to the halls of political power. Welsh says he does this for two reasons: principles and pragmatism. About the former, he says, “Over 10 years as president, I’ve developed political capital. I can use that just for strategic things for the business, but I can also use that to improve the world.” About the latter, he notes that DSM serves several sustainability-focused product markets, so a proactive role on sustainability and climate policy fits its strategy.</w:t>
      </w:r>
    </w:p>
    <w:p>
      <w:r>
        <w:rPr>
          <w:b w:val="0"/>
          <w:i w:val="0"/>
        </w:rPr>
        <w:t>When Welsh makes the case to skeptical executives, leaders, and trade groups—such as the recalcitrant U.S. Chamber of Commerce, with which he worked for two years to flip its position on climate—he says, “If you don’t evolve your position, you’ll be on the wrong side of history … your partners and customers will leave in droves.”</w:t>
      </w:r>
    </w:p>
    <w:p>
      <w:r>
        <w:rPr>
          <w:b w:val="0"/>
          <w:i w:val="0"/>
        </w:rPr>
        <w:t>So what policies should companies advocate? To move the world to a low-carbon future, we need bold plans in a few key areas: pricing carbon and mobilizing capital to shift to low-carbon systems; rapidly raising performance standards and phasing out old technologies for big energy users like cars and buildings; and enabling transparency and efforts to reduce human suffering.</w:t>
      </w:r>
    </w:p>
    <w:p>
      <w:r>
        <w:rPr>
          <w:b w:val="0"/>
          <w:i w:val="0"/>
        </w:rPr>
        <w:t>These priorities apply in most geographies, but of course policy formation and the relationship between business and government vary widely across countries. Approaches in command-and-control economies must vary from those in sprawling capitalist systems.</w:t>
      </w:r>
    </w:p>
    <w:p>
      <w:r>
        <w:rPr>
          <w:b w:val="0"/>
          <w:i w:val="0"/>
        </w:rPr>
        <w:t>Policies may take years to have an effect, so these efforts must be made soon. It’s time for companies to use their substantial political influence to proactively support laws that make high-carbon products and choices more expensive, mobilize capital toward a clean economy, support systems change, and help deal with adaptation and the human costs of shifts to clean technology.</w:t>
      </w:r>
    </w:p>
    <w:p>
      <w:r>
        <w:rPr>
          <w:b w:val="0"/>
          <w:i w:val="0"/>
        </w:rPr>
        <w:t>Climate Policies Companies Should Fight For</w:t>
      </w:r>
    </w:p>
    <w:p>
      <w:r>
        <w:rPr>
          <w:b w:val="0"/>
          <w:i w:val="0"/>
        </w:rPr>
        <w:t>A long list of possible government policies could create the conditions for rapid emissions reductions. But the following are probably the most important for business to get behind. These will fix market failures, shift capital toward low-carbon investments, and set a high bar for low-carbon products.</w:t>
      </w:r>
    </w:p>
    <w:p>
      <w:r>
        <w:rPr>
          <w:b w:val="0"/>
          <w:i w:val="0"/>
        </w:rPr>
        <w:t>Implement a rapidly rising price on carbon,  coupled with massive shifts in subsidies from fossil fuels to clean tech and low-carbon production methods.</w:t>
      </w:r>
    </w:p>
    <w:p>
      <w:r>
        <w:rPr>
          <w:b w:val="0"/>
          <w:i w:val="0"/>
        </w:rPr>
        <w:t>Create incentives for farmers  to move from industrial to regenerative agriculture.</w:t>
      </w:r>
    </w:p>
    <w:p>
      <w:r>
        <w:rPr>
          <w:b w:val="0"/>
          <w:i w:val="0"/>
        </w:rPr>
        <w:t>Fund increased material capture  (recycling, reuse, repair) to encourage a circular economy.</w:t>
      </w:r>
    </w:p>
    <w:p>
      <w:r>
        <w:rPr>
          <w:b w:val="0"/>
          <w:i w:val="0"/>
        </w:rPr>
        <w:t>Mobilize capital and R&amp;D  that pulls public and private investment into cleaner tech. For example, the Danish aviation sector has proposed a climate tax on all flights from Denmark, earmarked for a fund to research green solutions and climate-neutral fuels.</w:t>
      </w:r>
    </w:p>
    <w:p>
      <w:r>
        <w:rPr>
          <w:b w:val="0"/>
          <w:i w:val="0"/>
        </w:rPr>
        <w:t>Introduce high performance standards  for the big energy users, including cars, buildings, and HVAC systems. Encourage phaseouts and phase-ins  such as by mandating low-global-warming-potential refrigerants and net-zero buildings with renewables and banning gas-guzzlers. Some countries have set a date for stopping the sale of internal combustion engines: Norway by 2025, Sweden and Denmark by 2030, and France and Sri Lanka by 2040.</w:t>
      </w:r>
    </w:p>
    <w:p>
      <w:r>
        <w:rPr>
          <w:b w:val="0"/>
          <w:i w:val="0"/>
        </w:rPr>
        <w:t>Prioritize transparency  through, for example, the Task Force on Climate-related Financial Disclosures, which provides guidelines for companies reporting their material risks from climate change, and product labels with carbon-footprint information, much like the calorie and nutrition counts on food labels.</w:t>
      </w:r>
    </w:p>
    <w:p>
      <w:r>
        <w:rPr>
          <w:b w:val="0"/>
          <w:i w:val="0"/>
        </w:rPr>
        <w:t>Fund resources for adaptation,  such as resilience planning in cities, the relocation of citizens, and retraining for those from older sectors that will rapidly decline.</w:t>
      </w:r>
    </w:p>
    <w:p>
      <w:pPr>
        <w:pStyle w:val="Heading2"/>
      </w:pPr>
      <w:r>
        <w:rPr>
          <w:b w:val="0"/>
          <w:i w:val="0"/>
        </w:rPr>
        <w:t>2. Leverage Stakeholder Relationships</w:t>
      </w:r>
    </w:p>
    <w:p>
      <w:r>
        <w:rPr>
          <w:b w:val="0"/>
          <w:i w:val="0"/>
        </w:rPr>
        <w:t xml:space="preserve">At the same time, companies should wield their other superpower: vast influence over value chain partners and deep connections to their customers and employees. Big consumer products companies like P&amp;G and Unilever often rightly brag that they serve billions of people every day. More than 275 million people visit a Walmart every week. Companies employ hundreds of millions of us. And with nearly $33 trillion in revenues across the </w:t>
      </w:r>
      <w:r>
        <w:rPr>
          <w:b w:val="0"/>
          <w:i/>
        </w:rPr>
        <w:t>Fortune</w:t>
      </w:r>
      <w:r>
        <w:rPr>
          <w:b w:val="0"/>
          <w:i w:val="0"/>
        </w:rPr>
        <w:t xml:space="preserve"> Global 500 alone, it’s safe to assume that many trillions go to suppliers. Imagine if companies used those touch points, their buying power, and all their communications and advertising clout to catalyze change across business and society.</w:t>
      </w:r>
    </w:p>
    <w:p>
      <w:pPr>
        <w:pStyle w:val="Heading3"/>
      </w:pPr>
      <w:r>
        <w:rPr>
          <w:b w:val="0"/>
          <w:i w:val="0"/>
        </w:rPr>
        <w:t>Suppliers</w:t>
      </w:r>
    </w:p>
    <w:p>
      <w:r>
        <w:rPr>
          <w:b w:val="0"/>
          <w:i w:val="0"/>
        </w:rPr>
        <w:t>In recent years corporations have ratcheted up the pressure on their suppliers to operate more sustainably. Big buyers increasingly want to see progress—backed up by data—in a supplier’s carbon footprint, resource use, human rights and labor performance, and much more. General Mills, Kellogg, IKEA, and Hewlett Packard Enterprise have all set science-based carbon goals for their suppliers. Others, including GSK, H&amp;M, Toyota, and Schneider Electric, have committed to carbon neutrality or negativity (eliminating more carbon than is produced) in their entire value chains by 2040 or 2050.</w:t>
      </w:r>
    </w:p>
    <w:p>
      <w:r>
        <w:rPr>
          <w:b w:val="0"/>
          <w:i w:val="0"/>
        </w:rPr>
        <w:t>Commitments like these are becoming the norm. But what else is possible? What are boundary-pushing companies doing to drive change? I see future supply-chain climate leadership in three key areas: providing capital, driving innovation and collaboration, and using purchasing power to choose suppliers on the basis of emissions performance.</w:t>
      </w:r>
    </w:p>
    <w:p>
      <w:r>
        <w:rPr>
          <w:b w:val="0"/>
          <w:i w:val="0"/>
        </w:rPr>
        <w:t>Financial assistance and capital.  Making a business more sustainable is profitable, but it may still require investments and capital. Companies that ask suppliers to change how they do business can help, especially with smaller players. For example, in mid-2018, after achieving 100% renewable energy in its own operations, Apple launched the China Clean Energy Fund, a joint pool of $300 million to help suppliers buy one gigawatt of renewable energy, and the fund’s first big wind farms went up the following year. Similarly, IKEA recentlycommitted €100 million to help first-tier suppliers make the shift. In another innovative approach, an industrial company I work with, Ingersoll Rand (better known by its brands Thermo King and Trane), financed a large renewable energy project and then invited suppliers to offset their emissions by buying portions of the energy production. And beyond encouraging renewables, some leaders, such as Levi’s and Walmart, have worked with HSBC and other banks to provide lower interest rates to suppliers that score well on sustainability performance.</w:t>
      </w:r>
    </w:p>
    <w:p>
      <w:r>
        <w:rPr>
          <w:b/>
          <w:i w:val="0"/>
        </w:rPr>
        <w:t>FIGURE 1-3</w:t>
      </w:r>
    </w:p>
    <w:p>
      <w:r>
        <w:rPr>
          <w:b w:val="0"/>
          <w:i w:val="0"/>
        </w:rPr>
        <w:t>Rising temperatures, rising risks: food shortages</w:t>
      </w:r>
    </w:p>
    <w:p>
      <w:r>
        <w:rPr>
          <w:b w:val="0"/>
          <w:i/>
        </w:rPr>
        <w:t>If the global temperature were to increase by …</w:t>
      </w:r>
    </w:p>
    <w:p>
      <w:pPr>
        <w:jc w:val="center"/>
      </w:pPr>
      <w:r>
        <w:drawing>
          <wp:inline xmlns:a="http://schemas.openxmlformats.org/drawingml/2006/main" xmlns:pic="http://schemas.openxmlformats.org/drawingml/2006/picture">
            <wp:extent cx="6680200" cy="7683500"/>
            <wp:docPr id="88" name="Picture 88"/>
            <wp:cNvGraphicFramePr>
              <a:graphicFrameLocks noChangeAspect="1"/>
            </wp:cNvGraphicFramePr>
            <a:graphic>
              <a:graphicData uri="http://schemas.openxmlformats.org/drawingml/2006/picture">
                <pic:pic>
                  <pic:nvPicPr>
                    <pic:cNvPr id="0" name="epub_img_6826292452683533484.jpg"/>
                    <pic:cNvPicPr/>
                  </pic:nvPicPr>
                  <pic:blipFill>
                    <a:blip r:embed="rId65"/>
                    <a:stretch>
                      <a:fillRect/>
                    </a:stretch>
                  </pic:blipFill>
                  <pic:spPr>
                    <a:xfrm>
                      <a:off x="0" y="0"/>
                      <a:ext cx="6680200" cy="7683500"/>
                    </a:xfrm>
                    <a:prstGeom prst="rect"/>
                  </pic:spPr>
                </pic:pic>
              </a:graphicData>
            </a:graphic>
          </wp:inline>
        </w:drawing>
      </w:r>
    </w:p>
    <w:p>
      <w:pPr>
        <w:jc w:val="center"/>
      </w:pPr>
      <w:r>
        <w:drawing>
          <wp:inline xmlns:a="http://schemas.openxmlformats.org/drawingml/2006/main" xmlns:pic="http://schemas.openxmlformats.org/drawingml/2006/picture">
            <wp:extent cx="6680200" cy="7683500"/>
            <wp:docPr id="89" name="Picture 89"/>
            <wp:cNvGraphicFramePr>
              <a:graphicFrameLocks noChangeAspect="1"/>
            </wp:cNvGraphicFramePr>
            <a:graphic>
              <a:graphicData uri="http://schemas.openxmlformats.org/drawingml/2006/picture">
                <pic:pic>
                  <pic:nvPicPr>
                    <pic:cNvPr id="0" name="epub_img_6826292452683533484.jpg"/>
                    <pic:cNvPicPr/>
                  </pic:nvPicPr>
                  <pic:blipFill>
                    <a:blip r:embed="rId65"/>
                    <a:stretch>
                      <a:fillRect/>
                    </a:stretch>
                  </pic:blipFill>
                  <pic:spPr>
                    <a:xfrm>
                      <a:off x="0" y="0"/>
                      <a:ext cx="6680200" cy="7683500"/>
                    </a:xfrm>
                    <a:prstGeom prst="rect"/>
                  </pic:spPr>
                </pic:pic>
              </a:graphicData>
            </a:graphic>
          </wp:inline>
        </w:drawing>
      </w:r>
    </w:p>
    <w:p>
      <w:r>
        <w:rPr>
          <w:b w:val="0"/>
          <w:i/>
        </w:rPr>
        <w:t>Source:</w:t>
      </w:r>
      <w:r>
        <w:rPr>
          <w:b w:val="0"/>
          <w:i w:val="0"/>
        </w:rPr>
        <w:t xml:space="preserve"> World Resources Institute</w:t>
      </w:r>
    </w:p>
    <w:p>
      <w:r>
        <w:rPr>
          <w:b w:val="0"/>
          <w:i w:val="0"/>
        </w:rPr>
        <w:t xml:space="preserve">Joint innovation.  I also recently watched the head of procurement at Ingersoll Rand tell hundreds of suppliers that his company would no longer choose vendors on the basis of pricing and quality alone. Now, he said, suppliers would need to innovate </w:t>
      </w:r>
      <w:r>
        <w:rPr>
          <w:b w:val="0"/>
          <w:i/>
        </w:rPr>
        <w:t>with</w:t>
      </w:r>
      <w:r>
        <w:rPr>
          <w:b w:val="0"/>
          <w:i w:val="0"/>
        </w:rPr>
        <w:t xml:space="preserve"> the company to make its products more energy and carbon efficient. This is a great way to drive value chain innovation, but sectorwide collaboration can have an even bigger impact.</w:t>
      </w:r>
    </w:p>
    <w:p>
      <w:r>
        <w:rPr>
          <w:b w:val="0"/>
          <w:i w:val="0"/>
        </w:rPr>
        <w:t>Consider that Walmart and Target, which are traditionally competitors, worked together with the NGO Forum for the Future (on whose board I serve) to create the Beauty and Personal Care Sustainability Project—a creative attempt at improving the environmental and social footprint of all the products we put on our bodies. They brought together big CPG companies such as P&amp;G and Unilever and their chemical suppliers to rethink ingredients, packaging, and more to reduce health and environmental impacts. Apple has dived deep into its supply chain to make its ubiquitous tech products lower carbon, including through a joint venture with Rio Tinto and Alcoa to develop and commercialize an aluminum-smelting process with vastly lower greenhouse gas emissions and lower costs.</w:t>
      </w:r>
    </w:p>
    <w:p>
      <w:r>
        <w:rPr>
          <w:b w:val="0"/>
          <w:i w:val="0"/>
        </w:rPr>
        <w:t>Purchasing power. For years many companies have agreed to work with lagging suppliers to improve their sustainability performance. But the world can no longer afford to wait for slow adopters. Companies should cut them loose and shift their purchasing dollars toward the low-carbon leaders—which are often the best-run suppliers anyway. VF Corporation, the home of brands such as Vans and the North Face, stopped buying leather from Brazil because government policy there was encouraging Amazon rain forest destruction.</w:t>
      </w:r>
    </w:p>
    <w:p>
      <w:r>
        <w:rPr>
          <w:b w:val="0"/>
          <w:i w:val="0"/>
        </w:rPr>
        <w:t>Retailers should make carbon performance a buying priority. Mainstream mega-retailers like Walmart and Target have pressured suppliers for years to make their offerings more sustainable, but they could do much more to support those that are best at reducing emissions in their operations or through their products. They could, for example, permanently (not just on Earth Day) devote endcaps or special promotion areas—their highest-value real estate—to drive business to the lowest carbon-emitting suppliers while satisfying growing customer demand for green products. It’s a win-win, but it’s not normal practice yet.</w:t>
      </w:r>
    </w:p>
    <w:p>
      <w:pPr>
        <w:pStyle w:val="Heading3"/>
      </w:pPr>
      <w:r>
        <w:rPr>
          <w:b w:val="0"/>
          <w:i w:val="0"/>
        </w:rPr>
        <w:t>Customers</w:t>
      </w:r>
    </w:p>
    <w:p>
      <w:r>
        <w:rPr>
          <w:b w:val="0"/>
          <w:i w:val="0"/>
        </w:rPr>
        <w:t>The core thing companies are doing—and must continue to do—is helping customers reduce carbon emissions by developing and offering products that produce fewer emissions throughout their life cycles. We’re seeing great innovation, and customer buy-in, for lower-footprint products in the biggest carbon-emitting sectors: electric vehicles in transportation; efficient heating, cooling, and lighting in buildings; and tasty alternative proteins in food and agriculture.</w:t>
      </w:r>
    </w:p>
    <w:p>
      <w:r>
        <w:rPr>
          <w:b w:val="0"/>
          <w:i w:val="0"/>
        </w:rPr>
        <w:t>Manufacturers and retailers are also working to increase the use of recycled materials and reduce the amount of material used in packaging—all the way to zero in some cases. A group of British retailers, for example, has teamed up to change how some products leave the store. Consumers can fill their own bags and jars from bins of dry goods (grains, beans, nuts, and so on), laundry detergent, and shampoo. Some commercial products are trying to go even further: After making each tile of its prototype carbon-negative flooring, Interface explains, “there is less carbon dioxide in the atmosphere than if it had not been manufactured in the first place.”6</w:t>
      </w:r>
    </w:p>
    <w:p>
      <w:r>
        <w:rPr>
          <w:b/>
          <w:i w:val="0"/>
        </w:rPr>
        <w:t>FIGURE 1-4</w:t>
      </w:r>
    </w:p>
    <w:p>
      <w:r>
        <w:rPr>
          <w:b w:val="0"/>
          <w:i w:val="0"/>
        </w:rPr>
        <w:t>Rising temperatures, rising risks: nature’s collapse</w:t>
      </w:r>
    </w:p>
    <w:p>
      <w:r>
        <w:rPr>
          <w:b w:val="0"/>
          <w:i/>
        </w:rPr>
        <w:t>If the global temperature were to increase by …</w:t>
      </w:r>
    </w:p>
    <w:p>
      <w:pPr>
        <w:jc w:val="center"/>
      </w:pPr>
      <w:r>
        <w:drawing>
          <wp:inline xmlns:a="http://schemas.openxmlformats.org/drawingml/2006/main" xmlns:pic="http://schemas.openxmlformats.org/drawingml/2006/picture">
            <wp:extent cx="6680200" cy="7683500"/>
            <wp:docPr id="90" name="Picture 90"/>
            <wp:cNvGraphicFramePr>
              <a:graphicFrameLocks noChangeAspect="1"/>
            </wp:cNvGraphicFramePr>
            <a:graphic>
              <a:graphicData uri="http://schemas.openxmlformats.org/drawingml/2006/picture">
                <pic:pic>
                  <pic:nvPicPr>
                    <pic:cNvPr id="0" name="epub_img_3564979738343075652.jpg"/>
                    <pic:cNvPicPr/>
                  </pic:nvPicPr>
                  <pic:blipFill>
                    <a:blip r:embed="rId66"/>
                    <a:stretch>
                      <a:fillRect/>
                    </a:stretch>
                  </pic:blipFill>
                  <pic:spPr>
                    <a:xfrm>
                      <a:off x="0" y="0"/>
                      <a:ext cx="6680200" cy="7683500"/>
                    </a:xfrm>
                    <a:prstGeom prst="rect"/>
                  </pic:spPr>
                </pic:pic>
              </a:graphicData>
            </a:graphic>
          </wp:inline>
        </w:drawing>
      </w:r>
    </w:p>
    <w:p>
      <w:pPr>
        <w:jc w:val="center"/>
      </w:pPr>
      <w:r>
        <w:drawing>
          <wp:inline xmlns:a="http://schemas.openxmlformats.org/drawingml/2006/main" xmlns:pic="http://schemas.openxmlformats.org/drawingml/2006/picture">
            <wp:extent cx="6680200" cy="7683500"/>
            <wp:docPr id="91" name="Picture 91"/>
            <wp:cNvGraphicFramePr>
              <a:graphicFrameLocks noChangeAspect="1"/>
            </wp:cNvGraphicFramePr>
            <a:graphic>
              <a:graphicData uri="http://schemas.openxmlformats.org/drawingml/2006/picture">
                <pic:pic>
                  <pic:nvPicPr>
                    <pic:cNvPr id="0" name="epub_img_3564979738343075652.jpg"/>
                    <pic:cNvPicPr/>
                  </pic:nvPicPr>
                  <pic:blipFill>
                    <a:blip r:embed="rId66"/>
                    <a:stretch>
                      <a:fillRect/>
                    </a:stretch>
                  </pic:blipFill>
                  <pic:spPr>
                    <a:xfrm>
                      <a:off x="0" y="0"/>
                      <a:ext cx="6680200" cy="7683500"/>
                    </a:xfrm>
                    <a:prstGeom prst="rect"/>
                  </pic:spPr>
                </pic:pic>
              </a:graphicData>
            </a:graphic>
          </wp:inline>
        </w:drawing>
      </w:r>
    </w:p>
    <w:p>
      <w:r>
        <w:rPr>
          <w:b w:val="0"/>
          <w:i/>
        </w:rPr>
        <w:t>Source:</w:t>
      </w:r>
      <w:r>
        <w:rPr>
          <w:b w:val="0"/>
          <w:i w:val="0"/>
        </w:rPr>
        <w:t xml:space="preserve"> World Resources Institute</w:t>
      </w:r>
    </w:p>
    <w:p>
      <w:r>
        <w:rPr>
          <w:b w:val="0"/>
          <w:i w:val="0"/>
        </w:rPr>
        <w:t>But businesses need to make products like these mainstream and then go beyond the direct impacts of their products on customers to drive deeper change. Here are three possible ways forward:</w:t>
      </w:r>
    </w:p>
    <w:p>
      <w:r>
        <w:rPr>
          <w:b w:val="0"/>
          <w:i w:val="0"/>
        </w:rPr>
        <w:t>Help customers use less and mobilize.  The two most aggressive actions companies can take with consumers are encouraging them to reduce consumption and engaging them in climate activism. Zurich-based Freitag, which makes bags from recycled materials, lets customers create a new look by switching bags with other customers. And Patagonia (always a radical company) is teaching its customers how to repair its clothes so that they don’t need to buy new items. These companies may risk selling less, but they’re building trusted brands with a loyal following. And discouraging consumption hasn’t hurt Patagonia in the least: Sales have quadrupled over the past decade, reaching an estimated $1 billion. Going further, the company is using the trust it has built to mobilize consumers, through its Patagonia Action Works initiative, to engage with grassroots environmental groups in Europe and the United States.</w:t>
      </w:r>
    </w:p>
    <w:p>
      <w:r>
        <w:rPr>
          <w:b w:val="0"/>
          <w:i w:val="0"/>
        </w:rPr>
        <w:t xml:space="preserve">Use communications to educate and inspire consumers.  Companies can make more effective use of two channels in driving climate discussions: packaging and advertising. How? The Swedish oat drink brand Oatly, for example, reports product carbon emissions on its packages and points consumers to information on the climate benefits of eating plant-based products. Ben &amp; Jerry’s used the packaging and launch of an ice cream flavor, Save Our Swirled, to raise awareness about the Paris Climate Accords in 2015. IKEA surveyed more than 14,000 customers in 14 countries to understand their attitudes and how best to motivate climate action through advertising; the resulting framework is designed to guide its communications.7 In the fall of 2019 the household products company Seventh Generation donated advertising airtime on the </w:t>
      </w:r>
      <w:r>
        <w:rPr>
          <w:b w:val="0"/>
          <w:i/>
        </w:rPr>
        <w:t>Today</w:t>
      </w:r>
      <w:r>
        <w:rPr>
          <w:b w:val="0"/>
          <w:i w:val="0"/>
        </w:rPr>
        <w:t xml:space="preserve"> show to help promote the Youth Climate Movement.</w:t>
      </w:r>
    </w:p>
    <w:p>
      <w:r>
        <w:rPr>
          <w:b w:val="0"/>
          <w:i w:val="0"/>
        </w:rPr>
        <w:t>A new collaborative initiative seeks to make promotional activities like these the norm. Launched recently by Sustainable Brands (on whose advisory board I sit)—along with some big names such as PepsiCo, Nestlé Waters, P&amp;G, SC Johnson, and Visa—the Brands for Good program commits participants to encourage sustainable living through their marketing and communications and, even more ambitious, to transform the field of marketing to support that goal.</w:t>
      </w:r>
    </w:p>
    <w:p>
      <w:r>
        <w:rPr>
          <w:b w:val="0"/>
          <w:i w:val="0"/>
        </w:rPr>
        <w:t>Choose business customers wisely.  The efforts described above focus on traditional consumers. But companies need to direct equal attention to their business customers. As with suppliers, they must stop enabling customers that are either not addressing climate change or, more to the point, part of the high-carbon economy. Banks, venture capital and private equity funds, consulting companies, legal firms, and other service providers should ask tough questions about whom they’re supporting. Helping companies be “better” at extracting or burning carbon-based fuels is actively moving the world in the wrong direction, and it dwarfs any carbon reduction a service business pursues in its own operations.</w:t>
      </w:r>
    </w:p>
    <w:p>
      <w:r>
        <w:rPr>
          <w:b w:val="0"/>
          <w:i w:val="0"/>
        </w:rPr>
        <w:t>In the investment world, a movement to divest from fossil fuels is taking off, spearheaded by a group of investors with $11 trillion in assets. Norway’s $1 trillion sovereign wealth fund is likewise dumping investments in many oil and gas companies.</w:t>
      </w:r>
    </w:p>
    <w:p>
      <w:r>
        <w:rPr>
          <w:b w:val="0"/>
          <w:i w:val="0"/>
        </w:rPr>
        <w:t>Other service companies, such as consulting giants and law firms, that still work with carbon-intensive industries should be helping them make the permanent pivot necessary to survive. That means helping fossil fuel companies sunset their core business over the next few decades and completely shift their portfolios and business models toward clean options. Tech companies have to do some hard thinking as well. One of the reasons Amazon’s employees rebelled was the company’s announcement that its cloud business would help oil and gas companies accelerate exploration. Stakeholders will continue to ask probing questions about what companies stand for and whom they support—and companies will have to have an answer.</w:t>
      </w:r>
    </w:p>
    <w:p>
      <w:pPr>
        <w:pStyle w:val="Heading3"/>
      </w:pPr>
      <w:r>
        <w:rPr>
          <w:b w:val="0"/>
          <w:i w:val="0"/>
        </w:rPr>
        <w:t>Employees</w:t>
      </w:r>
    </w:p>
    <w:p>
      <w:r>
        <w:rPr>
          <w:b w:val="0"/>
          <w:i w:val="0"/>
        </w:rPr>
        <w:t>In the battle for talent, especially for Millennials and Gen Z, companies must prove that they are good citizens. Surveys consistently show that people under 40 want to work for employers that share their values. As Unilever’s sustainable living plan gained steam in the mid-2010s, the company became the most sought-after employer in its sector. Top executives I’ve worked with at Unilever cite its sustainability leadership as key in attracting and retaining talent. The benefit flows both ways: Companies need their employees’ commitment and buy-in to achieve their sustainability goals.</w:t>
      </w:r>
    </w:p>
    <w:p>
      <w:r>
        <w:rPr>
          <w:b w:val="0"/>
          <w:i w:val="0"/>
        </w:rPr>
        <w:t>To reinforce this relationship, companies must build sustainability and climate action into their regular incentive structures and systems—that is, pay everyone from the C-suite on down to cut carbon. They are secretive about the exact percentages, but the most committed companies I’ve seen tie at least a quarter of bonuses to sustainability key performance indicators (KPIs). It’s time to increase that.</w:t>
      </w:r>
    </w:p>
    <w:p>
      <w:r>
        <w:rPr>
          <w:b/>
          <w:i w:val="0"/>
        </w:rPr>
        <w:t>FIGURE 1-5</w:t>
      </w:r>
    </w:p>
    <w:p>
      <w:r>
        <w:rPr>
          <w:b w:val="0"/>
          <w:i w:val="0"/>
        </w:rPr>
        <w:t>Rising temperatures, rising risks: heat waves</w:t>
      </w:r>
    </w:p>
    <w:p>
      <w:r>
        <w:rPr>
          <w:b w:val="0"/>
          <w:i/>
        </w:rPr>
        <w:t>If the global temperature were to increase by …</w:t>
      </w:r>
    </w:p>
    <w:p>
      <w:pPr>
        <w:jc w:val="center"/>
      </w:pPr>
      <w:r>
        <w:drawing>
          <wp:inline xmlns:a="http://schemas.openxmlformats.org/drawingml/2006/main" xmlns:pic="http://schemas.openxmlformats.org/drawingml/2006/picture">
            <wp:extent cx="6680200" cy="7683500"/>
            <wp:docPr id="92" name="Picture 92"/>
            <wp:cNvGraphicFramePr>
              <a:graphicFrameLocks noChangeAspect="1"/>
            </wp:cNvGraphicFramePr>
            <a:graphic>
              <a:graphicData uri="http://schemas.openxmlformats.org/drawingml/2006/picture">
                <pic:pic>
                  <pic:nvPicPr>
                    <pic:cNvPr id="0" name="epub_img_7215698647352219621.jpg"/>
                    <pic:cNvPicPr/>
                  </pic:nvPicPr>
                  <pic:blipFill>
                    <a:blip r:embed="rId67"/>
                    <a:stretch>
                      <a:fillRect/>
                    </a:stretch>
                  </pic:blipFill>
                  <pic:spPr>
                    <a:xfrm>
                      <a:off x="0" y="0"/>
                      <a:ext cx="6680200" cy="7683500"/>
                    </a:xfrm>
                    <a:prstGeom prst="rect"/>
                  </pic:spPr>
                </pic:pic>
              </a:graphicData>
            </a:graphic>
          </wp:inline>
        </w:drawing>
      </w:r>
    </w:p>
    <w:p>
      <w:pPr>
        <w:jc w:val="center"/>
      </w:pPr>
      <w:r>
        <w:drawing>
          <wp:inline xmlns:a="http://schemas.openxmlformats.org/drawingml/2006/main" xmlns:pic="http://schemas.openxmlformats.org/drawingml/2006/picture">
            <wp:extent cx="6680200" cy="7683500"/>
            <wp:docPr id="93" name="Picture 93"/>
            <wp:cNvGraphicFramePr>
              <a:graphicFrameLocks noChangeAspect="1"/>
            </wp:cNvGraphicFramePr>
            <a:graphic>
              <a:graphicData uri="http://schemas.openxmlformats.org/drawingml/2006/picture">
                <pic:pic>
                  <pic:nvPicPr>
                    <pic:cNvPr id="0" name="epub_img_7215698647352219621.jpg"/>
                    <pic:cNvPicPr/>
                  </pic:nvPicPr>
                  <pic:blipFill>
                    <a:blip r:embed="rId67"/>
                    <a:stretch>
                      <a:fillRect/>
                    </a:stretch>
                  </pic:blipFill>
                  <pic:spPr>
                    <a:xfrm>
                      <a:off x="0" y="0"/>
                      <a:ext cx="6680200" cy="7683500"/>
                    </a:xfrm>
                    <a:prstGeom prst="rect"/>
                  </pic:spPr>
                </pic:pic>
              </a:graphicData>
            </a:graphic>
          </wp:inline>
        </w:drawing>
      </w:r>
    </w:p>
    <w:p>
      <w:r>
        <w:rPr>
          <w:b w:val="0"/>
          <w:i/>
        </w:rPr>
        <w:t>Source:</w:t>
      </w:r>
      <w:r>
        <w:rPr>
          <w:b w:val="0"/>
          <w:i w:val="0"/>
        </w:rPr>
        <w:t xml:space="preserve"> World Resources Institute</w:t>
      </w:r>
    </w:p>
    <w:p>
      <w:r>
        <w:rPr>
          <w:b w:val="0"/>
          <w:i/>
        </w:rPr>
        <w:t>Note:</w:t>
      </w:r>
      <w:r>
        <w:rPr>
          <w:b w:val="0"/>
          <w:i w:val="0"/>
        </w:rPr>
        <w:t xml:space="preserve"> According to research published in </w:t>
      </w:r>
      <w:r>
        <w:rPr>
          <w:b w:val="0"/>
          <w:i/>
        </w:rPr>
        <w:t>Nature Climate Change</w:t>
      </w:r>
      <w:r>
        <w:rPr>
          <w:b w:val="0"/>
          <w:i w:val="0"/>
        </w:rPr>
        <w:t>, “deadly heat” is the threshold beyond which air temperatures, humidity, and other factors can be lethal.</w:t>
      </w:r>
    </w:p>
    <w:p>
      <w:r>
        <w:rPr>
          <w:b w:val="0"/>
          <w:i w:val="0"/>
        </w:rPr>
        <w:t>Can companies go even further and proactively support their employees’ values by helping them drive change in the world around them? Some organizations already do. During the 2018 U.S. election, more than 100 of them, including Walmart, Levi Strauss, The Gap, Southwest Airlines, Kaiser Permanente, and Lyft, joined the Time to Vote initiative, giving employees time off to be good citizens. Some even encourage direct climate activism. Having identified the “climate emergency” as a top employee concern, the $1 billion cosmetics retailer Lush closed 200 shops in the United States to allow employees to join global climate marches last September. A Lush representative told me that during Canadian marches the company also shuttered 50 shops and offices for 20 manufacturing and support teams.</w:t>
      </w:r>
    </w:p>
    <w:p>
      <w:r>
        <w:rPr>
          <w:b w:val="0"/>
          <w:i w:val="0"/>
        </w:rPr>
        <w:t>Atlassian, the fast-growing Australian enterprise software company with a $30 billion market cap, also encourages employees to become climate activists. As the company’s cofounder Mike Cannon-Brookes wrote in his blunt blog, “Don’t @#$% the planet,” Atlassian gives employees a week each year to volunteer for charity, and they can now use the time to join marches and strikes. He wants them to “go further and volunteer their time to other not-for-profit groups with a focus on climate.”</w:t>
      </w:r>
    </w:p>
    <w:p>
      <w:r>
        <w:rPr>
          <w:b w:val="0"/>
          <w:i w:val="0"/>
        </w:rPr>
        <w:t xml:space="preserve">Employees want to work for a company that stands for something. But they increasingly also want the freedom to express what </w:t>
      </w:r>
      <w:r>
        <w:rPr>
          <w:b w:val="0"/>
          <w:i/>
        </w:rPr>
        <w:t>they</w:t>
      </w:r>
      <w:r>
        <w:rPr>
          <w:b w:val="0"/>
          <w:i w:val="0"/>
        </w:rPr>
        <w:t xml:space="preserve"> stand for. So ask them what they care about—especially younger and newer employees—and help them live their values.</w:t>
      </w:r>
    </w:p>
    <w:p>
      <w:pPr>
        <w:pStyle w:val="Heading2"/>
      </w:pPr>
      <w:r>
        <w:rPr>
          <w:b w:val="0"/>
          <w:i w:val="0"/>
        </w:rPr>
        <w:t>3. Rethinking the Business</w:t>
      </w:r>
    </w:p>
    <w:p>
      <w:r>
        <w:rPr>
          <w:b w:val="0"/>
          <w:i w:val="0"/>
        </w:rPr>
        <w:t xml:space="preserve">Flexing political muscle and reconceiving stakeholder relationships must happen quickly. But it is also time to think big, to look for new possibilities, and to question core assumptions about consumption and growth in the economy—that is, to go far beyond simply slashing energy use and buying renewables. Today the possibilities are broad, with everything from reducing food waste to developing circular business models falling under the umbrella of “climate strategy.” Now is the right time to think critically and creatively about how </w:t>
      </w:r>
      <w:r>
        <w:rPr>
          <w:b w:val="0"/>
          <w:i/>
        </w:rPr>
        <w:t>all</w:t>
      </w:r>
      <w:r>
        <w:rPr>
          <w:b w:val="0"/>
          <w:i w:val="0"/>
        </w:rPr>
        <w:t xml:space="preserve"> products and services in every sector are created and used and to squeeze carbon out of every step in the value chain. Some of this is tactical—for example, working with suppliers or customers to reduce their emissions, as discussed. But at the strategic level it can mean rethinking the company’s investments and business models entirely. Here are some ways to do just that, focused on two key areas.</w:t>
      </w:r>
    </w:p>
    <w:p>
      <w:pPr>
        <w:pStyle w:val="Heading3"/>
      </w:pPr>
      <w:r>
        <w:rPr>
          <w:b w:val="0"/>
          <w:i w:val="0"/>
        </w:rPr>
        <w:t>Risk and investments</w:t>
      </w:r>
    </w:p>
    <w:p>
      <w:r>
        <w:rPr>
          <w:b w:val="0"/>
          <w:i w:val="0"/>
        </w:rPr>
        <w:t>Companies deploy capital and make investment decisions in multiple ways. With some important changes in how they think about financing and investment, much more capital could flow to low-carbon activities.</w:t>
      </w:r>
    </w:p>
    <w:p>
      <w:r>
        <w:rPr>
          <w:b w:val="0"/>
          <w:i w:val="0"/>
        </w:rPr>
        <w:t>Consider the idea of return on investment. In most companies, to get internal funding, a project must achieve a predetermined rate of return (or hurdle rate) that will pay off relatively quickly. This approach to ROI is flawed. It generally measures the “R” in straight cash, without allowing for more strategic or intangible value. It’s also agnostic as to whether the investment moves the company down a more sustainable path. We need to use this tool differently to shift to low-carbon investment choices.</w:t>
      </w:r>
    </w:p>
    <w:p>
      <w:r>
        <w:rPr>
          <w:b w:val="0"/>
          <w:i w:val="0"/>
        </w:rPr>
        <w:t>Smart tweaks to two internal processes—capital expenditures and hurdle rates—can do a lot of good. J. M. Huber, a family-owned business that manufactures nature-based ingredients for the food and personal care industries along with components in home building, developed a more holistic approach to optimizing capital deployment. The chief sustainability officer and the CFO worked together to shift the capex process to factor in intangible benefits such as community engagement, customer perceptions, employee attraction and retention, and business resiliency (for example, solar array projects that insulate the business from fossil fuel energy price shocks).</w:t>
      </w:r>
    </w:p>
    <w:p>
      <w:r>
        <w:rPr>
          <w:b w:val="0"/>
          <w:i w:val="0"/>
        </w:rPr>
        <w:t>Companies should set their hurdle rates more strategically and allow some investments more leeway, with a strong bias toward funding carbon-reducing projects. If, for example, constructing an energy-efficient building—one that will save money and carbon over its lifetime—costs more up front or requires more than a few years to pay off, isn’t it still a smart investment on a 40-year asset?</w:t>
      </w:r>
    </w:p>
    <w:p>
      <w:r>
        <w:rPr>
          <w:b w:val="0"/>
          <w:i w:val="0"/>
        </w:rPr>
        <w:t xml:space="preserve">Another wise investment shift involves levying an internal carbon price on companies’ own operations to encourage emissions reduction. More than 1,400 organizations now use internal pricing in some way, but the norm is to use “shadow” prices with no money changing hands. That approach isn’t strong enough. Early leaders like Microsoft, Disney, and LVMH have been collecting </w:t>
      </w:r>
      <w:r>
        <w:rPr>
          <w:b w:val="0"/>
          <w:i/>
        </w:rPr>
        <w:t>real</w:t>
      </w:r>
      <w:r>
        <w:rPr>
          <w:b w:val="0"/>
          <w:i w:val="0"/>
        </w:rPr>
        <w:t xml:space="preserve"> money from divisions or functions related to their emissions. That “tax” revenue is reinvested in energy efficiency, renewables, or offset projects such as tree planting. All companies should use this strategy to help fund low-carbon projects and to prepare the business as government-imposed carbon taxes become more common.</w:t>
      </w:r>
    </w:p>
    <w:p>
      <w:r>
        <w:rPr>
          <w:b/>
          <w:i w:val="0"/>
        </w:rPr>
        <w:t>FIGURE 1-6</w:t>
      </w:r>
    </w:p>
    <w:p>
      <w:r>
        <w:rPr>
          <w:b w:val="0"/>
          <w:i w:val="0"/>
        </w:rPr>
        <w:t>Rising temperatures, rising risks: water uncertainty</w:t>
      </w:r>
    </w:p>
    <w:p>
      <w:r>
        <w:rPr>
          <w:b w:val="0"/>
          <w:i/>
        </w:rPr>
        <w:t>If the global temperature were to increase by …</w:t>
      </w:r>
    </w:p>
    <w:p>
      <w:pPr>
        <w:jc w:val="center"/>
      </w:pPr>
      <w:r>
        <w:drawing>
          <wp:inline xmlns:a="http://schemas.openxmlformats.org/drawingml/2006/main" xmlns:pic="http://schemas.openxmlformats.org/drawingml/2006/picture">
            <wp:extent cx="6680200" cy="7683500"/>
            <wp:docPr id="94" name="Picture 94"/>
            <wp:cNvGraphicFramePr>
              <a:graphicFrameLocks noChangeAspect="1"/>
            </wp:cNvGraphicFramePr>
            <a:graphic>
              <a:graphicData uri="http://schemas.openxmlformats.org/drawingml/2006/picture">
                <pic:pic>
                  <pic:nvPicPr>
                    <pic:cNvPr id="0" name="epub_img_7034010386946231656.jpg"/>
                    <pic:cNvPicPr/>
                  </pic:nvPicPr>
                  <pic:blipFill>
                    <a:blip r:embed="rId68"/>
                    <a:stretch>
                      <a:fillRect/>
                    </a:stretch>
                  </pic:blipFill>
                  <pic:spPr>
                    <a:xfrm>
                      <a:off x="0" y="0"/>
                      <a:ext cx="6680200" cy="7683500"/>
                    </a:xfrm>
                    <a:prstGeom prst="rect"/>
                  </pic:spPr>
                </pic:pic>
              </a:graphicData>
            </a:graphic>
          </wp:inline>
        </w:drawing>
      </w:r>
    </w:p>
    <w:p>
      <w:pPr>
        <w:jc w:val="center"/>
      </w:pPr>
      <w:r>
        <w:drawing>
          <wp:inline xmlns:a="http://schemas.openxmlformats.org/drawingml/2006/main" xmlns:pic="http://schemas.openxmlformats.org/drawingml/2006/picture">
            <wp:extent cx="6680200" cy="7683500"/>
            <wp:docPr id="95" name="Picture 95"/>
            <wp:cNvGraphicFramePr>
              <a:graphicFrameLocks noChangeAspect="1"/>
            </wp:cNvGraphicFramePr>
            <a:graphic>
              <a:graphicData uri="http://schemas.openxmlformats.org/drawingml/2006/picture">
                <pic:pic>
                  <pic:nvPicPr>
                    <pic:cNvPr id="0" name="epub_img_7034010386946231656.jpg"/>
                    <pic:cNvPicPr/>
                  </pic:nvPicPr>
                  <pic:blipFill>
                    <a:blip r:embed="rId68"/>
                    <a:stretch>
                      <a:fillRect/>
                    </a:stretch>
                  </pic:blipFill>
                  <pic:spPr>
                    <a:xfrm>
                      <a:off x="0" y="0"/>
                      <a:ext cx="6680200" cy="7683500"/>
                    </a:xfrm>
                    <a:prstGeom prst="rect"/>
                  </pic:spPr>
                </pic:pic>
              </a:graphicData>
            </a:graphic>
          </wp:inline>
        </w:drawing>
      </w:r>
    </w:p>
    <w:p>
      <w:r>
        <w:rPr>
          <w:b w:val="0"/>
          <w:i/>
        </w:rPr>
        <w:t>Source:</w:t>
      </w:r>
      <w:r>
        <w:rPr>
          <w:b w:val="0"/>
          <w:i w:val="0"/>
        </w:rPr>
        <w:t xml:space="preserve"> World Resources Institute</w:t>
      </w:r>
    </w:p>
    <w:p>
      <w:r>
        <w:rPr>
          <w:b w:val="0"/>
          <w:i/>
        </w:rPr>
        <w:t>Note:</w:t>
      </w:r>
      <w:r>
        <w:rPr>
          <w:b w:val="0"/>
          <w:i w:val="0"/>
        </w:rPr>
        <w:t xml:space="preserve"> According to the NOAA, “extreme rainfall” can be loosely defined as a month’s worth of rain for a given region falling in a single day.</w:t>
      </w:r>
    </w:p>
    <w:p>
      <w:r>
        <w:rPr>
          <w:b w:val="0"/>
          <w:i w:val="0"/>
        </w:rPr>
        <w:t>A more recent strategy is to use financing tools such as green bonds, now a $200 billion market, in which the proceeds from bond purchases go to environmental and climate projects. The Italian energy group ENEL is trying something a bit different, issuing a bond tied to a KPI measuring the company’s performance against the UN’s Sustainable Development Goals. If ENEL misses its target of increasing renewable energy to 55% of its installed capacity, it will pay 25 basis points more to bondholders. Although the funds raised are not tied to a specific use, as they are with conventional green bonds, the instrument clearly supports emissions reduction.</w:t>
      </w:r>
    </w:p>
    <w:p>
      <w:r>
        <w:rPr>
          <w:b w:val="0"/>
          <w:i w:val="0"/>
        </w:rPr>
        <w:t xml:space="preserve">Perhaps the biggest move a company can make is to rethink where to place its R&amp;D bets. In a telling seismic shift, Daimler announced that it would no longer invest in research on internal combustion engines and would put billions toward electric vehicles instead. And the CEO of Nestlé, Mark Schneider, spoke recently about investing in plant-based proteins, which have a </w:t>
      </w:r>
      <w:r>
        <w:rPr>
          <w:b w:val="0"/>
          <w:i/>
        </w:rPr>
        <w:t>much</w:t>
      </w:r>
      <w:r>
        <w:rPr>
          <w:b w:val="0"/>
          <w:i w:val="0"/>
        </w:rPr>
        <w:t xml:space="preserve"> smaller carbon footprint than conventionally produced meat, saying, “A Swiss franc we spend developing the burger is a burden to this quarter’s profits. Next year or the year after, it will come back to us if we do our job right.”8 Seeing returns on a fast-growing new market within a year or two sounds like a good deal.</w:t>
      </w:r>
    </w:p>
    <w:p>
      <w:pPr>
        <w:pStyle w:val="Heading3"/>
      </w:pPr>
      <w:r>
        <w:rPr>
          <w:b w:val="0"/>
          <w:i w:val="0"/>
        </w:rPr>
        <w:t>New business models</w:t>
      </w:r>
    </w:p>
    <w:p>
      <w:r>
        <w:rPr>
          <w:b w:val="0"/>
          <w:i w:val="0"/>
        </w:rPr>
        <w:t>The level of carbon reduction that the Intergovernmental Panel on Climate Change says is required to head off catastrophic warming—cutting emissions in half by 2030 and to zero by 2050—is daunting. Everything discussed here will move us much more quickly, but some fundamental changes are needed in how we think about products, services, and consumption. Current business models and delivery methods can lock us into more material- and energy-intensive pathways. And some sectors, the most carbon intensive, will need to exit core businesses.</w:t>
      </w:r>
    </w:p>
    <w:p>
      <w:r>
        <w:rPr>
          <w:b w:val="0"/>
          <w:i w:val="0"/>
        </w:rPr>
        <w:t>Consider Philips Lighting, which launched a “light as a service” model, through which business customers pay Philips to install and manage their lighting rather than purchase a lighting system themselves. This flips Philips’s traditional model on its head: Instead of trying to sell as many bulbs as possible, under this program, the company manages the provision of light as frugally as it can, using longer-lasting, more-efficient products that slash material and energy use. In a larger-scale transformation, the energy company Ørsted—formerly known as Danish Oil &amp; Natural Gas—anticipated the decarbonization of the global economy and began pivoting from its core business a decade ago. It has since sold off most of its fossil fuel assets and has become the world’s largest builder of offshore wind farms. And just a few years ago, the idea that meat-based McDonald’s and Burger King would both be selling plant-based “burgers” seemed far-fetched. But they, like Ørsted, may be thinking strategically about what the coming low-carbon economy means for their business.</w:t>
      </w:r>
    </w:p>
    <w:p>
      <w:pPr>
        <w:pStyle w:val="Heading2"/>
      </w:pPr>
      <w:r>
        <w:rPr>
          <w:b w:val="0"/>
          <w:i w:val="0"/>
        </w:rPr>
        <w:t>The Next Level of Action</w:t>
      </w:r>
    </w:p>
    <w:p>
      <w:r>
        <w:rPr>
          <w:b w:val="0"/>
          <w:i w:val="0"/>
        </w:rPr>
        <w:t xml:space="preserve">There’s no doubt that companies are doing a lot on climate, including cutting emissions and setting aggressive carbon goals for operations, supply chains, and their innovation agendas. But it’s not enough. The science is getting away from us, and we’re losing the relatively stable planetary temperature range that allowed us to build our society over the past 10,000 years. Companies have many levers to pull to truly change business as usual, but most remain stuck in old thinking. Climate action is usually focused on incremental change. And even when they’re setting a big goal like going to all-renewable energy, companies have waited until every project makes money quickly. Now they need to mobilize </w:t>
      </w:r>
      <w:r>
        <w:rPr>
          <w:b w:val="0"/>
          <w:i/>
        </w:rPr>
        <w:t>all</w:t>
      </w:r>
      <w:r>
        <w:rPr>
          <w:b w:val="0"/>
          <w:i w:val="0"/>
        </w:rPr>
        <w:t xml:space="preserve"> corporate assets, hard </w:t>
      </w:r>
      <w:r>
        <w:rPr>
          <w:b w:val="0"/>
          <w:i/>
        </w:rPr>
        <w:t>and</w:t>
      </w:r>
      <w:r>
        <w:rPr>
          <w:b w:val="0"/>
          <w:i w:val="0"/>
        </w:rPr>
        <w:t xml:space="preserve"> soft, to tackle this shared, unprecedented problem at the scale it requires.</w:t>
      </w:r>
    </w:p>
    <w:p>
      <w:r>
        <w:rPr>
          <w:b w:val="0"/>
          <w:i w:val="0"/>
        </w:rPr>
        <w:t xml:space="preserve">Next-gen climate actions, as they become an expected part of business, will create significant long-term value. They will help companies build closer, lasting connections with key stakeholders; create clear and consistent regulatory environments that enable more sustainable practices that lower costs; and drive deeper, more-disruptive (or what I call </w:t>
      </w:r>
      <w:r>
        <w:rPr>
          <w:b w:val="0"/>
          <w:i/>
        </w:rPr>
        <w:t>heretical</w:t>
      </w:r>
      <w:r>
        <w:rPr>
          <w:b w:val="0"/>
          <w:i w:val="0"/>
        </w:rPr>
        <w:t>) innovation. Throw in the substantial intangible value—employee attraction and loyalty, lowered risk in supply chain, resilience, license to operate, societal relevance, and preparation for a very different future—and you have a powerful business case.</w:t>
      </w:r>
    </w:p>
    <w:p>
      <w:r>
        <w:rPr>
          <w:b w:val="0"/>
          <w:i w:val="0"/>
        </w:rPr>
        <w:t>But it’s also well past time to recognize that aggressive climate action is necessary if humanity is to survive and thrive. Business and society won’t succeed unless and until we do all we can to tackle climate change.</w:t>
      </w:r>
    </w:p>
    <w:p>
      <w:r>
        <w:rPr>
          <w:b w:val="0"/>
          <w:i w:val="0"/>
        </w:rPr>
        <w:t>TAKEAWAYS</w:t>
      </w:r>
    </w:p>
    <w:p>
      <w:r>
        <w:rPr>
          <w:b w:val="0"/>
          <w:i w:val="0"/>
        </w:rPr>
        <w:t>Companies need to mobilize in three ways to deal with the unprecedented global problem of climate change:</w:t>
      </w:r>
    </w:p>
    <w:p>
      <w:pPr>
        <w:pStyle w:val="ListBullet"/>
      </w:pPr>
      <w:r>
        <w:rPr>
          <w:b w:val="0"/>
          <w:i w:val="0"/>
        </w:rPr>
        <w:t>Use political influence to demand aggressive climate policies. Proactively support laws that make high-carbon products and choices more expensive, mobilize capital toward a clean economy, and help deal with adaptation and the human costs of shifts to clean technology, including resilience planning in cities, relocation of citizens, and retraining workers.</w:t>
      </w:r>
    </w:p>
    <w:p>
      <w:pPr>
        <w:pStyle w:val="ListBullet"/>
      </w:pPr>
      <w:r>
        <w:rPr>
          <w:b w:val="0"/>
          <w:i w:val="0"/>
        </w:rPr>
        <w:t>Empower key stakeholders to drive change. Limit your suppliers to only those who have low emissions or work with them to create more energy- and carbon-efficient products. Offer your customers products that produce fewer emissions throughout their life cycles and provide ways for them to use less, thereby reducing their carbon footprints. Build sustainability and climate action into incentive structures for your employees by paying everyone (from the C-suite on down) to cut carbon.</w:t>
      </w:r>
    </w:p>
    <w:p>
      <w:pPr>
        <w:pStyle w:val="ListBullet"/>
      </w:pPr>
      <w:r>
        <w:rPr>
          <w:b w:val="0"/>
          <w:i w:val="0"/>
        </w:rPr>
        <w:t>Rethink investments and business models to eliminate waste and carbon. Think about how all products and services in every sector of your company are created and used, and squeeze carbon out of every step in the value chain. Then, rethink where your company is taking risks and consider new business models.</w:t>
      </w:r>
    </w:p>
    <w:p>
      <w:pPr>
        <w:pStyle w:val="Heading3"/>
      </w:pPr>
      <w:r>
        <w:rPr>
          <w:b w:val="0"/>
          <w:i w:val="0"/>
        </w:rPr>
        <w:t>NOTES</w:t>
      </w:r>
    </w:p>
    <w:p>
      <w:pPr>
        <w:pStyle w:val="ListNumber"/>
      </w:pPr>
      <w:r>
        <w:rPr>
          <w:b w:val="0"/>
          <w:i w:val="0"/>
        </w:rPr>
        <w:t>1. Christian Mumenthaler, “Swiss Re Retains Its Strength in a Challenging Year and Commits to a More Sustainable Future,” Swiss Re, February 21, 2019, https://reports.swissre.com/2018/business-report/the-year-in-review/statement-from-the-group-ceo.html.</w:t>
      </w:r>
    </w:p>
    <w:p>
      <w:pPr>
        <w:pStyle w:val="ListNumber"/>
      </w:pPr>
      <w:r>
        <w:rPr>
          <w:b w:val="0"/>
          <w:i w:val="0"/>
        </w:rPr>
        <w:t xml:space="preserve">2. Mattha Busby, “Capitalism Is Part of Solution to Climate Crisis, Says Mark Carney,” </w:t>
      </w:r>
      <w:r>
        <w:rPr>
          <w:b w:val="0"/>
          <w:i/>
        </w:rPr>
        <w:t>The Guardian</w:t>
      </w:r>
      <w:r>
        <w:rPr>
          <w:b w:val="0"/>
          <w:i w:val="0"/>
        </w:rPr>
        <w:t>, July 31, 2019, https://www.theguardian.com/business/2019/jul/31/capitalism-is-part-of-solution-to-climate-crisis-says-mark-carney.</w:t>
      </w:r>
    </w:p>
    <w:p>
      <w:pPr>
        <w:pStyle w:val="ListNumber"/>
      </w:pPr>
      <w:r>
        <w:rPr>
          <w:b w:val="0"/>
          <w:i w:val="0"/>
        </w:rPr>
        <w:t>3. UN Environment Programme, “Emissions Gap Report 2019,” November 26, 2019, https://www.unenvironment.org/resources/emissions-gap-report-2019.</w:t>
      </w:r>
    </w:p>
    <w:p>
      <w:pPr>
        <w:pStyle w:val="ListNumber"/>
      </w:pPr>
      <w:r>
        <w:rPr>
          <w:b w:val="0"/>
          <w:i w:val="0"/>
        </w:rPr>
        <w:t xml:space="preserve">4. Paul Polman, “Business, Society, and the Future of Capitalism,” </w:t>
      </w:r>
      <w:r>
        <w:rPr>
          <w:b w:val="0"/>
          <w:i/>
        </w:rPr>
        <w:t>McKinsey Quarterly</w:t>
      </w:r>
      <w:r>
        <w:rPr>
          <w:b w:val="0"/>
          <w:i w:val="0"/>
        </w:rPr>
        <w:t>, May 2014, https://www.mckinsey.com/business-functions/sustainability/our-insights/business-society-and-the-future-of-capitalism.</w:t>
      </w:r>
    </w:p>
    <w:p>
      <w:pPr>
        <w:pStyle w:val="ListNumber"/>
      </w:pPr>
      <w:r>
        <w:rPr>
          <w:b w:val="0"/>
          <w:i w:val="0"/>
        </w:rPr>
        <w:t>5. Tensie Whelan and Randi Kronthal-Sacco, “Research: Actually, Consumers Do Buy Sustainable Products,” hbr.org, June 19, 2019, https://hbr.org/2019/06/research-actually-consumers-do-buy-sustainable-products; Deloitte, “Millennials Want Business to Shift Its Purpose,” The Deloitte Millennial Survey 2016, https://www2.deloitte.com/us/en/pages/about-deloitte/articles/millennials-shifting-business-purpose.html.</w:t>
      </w:r>
    </w:p>
    <w:p>
      <w:pPr>
        <w:pStyle w:val="ListNumber"/>
      </w:pPr>
      <w:r>
        <w:rPr>
          <w:b w:val="0"/>
          <w:i w:val="0"/>
        </w:rPr>
        <w:t>6. Interface, “Interface Unveils Prototype Carpet Tile to Inspire New Approaches to Address Climate Change,” June 8, 2017, https://www.interface.com/US/en-US/about/press-room/carbon-storing-tile-release-en_US.</w:t>
      </w:r>
    </w:p>
    <w:p>
      <w:pPr>
        <w:pStyle w:val="ListNumber"/>
      </w:pPr>
      <w:r>
        <w:rPr>
          <w:b w:val="0"/>
          <w:i w:val="0"/>
        </w:rPr>
        <w:t>7. IKEA, “Climate Action Starts at Home,” IKEA Climate Action Report, 2018, https://www.ikea.com/ms/en_US/pdf/reports-downloads/IKEA%20Climate%20Action%20Report%2020180906%20(002).pdf.</w:t>
      </w:r>
    </w:p>
    <w:p>
      <w:pPr>
        <w:pStyle w:val="ListNumber"/>
      </w:pPr>
      <w:r>
        <w:rPr>
          <w:b w:val="0"/>
          <w:i w:val="0"/>
        </w:rPr>
        <w:t xml:space="preserve">8. Jack Ewing, “Nestlé Says It Can Be Virtuous and Profitable. Is That Even Possible?” </w:t>
      </w:r>
      <w:r>
        <w:rPr>
          <w:b w:val="0"/>
          <w:i/>
        </w:rPr>
        <w:t>New York Times</w:t>
      </w:r>
      <w:r>
        <w:rPr>
          <w:b w:val="0"/>
          <w:i w:val="0"/>
        </w:rPr>
        <w:t>, November 15, 2019, https://www.nytimes.com/2019/11/15/business/nestle-environment-sustainability.html.</w:t>
      </w:r>
    </w:p>
    <w:p>
      <w:r>
        <w:rPr>
          <w:b w:val="0"/>
          <w:i/>
        </w:rPr>
        <w:t>Adapted from content posted on hbr.org, January 2020 (product #BG2001).</w:t>
      </w:r>
    </w:p>
    <w:p>
      <w:pPr>
        <w:pStyle w:val="Heading1"/>
      </w:pPr>
      <w:r>
        <w:rPr>
          <w:b w:val="0"/>
          <w:i w:val="0"/>
        </w:rPr>
        <w:t>2</w:t>
      </w:r>
    </w:p>
    <w:p>
      <w:pPr>
        <w:pStyle w:val="Heading1"/>
      </w:pPr>
      <w:r>
        <w:rPr>
          <w:b w:val="0"/>
          <w:i w:val="0"/>
        </w:rPr>
        <w:t>WHEN ENVIRONMENTAL REGULATIONS ARE TIGHTER AT HOME, COMPANIES EMIT MORE ABROAD</w:t>
      </w:r>
    </w:p>
    <w:p>
      <w:r>
        <w:rPr>
          <w:b w:val="0"/>
          <w:i w:val="0"/>
        </w:rPr>
        <w:t>by Itzhak (Zahi) Ben-David, Stefanie Kleimeier, and Michael Viehs</w:t>
      </w:r>
    </w:p>
    <w:p>
      <w:r>
        <w:rPr>
          <w:b w:val="0"/>
          <w:i w:val="0"/>
        </w:rPr>
        <w:t>If we want to avoid the most damaging effects of climate change, countries need to work together to limit pollution and keep global warming to under 1.5°C. But countries differ in their approaches toward environmental regulation. Some are trying to reduce carbon dioxide (CO2) emissions by enforcing strict environmental policies. Others are considering withdrawing from the Paris Agreement designed to collectively combat climate change—or already have.</w:t>
      </w:r>
    </w:p>
    <w:p>
      <w:r>
        <w:rPr>
          <w:b w:val="0"/>
          <w:i w:val="0"/>
        </w:rPr>
        <w:t xml:space="preserve">This gap makes a difference. Our research finds that global emission levels are </w:t>
      </w:r>
      <w:r>
        <w:rPr>
          <w:b w:val="0"/>
          <w:i/>
        </w:rPr>
        <w:t>lower</w:t>
      </w:r>
      <w:r>
        <w:rPr>
          <w:b w:val="0"/>
          <w:i w:val="0"/>
        </w:rPr>
        <w:t xml:space="preserve"> for countries with tighter domestic environmental regulations.1 One reason for this, we find, is that companies, which are the biggest contributors of CO2 emissions, emit less CO2 at home when domestic environmental regulations are strict. However, these companies also emit more abroad, particularly in countries with laxer environmental standards.</w:t>
      </w:r>
    </w:p>
    <w:p>
      <w:r>
        <w:rPr>
          <w:b w:val="0"/>
          <w:i w:val="0"/>
        </w:rPr>
        <w:t>Fortunately, the higher foreign emission levels do not outweigh the reduction at home. But if we want to progress, countries will have to take collective action to bring down overall global emission levels further.</w:t>
      </w:r>
    </w:p>
    <w:p>
      <w:pPr>
        <w:pStyle w:val="Heading2"/>
      </w:pPr>
      <w:r>
        <w:rPr>
          <w:b w:val="0"/>
          <w:i w:val="0"/>
        </w:rPr>
        <w:t>Pollution Havens</w:t>
      </w:r>
    </w:p>
    <w:p>
      <w:r>
        <w:rPr>
          <w:b w:val="0"/>
          <w:i w:val="0"/>
        </w:rPr>
        <w:t xml:space="preserve">Academics have long argued that there is a symbiotic relationship between countries’ environmental policies and the degree to which companies pollute. But the causality between these two factors could be bidirectional: Countries may adopt lenient environmental policies to attract foreign companies, and/or companies may transfer polluting operations to those countries. Either way, the idea is that polluting activities are more likely to be performed in countries with loose environmental policies. Economists call this hypothesis the </w:t>
      </w:r>
      <w:r>
        <w:rPr>
          <w:b w:val="0"/>
          <w:i/>
        </w:rPr>
        <w:t>pollution haven hypothesis</w:t>
      </w:r>
      <w:r>
        <w:rPr>
          <w:b w:val="0"/>
          <w:i w:val="0"/>
        </w:rPr>
        <w:t xml:space="preserve"> (PHH).2</w:t>
      </w:r>
    </w:p>
    <w:p>
      <w:r>
        <w:rPr>
          <w:b w:val="0"/>
          <w:i w:val="0"/>
        </w:rPr>
        <w:t>Until now, this hypothesis was typically tested using data at the country or industry level, mostly without access to direct measurement of pollution. For example, several studies correlate aggregate industrial activity (for example, FDI as a proxy for pollution) and the stringency of environmental laws in home countries compared to foreign countries. And studies that use firm-level data do not observe pollution activities directly and often infer them from other variables (such as a firm’s location or manufacturing decisions).</w:t>
      </w:r>
    </w:p>
    <w:p>
      <w:r>
        <w:rPr>
          <w:b w:val="0"/>
          <w:i w:val="0"/>
        </w:rPr>
        <w:t>We used a unique data set of CO2 emissions to see whether companies actually pollute more in countries with weak environmental laws and enforcement. Our data includes information for over 1,800 international firms and reports their CO2 emissions for each country in which the companies operated between the years 2008 and 2016. Although the emission figures are self-reported, they are frequently audited and used by institutional investors who monitor the firms. We combined these data with information on the stringency of national environmental policies from the World Economic Forum (WEF).</w:t>
      </w:r>
    </w:p>
    <w:p>
      <w:r>
        <w:rPr>
          <w:b w:val="0"/>
          <w:i w:val="0"/>
        </w:rPr>
        <w:t>We conducted various tests to investigate the implications of the pollution haven hypothesis. In particular, we looked at whether companies tend to pollute less at home but more abroad, given the strictness of environmental policies in their home country. Also, we explored the effects of the “regulatory distance” between a firm’s home country and each foreign country (in other words, the difference between the strictness of the environmental regulation in the home and the foreign country), on the likelihood of that firm polluting in that foreign country.</w:t>
      </w:r>
    </w:p>
    <w:p>
      <w:r>
        <w:rPr>
          <w:b w:val="0"/>
          <w:i w:val="0"/>
        </w:rPr>
        <w:t>We documented a number of important correlations. Our findings reveal that in countries with tight environmental regulation, companies have 29% lower domestic emissions on average. On the other hand, such a tightening in regulation results in 43% higher emissions abroad. Importantly, although companies appear to emit more CO2 abroad, stricter environmental policies at home are associated with lower global pollution overall. Tightening of environmental policies in the home country (a one standard deviation increase in environmental regulation within the sample of investigated countries and companies) is associated with about 15% lower global CO2 emissions overall.</w:t>
      </w:r>
    </w:p>
    <w:p>
      <w:r>
        <w:rPr>
          <w:b w:val="0"/>
          <w:i w:val="0"/>
        </w:rPr>
        <w:t>We also explored different factors that might make companies more or less likely to pollute abroad. For companies that are considered to have good governance (using a standard governance scoring that is often used in the literature), we found that the observed effects are generally weaker: When the home country sets strict environmental policies, companies commonly considered to have good governance structures produce fewer emissions at home and export fewer emissions to foreign countries. Thus, it is predominantly the firms with weak governance structures that behave according to the PHH and conduct their polluting activities abroad.</w:t>
      </w:r>
    </w:p>
    <w:p>
      <w:r>
        <w:rPr>
          <w:b w:val="0"/>
          <w:i w:val="0"/>
        </w:rPr>
        <w:t>This is interesting, as companies can face a trade-off between pollution and value. At least in the short run, companies may prefer to pollute in order to save on the costs associated with clean production.3 But good governance mechanisms, such as strong shareholder monitoring, may dissuade managers from pursuing such short-term goals and push them toward production with lower emissions. Good governance is generally associated with an investor base that values corporate responsibility practices and puts pressure on management to pursue socially and environmentally responsible goals, including lower emissions.</w:t>
      </w:r>
    </w:p>
    <w:p>
      <w:r>
        <w:rPr>
          <w:b w:val="0"/>
          <w:i w:val="0"/>
        </w:rPr>
        <w:t>We also found that some industries are more susceptible to exporting pollution abroad than others. The heaviest polluters are firms in industries such as electricity, gas and refineries, steam and air-conditioning supply, air and water transport, and mineral and metals producers. Our study shows that companies in these industries do not reduce emissions at home, while at the same time they export more pollution abroad. We argue that this is because strict environmental policies are costly for companies in high-polluting industries, causing them to attempt to mitigate some of the cost by exporting pollution to foreign countries. Consequently, policy makers might have a greater impact on global emissions if they target these high-polluting industries.</w:t>
      </w:r>
    </w:p>
    <w:p>
      <w:r>
        <w:rPr>
          <w:b w:val="0"/>
          <w:i w:val="0"/>
        </w:rPr>
        <w:t>Where do companies “export” their pollution? By drawing on empirical methods used in the international trade literature, we found that companies pollute more in foreign countries with the least regulation, whose standards fall far below those of their home countries. For example, Trinidad and Tobago, Bosnia and Herzegovina, Slovakia, Suriname, and Barbados are frequently among the top five countries that annually receive most exports of direct CO2 emissions relative to their GDP. They are also among the countries with the weakest environmental regulation.</w:t>
      </w:r>
    </w:p>
    <w:p>
      <w:r>
        <w:rPr>
          <w:b w:val="0"/>
          <w:i w:val="0"/>
        </w:rPr>
        <w:t>Overall, we find support for the idea that companies perform their polluting activities outside their home country when domestic environmental policies are becoming relatively stricter than abroad. Strict environmental regulation is associated with lower company-level emissions at home, but companies then seek to continue those polluting activities elsewhere. Fortunately, we also find that companies pollute less on a global level when their home countries impose strict environmental policies.</w:t>
      </w:r>
    </w:p>
    <w:p>
      <w:r>
        <w:rPr>
          <w:b w:val="0"/>
          <w:i w:val="0"/>
        </w:rPr>
        <w:t>Our findings suggest that national regulation can be beneficial, but it can only do so much to effectively combat pollution and climate change. Because of the potential for regulatory arbitrage, countries need to take concerted action to ensure that the overall CO2 balance will not increase. If no coordinated effort is undertaken to address climate change, major stakeholders, such as large companies, will find ways to at least partially circumvent strict environmental regulations and move their CO2–intensive activities elsewhere. Future research should explore the effects of whether changing regulation could alter firm behavior locally and in foreign countries.</w:t>
      </w:r>
    </w:p>
    <w:p>
      <w:r>
        <w:rPr>
          <w:b w:val="0"/>
          <w:i w:val="0"/>
        </w:rPr>
        <w:t>TAKEAWAYS</w:t>
      </w:r>
    </w:p>
    <w:p>
      <w:r>
        <w:rPr>
          <w:b w:val="0"/>
          <w:i w:val="0"/>
        </w:rPr>
        <w:t>To avoid the most damaging effects of climate change, countries need to work together to limit pollution and keep global warming to under 1.5°C. National regulation should help push companies toward this goal, but without global support, companies are still prone to polluting abroad.</w:t>
      </w:r>
    </w:p>
    <w:p>
      <w:pPr>
        <w:pStyle w:val="ListBullet"/>
      </w:pPr>
      <w:r>
        <w:rPr>
          <w:b w:val="0"/>
          <w:i w:val="0"/>
        </w:rPr>
        <w:t xml:space="preserve">Research finds that in countries with tight environmental regulation, companies have 29% lower domestic CO2 emissions on average, but they also have 43% </w:t>
      </w:r>
      <w:r>
        <w:rPr>
          <w:b w:val="0"/>
          <w:i/>
        </w:rPr>
        <w:t>higher</w:t>
      </w:r>
      <w:r>
        <w:rPr>
          <w:b w:val="0"/>
          <w:i w:val="0"/>
        </w:rPr>
        <w:t xml:space="preserve"> emissions abroad.</w:t>
      </w:r>
    </w:p>
    <w:p>
      <w:pPr>
        <w:pStyle w:val="ListBullet"/>
      </w:pPr>
      <w:r>
        <w:rPr>
          <w:b w:val="0"/>
          <w:i w:val="0"/>
        </w:rPr>
        <w:t xml:space="preserve">Polluting activities are more likely to be performed in countries with more relaxed environmental policies—areas economists refer to as </w:t>
      </w:r>
      <w:r>
        <w:rPr>
          <w:b w:val="0"/>
          <w:i/>
        </w:rPr>
        <w:t>pollution havens</w:t>
      </w:r>
      <w:r>
        <w:rPr>
          <w:b w:val="0"/>
          <w:i w:val="0"/>
        </w:rPr>
        <w:t>. Countries with the weakest regulations include Trinidad and Tobago, Bosnia and Herzegovina, Slovakia, Suriname, and Barbados.</w:t>
      </w:r>
    </w:p>
    <w:p>
      <w:pPr>
        <w:pStyle w:val="ListBullet"/>
      </w:pPr>
      <w:r>
        <w:rPr>
          <w:b w:val="0"/>
          <w:i w:val="0"/>
        </w:rPr>
        <w:t>Industries most susceptible to polluting abroad are electricity, gas and refineries, steam and air conditioning supply, air and water transport, and mineral and metal producers.</w:t>
      </w:r>
    </w:p>
    <w:p>
      <w:pPr>
        <w:pStyle w:val="ListBullet"/>
      </w:pPr>
      <w:r>
        <w:rPr>
          <w:b w:val="0"/>
          <w:i w:val="0"/>
        </w:rPr>
        <w:t>While domestic regulations are associated with about 15% lower global CO2 emissions overall, countries still need to take concerted action to ensure that the overall CO2 balance will not increase.</w:t>
      </w:r>
    </w:p>
    <w:p>
      <w:pPr>
        <w:pStyle w:val="Heading3"/>
      </w:pPr>
      <w:r>
        <w:rPr>
          <w:b w:val="0"/>
          <w:i w:val="0"/>
        </w:rPr>
        <w:t>NOTES</w:t>
      </w:r>
    </w:p>
    <w:p>
      <w:pPr>
        <w:pStyle w:val="ListNumber"/>
      </w:pPr>
      <w:r>
        <w:rPr>
          <w:b w:val="0"/>
          <w:i w:val="0"/>
        </w:rPr>
        <w:t>1. Itzhak Ben-David, Yeejin Jang, Stefanie Kleimeier, and Michael Viehs, “Exporting Pollution: Where Do Multinational Firms Emit CO2?” Fisher College of Business Working Paper No. 2018-03-20, September 2018.</w:t>
      </w:r>
    </w:p>
    <w:p>
      <w:pPr>
        <w:pStyle w:val="ListNumber"/>
      </w:pPr>
      <w:r>
        <w:rPr>
          <w:b w:val="0"/>
          <w:i w:val="0"/>
        </w:rPr>
        <w:t xml:space="preserve">2. Gunnar S. Eskeland and Ann E. Harrison, “Moving to Greener Pastures? Multinationals and the Pollution Haven Hypothesis,” </w:t>
      </w:r>
      <w:r>
        <w:rPr>
          <w:b w:val="0"/>
          <w:i/>
        </w:rPr>
        <w:t>Journal of Development Economics</w:t>
      </w:r>
      <w:r>
        <w:rPr>
          <w:b w:val="0"/>
          <w:i w:val="0"/>
        </w:rPr>
        <w:t xml:space="preserve"> 70, no. 1 (February 2003): 1–23.</w:t>
      </w:r>
    </w:p>
    <w:p>
      <w:pPr>
        <w:pStyle w:val="ListNumber"/>
      </w:pPr>
      <w:r>
        <w:rPr>
          <w:b w:val="0"/>
          <w:i w:val="0"/>
        </w:rPr>
        <w:t>3. Roy Shapira and Luigi Zingales, “Is Pollution Value-Maximizing? The DuPont Case,” NBER Working Paper No. 23866, September 2017.</w:t>
      </w:r>
    </w:p>
    <w:p>
      <w:r>
        <w:rPr>
          <w:b w:val="0"/>
          <w:i/>
        </w:rPr>
        <w:t>Adapted from “Research: When Environmental Regulations Are Tighter at Home, Companies Emit More Abroad” on hbr.org, February 4, 2019 (product #H04RSG).</w:t>
      </w:r>
    </w:p>
    <w:p>
      <w:pPr>
        <w:pStyle w:val="Heading1"/>
      </w:pPr>
      <w:r>
        <w:rPr>
          <w:b w:val="0"/>
          <w:i w:val="0"/>
        </w:rPr>
        <w:t>3</w:t>
      </w:r>
    </w:p>
    <w:p>
      <w:pPr>
        <w:pStyle w:val="Heading1"/>
      </w:pPr>
      <w:r>
        <w:rPr>
          <w:b w:val="0"/>
          <w:i w:val="0"/>
        </w:rPr>
        <w:t>THE STATE OF SOCIALLY RESPONSIBLE INVESTING</w:t>
      </w:r>
    </w:p>
    <w:p>
      <w:r>
        <w:rPr>
          <w:b w:val="0"/>
          <w:i w:val="0"/>
        </w:rPr>
        <w:t>by Adam Connaker and Saadia Madsbjerg</w:t>
      </w:r>
    </w:p>
    <w:p>
      <w:r>
        <w:rPr>
          <w:b w:val="0"/>
          <w:i w:val="0"/>
        </w:rPr>
        <w:t>In 2007, the European Investment Bank issued its first green bond, a EUR 600-million equity index-linked security, whose proceeds were used to fund renewable energy and energy-efficiency projects. A year later, the World Bank followed suit, and by 2017, over $155 billion worth of public and corporate green bonds had been issued, paving the way for the Seychelles government to issue the first ever “blue bond” last year—a $15-million bond to fund marine protection and sustainable fisheries.</w:t>
      </w:r>
    </w:p>
    <w:p>
      <w:r>
        <w:rPr>
          <w:b w:val="0"/>
          <w:i w:val="0"/>
        </w:rPr>
        <w:t>The success of these instruments reflects the fact that investors are increasingly conscious of the social and environmental consequences of the decisions that governments and companies make. They can be quick to punish companies for child labor practices, human rights abuses, negative environmental impact, poor governance, and a lack of gender equality. Pair this with an increase in regulatory drivers post-2008 crisis and a deepening understanding of the impacts of climate change and associated risk to performance and we begin to see more clearly the need for investment models that will better address investors’ concerns.</w:t>
      </w:r>
    </w:p>
    <w:p>
      <w:r>
        <w:rPr>
          <w:b w:val="0"/>
          <w:i w:val="0"/>
        </w:rPr>
        <w:t>The result has been an increasing demand for integrating environmental, social, and governance (ESG) criteria into investment decisions. In the beginning of 2018, $11.6 trillion of all professionally managed assets—$1 of every $4 invested in the United States—were under ESG investment strategies, a sharp increase from 2010, when the amount was close to just $3 trillion overall.1</w:t>
      </w:r>
    </w:p>
    <w:p>
      <w:r>
        <w:rPr>
          <w:b w:val="0"/>
          <w:i w:val="0"/>
        </w:rPr>
        <w:t>Inevitably, the financial services sector has responded with a host of innovative financial instruments, some like those mentioned above, others quite different. The through-line that ties together these new investing models and strategies is quite simple: While they have generated competitive returns, it so happens that they all positively benefit society as well. Essentially what investors want is the performance promise of financial engineering combined with the assurance of a better tomorrow.</w:t>
      </w:r>
    </w:p>
    <w:p>
      <w:r>
        <w:rPr>
          <w:b w:val="0"/>
          <w:i w:val="0"/>
        </w:rPr>
        <w:t>Many of the innovations have been driven by a collaboration between public, private, and philanthropic institutions. At the Rockefeller Foundation, we recognize the value of engaging private capital markets for societal good and have stepped in to fund the research and development of new instruments that can bring capital to cause. We have increasingly seen, firsthand, how readily these instruments meet not just investor needs but also values, and how interrelated the two can be.</w:t>
      </w:r>
    </w:p>
    <w:p>
      <w:r>
        <w:rPr>
          <w:b w:val="0"/>
          <w:i w:val="0"/>
        </w:rPr>
        <w:t>Let’s look at some particularly interesting examples.</w:t>
      </w:r>
    </w:p>
    <w:p>
      <w:pPr>
        <w:pStyle w:val="Heading2"/>
      </w:pPr>
      <w:r>
        <w:rPr>
          <w:b w:val="0"/>
          <w:i w:val="0"/>
        </w:rPr>
        <w:t>Risk-Sharing Impact Bonds</w:t>
      </w:r>
    </w:p>
    <w:p>
      <w:r>
        <w:rPr>
          <w:b w:val="0"/>
          <w:i w:val="0"/>
        </w:rPr>
        <w:t>Fixed income is one of the largest asset classes as determined by asset owner allocation and market size. Compared to the other asset classes, it has the lowest expected returns, hence also the lowest cost of capital. At $4 trillion, the U.S. municipal bond market is one of the largest fixed income markets globally.</w:t>
      </w:r>
    </w:p>
    <w:p>
      <w:r>
        <w:rPr>
          <w:b w:val="0"/>
          <w:i w:val="0"/>
        </w:rPr>
        <w:t>Climate change is becoming increasingly important for the U.S. municipal finance sector. On the one hand, U.S. cities need to raise more capital to implement environmental projects—many of them based on innovative climate solutions—to protect their economies and communities from the effects of climate changes (for example, green infrastructure to manage flooding and waste-to-energy microgrids to prevent power outages during hurricanes). On the other hand, if they do not show meaningful results, they won’t only risk economic losses from disasters but also risk seeing an increase in their overall cost of borrowing. Rating companies such as Moody’s are increasingly assessing climate risk as a negative factor when assessing credit ratings.</w:t>
      </w:r>
    </w:p>
    <w:p>
      <w:r>
        <w:rPr>
          <w:b w:val="0"/>
          <w:i w:val="0"/>
        </w:rPr>
        <w:t>Environmental impact bonds—in many ways an extension of the green bonds market—offer a solution to this problem, because they can draw in investors interested in taking on the environmental risk in exchange for potential monetary reward. These securities are municipal bonds that transfer a portion of the risk involved with implementing climate adaptation or mitigation projects from the public agency to the bondholder. A good example is a $25 million bond issued by the Municipal Water Board in Washington, D.C., in 2016.</w:t>
      </w:r>
    </w:p>
    <w:p>
      <w:r>
        <w:rPr>
          <w:b w:val="0"/>
          <w:i w:val="0"/>
        </w:rPr>
        <w:t>The water board used the bond to fund the construction of green infrastructure to manage storm water runoff and improve water quality. The return to investors is linked to the performance of the funded infrastructure, which allows D.C. Water to hedge a portion of the risk associated with both constructing green infrastructure and, once it’s in place, how well it works. Another such bond is currently under development by the city of Atlanta, for approximately $13 million worth of green infrastructure projects in flood-prone neighborhoods on the city’s west side.</w:t>
      </w:r>
    </w:p>
    <w:p>
      <w:r>
        <w:rPr>
          <w:b w:val="0"/>
          <w:i w:val="0"/>
        </w:rPr>
        <w:t>In the case of the D.C. Water bond, investors receive a standard 3.43% semiannual coupon payment throughout the term of the tax-exempt bond. Toward the end of a five-year term—at the mandatory tender date—the reduction in stormwater runoff resulting from the green infrastructure is used to calculate and assign an additional payment. If the results are strong (defined in three tiers; tier 1 being best performance), the investors receive an additional payment ($3.3 million), bringing their interest rate effectively to 5.8%. If the results are as expected, there is no additional payment. And if the infrastructure underperforms, the investors owe a payment to D.C. Water ($3.3 million), bringing the interest rate to 0.8%.</w:t>
      </w:r>
    </w:p>
    <w:p>
      <w:pPr>
        <w:pStyle w:val="Heading2"/>
      </w:pPr>
      <w:r>
        <w:rPr>
          <w:b w:val="0"/>
          <w:i w:val="0"/>
        </w:rPr>
        <w:t>Financially Passive, Socially Active Funds</w:t>
      </w:r>
    </w:p>
    <w:p>
      <w:r>
        <w:rPr>
          <w:b w:val="0"/>
          <w:i w:val="0"/>
        </w:rPr>
        <w:t>One of the most interesting of the new generation of ESG–driven financial innovations can be seen in the exchange-traded fund (ETF) sector, where we are starting to see the passive investment movement linked to activism on key social and environmental issues through ESG–themed ETFs. The first ESG ETF, iShares MSCI USA ESG Select ETF, was launched in 2005, and the model has caught on so quickly that today there are at least $11 billion in assets under management across 120 ESG funds globally; stateside, the growth of assets in ESG funds is up over 200% from the past decade. BlackRock recently predicted that the investment in ESG funds will rise to more than $400 billion over the next 10 years.2</w:t>
      </w:r>
    </w:p>
    <w:p>
      <w:r>
        <w:rPr>
          <w:b w:val="0"/>
          <w:i w:val="0"/>
        </w:rPr>
        <w:t>A good example is the NAACP Minority Empowerment ETF, or NACP. Issued by Impact Shares, a nonprofit fund manager, the specific criteria for the index, which includes companies such as Microsoft, Pepsi, and Verizon, are identified and compiled by the NAACP. The criteria assess the levels of social activism, equal opportunity, and diversity of workplaces within each company. These criteria are measured and tracked by the fund’s ESG research provider Sustainalytics. The index is then constructed from the top 200 scoring companies by Morningstar, which uses a weighting methodology that maximizes exposure to companies with high scores on the NAACP criteria, while maintaining risks and returns similar to the Morningstar U.S. Large-Mid Cap Index.</w:t>
      </w:r>
    </w:p>
    <w:p>
      <w:r>
        <w:rPr>
          <w:b w:val="0"/>
          <w:i w:val="0"/>
        </w:rPr>
        <w:t>Essentially the ETF allows investors to allocate their capital passively, while the NAACP takes on the role of the activist organization that directly engages with the companies on how to adopt and maintain strong practices to the benefit of investors. The management fee is 76 basis points, of which 15–25 points are used to cover expenses. The remainder goes to the NAACP in return for its engagement with the companies indexed, representing $5 to $6 a year for every $1,000 invested in the fund.</w:t>
      </w:r>
    </w:p>
    <w:p>
      <w:pPr>
        <w:pStyle w:val="Heading2"/>
      </w:pPr>
      <w:r>
        <w:rPr>
          <w:b w:val="0"/>
          <w:i w:val="0"/>
        </w:rPr>
        <w:t>Impact Securitization</w:t>
      </w:r>
    </w:p>
    <w:p>
      <w:r>
        <w:rPr>
          <w:b w:val="0"/>
          <w:i w:val="0"/>
        </w:rPr>
        <w:t>Pooling various types of contractual debt—such as mortgages or loans—and selling the related cash flows to third-party investors as securities has long been recognized as a useful way to create liquid secondary markets. Yes, the reckless use of securitization contributed to a meltdown of the financial markets. But used responsibly, securitization helps (and has helped for decades) hardworking people get affordable mortgages at rates only modestly higher than those charged to the U.S. government.</w:t>
      </w:r>
    </w:p>
    <w:p>
      <w:r>
        <w:rPr>
          <w:b w:val="0"/>
          <w:i w:val="0"/>
        </w:rPr>
        <w:t>With the right incentives and financial structure in place, securitization can also be a highly effective means for gathering large amounts of (cheaper) capital in a relatively short period of time for environmental and social investments. If we can learn from the mistakes of the crisis and address their weaknesses, these tools can have a transformative role in many socially important initiatives.</w:t>
      </w:r>
    </w:p>
    <w:p>
      <w:r>
        <w:rPr>
          <w:b w:val="0"/>
          <w:i w:val="0"/>
        </w:rPr>
        <w:t>The U.S. student loan start-up Sixup represents a step in this direction. Sixup is an education finance platform that gives high-achieving low-income students, including first-generation and minorities—collectively termed “Future-Prime”—a pathway to attending four-year colleges and universities. They have built a new model for assessing creditworthiness of “thin-file” students who gain admission to high-value four-year colleges but cannot afford to attend as they are shut out of the financing market due to lack of FICO scores or their parents’ low-income status.</w:t>
      </w:r>
    </w:p>
    <w:p>
      <w:r>
        <w:rPr>
          <w:b w:val="0"/>
          <w:i w:val="0"/>
        </w:rPr>
        <w:t>Along with loans, Sixup provides students with tutoring, job matching, and other counseling. Sixup currently counts Goldman Sachs as its largest lender. Once it has reached $100 million in total lending assets, it will test the market with securitization—a critical milestone toward scale. Over time, as their lending assets grow, Sixup plans to tap into the broader fixed-income markets, as well as more traditional securitizations. If successful, it has the potential to mobilize more than $1 billion toward the Future-Prime market providing thousands with a stronger pathway to economic mobility.</w:t>
      </w:r>
    </w:p>
    <w:p>
      <w:r>
        <w:rPr>
          <w:b w:val="0"/>
          <w:i w:val="0"/>
        </w:rPr>
        <w:t>A similarly promising securitization project is under way at MIT’s Laboratory for Financial Engineering, which is developing a new investment model for orphan disease drug development with an eye to investing in multiple drug trials simultaneously. Rare and orphan diseases—like pediatric cancers or cystic fibrosis—are diseases that affect a very small part of the population (less than 200,000 patients in the United States). Research into new therapies for these diseases struggle to raise funding as the patient sizes are small, the cost of clinical trials is high, and the probability of success for any one R&amp;D project is low.</w:t>
      </w:r>
    </w:p>
    <w:p>
      <w:r>
        <w:rPr>
          <w:b w:val="0"/>
          <w:i w:val="0"/>
        </w:rPr>
        <w:t xml:space="preserve">But if you aggregate many research projects into one portfolio, at critical scale, the fund becomes more predictable and yields a more attractive risk-adjusted return on the investment, as well as a higher likelihood of success in finding cures for these diseases. This, in turn, enables the fund to raise money by issuing research-backed obligations (RBO) bonds guaranteed by the portfolio of possible drugs and their associated intellectual property. As the MIT team explains, </w:t>
      </w:r>
      <w:r>
        <w:rPr>
          <w:b/>
          <w:i w:val="0"/>
        </w:rPr>
        <w:t>“</w:t>
      </w:r>
      <w:r>
        <w:rPr>
          <w:b w:val="0"/>
          <w:i w:val="0"/>
        </w:rPr>
        <w:t>What one has to do to attract the vast majority of capital in the world to the early-stage space like this is to say, look, it’s true, we’re going to take mostly losses, but the couple of wins are going to pay us out for those losses.”</w:t>
      </w:r>
    </w:p>
    <w:p>
      <w:r>
        <w:rPr>
          <w:b w:val="0"/>
          <w:i w:val="0"/>
        </w:rPr>
        <w:t>The RBOs will be structured as bonds, targeting fixed-income investors, who collectively represent a much larger pool of capital and who have traditionally not been able to invest in early stage drug development. The fund is collaborating with the Harrington Project—a $340-million initiative to support the discovery and development of new therapeutic breakthroughs with a special focus on rare and orphan diseases. Successful implementation of RBOs could result in an unprecedented amount of capital available for translational biomedical medicine to treat rare and orphan diseases. It is estimated that 50% of those affected by rare diseases are children, and of those, 30% will not live to see their fifth birthday.3</w:t>
      </w:r>
    </w:p>
    <w:p>
      <w:r>
        <w:rPr>
          <w:b w:val="0"/>
          <w:i w:val="0"/>
        </w:rPr>
        <w:t>In one sense, nothing about what drives us to invest has changed. We invest because we are planning for the future and hoping for a better, wealthier tomorrow. What has changed, perhaps, is our sense of what constitutes wealth. The ever-innovative financial service industries have responded to these changes—as they have always done—by creating new modes and tools of investment. And with these innovations, perhaps, we can all work more effectively to make the world a healthier, safer place for our children.</w:t>
      </w:r>
    </w:p>
    <w:p>
      <w:r>
        <w:rPr>
          <w:b w:val="0"/>
          <w:i w:val="0"/>
        </w:rPr>
        <w:t>TAKEAWAYS</w:t>
      </w:r>
    </w:p>
    <w:p>
      <w:r>
        <w:rPr>
          <w:b w:val="0"/>
          <w:i w:val="0"/>
        </w:rPr>
        <w:t>Investors are increasingly concerned about the environmental, social, and governance (ESG) consequences of investment decisions. In response, organizations are partnering with financial service companies to develop innovative ways to fund positive ESG projects and companies. Such options include:</w:t>
      </w:r>
    </w:p>
    <w:p>
      <w:pPr>
        <w:pStyle w:val="ListBullet"/>
      </w:pPr>
      <w:r>
        <w:rPr>
          <w:b w:val="0"/>
          <w:i w:val="0"/>
        </w:rPr>
        <w:t>Impact bonds: An extension of the green bonds market, impact bonds draw in investors interested in taking on the environmental risk in exchange for potential monetary reward. These securities are municipal bonds that transfer a portion of the risk involved with implementing climate adaptation or mitigation projects from the public agency to the bondholder.</w:t>
      </w:r>
    </w:p>
    <w:p>
      <w:pPr>
        <w:pStyle w:val="ListBullet"/>
      </w:pPr>
      <w:r>
        <w:rPr>
          <w:b w:val="0"/>
          <w:i w:val="0"/>
        </w:rPr>
        <w:t>Socially active index funds: ESG–themed exchange traded funds (ETFs) link passive investment to activism. They allow investors to allocate capital passively, while an activist organization directly engages with companies on how to adopt and maintain socially responsible practices to the benefit of investors.</w:t>
      </w:r>
    </w:p>
    <w:p>
      <w:pPr>
        <w:pStyle w:val="ListBullet"/>
      </w:pPr>
      <w:r>
        <w:rPr>
          <w:b w:val="0"/>
          <w:i w:val="0"/>
        </w:rPr>
        <w:t>Impact securitization: This option gathers large amounts of cheaper capital in a relatively short period of time for environmental and social investments. When the projects associated with this capital are aggregated into a portfolio, the fund becomes more predictable and yields a more risk-adjusted return on the investment.</w:t>
      </w:r>
    </w:p>
    <w:p>
      <w:pPr>
        <w:pStyle w:val="Heading3"/>
      </w:pPr>
      <w:r>
        <w:rPr>
          <w:b w:val="0"/>
          <w:i w:val="0"/>
        </w:rPr>
        <w:t>NOTES</w:t>
      </w:r>
    </w:p>
    <w:p>
      <w:pPr>
        <w:pStyle w:val="ListNumber"/>
      </w:pPr>
      <w:r>
        <w:rPr>
          <w:b w:val="0"/>
          <w:i w:val="0"/>
        </w:rPr>
        <w:t>1. The US SIF Foundation, “2018 Report on US Sustainable, Responsible, and Impact Investing Trends,” 2018, https://www.ussif.org/files/2018%20_Trends_OnePager_Overview(2).pdf; Social Investment Forum Foundation, “Report on Socially Responsible Investing Trends in the United States,” 2010, https://www.ussif.org/files/Publications/10_Trends_Exec_Summary.pdf.</w:t>
      </w:r>
    </w:p>
    <w:p>
      <w:pPr>
        <w:pStyle w:val="ListNumber"/>
      </w:pPr>
      <w:r>
        <w:rPr>
          <w:b w:val="0"/>
          <w:i w:val="0"/>
        </w:rPr>
        <w:t xml:space="preserve">2. David Ricketts, “BlackRock Predicts Sustainable ETF Assets Will Top $400bn,” </w:t>
      </w:r>
      <w:r>
        <w:rPr>
          <w:b w:val="0"/>
          <w:i/>
        </w:rPr>
        <w:t>Financial News</w:t>
      </w:r>
      <w:r>
        <w:rPr>
          <w:b w:val="0"/>
          <w:i w:val="0"/>
        </w:rPr>
        <w:t>, October 23, 2018, https://www.fnlondon.com/articles/blackrock-predicts-sustainable-etf-assets-will-top-400bn-20181023.</w:t>
      </w:r>
    </w:p>
    <w:p>
      <w:pPr>
        <w:pStyle w:val="ListNumber"/>
      </w:pPr>
      <w:r>
        <w:rPr>
          <w:b w:val="0"/>
          <w:i w:val="0"/>
        </w:rPr>
        <w:t>3. Global Genes, “RARE Facts,” 2019, https://globalgenes.org/rare-facts/.</w:t>
      </w:r>
    </w:p>
    <w:p>
      <w:r>
        <w:rPr>
          <w:b w:val="0"/>
          <w:i/>
        </w:rPr>
        <w:t>Adapted from content posted on hbr.org, January 17, 2019 (product #H04QYP).</w:t>
      </w:r>
    </w:p>
    <w:p>
      <w:pPr>
        <w:pStyle w:val="Heading1"/>
      </w:pPr>
      <w:r>
        <w:rPr>
          <w:b w:val="0"/>
          <w:i w:val="0"/>
        </w:rPr>
        <w:t>4</w:t>
      </w:r>
    </w:p>
    <w:p>
      <w:pPr>
        <w:pStyle w:val="Heading1"/>
      </w:pPr>
      <w:r>
        <w:rPr>
          <w:b w:val="0"/>
          <w:i w:val="0"/>
        </w:rPr>
        <w:t>DEMATERIALIZATION AND WHAT IT MEANS FOR THE ECONOMY—AND CLIMATE CHANGE</w:t>
      </w:r>
    </w:p>
    <w:p>
      <w:r>
        <w:rPr>
          <w:b w:val="0"/>
          <w:i w:val="0"/>
        </w:rPr>
        <w:t>An interview with Andrew McAfee by Curt Nickisch</w:t>
      </w:r>
    </w:p>
    <w:p>
      <w:r>
        <w:rPr>
          <w:b w:val="0"/>
          <w:i w:val="0"/>
        </w:rPr>
        <w:t>The industrial era brought an unbelievable rise in human prosperity. As economies grew and standards of living climbed ever higher, forests were cleared, soil was stripped, and oceans were emptied. When the United States celebrated the first Earth Day back in 1970, people were afraid the world would soon run out of food and other resources, burning it up like flash paper, gone forever. But that seemingly unstoppable tide could be turning.</w:t>
      </w:r>
    </w:p>
    <w:p>
      <w:r>
        <w:rPr>
          <w:b w:val="0"/>
          <w:i w:val="0"/>
        </w:rPr>
        <w:t xml:space="preserve">Andrew McAfee, codirector of the MIT Initiative on the Digital Economy and author of the book </w:t>
      </w:r>
      <w:r>
        <w:rPr>
          <w:b w:val="0"/>
          <w:i/>
        </w:rPr>
        <w:t>More from Less: The Surprising Story of How We Learned to Prosper Using Fewer Resources—and What Happens Next</w:t>
      </w:r>
      <w:r>
        <w:rPr>
          <w:b w:val="0"/>
          <w:i w:val="0"/>
        </w:rPr>
        <w:t>, has been studying a surprising new trend of dematerialization. Thanks to new technologies and digitization, some national economies are managing to grow at the same time they use less material. This counterintuitive trend is not happening fast enough to stop the likes of climate change, but it offers some hope: that future economic prosperity may not damage the environment as badly as before.</w:t>
      </w:r>
    </w:p>
    <w:p>
      <w:r>
        <w:rPr>
          <w:b/>
          <w:i/>
        </w:rPr>
        <w:t>Can you please explain what’s happening? How can advanced economies grow but use fewer materials overall? What’s going on?</w:t>
      </w:r>
    </w:p>
    <w:p>
      <w:r>
        <w:rPr>
          <w:b w:val="0"/>
          <w:i w:val="0"/>
        </w:rPr>
        <w:t>ANDY McAFEE: It’s deeply counterintuitive. I didn’t believe it the first time I heard about it. I had walked around with this unexamined assumption that as economies grow—and as populations grow—they use more materials from the earth. They use more resources. You need molecules to build an economy.</w:t>
      </w:r>
    </w:p>
    <w:p>
      <w:r>
        <w:rPr>
          <w:b w:val="0"/>
          <w:i w:val="0"/>
        </w:rPr>
        <w:t>I came across this wonderful essay written by Jesse Ausubel called “The Return of Nature: How Technology Liberates the Environment.” He made this point, and I thought, “That would be wonderful if it were true, but that can’t possibly be right. That’s not how growth works.” So I went to his sources. I double-checked, and I came to the conclusion he was absolutely right.</w:t>
      </w:r>
    </w:p>
    <w:p>
      <w:r>
        <w:rPr>
          <w:b w:val="0"/>
          <w:i w:val="0"/>
        </w:rPr>
        <w:t>I became extremely enthusiastic about this and wanted to understand it and try to explain it, because this is a really profound change in our relationship with the planet that we all live on. We had 200, almost 250 years of the industrial era, which was a period of amazing growth, human population, human prosperity, and economies. But, wow, the industrial era was really tough on our planet. We took more from the earth year after year. We dug mines. We chopped down forests. We polluted. We killed all of the passenger pigeons. We almost killed all the buffalo and whales.</w:t>
      </w:r>
    </w:p>
    <w:p>
      <w:r>
        <w:rPr>
          <w:b w:val="0"/>
          <w:i w:val="0"/>
        </w:rPr>
        <w:t>In some ways, this was a tough chapter for the planet Earth, and it looked like there was this trade-off between our prosperity and the health of the planet. I don’t believe that trade-off has to exist anymore because we’re demonstrating that we can grow economies, increase the population, grow prosperity, and improve the human condition while also taking better care of the earth and treading more lightly on it.</w:t>
      </w:r>
    </w:p>
    <w:p>
      <w:r>
        <w:rPr>
          <w:b/>
          <w:i/>
        </w:rPr>
        <w:t>Which is a profound idea because we all understand that business and its quest for efficiency and being more productive is on a path to using things better and more efficiently. But it still seems like it’s always a plus one or a plus 0.75 endeavor, where you’re creating a new product to sell. You may be using things more efficiently, but you’re still creating a new product, and people are throwing out their old ones. But you’re saying this is actually turning to the point where we’re using less material. We’re actually reversing the trend and using less iron, for instance.</w:t>
      </w:r>
    </w:p>
    <w:p>
      <w:r>
        <w:rPr>
          <w:b w:val="0"/>
          <w:i w:val="0"/>
        </w:rPr>
        <w:t>Less nickel. Less gold. Less fertilizer. Less water for irrigation and less timber. Less paper. Less of just about all of the molecules. All the things that you build an economy out of.</w:t>
      </w:r>
    </w:p>
    <w:p>
      <w:r>
        <w:rPr>
          <w:b w:val="0"/>
          <w:i w:val="0"/>
        </w:rPr>
        <w:t xml:space="preserve">There’s an important distinction here. There are two kinds of less. There’s less per capita—in other words, less timber per American. And then there’s less timber year after year, by all Americans put together, which is a much more profound phenomenon. That’s essentially saying that all Americans’ total footprint on the planet is shrinking over time. That’s what is going on and that’s what I wrote </w:t>
      </w:r>
      <w:r>
        <w:rPr>
          <w:b w:val="0"/>
          <w:i/>
        </w:rPr>
        <w:t>More from Less</w:t>
      </w:r>
      <w:r>
        <w:rPr>
          <w:b w:val="0"/>
          <w:i w:val="0"/>
        </w:rPr>
        <w:t xml:space="preserve"> about.</w:t>
      </w:r>
    </w:p>
    <w:p>
      <w:r>
        <w:rPr>
          <w:b/>
          <w:i/>
        </w:rPr>
        <w:t>You’ve actually made predictions about where America’s consumption of certain materials is going to be in the next decade.</w:t>
      </w:r>
    </w:p>
    <w:p>
      <w:r>
        <w:rPr>
          <w:b w:val="0"/>
          <w:i w:val="0"/>
        </w:rPr>
        <w:t>Well, you could think that this absolute dematerialization is happening. It’s pretty clear in the evidence. But maybe it’s just a temporary lull before our voracious appetites kick in again and cause us to dig more mines, chop down more forests, do all these things, and take more from the earth. I don’t think that’s what’s happening, and I don’t think that’s what’s going to happen. I think the downward trend in a lot of materials is going to continue, and we’ve already seen some plateaus. For example, total American energy use in 2018 was only a tick—about a quarter of a percent—bigger than it was in 2007. The economy’s a lot bigger than it was in 2007, yet our energy use has flatlined.</w:t>
      </w:r>
    </w:p>
    <w:p>
      <w:r>
        <w:rPr>
          <w:b w:val="0"/>
          <w:i w:val="0"/>
        </w:rPr>
        <w:t>What I think is going to happen is that that total energy use is actually going to start going down, just like we saw with lots of other resources. The main reason I believe that is extremely simple. You highlighted businesses and their relentless quest for growth and profit. That’s absolutely true. That’s at the heart of the capitalist system.</w:t>
      </w:r>
    </w:p>
    <w:p>
      <w:r>
        <w:rPr>
          <w:b w:val="0"/>
          <w:i w:val="0"/>
        </w:rPr>
        <w:t>We need to keep in mind businesses’ quest for higher profits is always a simultaneous quest for lower costs. A penny saved is a penny earned. Materials cost money. What I think is going on is that in this era of amazing technologies, you have the computer, the network, the hardware, and the software. In this era of amazing technologies, we have this widespread opportunity to swap out atoms for bits. And because you don’t pay typically for each additional bit, companies are taking technology up on that offer over and over and over, in big ways and small ways, and that adds up.</w:t>
      </w:r>
    </w:p>
    <w:p>
      <w:r>
        <w:rPr>
          <w:b/>
          <w:i/>
        </w:rPr>
        <w:t>Let’s dig into a couple of examples just so that we can really picture what’s happening. Let’s talk about timber. Why is the United States now using less timber than it used to?</w:t>
      </w:r>
    </w:p>
    <w:p>
      <w:r>
        <w:rPr>
          <w:b w:val="0"/>
          <w:i w:val="0"/>
        </w:rPr>
        <w:t>Well, think about the things that we use timber for. We used to use timber in the 19th century for all kinds of things, including building ships and ships’ masts. Now, we pretty clearly don’t do that anymore. A lot less appreciated, we use immense amounts of timber to build railroads all across the country. Railroad ties were made out of wood for a long time, soaked in creosote. We don’t do that anymore. We make them out of concrete.</w:t>
      </w:r>
    </w:p>
    <w:p>
      <w:r>
        <w:rPr>
          <w:b w:val="0"/>
          <w:i w:val="0"/>
        </w:rPr>
        <w:t>So, because of that substitution effect, and because we just don’t make ships out of wood anymore, our total use of timber is at least 20%, maybe 30%, lower than it was in 1990, which was the year of peak timber in the United States.</w:t>
      </w:r>
    </w:p>
    <w:p>
      <w:r>
        <w:rPr>
          <w:b w:val="0"/>
          <w:i w:val="0"/>
        </w:rPr>
        <w:t>Simultaneously, the year of peak paper in the United States was 1990. Right now we’re about 40% below the level of paper that we used in 1990. The answer there is even easier for me to see. When was the last time you printed out maps to get from point A to point B? You don’t print out memos or documents nearly as much anymore because we look at screens and because we have GPS systems on our smartphones. So, you could look at the paper generated earlier in the computer age—all that 11 × 17-inch fanfold paper, all the stuff we used to print out—and think that the computer age would be bad for total paper use and for cutting down trees. That’s not true at all. It’s really good. It’s finally letting us get past peak paper.</w:t>
      </w:r>
    </w:p>
    <w:p>
      <w:r>
        <w:rPr>
          <w:b w:val="0"/>
          <w:i w:val="0"/>
        </w:rPr>
        <w:t>An even crazier thing that I came across when I was researching the book was that our total use of cardboard is basically about as big as it was in 1995. I found that extremely hard to believe because of all the Amazon packages that show up outside my door almost every day. But again, that’s the very visible phenomenon. The much less visible phenomenon is the fact that Jeff Bezos realizes that I get zero value from that cardboard, so he and his colleagues are working to reduce the total amount of packaging material that you need to get something to my front door.</w:t>
      </w:r>
    </w:p>
    <w:p>
      <w:r>
        <w:rPr>
          <w:b w:val="0"/>
          <w:i w:val="0"/>
        </w:rPr>
        <w:t>So, there are all these efficiencies happening back farther in the supply chain and lots of innovation to make cardboard boxes lighter, less materials intensive, again, because this stuff costs money. It’s hard to believe, but all of those savings add up, and they bring us to a point where our aggregate cardboard use is where it was almost 25 years ago. It’s a crazy phenomenon.</w:t>
      </w:r>
    </w:p>
    <w:p>
      <w:r>
        <w:rPr>
          <w:b/>
          <w:i/>
        </w:rPr>
        <w:t>Are we hitting peak paper in other countries, and are we hitting peak paper and peak timber in developing nations that aren’t in a position to muster the power of these technologies?</w:t>
      </w:r>
    </w:p>
    <w:p>
      <w:r>
        <w:rPr>
          <w:b w:val="0"/>
          <w:i w:val="0"/>
        </w:rPr>
        <w:t>I came across this research that said humanity as a whole, globally, probably hit peak paper in about 2013. So, total human use of paper is finally going down. For the other materials that you build an economy out of, I don’t think that’s the case. However, I can’t say that with 100% confidence because the data gets spotty and much, much lower quality when you move from the United States to the entire world.</w:t>
      </w:r>
    </w:p>
    <w:p>
      <w:r>
        <w:rPr>
          <w:b w:val="0"/>
          <w:i w:val="0"/>
        </w:rPr>
        <w:t>Globally, I don’t think humanity is at peak stuff yet because there are too many low-income countries that are rapidly growing and becoming more prosperous, and you have to build an economy. You have to urbanize and build infrastructure. That’s a materials-intensive process.</w:t>
      </w:r>
    </w:p>
    <w:p>
      <w:r>
        <w:rPr>
          <w:b w:val="0"/>
          <w:i w:val="0"/>
        </w:rPr>
        <w:t>But one of the wild things I learned writing this book was that if you look at satellite imagery about urbanization (as opposed to relying on countries to give you a list of their cities and how many people live in them, which can be really inconsistent), we are an urbanized species as humans. And the great majority of us already live in an urban environment.</w:t>
      </w:r>
    </w:p>
    <w:p>
      <w:r>
        <w:rPr>
          <w:b w:val="0"/>
          <w:i w:val="0"/>
        </w:rPr>
        <w:t xml:space="preserve">We’ve built up a lot of the physical infrastructure that we’re going to need. We’ll need more. Nigeria is clearly going to need a lot more stuff because its population is going to grow so much in the decades ahead. But Nigeria is also not going to lay a copper telephone network like the currently rich world did in order to have telecommunications infrastructure. And I’m pretty sure Nigerians are not going to buy as many cars per capita as Americans did as they were becoming prosperous; they’re not going to build as many coal plants because technology has evolved. So, I’m not saying we’re globally at peak stuff, but I </w:t>
      </w:r>
      <w:r>
        <w:rPr>
          <w:b w:val="0"/>
          <w:i/>
        </w:rPr>
        <w:t>am</w:t>
      </w:r>
      <w:r>
        <w:rPr>
          <w:b w:val="0"/>
          <w:i w:val="0"/>
        </w:rPr>
        <w:t xml:space="preserve"> saying we might be surprised at how quickly we get there because the countries that are becoming more prosperous today are going to follow very different technology and materials paths than the United States and other currently rich countries did.</w:t>
      </w:r>
    </w:p>
    <w:p>
      <w:r>
        <w:rPr>
          <w:b/>
          <w:i/>
        </w:rPr>
        <w:t>This dematerialization trend of moving away from peak is also happening in agriculture. Do you think</w:t>
      </w:r>
      <w:r>
        <w:rPr>
          <w:b w:val="0"/>
          <w:i w:val="0"/>
        </w:rPr>
        <w:t xml:space="preserve"> </w:t>
      </w:r>
      <w:r>
        <w:rPr>
          <w:b/>
          <w:i/>
        </w:rPr>
        <w:t>the U.S., for example, is going to farm less land in the future but still produce more food?</w:t>
      </w:r>
    </w:p>
    <w:p>
      <w:r>
        <w:rPr>
          <w:b w:val="0"/>
          <w:i w:val="0"/>
        </w:rPr>
        <w:t>The reason I’m so confident about that is that’s exactly what we’ve been doing. One of the wildest graphs that I drew when I was writing the book is a graph of total U.S. crop tonnage. We’re an agricultural juggernaut, and our total tonnage of crops goes up year after year. Included in that graph is total fertilizer use for all U.S. agriculture, total water use, and total land use. All of those are now going down, sometimes by quite a lot. I still find it a crazy phenomenon, but we are very clearly getting more from less of all the inputs to growing a crop, except sunlight. Fertilizer, water, and land, we’re getting more crops out year after year.</w:t>
      </w:r>
    </w:p>
    <w:p>
      <w:r>
        <w:rPr>
          <w:b w:val="0"/>
          <w:i w:val="0"/>
        </w:rPr>
        <w:t>This is a very, very broad phenomenon. The USGS tracks, I believe, 72 different materials. I think all, but around six of them are now on a downward trend. The biggest exception is plastics, but there’s something interesting going on there as well. Overall plastics consumption used to grow even more quickly than the economy did. Plastics are incredibly useful. We use them all over the place. Now, plastics use is still increasing, but it’s increasing more slowly than the overall economy is. So, we’re already hitting relative dematerialization with plastics. I don’t know when exactly, but we’re going to hit peak plastics, even as our economy grows, and we’re going to start using less of it.</w:t>
      </w:r>
    </w:p>
    <w:p>
      <w:r>
        <w:rPr>
          <w:b/>
          <w:i/>
        </w:rPr>
        <w:t>Is the trend toward dematerialization fast enough? We are at a time when we see the rising temperatures and environmental changes that are happening at a worrying pace that even with this growth—even with population growth—you can see how dematerialization and these technological trends are helping. But are they helping enough? Will they move quickly enough to make a difference?</w:t>
      </w:r>
    </w:p>
    <w:p>
      <w:r>
        <w:rPr>
          <w:b w:val="0"/>
          <w:i w:val="0"/>
        </w:rPr>
        <w:t>Decarbonization is not happening quickly enough. It’s happening in the rich world. It’s not happening in the lower-income world. And in general, it is absolutely not happening quickly enough.</w:t>
      </w:r>
    </w:p>
    <w:p>
      <w:r>
        <w:rPr>
          <w:b w:val="0"/>
          <w:i w:val="0"/>
        </w:rPr>
        <w:t>Think about a bathtub. We’ve got a tap, we’ve got a faucet that puts water in the bathtub, and we have a drain that takes water out. That bathtub is the earth’s atmosphere. The drain is how quickly carbon leaves the atmosphere. The faucet is how quickly we’re putting it in. The problem is that drain is not operating very quickly. The carbon that we put in hangs around in the atmosphere for decades or centuries.</w:t>
      </w:r>
    </w:p>
    <w:p>
      <w:r>
        <w:rPr>
          <w:b w:val="0"/>
          <w:i w:val="0"/>
        </w:rPr>
        <w:t>So, we have to shut down the faucet even more quickly than we might think and find ways to increase the speed of the draining. We’re not doing it quickly enough, and my huge frustration is that we know the playbook. If we were actually interested in decarbonizing our economies, we know the playbook for doing it. We’re just doing a lousy job of following it.</w:t>
      </w:r>
    </w:p>
    <w:p>
      <w:r>
        <w:rPr>
          <w:b/>
          <w:i/>
        </w:rPr>
        <w:t>When you look ahead, technologies are impossible to predict, right? Do you feel like the trends are moving in a good direction, or we’ll hit another plateau and this dematerialization trend will flatten out again?</w:t>
      </w:r>
    </w:p>
    <w:p>
      <w:r>
        <w:rPr>
          <w:b w:val="0"/>
          <w:i w:val="0"/>
        </w:rPr>
        <w:t>Flatten out, or even reverse, right? I don’t think that’s what’s going to happen. Capitalism and tech progress are rising around the world quicker than they ever have before. In the year 2000, there were about 12 mobile phone subscriptions for every 100 people on the planet. Less than 20 years later, there are more mobile phone subscriptions than there are human beings on the planet.</w:t>
      </w:r>
    </w:p>
    <w:p>
      <w:r>
        <w:rPr>
          <w:b w:val="0"/>
          <w:i w:val="0"/>
        </w:rPr>
        <w:t>The world is interconnected for the first time with powerful devices. The smartphones that people in low-income countries have are about as powerful as the first smartphones that you and I had. So, technology is spreading around the world really quickly, and that means that the people who have those devices are not going to buy a number of other things. They’re not going to buy film cameras, camcorders, alarm clocks, or answering machines. That is a big heavy pile of stuff that we used to have to exploit the earth to generate. That’s not what’s going to happen in the future. Those people are going to be getting transportation options via their phones. The technology means that there are logistic networks. Their trucks, planes, and whatnot are not going to drive around mostly empty most of the time. They’re going to have very high yield and high efficiency.</w:t>
      </w:r>
    </w:p>
    <w:p>
      <w:r>
        <w:rPr>
          <w:b w:val="0"/>
          <w:i w:val="0"/>
        </w:rPr>
        <w:t>I want to be clear. I am not a utopian. We have real challenges ahead of us, but I think that this particular challenge of dematerializing our growth and our consumption, I’m really confident this is going to continue.</w:t>
      </w:r>
    </w:p>
    <w:p>
      <w:r>
        <w:rPr>
          <w:b/>
          <w:i/>
        </w:rPr>
        <w:t>I have a 22-month-old, and I think a lot about the world that I grew up in and the world that she’s going to live in. You’re at this interesting place because you’re an economist, you study the digital economy, and you’re thinking about the future. What would you recommend to somebody who is just setting out on their career or an education, and they are looking at all the different places where they could live a meaningful life and make a difference in this global challenge? Whether it’s government and policy or whether it’s in technology and science, where do you feel we need more people, and what would you recommend to somebody who is trying to figure out the path that they can make a big difference in?</w:t>
      </w:r>
    </w:p>
    <w:p>
      <w:r>
        <w:rPr>
          <w:b w:val="0"/>
          <w:i w:val="0"/>
        </w:rPr>
        <w:t>I get this question all the time. I feel like a big part of the reason I get it from parents of children of all ages is that we are absolutely heading into a time of great change and uncertainty. That’s inherently unsettling for a lot of people, and the stability that a lot of us felt when we were growing up—I think you’re correct that it’s not going to be there. We’re creating a very, very different world. How do you make a positive impact in that world?</w:t>
      </w:r>
    </w:p>
    <w:p>
      <w:r>
        <w:rPr>
          <w:b w:val="0"/>
          <w:i w:val="0"/>
        </w:rPr>
        <w:t>I would say, just think about this broad trend of dematerialization, of doing more with less, and of treading more lightly on the planet, and there are all kinds of ways you can participate in that trend. Another one of the wild things I learned writing the book is that aluminum cans used to be about four or five times heavier than they are now. Just your beer can or your soda can weighed a lot more. Beverage companies and packaging companies worked hard to reduce that weight because the consumer doesn’t value it. All I want is my beer, and that aluminum costs money. You can think about it as corporate greed, which it is. At the same time, the cumulative savings are hundreds of thousands of tons of aluminum.</w:t>
      </w:r>
    </w:p>
    <w:p>
      <w:r>
        <w:rPr>
          <w:b w:val="0"/>
          <w:i w:val="0"/>
        </w:rPr>
        <w:t>So, by participating in that process, go be a packaging engineer. Go work on CAD/CAM software. Go work on this trend of digitizing our world because then you’re also working on dematerializing our world and on treading more lightly on this beautiful planet that we all live on. And if you’re an aware and informed citizen, you can help steer governments and companies in the right direction here.</w:t>
      </w:r>
    </w:p>
    <w:p>
      <w:r>
        <w:rPr>
          <w:b w:val="0"/>
          <w:i w:val="0"/>
        </w:rPr>
        <w:t>I think there’re tons of ways to be a positively involved citizen and consumer here. And, yeah, you should probably also think about having experiences instead of things. The research is pretty overwhelming that more things actually don’t make us very happy or satisfied. Go have beautiful experiences.</w:t>
      </w:r>
    </w:p>
    <w:p>
      <w:r>
        <w:rPr>
          <w:b w:val="0"/>
          <w:i w:val="0"/>
        </w:rPr>
        <w:t>Jesse Ausubel, whom I mentioned before and whose work I respect greatly, has this great phrase. He says we need to make nature worthless. What he means by that is we need to make it economically worthless. So what if that tree’s over there? I don’t have any desire to chop it down. I can’t make a buck off it. Let me go sit under it and talk to somebody or read a book. He’s not saying nature is worthless. He’s saying let’s make its economic value low as quickly as possible. Amen to that.</w:t>
      </w:r>
    </w:p>
    <w:p>
      <w:r>
        <w:rPr>
          <w:b w:val="0"/>
          <w:i w:val="0"/>
        </w:rPr>
        <w:t>TAKEAWAYS</w:t>
      </w:r>
    </w:p>
    <w:p>
      <w:r>
        <w:rPr>
          <w:b w:val="0"/>
          <w:i w:val="0"/>
        </w:rPr>
        <w:t>Research has revealed a trend of dematerialization in the United States: As the economy is growing, the country is actually using less timber, metals, water, and other resources. And this trend is spreading to other parts of the globe.</w:t>
      </w:r>
    </w:p>
    <w:p>
      <w:pPr>
        <w:pStyle w:val="ListBullet"/>
      </w:pPr>
      <w:r>
        <w:rPr>
          <w:b w:val="0"/>
          <w:i w:val="0"/>
        </w:rPr>
        <w:t>New technologies and digitization are helping dematerialization happen. As individuals and companies do more online, for instance, they use fewer resources like paper.</w:t>
      </w:r>
    </w:p>
    <w:p>
      <w:pPr>
        <w:pStyle w:val="ListBullet"/>
      </w:pPr>
      <w:r>
        <w:rPr>
          <w:b w:val="0"/>
          <w:i w:val="0"/>
        </w:rPr>
        <w:t>Developing nations that are building their economy and looking to urbanize must build infrastructure, which traditionally has required vast amounts of resources. But these countries may reach urbanization quicker than expected, since they will follow different technology and materials paths than more prosperous nations.</w:t>
      </w:r>
    </w:p>
    <w:p>
      <w:pPr>
        <w:pStyle w:val="ListBullet"/>
      </w:pPr>
      <w:r>
        <w:rPr>
          <w:b w:val="0"/>
          <w:i w:val="0"/>
        </w:rPr>
        <w:t>While dematerialization is a promising development, it is not enough to stop climate change. Decarbonization is also needed, and it isn’t happening fast enough. Further action, like effective public policy, is required.</w:t>
      </w:r>
    </w:p>
    <w:p>
      <w:r>
        <w:rPr>
          <w:b w:val="0"/>
          <w:i/>
        </w:rPr>
        <w:t>Adapted from “Dematerialization and What It Means for the Economy—and Climate Change” on</w:t>
      </w:r>
      <w:r>
        <w:rPr>
          <w:b w:val="0"/>
          <w:i w:val="0"/>
        </w:rPr>
        <w:t xml:space="preserve"> HBR IdeaCast </w:t>
      </w:r>
      <w:r>
        <w:rPr>
          <w:b w:val="0"/>
          <w:i/>
        </w:rPr>
        <w:t>(podcast), September 17, 2019.</w:t>
      </w:r>
    </w:p>
    <w:p>
      <w:pPr>
        <w:jc w:val="center"/>
      </w:pPr>
      <w:r>
        <w:drawing>
          <wp:inline xmlns:a="http://schemas.openxmlformats.org/drawingml/2006/main" xmlns:pic="http://schemas.openxmlformats.org/drawingml/2006/picture">
            <wp:extent cx="5930900" cy="8890000"/>
            <wp:docPr id="96" name="Picture 96"/>
            <wp:cNvGraphicFramePr>
              <a:graphicFrameLocks noChangeAspect="1"/>
            </wp:cNvGraphicFramePr>
            <a:graphic>
              <a:graphicData uri="http://schemas.openxmlformats.org/drawingml/2006/picture">
                <pic:pic>
                  <pic:nvPicPr>
                    <pic:cNvPr id="0" name="epub_img_4715586043217367599.jpg"/>
                    <pic:cNvPicPr/>
                  </pic:nvPicPr>
                  <pic:blipFill>
                    <a:blip r:embed="rId69"/>
                    <a:stretch>
                      <a:fillRect/>
                    </a:stretch>
                  </pic:blipFill>
                  <pic:spPr>
                    <a:xfrm>
                      <a:off x="0" y="0"/>
                      <a:ext cx="5930900" cy="8890000"/>
                    </a:xfrm>
                    <a:prstGeom prst="rect"/>
                  </pic:spPr>
                </pic:pic>
              </a:graphicData>
            </a:graphic>
          </wp:inline>
        </w:drawing>
      </w:r>
    </w:p>
    <w:p>
      <w:pPr>
        <w:pStyle w:val="Heading1"/>
      </w:pPr>
      <w:r>
        <w:rPr>
          <w:b w:val="0"/>
          <w:i w:val="0"/>
        </w:rPr>
        <w:t>5</w:t>
      </w:r>
    </w:p>
    <w:p>
      <w:pPr>
        <w:pStyle w:val="Heading1"/>
      </w:pPr>
      <w:r>
        <w:rPr>
          <w:b w:val="0"/>
          <w:i w:val="0"/>
        </w:rPr>
        <w:t>WHY “DEGROWTH” SHOULDN’T SCARE BUSINESSES</w:t>
      </w:r>
    </w:p>
    <w:p>
      <w:r>
        <w:rPr>
          <w:b w:val="0"/>
          <w:i w:val="0"/>
        </w:rPr>
        <w:t>by Thomas Roulet and Joel Bothello</w:t>
      </w:r>
    </w:p>
    <w:p>
      <w:r>
        <w:rPr>
          <w:b w:val="0"/>
          <w:i w:val="0"/>
        </w:rPr>
        <w:t>The concept of degrowth dates back to the 1970s, when a group of French intellectuals led by the philosopher Andre Gorz proposed a simple idea: In response to mounting environmental and social problems, they suggested that the only real solution was to produce and consume less—to shrink our economies to cope with the carrying capacity of our planet. The proposal was considered by many at the time to be too radical. But with today’s climate crisis, debates around degrowth have been reinvigorated, and many major figures such as Noam Chomsky, Yanis Varoufakis, and Anthony Giddens have, to varying degrees, expressed support for the idea.</w:t>
      </w:r>
    </w:p>
    <w:p>
      <w:r>
        <w:rPr>
          <w:b w:val="0"/>
          <w:i w:val="0"/>
        </w:rPr>
        <w:t>For others, though—especially business leaders—degrowth is completely unthinkable, not least because of the anticapitalist and anticonsumerist roots of the term. The prevailing view is that growth is an economic necessity, and any threat to that not only undermines business but basic societal functioning. For instance, the chairman and former CEO of H&amp;M Karl-Johan Persson recently warned about the dire social consequences of what he perceives to be a movement of “consumer shaming.”1 Framed in these terms, the resistance of multinational CEOs and entrepreneurs alike is predictable, as is the reluctance of politicians to promote degrowth policies that would potentially prove unpopular with key constituents. The economist Tim Jackson provides a concise assessment: “Questioning growth is deemed to be the act of lunatics, idealists, and revolutionaries.”2</w:t>
      </w:r>
    </w:p>
    <w:p>
      <w:r>
        <w:rPr>
          <w:b w:val="0"/>
          <w:i w:val="0"/>
        </w:rPr>
        <w:t xml:space="preserve">Critics of degrowth have also put forth other arguments that, at face value, seem valid: the economist Joseph Stiglitz argues, for instance, that since growth is unquestionably good for human development, we simply need a different </w:t>
      </w:r>
      <w:r>
        <w:rPr>
          <w:b w:val="0"/>
          <w:i/>
        </w:rPr>
        <w:t>kind</w:t>
      </w:r>
      <w:r>
        <w:rPr>
          <w:b w:val="0"/>
          <w:i w:val="0"/>
        </w:rPr>
        <w:t xml:space="preserve"> of growth that is better for the environment, not less of it.3 Others argue that the philosophy of degrowth does not seriously account for technological innovation—specifically the idea that we can continue current growth patterns if we innovate products that are less resource intensive and generate fewer waste by-products.</w:t>
      </w:r>
    </w:p>
    <w:p>
      <w:r>
        <w:rPr>
          <w:b w:val="0"/>
          <w:i w:val="0"/>
        </w:rPr>
        <w:t>There are, however, problems with these perspectives. First, given the finite nature of our planet, infinite economic growth—even of a different variety—is a logical impossibility. Secondly, innovation and improvements produce, in many cases, unintended consequences. One of these is the Jevons paradox, where individuals compensate for efficiency through increased consumption. For instance, more energy-efficient refrigerators lead to more refrigerators in a home.</w:t>
      </w:r>
    </w:p>
    <w:p>
      <w:r>
        <w:rPr>
          <w:b w:val="0"/>
          <w:i w:val="0"/>
        </w:rPr>
        <w:t xml:space="preserve">The third and most fundamental issue is that the degrowth movement has already begun: at a grassroots level, consumer demand is actively being transformed, despite political and corporate reticence. A recent YouGov poll in France highlights that 27% of respondents are seeking to consume less—double the percentage from two years prior.4 The number of people eating less meat or giving it up altogether has been rising exponentially in recent years, too. Similarly, the movement of </w:t>
      </w:r>
      <w:r>
        <w:rPr>
          <w:b w:val="0"/>
          <w:i/>
        </w:rPr>
        <w:t>Flygskam</w:t>
      </w:r>
      <w:r>
        <w:rPr>
          <w:b w:val="0"/>
          <w:i w:val="0"/>
        </w:rPr>
        <w:t xml:space="preserve"> (literally “flight shaming” in Swedish) has had early successes in reducing pollution: 10 Swedish airports have reported considerable declines in passenger traffic recently, which they attribute directly to Flygskam. In the apparel industry, fast fashion is still popular, but garment manufacturers like H&amp;M are preparing for a backlash as consumers voice growing criticism of the ecological impact of clothing. Accounts such as these indicate how consumers in many contexts are increasingly conscious of the negative consequences of consumerism and are seeking to change their habits. We are witnessing the emergence of consumer-driven degrowth.</w:t>
      </w:r>
    </w:p>
    <w:p>
      <w:r>
        <w:rPr>
          <w:b w:val="0"/>
          <w:i w:val="0"/>
        </w:rPr>
        <w:t xml:space="preserve">These stories also indicate how degrowth opens new opportunities: Some companies and industries will certainly be disrupted, but others that are sufficiently prepared for such transitions will handily outmaneuver their competitors. For instance, Flygskam has been a boon for train travel, bolstered by a social media movement called </w:t>
      </w:r>
      <w:r>
        <w:rPr>
          <w:b w:val="0"/>
          <w:i/>
        </w:rPr>
        <w:t>T</w:t>
      </w:r>
      <w:r>
        <w:rPr>
          <w:b w:val="0"/>
          <w:i w:val="0"/>
        </w:rPr>
        <w:t>å</w:t>
      </w:r>
      <w:r>
        <w:rPr>
          <w:b w:val="0"/>
          <w:i/>
        </w:rPr>
        <w:t>gskryt</w:t>
      </w:r>
      <w:r>
        <w:rPr>
          <w:b w:val="0"/>
          <w:i w:val="0"/>
        </w:rPr>
        <w:t xml:space="preserve"> (“train brag”). Meanwhile, reduced meat consumption has been accompanied by an explosion in meat substitutes that produce 1/10th of the greenhouse gases compared to the real thing. Accordingly, degrowth reshuffles competitive dynamics within and across industries and, despite what many corporate leaders assume, offers new bases for competitive advantage.</w:t>
      </w:r>
    </w:p>
    <w:p>
      <w:r>
        <w:rPr>
          <w:b w:val="0"/>
          <w:i w:val="0"/>
        </w:rPr>
        <w:t>Based on our examination of companies at the forefront of the degrowth movement, we’ve identified three of their strategies that can apply to larger incumbent firms.</w:t>
      </w:r>
    </w:p>
    <w:p>
      <w:r>
        <w:rPr>
          <w:b w:val="0"/>
          <w:i w:val="0"/>
        </w:rPr>
        <w:t xml:space="preserve">First, firms can pursue </w:t>
      </w:r>
      <w:r>
        <w:rPr>
          <w:b w:val="0"/>
          <w:i/>
        </w:rPr>
        <w:t>degrowth-adapted product design</w:t>
      </w:r>
      <w:r>
        <w:rPr>
          <w:b w:val="0"/>
          <w:i w:val="0"/>
        </w:rPr>
        <w:t>, involving the creation of products that have longer life spans, are modular, or are locally produced. Fairphone, a social enterprise, eschews the built-in obsolescence of larger mobile device manufacturers and produces repairable phones that dramatically extend their longevity. Similarly, the menswear brand Tom Cridland sells high-quality, durable products that run counter to fast fashion principles, including the 30 Year Sweatshirt. Although incumbents have yet to follow suit, such transformations are not without precedent: For example, the American auto industry was forced to move away from planned obsolescence, which was a common practice dating back to the 1920s, when Japanese competitors seized the market in the 1970s and 1980s with more reliable and fuel-efficient vehicles that were built to last.</w:t>
      </w:r>
    </w:p>
    <w:p>
      <w:r>
        <w:rPr>
          <w:b w:val="0"/>
          <w:i w:val="0"/>
        </w:rPr>
        <w:t xml:space="preserve">Second, firms can engage in </w:t>
      </w:r>
      <w:r>
        <w:rPr>
          <w:b w:val="0"/>
          <w:i/>
        </w:rPr>
        <w:t>value-chain repositioning</w:t>
      </w:r>
      <w:r>
        <w:rPr>
          <w:b w:val="0"/>
          <w:i w:val="0"/>
        </w:rPr>
        <w:t>, where they exit from certain stages of the value chain and delegate some tasks to stakeholders. As an example, the vehicle manufacturer Local Motors created a proof-of-concept recyclable vehicle crafted with 50 individual parts printed onsite, compared with the roughly 25,000 parts required for a traditional vehicle. The company crowdsourced designs and crowdfunded the project from their potential consumers. Larger firms such as Lego have also taken advantage of this model, launching marketplaces for either creating new designs or trading used products. This way, the firm creates different ways to consume despite production limits. Firms that incorporate stakeholder engagement in their operations are thereby faster to adapt to degrowth when it becomes more mainstream.</w:t>
      </w:r>
    </w:p>
    <w:p>
      <w:r>
        <w:rPr>
          <w:b w:val="0"/>
          <w:i w:val="0"/>
        </w:rPr>
        <w:t xml:space="preserve">Third, firms can lead through </w:t>
      </w:r>
      <w:r>
        <w:rPr>
          <w:b w:val="0"/>
          <w:i/>
        </w:rPr>
        <w:t>degrowth-oriented standard setting.</w:t>
      </w:r>
      <w:r>
        <w:rPr>
          <w:b w:val="0"/>
          <w:i w:val="0"/>
        </w:rPr>
        <w:t xml:space="preserve"> This entails creation of a standard for the rest of the industry to follow. The apparel company Patagonia—which explicitly follows an “antigrowth” strategy—is the poster child for this philosophy, offering a worn-wear store and providing free repairs for not only their own products but also for those of other garment manufacturers. Walmart and Nike have solicited advice from Patagonia on such practices, and more recently H&amp;M imitated the service with a pilot in-store repair facility. In a similar vein, the automobile company Tesla released all its patents in 2014, seeking to catalyze the diffusion of electric vehicles. Such initiatives were not merely marketing ploys but also strategies to standardize a practice or technological platform throughout an industry—one in which companies like Patagonia or Tesla would have existing expertise.</w:t>
      </w:r>
    </w:p>
    <w:p>
      <w:r>
        <w:rPr>
          <w:b w:val="0"/>
          <w:i w:val="0"/>
        </w:rPr>
        <w:t>These strategies illustrate potential ways that firms can adapt to consumer-driven degrowth. Firms may pursue more than one strategy (or all three) simultaneously: In 2016, for example, Google attempted to create a longer lasting phone with modular components, soliciting feedback from supply chain actors on how to create standardized parts for their handset. Although “Project Ara” was ultimately canceled, it did reveal a common thread among the strategies. Effective and inclusive communication with stakeholders across the supply chain is crucial, but framing the project in a way that all those individuals can buy into requires considerable effort and adjustment through trial and error.</w:t>
      </w:r>
    </w:p>
    <w:p>
      <w:r>
        <w:rPr>
          <w:b w:val="0"/>
          <w:i w:val="0"/>
        </w:rPr>
        <w:t xml:space="preserve">As we continue to grapple with climate change, we can expect consumers, rather than politicians, to increasingly drive degrowth by changing their consumption patterns. Firms should think in an innovative way about this consumer-driven degrowth as an opportunity, instead of resisting or dismissing the demands of this small but growing movement. Businesses that successfully do so will emerge more resilient and adaptable—instead of necessarily selling more, they will sell </w:t>
      </w:r>
      <w:r>
        <w:rPr>
          <w:b w:val="0"/>
          <w:i/>
        </w:rPr>
        <w:t>better,</w:t>
      </w:r>
      <w:r>
        <w:rPr>
          <w:b w:val="0"/>
          <w:i w:val="0"/>
        </w:rPr>
        <w:t xml:space="preserve"> and grow in a way that satisfies consumers while respecting the environment.</w:t>
      </w:r>
    </w:p>
    <w:p>
      <w:r>
        <w:rPr>
          <w:b w:val="0"/>
          <w:i w:val="0"/>
        </w:rPr>
        <w:t>TAKEAWAYS</w:t>
      </w:r>
    </w:p>
    <w:p>
      <w:r>
        <w:rPr>
          <w:b w:val="0"/>
          <w:i w:val="0"/>
        </w:rPr>
        <w:t>Individuals are growing increasingly conscious of the negative consequences of consumerism, leading them to buy less. This consumer-driven degrowth is becoming a concern for companies who see growth as an economic necessity. But three strategies can help:</w:t>
      </w:r>
    </w:p>
    <w:p>
      <w:pPr>
        <w:pStyle w:val="ListBullet"/>
      </w:pPr>
      <w:r>
        <w:rPr>
          <w:b w:val="0"/>
          <w:i w:val="0"/>
        </w:rPr>
        <w:t>Degrowth-adapted product design. Companies can create products that have longer lifespans, are modular, or are locally produced. For example, Fairphone produces repairable phones to extend their longevity.</w:t>
      </w:r>
    </w:p>
    <w:p>
      <w:pPr>
        <w:pStyle w:val="ListBullet"/>
      </w:pPr>
      <w:r>
        <w:rPr>
          <w:b w:val="0"/>
          <w:i w:val="0"/>
        </w:rPr>
        <w:t>Value-chain repositioning. Businesses can exit from certain stages of the value chain and delegate tasks to other stakeholders, including the customers themselves. The vehicle manufacturer Local Motors, for instance, uses crowdsourcing design and crowdfunding to build new products.</w:t>
      </w:r>
    </w:p>
    <w:p>
      <w:pPr>
        <w:pStyle w:val="ListBullet"/>
      </w:pPr>
      <w:r>
        <w:rPr>
          <w:b w:val="0"/>
          <w:i w:val="0"/>
        </w:rPr>
        <w:t>Degrowth-oriented standard setting. Companies can create a standard for the rest of the industry to follow. Patagonia, the poster child for this philosophy, has opened a worn-wear store and provides free repairs to offset those concerned about growth in the apparel industry.</w:t>
      </w:r>
    </w:p>
    <w:p>
      <w:pPr>
        <w:pStyle w:val="Heading3"/>
      </w:pPr>
      <w:r>
        <w:rPr>
          <w:b w:val="0"/>
          <w:i w:val="0"/>
        </w:rPr>
        <w:t>NOTES</w:t>
      </w:r>
    </w:p>
    <w:p>
      <w:pPr>
        <w:pStyle w:val="ListNumber"/>
      </w:pPr>
      <w:r>
        <w:rPr>
          <w:b w:val="0"/>
          <w:i w:val="0"/>
        </w:rPr>
        <w:t>1. Hanna Hoikkala, “H&amp;M CEO Sees ‘Terrrible’ Fallout as Consumer Shaming Spreads,” Bloomberg, October 27, 2019, https://www.bloomberg.com/news/articles/2019-10-27/h-m-ceo-sees-terrible-fallout-as-consumer-shaming-spreads.</w:t>
      </w:r>
    </w:p>
    <w:p>
      <w:pPr>
        <w:pStyle w:val="ListNumber"/>
      </w:pPr>
      <w:r>
        <w:rPr>
          <w:b w:val="0"/>
          <w:i w:val="0"/>
        </w:rPr>
        <w:t xml:space="preserve">2. Christiane Kliemann, “Can Companies Do Better by Doing Less?” </w:t>
      </w:r>
      <w:r>
        <w:rPr>
          <w:b w:val="0"/>
          <w:i/>
        </w:rPr>
        <w:t>The Guardian</w:t>
      </w:r>
      <w:r>
        <w:rPr>
          <w:b w:val="0"/>
          <w:i w:val="0"/>
        </w:rPr>
        <w:t>, August 1, 2014, https://www.theguardian.com/sustainable-business/2014/aug/01/companies-degrowth-sustainable-business-doing-less.</w:t>
      </w:r>
    </w:p>
    <w:p>
      <w:pPr>
        <w:pStyle w:val="ListNumber"/>
      </w:pPr>
      <w:r>
        <w:rPr>
          <w:b w:val="0"/>
          <w:i w:val="0"/>
        </w:rPr>
        <w:t>3. Joseph E. Stiglitz, “Is Growth Passé?” Project Syndicate, December 9, 2019, https://www.project-syndicate.org/commentary/climate-change-demands-transition-to-green-growth-by-joseph-e-stiglitz-2019-12?barrier=accesspaylog.</w:t>
      </w:r>
    </w:p>
    <w:p>
      <w:pPr>
        <w:pStyle w:val="ListNumber"/>
      </w:pPr>
      <w:r>
        <w:rPr>
          <w:b w:val="0"/>
          <w:i w:val="0"/>
        </w:rPr>
        <w:t xml:space="preserve">4. Giulietta Gamberini, “L’envie de ‘consommer moins’ croît nettement en France,” </w:t>
      </w:r>
      <w:r>
        <w:rPr>
          <w:b w:val="0"/>
          <w:i/>
        </w:rPr>
        <w:t>La Tribune</w:t>
      </w:r>
      <w:r>
        <w:rPr>
          <w:b w:val="0"/>
          <w:i w:val="0"/>
        </w:rPr>
        <w:t>, September 20, 2019, https://www.latribune.fr/economie/france/l-envie-de-consommer-moins-croit-nettement-en-france-828457.html.</w:t>
      </w:r>
    </w:p>
    <w:p>
      <w:r>
        <w:rPr>
          <w:b w:val="0"/>
          <w:i/>
        </w:rPr>
        <w:t>Adapted from content posted on hbr.org, February 14, 2020 (product #H05FC7).</w:t>
      </w:r>
    </w:p>
    <w:p>
      <w:pPr>
        <w:pStyle w:val="Heading1"/>
      </w:pPr>
      <w:r>
        <w:rPr>
          <w:b w:val="0"/>
          <w:i w:val="0"/>
        </w:rPr>
        <w:t>6</w:t>
      </w:r>
    </w:p>
    <w:p>
      <w:pPr>
        <w:pStyle w:val="Heading1"/>
      </w:pPr>
      <w:r>
        <w:rPr>
          <w:b w:val="0"/>
          <w:i w:val="0"/>
        </w:rPr>
        <w:t>IS YOUR COMPANY READY FOR A ZERO-CARBON FUTURE?</w:t>
      </w:r>
    </w:p>
    <w:p>
      <w:r>
        <w:rPr>
          <w:b w:val="0"/>
          <w:i w:val="0"/>
        </w:rPr>
        <w:t>by Nigel Topping</w:t>
      </w:r>
    </w:p>
    <w:p>
      <w:r>
        <w:rPr>
          <w:b w:val="0"/>
          <w:i w:val="0"/>
        </w:rPr>
        <w:t>There is growing public demand for a rapid transition to a zero-carbon economy. But global protests and youth climate strikes are not enough to create change alone. Companies need to take action. Beyond the very serious threats the current crisis poses to our planet, organizations are increasingly seeing the material risks it poses to their business.</w:t>
      </w:r>
    </w:p>
    <w:p>
      <w:r>
        <w:rPr>
          <w:b w:val="0"/>
          <w:i w:val="0"/>
        </w:rPr>
        <w:t>U.S. financial regulator Rostin Behnam likened the financial risks from climate change to those caused by the mortgage meltdown that led to the financial crisis of 2008.1 And recently, AT&amp;T—which has already lost $847 million to climate disasters—announced that they will be paying the U.S. Department of Energy to track climate-related events that could damage their infrastructure in coming years.</w:t>
      </w:r>
    </w:p>
    <w:p>
      <w:r>
        <w:rPr>
          <w:b w:val="0"/>
          <w:i w:val="0"/>
        </w:rPr>
        <w:t>Businesses that bake carbon reduction into their strategies will not only reduce these kinds of risks from affecting their organizations, they will see significant benefits as well: increased innovation, competitiveness, risk management, and growth.</w:t>
      </w:r>
    </w:p>
    <w:p>
      <w:r>
        <w:rPr>
          <w:b w:val="0"/>
          <w:i w:val="0"/>
        </w:rPr>
        <w:t>More than 900 global companies representing over $17.6 trillion in market cap are already ensuring that their business strategies are built for growth and emissions reductions through the We Mean Business Take Action campaign. (We Mean Business is a nonprofit coalition of which I am CEO.) This includes over 560 companies that have committed to set ambitious science-based emission reduction targets, and over 175 that have committed to switching to 100% renewable electricity. Beyond that, companies are beginning to use their influence to speed an economy-wide transition by supporting climate policies targeting net-zero emissions by 2050. Others are demanding climate action throughout their supply chains.</w:t>
      </w:r>
    </w:p>
    <w:p>
      <w:r>
        <w:rPr>
          <w:b w:val="0"/>
          <w:i w:val="0"/>
        </w:rPr>
        <w:t>Your organization also has a responsibility to become a part of the solution. Failing to do so will impact your ability to attract talent, manage risk, and innovate for growth. Below are a few critical steps you can take to set your business up for success in a zero-carbon future.</w:t>
      </w:r>
    </w:p>
    <w:p>
      <w:pPr>
        <w:pStyle w:val="Heading2"/>
      </w:pPr>
      <w:r>
        <w:rPr>
          <w:b w:val="0"/>
          <w:i w:val="0"/>
        </w:rPr>
        <w:t>Align Your Company with the Paris Agreement</w:t>
      </w:r>
    </w:p>
    <w:p>
      <w:r>
        <w:rPr>
          <w:b w:val="0"/>
          <w:i w:val="0"/>
        </w:rPr>
        <w:t>The science has never been clearer. The 2018 IPCC special report on the impacts of global warming of 1.5°C highlights the importance of aligning emission reductions with the goals of the Paris Agreement, and striving for net-zero emissions by 2050—at the latest.2</w:t>
      </w:r>
    </w:p>
    <w:p>
      <w:r>
        <w:rPr>
          <w:b w:val="0"/>
          <w:i w:val="0"/>
        </w:rPr>
        <w:t>Science-based greenhouse gas emission reduction targets are the gold standard for companies setting emissions reduction goals, both in their direct operations and across their value chains. It is now possible for organizations to set targets that are in line with the level of decarbonization required to limit global warming to 1.5°C. These targets, as ambitious as they are, are vital to reaching net-zero emissions by 2050, and they should be the ultimate goal for all companies.</w:t>
      </w:r>
    </w:p>
    <w:p>
      <w:r>
        <w:rPr>
          <w:b w:val="0"/>
          <w:i w:val="0"/>
        </w:rPr>
        <w:t>If you’re hesitant, consider the risks of not acting: The world’s largest sovereign wealth fund—Norway’s $1 trillion Government Pension Fund—confirmed it will divest some $13 billion of fossil fuel–related investments. This is one of many signals that there will continue to be a global move away from fossil fuels, indicating the need for companies to incorporate the emissions impact of their assets into their investment plans or be left with assets that will rapidly lose value. Science-based targets will provide you with a way to future-proof your business plans by ensuring that all strategic decisions incorporate climate risk and opportunity analysis. This will simultaneously drive zero-carbon innovation and help you guard against stranded assets.</w:t>
      </w:r>
    </w:p>
    <w:p>
      <w:r>
        <w:rPr>
          <w:b w:val="0"/>
          <w:i w:val="0"/>
        </w:rPr>
        <w:t>To date, the majority of the 560+ companies that have jumped on board report improvements to brand reputation and investor confidence. Consumers and investors are increasingly aware of the effects their choices have on the environment. Companies who commit to these targets, then, are gaining a competitive advantage in multiple areas of their business.</w:t>
      </w:r>
    </w:p>
    <w:p>
      <w:pPr>
        <w:pStyle w:val="Heading2"/>
      </w:pPr>
      <w:r>
        <w:rPr>
          <w:b w:val="0"/>
          <w:i w:val="0"/>
        </w:rPr>
        <w:t>Join a Transformative Initiative</w:t>
      </w:r>
    </w:p>
    <w:p>
      <w:r>
        <w:rPr>
          <w:b w:val="0"/>
          <w:i w:val="0"/>
        </w:rPr>
        <w:t>Committing to achieving net-zero emissions by 2050 is no doubt an ambitious goal. There are several initiatives companies can turn to for support.</w:t>
      </w:r>
    </w:p>
    <w:p>
      <w:r>
        <w:rPr>
          <w:b w:val="0"/>
          <w:i w:val="0"/>
        </w:rPr>
        <w:t>The Climate Group’s global EP100 initiative is a good place to start. It brings together a growing group of energy-smart companies committed to using energy more productively with the goal of lowering greenhouse gas emissions and accelerating a clean economy. As part of the EP100 initiative, companies can commit to doubling energy productivity and to net-zero carbon buildings through the Net Zero Carbon Buildings Commitment.</w:t>
      </w:r>
    </w:p>
    <w:p>
      <w:r>
        <w:rPr>
          <w:b w:val="0"/>
          <w:i w:val="0"/>
        </w:rPr>
        <w:t>Companies engaged in this initiative report cost savings as well as emissions reductions. For example, energy productivity improvements at Wisconsin-based Johnson Controls contributed to a 41% reduction in the company’s greenhouse gas emissions intensity and over $100 million in annual energy savings.</w:t>
      </w:r>
    </w:p>
    <w:p>
      <w:r>
        <w:rPr>
          <w:b w:val="0"/>
          <w:i w:val="0"/>
        </w:rPr>
        <w:t>In addition, collaborative initiatives, like the Low Carbon Technology Partnerships initiative (LCTPi), led by the World Business Council for Sustainable Development, bring companies together to generate shared natural climate solutions across the value chains in specific business sectors. LCTPi focuses primarily on the agricultural, energy, and transport industries. These kinds of initiatives provide businesses with greater access to resources and innovations that can help them develop new markets.</w:t>
      </w:r>
    </w:p>
    <w:p>
      <w:pPr>
        <w:pStyle w:val="Heading2"/>
      </w:pPr>
      <w:r>
        <w:rPr>
          <w:b w:val="0"/>
          <w:i w:val="0"/>
        </w:rPr>
        <w:t>Commit to 100%</w:t>
      </w:r>
    </w:p>
    <w:p>
      <w:r>
        <w:rPr>
          <w:b w:val="0"/>
          <w:i w:val="0"/>
        </w:rPr>
        <w:t>Committing to doing something completely—to doing it 100%—leaves no room for excuses and will send a powerful signal to your stakeholders. If you commit to switch 100% of your electricity consumption to renewable sources, as opposed to 20% or even 50%, your objective will be clear to everyone inside and outside of your organization.</w:t>
      </w:r>
    </w:p>
    <w:p>
      <w:r>
        <w:rPr>
          <w:b w:val="0"/>
          <w:i w:val="0"/>
        </w:rPr>
        <w:t>Over 175 of the world’s most influential companies have already made this commitment through the global corporate leadership initiative, RE100. When they have made the full switch to 100% renewable electricity, these RE100 companies will be generating demand for over 184 terawatt-hours (TWh) of renewable electricity annually, more than enough to power Argentina and Portugal. This is driving up demand for renewable electricity and creating a shift in demand patterns away from fossil fuels across the global power system.</w:t>
      </w:r>
    </w:p>
    <w:p>
      <w:r>
        <w:rPr>
          <w:b w:val="0"/>
          <w:i w:val="0"/>
        </w:rPr>
        <w:t>Google, Autodesk, Elopak, and Interface are just a few of the companies that have already achieved their goal and are now powered by 100% renewable energy. Not only are these organizations creating change, they are saving money as the price of wind and solar continues to drop, and they are demonstrating to their stakeholders—including investors, customers, and policy makers—that they see a future in which businesses are powered by renewables.</w:t>
      </w:r>
    </w:p>
    <w:p>
      <w:r>
        <w:rPr>
          <w:b w:val="0"/>
          <w:i w:val="0"/>
        </w:rPr>
        <w:t>The same efforts are being made in the transportation sector. With air-quality legislation expected to increasingly restrict polluting vehicles in cities around the world, companies are realizing that it pays to get ahead and make the transition to electric vehicles (EVs). More and more businesses are committing to transition their auto fleets through the global initiative, EV100. LeasePlan, a car leasing company with 1.8 million vehicles on the road, is aiming to transition its employee fleet to 100% EVs by 2021—one step toward their larger goal of reaching net-zero emissions by 2030. In addition to the environmental benefits, their EV integration could dramatically reduce the costs of fleets, as charging an electric vehicle is cheaper than buying gas, and maintenance costs are also lower. Deutsche Post DHL is already seeing 60–70% savings on fuel costs and 60–80% savings on maintenance from its StreetScooter EVs.</w:t>
      </w:r>
    </w:p>
    <w:p>
      <w:pPr>
        <w:pStyle w:val="Heading2"/>
      </w:pPr>
      <w:r>
        <w:rPr>
          <w:b w:val="0"/>
          <w:i w:val="0"/>
        </w:rPr>
        <w:t>Review Your Industry Groups</w:t>
      </w:r>
    </w:p>
    <w:p>
      <w:r>
        <w:rPr>
          <w:b w:val="0"/>
          <w:i w:val="0"/>
        </w:rPr>
        <w:t>Industry groups look out for companies’ strategic interests and are based on common lines of business. If the groups that your company is a member of are not taking serious action to address the climate crisis, whole industries are at risk of getting left behind once we do reach net-zero emissions. Don’t let outdated lobbying positions hold your company back.</w:t>
      </w:r>
    </w:p>
    <w:p>
      <w:r>
        <w:rPr>
          <w:b w:val="0"/>
          <w:i w:val="0"/>
        </w:rPr>
        <w:t>The time has come for businesses to review their membership of trade groups and make sure that their climate action goals are aligned. If they aren’t, use your company’s influence to help change the group’s position, or leave the group to show policy makers where you stand. You won’t be alone in doing so.</w:t>
      </w:r>
    </w:p>
    <w:p>
      <w:r>
        <w:rPr>
          <w:b w:val="0"/>
          <w:i w:val="0"/>
        </w:rPr>
        <w:t>Volkswagen put VDA, the German car maker lobby group, on notice that it will leave unless it adjusts its position on the auto-sector transition and starts supporting EVs. In addition, Shell is walking away from the American Fuel and Petrochemical Manufacturers association over its lack of support for the Paris Agreement. Finally, Unilever CEO Alan Jope has requested that all trade bodies the company is associated with confirm that their lobbying positions on climate are consistent with Unilever’s own goals.</w:t>
      </w:r>
    </w:p>
    <w:p>
      <w:pPr>
        <w:pStyle w:val="Heading2"/>
      </w:pPr>
      <w:r>
        <w:rPr>
          <w:b w:val="0"/>
          <w:i w:val="0"/>
        </w:rPr>
        <w:t>Get Smart on Climate Governance</w:t>
      </w:r>
    </w:p>
    <w:p>
      <w:r>
        <w:rPr>
          <w:b w:val="0"/>
          <w:i w:val="0"/>
        </w:rPr>
        <w:t>Your plans to tackle climate change will only work if your company has the right governance in place to support them. This includes equipping board and management teams with knowledge and skills that will help them recognize the risks and opportunities posed by the climate crisis.</w:t>
      </w:r>
    </w:p>
    <w:p>
      <w:r>
        <w:rPr>
          <w:b w:val="0"/>
          <w:i w:val="0"/>
        </w:rPr>
        <w:t>If you are running a global food company, for example, ask: Is my organization up to date with the findings of the EAT Lancet report? Do we have board expertise on the societal shift away from meat, and is our corporate venturing aligned with this shift? Can we explain to staff and customers how our business model is evolving to protect nature rather than harm it?</w:t>
      </w:r>
    </w:p>
    <w:p>
      <w:r>
        <w:rPr>
          <w:b w:val="0"/>
          <w:i w:val="0"/>
        </w:rPr>
        <w:t>To help in this effort, Ceres and The B Team have published a primer on climate competent boards, which also focuses on the adaptability and relevance of the Task Force on Climate-related Financial Disclosure (TCFD) recommendations. These guidelines emphasize the financial risks associated with climate as well as how this informs all business strategy.</w:t>
      </w:r>
    </w:p>
    <w:p>
      <w:pPr>
        <w:pStyle w:val="Heading2"/>
      </w:pPr>
      <w:r>
        <w:rPr>
          <w:b w:val="0"/>
          <w:i w:val="0"/>
        </w:rPr>
        <w:t>Speak Up in Support of Climate Policy</w:t>
      </w:r>
    </w:p>
    <w:p>
      <w:r>
        <w:rPr>
          <w:b w:val="0"/>
          <w:i w:val="0"/>
        </w:rPr>
        <w:t>Your company can inspire legislators to create more drastic and ambitious climate policies through face-to-face dialogue. This was highly effective during the negotiations of the Paris Agreement in 2015, when representatives from leading organizations were able to sit down with policy makers and talk openly about the challenges and opportunities different policies would bring to their businesses. The conversation needs to continue.</w:t>
      </w:r>
    </w:p>
    <w:p>
      <w:r>
        <w:rPr>
          <w:b w:val="0"/>
          <w:i w:val="0"/>
        </w:rPr>
        <w:t>Many businesses are well positioned to help inform ongoing policy discussions based on their experience with emissions reduction plans. Those that have acted to help improve the state of the climate emergency have the unique ability to point to the progress made through their efforts, demonstrating that climate action is feasible and that inaction is costly.</w:t>
      </w:r>
    </w:p>
    <w:p>
      <w:r>
        <w:rPr>
          <w:b w:val="0"/>
          <w:i w:val="0"/>
        </w:rPr>
        <w:t>In Japan, 93 businesses—representing sales of approximately $670 billion and electricity consumption of 36 TWh—called upon the Japanese government to include a goal of net-zero emissions domestically by 2050. Since then, Japan’s cabinet has outlined its emissions reduction strategy, which aims to transition the economy to being “carbon neutral” close to that time frame. Hundreds of businesses also called upon the EU to commit to net-zero greenhouse gas emissions by 2050, at the latest. The U.K. government has already announced it is legislating for net-zero emissions by 2050, and pressure is mounting on the EU to follow suit.</w:t>
      </w:r>
    </w:p>
    <w:p>
      <w:pPr>
        <w:pStyle w:val="Heading2"/>
      </w:pPr>
      <w:r>
        <w:rPr>
          <w:b w:val="0"/>
          <w:i w:val="0"/>
        </w:rPr>
        <w:t>Communicate Your Purpose</w:t>
      </w:r>
    </w:p>
    <w:p>
      <w:r>
        <w:rPr>
          <w:b w:val="0"/>
          <w:i w:val="0"/>
        </w:rPr>
        <w:t>The more businesses that share the efforts they are making through their reporting and external communications, the more visible they will be to policy makers, customers, and employees. Setting this example can help give those people the confidence they need to increase their own climate ambition and help drive the market shift required to spark competition and innovation.</w:t>
      </w:r>
    </w:p>
    <w:p>
      <w:r>
        <w:rPr>
          <w:b w:val="0"/>
          <w:i w:val="0"/>
        </w:rPr>
        <w:t>Perhaps the largest benefit of this is that it has the potential to help put into action long-term climate policies that provide businesses with the clarity they need to decarbonize products and services in faster and smarter ways.</w:t>
      </w:r>
    </w:p>
    <w:p>
      <w:r>
        <w:rPr>
          <w:b w:val="0"/>
          <w:i w:val="0"/>
        </w:rPr>
        <w:t>Making your efforts visible to the public will also help your company attract and retain new generations of talent. Some 75% of millennials expect employers to address the climate crisis, and recent research suggests that Generation Z takes an equally strong stance on climate issues.3</w:t>
      </w:r>
    </w:p>
    <w:p>
      <w:r>
        <w:rPr>
          <w:b w:val="0"/>
          <w:i w:val="0"/>
        </w:rPr>
        <w:t>Companies looking to harness the benefits of climate action need to step up and commit to taking these crucial steps—and don’t forget to shout about it when you do. Inspiring others to work toward a zero-carbon future is the best way to drive innovation and ensure that you succeed while others fall by the wayside. We all have a responsibility to tackle the climate crisis and to help drive toward a solution that works for our economies and our planet.</w:t>
      </w:r>
    </w:p>
    <w:p>
      <w:r>
        <w:rPr>
          <w:b w:val="0"/>
          <w:i w:val="0"/>
        </w:rPr>
        <w:t>TAKEAWAYS</w:t>
      </w:r>
    </w:p>
    <w:p>
      <w:r>
        <w:rPr>
          <w:b w:val="0"/>
          <w:i w:val="0"/>
        </w:rPr>
        <w:t>There is an increasing public demand for a zero-carbon economy, and if businesses don’t take steps toward folding carbon reduction into their strategies, they could face financial losses and other risks. Follow these steps:</w:t>
      </w:r>
    </w:p>
    <w:p>
      <w:pPr>
        <w:pStyle w:val="ListBullet"/>
      </w:pPr>
      <w:r>
        <w:rPr>
          <w:b w:val="0"/>
          <w:i w:val="0"/>
        </w:rPr>
        <w:t>Align your company with the Paris Agreement. Strive for net-zero emissions by 2050. Use science-based targets and ensure that all strategic decisions incorporate climate risk and opportunity analysis.</w:t>
      </w:r>
    </w:p>
    <w:p>
      <w:pPr>
        <w:pStyle w:val="ListBullet"/>
      </w:pPr>
      <w:r>
        <w:rPr>
          <w:b w:val="0"/>
          <w:i w:val="0"/>
        </w:rPr>
        <w:t>Join a transformative initiative. Find support through projects like the Climate Group’s global EP100 initiative, the Net Zero Carbon Buildings Commitment, or the World Business Council for Sustainable Development’s Low Carbon Technology Partnerships.</w:t>
      </w:r>
    </w:p>
    <w:p>
      <w:pPr>
        <w:pStyle w:val="ListBullet"/>
      </w:pPr>
      <w:r>
        <w:rPr>
          <w:b w:val="0"/>
          <w:i w:val="0"/>
        </w:rPr>
        <w:t xml:space="preserve">Make a goal of 100%. Send a powerful signal to your stakeholders by committing to 100% in your environmental initiatives—for instance, by switching </w:t>
      </w:r>
      <w:r>
        <w:rPr>
          <w:b w:val="0"/>
          <w:i/>
        </w:rPr>
        <w:t>all</w:t>
      </w:r>
      <w:r>
        <w:rPr>
          <w:b w:val="0"/>
          <w:i w:val="0"/>
        </w:rPr>
        <w:t xml:space="preserve"> of your electricity consumption to renewable sources, as opposed to only 20% or 50%.</w:t>
      </w:r>
    </w:p>
    <w:p>
      <w:pPr>
        <w:pStyle w:val="ListBullet"/>
      </w:pPr>
      <w:r>
        <w:rPr>
          <w:b w:val="0"/>
          <w:i w:val="0"/>
        </w:rPr>
        <w:t>Review your industry groups. Assess your membership in trade groups and make sure their climate action goals are aligned. If they’re not, help change the group’s position or leave the group entirely.</w:t>
      </w:r>
    </w:p>
    <w:p>
      <w:pPr>
        <w:pStyle w:val="ListBullet"/>
      </w:pPr>
      <w:r>
        <w:rPr>
          <w:b w:val="0"/>
          <w:i w:val="0"/>
        </w:rPr>
        <w:t>Get smart on climate governance. Equip boards and management teams with knowledge and skills that will help them recognize the risks and opportunities posed by the climate crisis. Read recent environmental reports and regulations, and ask if your company is up to date.</w:t>
      </w:r>
    </w:p>
    <w:p>
      <w:pPr>
        <w:pStyle w:val="ListBullet"/>
      </w:pPr>
      <w:r>
        <w:rPr>
          <w:b w:val="0"/>
          <w:i w:val="0"/>
        </w:rPr>
        <w:t>Speak up in support of climate policy. Inspire legislators to create more drastic and ambitious climate policies through face-to-face dialogue.</w:t>
      </w:r>
    </w:p>
    <w:p>
      <w:pPr>
        <w:pStyle w:val="ListBullet"/>
      </w:pPr>
      <w:r>
        <w:rPr>
          <w:b w:val="0"/>
          <w:i w:val="0"/>
        </w:rPr>
        <w:t>Communicate your purpose. Make your reporting and external communications visible to policy makers, customers, and employees.</w:t>
      </w:r>
    </w:p>
    <w:p>
      <w:pPr>
        <w:pStyle w:val="Heading3"/>
      </w:pPr>
      <w:r>
        <w:rPr>
          <w:b w:val="0"/>
          <w:i w:val="0"/>
        </w:rPr>
        <w:t>NOTES</w:t>
      </w:r>
    </w:p>
    <w:p>
      <w:pPr>
        <w:pStyle w:val="ListNumber"/>
      </w:pPr>
      <w:r>
        <w:rPr>
          <w:b w:val="0"/>
          <w:i w:val="0"/>
        </w:rPr>
        <w:t xml:space="preserve">1. Coral Davenport, “Climate Change Poses Major Risks to Financial Markets, Regulator Warns,” </w:t>
      </w:r>
      <w:r>
        <w:rPr>
          <w:b w:val="0"/>
          <w:i/>
        </w:rPr>
        <w:t>New York Times</w:t>
      </w:r>
      <w:r>
        <w:rPr>
          <w:b w:val="0"/>
          <w:i w:val="0"/>
        </w:rPr>
        <w:t>, June 11, 2019, https://www.nytimes.com/2019/06/11/climate/climate-financial-market-risk.html.</w:t>
      </w:r>
    </w:p>
    <w:p>
      <w:pPr>
        <w:pStyle w:val="ListNumber"/>
      </w:pPr>
      <w:r>
        <w:rPr>
          <w:b w:val="0"/>
          <w:i w:val="0"/>
        </w:rPr>
        <w:t>2. Intergovernmental Panel on Climate Change, “Special Report: Global Warming of 1.5°C,” 2019, https://www.ipcc.ch/sr15/.</w:t>
      </w:r>
    </w:p>
    <w:p>
      <w:pPr>
        <w:pStyle w:val="ListNumber"/>
      </w:pPr>
      <w:r>
        <w:rPr>
          <w:b w:val="0"/>
          <w:i w:val="0"/>
        </w:rPr>
        <w:t>3. Glassdoor Team, “New Survey Reveals 75% of Millennials Expect Employers to Take a Stand on Social Issues,” Glassdoor, September 25, 2017, https://www.glassdoor.com/blog/corporate-social-responsibility/; Kim Parker, Nikki Graf, and Ruth Igielnik, “Generation Z Looks a Lot Like Millennials on Key Social and Political Issues,” Pew Research Center, January 17, 2019, https://www.pewsocialtrends.org/2019/01/17/generation-z-looks-a-lot-like-millennials-on-key-social-and-political-issues/.</w:t>
      </w:r>
    </w:p>
    <w:p>
      <w:r>
        <w:rPr>
          <w:b w:val="0"/>
          <w:i/>
        </w:rPr>
        <w:t>Adapted from content posted on hbr.org, June 21, 2019 (product #H050QH).</w:t>
      </w:r>
    </w:p>
    <w:p>
      <w:pPr>
        <w:pStyle w:val="Heading1"/>
      </w:pPr>
      <w:r>
        <w:rPr>
          <w:b w:val="0"/>
          <w:i w:val="0"/>
        </w:rPr>
        <w:t>7</w:t>
      </w:r>
    </w:p>
    <w:p>
      <w:pPr>
        <w:pStyle w:val="Heading1"/>
      </w:pPr>
      <w:r>
        <w:rPr>
          <w:b w:val="0"/>
          <w:i w:val="0"/>
        </w:rPr>
        <w:t>MAKING CRYPTOCURRENCY MORE ENVIRONMENTALLY SUSTAINABLE</w:t>
      </w:r>
    </w:p>
    <w:p>
      <w:r>
        <w:rPr>
          <w:b w:val="0"/>
          <w:i w:val="0"/>
        </w:rPr>
        <w:t>by Marc Blinder</w:t>
      </w:r>
    </w:p>
    <w:p>
      <w:r>
        <w:rPr>
          <w:b w:val="0"/>
          <w:i w:val="0"/>
        </w:rPr>
        <w:t>Blockchain has the power to change our world for the better in so many ways. It can provide unbanked people with digital wallets, prevent fraud, and replace outdated systems with more efficient ones. But we still need this new and improved world to be one that we want to live in. The largest cryptocurrencies—Bitcoin, Bitcoin Cash, and Ethereum—require vast amounts of energy consumption to function. In 2017, blockchain used more power than 159 individual nations, including Uruguay, Nigeria, and Ireland.1 Unsurprisingly, this is creating a huge environmental problem that poses a threat to the Paris climate-change accord.</w:t>
      </w:r>
    </w:p>
    <w:p>
      <w:r>
        <w:rPr>
          <w:b w:val="0"/>
          <w:i w:val="0"/>
        </w:rPr>
        <w:t>It’s a brutal, if unintended, consequence for such a promising technology, and “mining” is at the heart of the problem. When Bitcoin was first conceived nearly a decade ago, it was a niche fascination for a few hundred hobbyists, or “miners.” Because Bitcoin has no bank to regulate it, miners used their computers to verify transactions by solving cryptographic problems, similar to complex math problems. Then, they combined the verified transactions into “blocks” and added them to the blockchain (a public record of all the transactions) to document them—all this, in return for a small sum of Bitcoin. But where a single Bitcoin once sold for less than a penny on the open market, it now sells for nearly $7,000, and around 200,000 Bitcoin transactions occur every day. With these numbers increasing, so has the incentive to create cryptocurrency “mines”—server farms now spread across the world, often massive. Imagine the amount of energy consumed by 25,000 machines calculating math problems 24 hours a day.</w:t>
      </w:r>
    </w:p>
    <w:p>
      <w:r>
        <w:rPr>
          <w:b w:val="0"/>
          <w:i w:val="0"/>
        </w:rPr>
        <w:t>Beyond the environmental concerns, this inefficiency threatens blockchain as a meaningful platform for enterprise. The high energy costs are baked into the system, and, because the cost of running the network is passed on in transaction fees, users of these networks end up paying for them. Initially, companies that use Bitcoin may not see the financial consequences, but as they scale, the costs could become fatal.</w:t>
      </w:r>
    </w:p>
    <w:p>
      <w:r>
        <w:rPr>
          <w:b w:val="0"/>
          <w:i w:val="0"/>
        </w:rPr>
        <w:t>The good news: There are various alternatives available that can help organizations cut massive energy costs. Right now, they aren’t being adopted quickly enough. Companies that want to keep their heads above water—along with everyone else’s—need to educate themselves. Below are two areas that are a good place to start.</w:t>
      </w:r>
    </w:p>
    <w:p>
      <w:pPr>
        <w:pStyle w:val="Heading2"/>
      </w:pPr>
      <w:r>
        <w:rPr>
          <w:b w:val="0"/>
          <w:i w:val="0"/>
        </w:rPr>
        <w:t>Green Energy Blockchain Mining</w:t>
      </w:r>
    </w:p>
    <w:p>
      <w:r>
        <w:rPr>
          <w:b w:val="0"/>
          <w:i w:val="0"/>
        </w:rPr>
        <w:t>An immediate fix is mining with solar power and other green energy sources. Each day, Texas alone receives more solar power than we need to replace every nonsolar power plant in the world. There are numerous commercial services for powering cryptomining on server farms that only use clean, renewable energy. Genesis Mining, for instance, enables mining for Bitcoin and Ethereum in the cloud. The Iceland-based company uses 100% renewable energy and is now among the largest miners in the world.</w:t>
      </w:r>
    </w:p>
    <w:p>
      <w:r>
        <w:rPr>
          <w:b w:val="0"/>
          <w:i w:val="0"/>
        </w:rPr>
        <w:t>We need to incentivize green energy for future blockchains, too. Every company that uses blockchain also defines its own system for miner compensation. New blockchains could easily offer miners better incentives, like more cryptocurrency, for using green energy—eventually forcing out polluting miners. They could also require all miners to prove that they use green energy and deny payment to those who don’t.</w:t>
      </w:r>
    </w:p>
    <w:p>
      <w:pPr>
        <w:pStyle w:val="Heading2"/>
      </w:pPr>
      <w:r>
        <w:rPr>
          <w:b w:val="0"/>
          <w:i w:val="0"/>
        </w:rPr>
        <w:t>Energy-Efficient Blockchain Systems</w:t>
      </w:r>
    </w:p>
    <w:p>
      <w:r>
        <w:rPr>
          <w:b w:val="0"/>
          <w:i w:val="0"/>
        </w:rPr>
        <w:t>While Bitcoin, Bitcoin Cash, and Ethereum all depend on energy-inefficient cryptographic problem solving known as “proof-of-work” systems to operate, many newer blockchains use “proof-of-stake” (PoS) systems that rely on market incentives. Server owners on PoS systems are called “validators”—not “miners.” They put down a deposit, or “stake” a large amount of cryptocurrency, in exchange for the right to add blocks to the blockchain. In proof-of-work systems, miners compete with each other to see who can problem solve the fastest in exchange for a reward, taking up a large amount of energy. But in PoS systems, validators are chosen by an algorithm that takes their “stake” into account. Removing the element of competition saves energy and allows each machine in a PoS system to work on one problem at a time, as opposed to a proof-of-work system, in which a plethora of machines are rushing to solve the same problem. Additionally, if a validator fails to behave honestly, they may be removed from the network—which helps keep PoS systems accurate.</w:t>
      </w:r>
    </w:p>
    <w:p>
      <w:r>
        <w:rPr>
          <w:b w:val="0"/>
          <w:i w:val="0"/>
        </w:rPr>
        <w:t>Particularly promising is the delegated proof-of-stake (DPoS) system, which operates somewhat like a representative democracy. In DPoS systems, everyone who has cryptocurrency tokens can vote on which servers become block producers and manage the blockchain as a whole. However, there is a downside. DPoS is somewhat less censorship resistant than proof-of-work systems. Because it has only 21 block producers, in theory, the network could be brought to a stop by simultaneous subpoenas or cease and desist orders, making it more vulnerable to the thousands upon thousands of nodes on Ethereum. But DPoS has proven to be vastly faster at processing transactions while using less energy, and that’s a trade-off we in the industry should be willing to make.</w:t>
      </w:r>
    </w:p>
    <w:p>
      <w:r>
        <w:rPr>
          <w:b w:val="0"/>
          <w:i w:val="0"/>
        </w:rPr>
        <w:t>Among the largest cryptocurrencies, Ethereum is already working on a transition to proof-of-stake, and we should take more collective action to hasten this movement. Developers need to think long and hard before creating new proof-of-work blockchains because the more successful they become, the worse ecological impact they may have. Imagine if car companies had been wise enough several decades ago to come together and set emission standards for themselves. It would have helped cultivate a healthier planet—and preempted billions of dollars in costs when those standards were finally imposed on them. The blockchain industry is now at a similar inflection point. The question is whether we’ll be wiser than the world-changing industries that came before us.</w:t>
      </w:r>
    </w:p>
    <w:p>
      <w:r>
        <w:rPr>
          <w:b w:val="0"/>
          <w:i w:val="0"/>
        </w:rPr>
        <w:t>TAKEAWAYS</w:t>
      </w:r>
    </w:p>
    <w:p>
      <w:r>
        <w:rPr>
          <w:b w:val="0"/>
          <w:i w:val="0"/>
        </w:rPr>
        <w:t>The largest cryptocurrencies require vast amounts of energy consumption to function. In 2017, blockchain used more power than 159 individual nations, including Uruguay, Nigeria, and Ireland. This is creating a huge environmental problem that poses a threat to the Paris Agreement.</w:t>
      </w:r>
    </w:p>
    <w:p>
      <w:pPr>
        <w:pStyle w:val="ListBullet"/>
      </w:pPr>
      <w:r>
        <w:rPr>
          <w:b w:val="0"/>
          <w:i w:val="0"/>
        </w:rPr>
        <w:t>With the value of cryptocurrency increasing, so has the incentive to create “mines”—massive server farms spread across the world, calculating math problems 24 hours a day.</w:t>
      </w:r>
    </w:p>
    <w:p>
      <w:pPr>
        <w:pStyle w:val="ListBullet"/>
      </w:pPr>
      <w:r>
        <w:rPr>
          <w:b w:val="0"/>
          <w:i w:val="0"/>
        </w:rPr>
        <w:t>A variety of alternatives are available that can help organizations cut massive energy costs associated with blockchain, but they aren’t being adopted quickly enough.</w:t>
      </w:r>
    </w:p>
    <w:p>
      <w:pPr>
        <w:pStyle w:val="ListBullet"/>
      </w:pPr>
      <w:r>
        <w:rPr>
          <w:b w:val="0"/>
          <w:i w:val="0"/>
        </w:rPr>
        <w:t>An immediate fix is mining with solar power and other green energy sources. Every company that uses blockchain also defines its own system for miner compensation. New blockchains could easily offer miners better incentives for using green energy.</w:t>
      </w:r>
    </w:p>
    <w:p>
      <w:pPr>
        <w:pStyle w:val="ListBullet"/>
      </w:pPr>
      <w:r>
        <w:rPr>
          <w:b w:val="0"/>
          <w:i w:val="0"/>
        </w:rPr>
        <w:t>Blockchains that use a proof-of-stake system rather than a proof-of-work system are less energy intensive. If the blockchain industry can make the hard choice to adopt greener decisions now, it may avoid having green standards forced upon it in the future.</w:t>
      </w:r>
    </w:p>
    <w:p>
      <w:pPr>
        <w:pStyle w:val="Heading3"/>
      </w:pPr>
      <w:r>
        <w:rPr>
          <w:b w:val="0"/>
          <w:i w:val="0"/>
        </w:rPr>
        <w:t>NOTE</w:t>
      </w:r>
    </w:p>
    <w:p>
      <w:pPr>
        <w:pStyle w:val="ListNumber"/>
      </w:pPr>
      <w:r>
        <w:rPr>
          <w:b w:val="0"/>
          <w:i w:val="0"/>
        </w:rPr>
        <w:t>1. “Bitcoin Energy Consumption Index,” Digiconomist, https://digiconomist.net/bitcoin-energy-consumption.</w:t>
      </w:r>
    </w:p>
    <w:p>
      <w:r>
        <w:rPr>
          <w:b w:val="0"/>
          <w:i/>
        </w:rPr>
        <w:t>Adapted from content posted on hbr.org, November 27, 2018 (product #H04O38).</w:t>
      </w:r>
    </w:p>
    <w:p>
      <w:pPr>
        <w:pStyle w:val="Heading1"/>
      </w:pPr>
      <w:r>
        <w:rPr>
          <w:b w:val="0"/>
          <w:i w:val="0"/>
        </w:rPr>
        <w:t>8</w:t>
      </w:r>
    </w:p>
    <w:p>
      <w:pPr>
        <w:pStyle w:val="Heading1"/>
      </w:pPr>
      <w:r>
        <w:rPr>
          <w:b w:val="0"/>
          <w:i w:val="0"/>
        </w:rPr>
        <w:t>CLIMATE CHANGE IS GOING TO TRANSFORM WHERE AND HOW WE BUILD</w:t>
      </w:r>
    </w:p>
    <w:p>
      <w:r>
        <w:rPr>
          <w:b w:val="0"/>
          <w:i w:val="0"/>
        </w:rPr>
        <w:t>by John D. Macomber</w:t>
      </w:r>
    </w:p>
    <w:p>
      <w:r>
        <w:rPr>
          <w:b w:val="0"/>
          <w:i w:val="0"/>
        </w:rPr>
        <w:t>As fires, floods, and droughts increasingly threaten homes, businesses, and other institutions, climate risk has become a financial risk. A National Bureau of Economic Research paper recently concluded that mortgages written on homes in exposed locations are being shed by banks and absorbed by Fannie Mae and Freddie Mac, government-backed mortgage guarantors.1 This implies that homeowners and investors have been making location decisions without properly pricing the cost of potential peril, and that the government has been enabling the oversight. Some are even warning that this market failure could lead to a repeat of the 2008 financial crisis, which was also triggered by bad mortgages.</w:t>
      </w:r>
    </w:p>
    <w:p>
      <w:r>
        <w:rPr>
          <w:b w:val="0"/>
          <w:i w:val="0"/>
        </w:rPr>
        <w:t>It’s not just homeowners investing recklessly—many businesses have been equally shortsighted in where they place new assets, such as factories, and what to do with existing assets in once-safe areas now threatened by these perils. While laudatory efforts continue to mitigate climate change at the international level, it’s long past time to accept that the climate is already irreversibly changing, and we must adjust our mindset accordingly. We can’t just keep piling sandbags, pumping basements, dousing flames, and expecting government bailouts forever; a methodology is needed for homeowners, businesses, mortgage holders, governments—all of society—to figure out which assets to reinforce and what other courses of action are available.</w:t>
      </w:r>
    </w:p>
    <w:p>
      <w:r>
        <w:rPr>
          <w:b w:val="0"/>
          <w:i w:val="0"/>
        </w:rPr>
        <w:t>Alas, we seem to be headed in the wrong direction. While virtually no private insurance companies retain residential flood risk in Florida, Virginia, and other coastal states due to sea rise, government-subsidized programs such as the National Flood Insurance Program (NFIP) continue to keep residences insured. Making things even worse is a general lack of restrictions on where one can build and what can be built. A society that prides itself on free will and self-determination is loath to say what a property owner can and cannot build on their own land as long as it meets rudimentary building and zoning codes, so more and more people move into harm’s way in flood plains, low-lying coastal areas, and tinder-dry Western landscapes.</w:t>
      </w:r>
    </w:p>
    <w:p>
      <w:r>
        <w:rPr>
          <w:b w:val="0"/>
          <w:i w:val="0"/>
        </w:rPr>
        <w:t>Why this dysfunction? To begin with, all three of these factors—mortgages, insurance, and land development policies—are by design backward looking. They rely on histories of lending defaults, insurance claims, and floods and fires to make determinations. This is logical; there is plenty of hard empirical data to draw from, and a switch to looking forward would risk becoming a matter of speculation over the merits of one modeling method or another. There are also plenty of market incentives to keep housing prices high. But the backward-looking approach seems overwhelmed today as climate events—and follow-on effects on the ground—are moving so fast.</w:t>
      </w:r>
    </w:p>
    <w:p>
      <w:r>
        <w:rPr>
          <w:b w:val="0"/>
          <w:i w:val="0"/>
        </w:rPr>
        <w:t>There is a better way. My research and that of others indicates that there are five basic choices in investing in resilience: reinforce, retreat, rebound, rebuild, and restrict.2 Together, they can be used as a decision-support tool for what to do with assets exposed to climate risk.</w:t>
      </w:r>
    </w:p>
    <w:p>
      <w:pPr>
        <w:pStyle w:val="Heading2"/>
      </w:pPr>
      <w:r>
        <w:rPr>
          <w:b w:val="0"/>
          <w:i w:val="0"/>
        </w:rPr>
        <w:t>Reinforce</w:t>
      </w:r>
    </w:p>
    <w:p>
      <w:r>
        <w:rPr>
          <w:b w:val="0"/>
          <w:i w:val="0"/>
        </w:rPr>
        <w:t xml:space="preserve">This is often the default recommendation in the face of climate-related perils. But only in some circumstances is it is the </w:t>
      </w:r>
      <w:r>
        <w:rPr>
          <w:b w:val="0"/>
          <w:i/>
        </w:rPr>
        <w:t>right</w:t>
      </w:r>
      <w:r>
        <w:rPr>
          <w:b w:val="0"/>
          <w:i w:val="0"/>
        </w:rPr>
        <w:t xml:space="preserve"> reaction. A good example is Texas Medical Center (TMC) in Houston. Following severe damage from Hurricane Allison in 2001, TMC invested hundreds of millions of dollars in resilience improvements, including flood bulkheads, sky bridges, elevation of electrical equipment, and more. When Hurricane Harvey hit in 2017, Houston was soaked by unthinkable amounts of rain and the regional flooding persisted for weeks—but with its resilience interventions in place, Texas Medical Center hardly missed a beat. Investing in reinforcement made sense in this instance because, first, the direct and indirect costs of being hit were huge; the hospital had the ability to raise the capital even though the investment in resilience was not sure to pay off (since there might have never been another big storm); and, second, because the incremental capital spending relative to the entire balance sheet was manageable. But not every potential investment in resilience makes economic sense. We can’t pay for a blanket policy to resist sea rise and rainfall and fire in every situation forever, regardless of cost/benefit. When should a different route be taken?</w:t>
      </w:r>
    </w:p>
    <w:p>
      <w:pPr>
        <w:pStyle w:val="Heading2"/>
      </w:pPr>
      <w:r>
        <w:rPr>
          <w:b w:val="0"/>
          <w:i w:val="0"/>
        </w:rPr>
        <w:t>Retreat</w:t>
      </w:r>
    </w:p>
    <w:p>
      <w:r>
        <w:rPr>
          <w:b w:val="0"/>
          <w:i w:val="0"/>
        </w:rPr>
        <w:t>Consider the opposite scenario. After several consecutive years of being overwhelmed by riverine flooding, multiple small shopkeepers and restaurants in Ellicott City, Maryland, collectively abandoned the historic downtown for higher, dryer land. This was the right course of action for them: The cumulative flooding had a substantial cost relative to their balance sheets; the price to reinforce (by raising floors or building sea walls) was too high, and resources were thin.</w:t>
      </w:r>
    </w:p>
    <w:p>
      <w:pPr>
        <w:pStyle w:val="Heading2"/>
      </w:pPr>
      <w:r>
        <w:rPr>
          <w:b w:val="0"/>
          <w:i w:val="0"/>
        </w:rPr>
        <w:t>Rebound</w:t>
      </w:r>
    </w:p>
    <w:p>
      <w:r>
        <w:rPr>
          <w:b w:val="0"/>
          <w:i w:val="0"/>
        </w:rPr>
        <w:t>In Miami and Miami Beach, most new commercial or condo buildings on the water are built with extra-high first floor elevations (“freeboard”), with expensive equipment located out of harm’s way on the second floor or higher, and with furnishings and materials at ground level and in the basement that can survive temporary seawater inundation, be pumped out, be cleaned quickly, and then put back in service. The famous wooden plank walkways on St. Mark’s Square in Venice are similar: They embrace neither reinforcement or retreat, but rather are focused on “living with water”—how to rebound in a cost-effective way.3</w:t>
      </w:r>
    </w:p>
    <w:p>
      <w:pPr>
        <w:pStyle w:val="Heading2"/>
      </w:pPr>
      <w:r>
        <w:rPr>
          <w:b w:val="0"/>
          <w:i w:val="0"/>
        </w:rPr>
        <w:t>Rebuild</w:t>
      </w:r>
    </w:p>
    <w:p>
      <w:r>
        <w:rPr>
          <w:b w:val="0"/>
          <w:i w:val="0"/>
        </w:rPr>
        <w:t xml:space="preserve">This is essentially the path chosen by the homeowners in Houston, Texas, or the Hampton Roads area in Virginia, where FEMA has paid to rebuild thousands of homes multiple times each. Rebuilding is a great choice—particularly if you are rich or if you can use someone else’s money. The long-term questions, though, are: Will there always be that money available? Will it go to those who are most in need or to help higher-income individuals, as reported by </w:t>
      </w:r>
      <w:r>
        <w:rPr>
          <w:b w:val="0"/>
          <w:i/>
        </w:rPr>
        <w:t>U.S. News and World Report</w:t>
      </w:r>
      <w:r>
        <w:rPr>
          <w:b w:val="0"/>
          <w:i w:val="0"/>
        </w:rPr>
        <w:t>?4 And, of course, how long will the other taxpayers support aiding those in danger zones? In recent years, Congress has authorized about $200 billion per year for disaster relief in California, Iowa, Texas, Florida, New York, Puerto Rico, and elsewhere (on top of subsidizing the NFIP). It’s not clear that, in a time of deficits, this largesse will be perpetual.</w:t>
      </w:r>
    </w:p>
    <w:p>
      <w:pPr>
        <w:pStyle w:val="Heading2"/>
      </w:pPr>
      <w:r>
        <w:rPr>
          <w:b w:val="0"/>
          <w:i w:val="0"/>
        </w:rPr>
        <w:t>Restrict</w:t>
      </w:r>
    </w:p>
    <w:p>
      <w:r>
        <w:rPr>
          <w:b w:val="0"/>
          <w:i w:val="0"/>
        </w:rPr>
        <w:t>This is a strategy that the private sector mortgage and insurance companies appear to already be following—they are not investing in harm’s way and, based on press reports, they are drawing back. Some other large asset owners such as real estate investment trusts or retailers thinking about store locations are avoiding purchasing or building properties in high-risk areas. But there is a public policy angle, as well: Recently the utility PG&amp;E was forced to pick up the cost of property damage from California wildfires. A strong argument could be made that the local government should have restricted these structures from being built in the first place.</w:t>
      </w:r>
    </w:p>
    <w:p>
      <w:r>
        <w:rPr>
          <w:b w:val="0"/>
          <w:i w:val="0"/>
        </w:rPr>
        <w:t>In the coming years, growth pressures will increase in many attractive locations (such as coastal cities and Western states). Americans will be forced to make some tough decisions. Subsidized mortgages and artificially cheap insurance have let us put off the hard reckonings a little longer, but if a severe price correction (and subsequent economic shock) is to be avoided, all asset owners in potentially exposed locations will need to pick one of these five paths for investing in resilience. The right choice in each situation depends on circumstances, the level of exposure, the cost of potential damages, the cost to reinforce, and resources available. The challenge for homeowners, investors, mayors, and all of us is to look ahead, not behind, and to make these choices with intent—before circumstances take the choices out of our hands.</w:t>
      </w:r>
    </w:p>
    <w:p>
      <w:r>
        <w:rPr>
          <w:b w:val="0"/>
          <w:i w:val="0"/>
        </w:rPr>
        <w:t>TAKEAWAYS</w:t>
      </w:r>
    </w:p>
    <w:p>
      <w:r>
        <w:rPr>
          <w:b w:val="0"/>
          <w:i w:val="0"/>
        </w:rPr>
        <w:t>Businesses need to think about where they are placing new assets and what to do with existing ones that are now threatened by extreme weather events. Five basic choices in investing in climate resilience can be used to help you decide what to do with assets exposed to climate risk:</w:t>
      </w:r>
    </w:p>
    <w:p>
      <w:pPr>
        <w:pStyle w:val="ListBullet"/>
      </w:pPr>
      <w:r>
        <w:rPr>
          <w:b w:val="0"/>
          <w:i w:val="0"/>
        </w:rPr>
        <w:t>Reinforce building structures through flood bulkheads, sky bridges, or high walls to protect against extreme events.</w:t>
      </w:r>
    </w:p>
    <w:p>
      <w:pPr>
        <w:pStyle w:val="ListBullet"/>
      </w:pPr>
      <w:r>
        <w:rPr>
          <w:b w:val="0"/>
          <w:i w:val="0"/>
        </w:rPr>
        <w:t>Retreat by moving assets and people away from climate-endangered areas.</w:t>
      </w:r>
    </w:p>
    <w:p>
      <w:pPr>
        <w:pStyle w:val="ListBullet"/>
      </w:pPr>
      <w:r>
        <w:rPr>
          <w:b w:val="0"/>
          <w:i w:val="0"/>
        </w:rPr>
        <w:t>Rebound by introducing building features designed to deal with damage—for instance, lower levels that can deal with flooding—without hurting the overall structure.</w:t>
      </w:r>
    </w:p>
    <w:p>
      <w:pPr>
        <w:pStyle w:val="ListBullet"/>
      </w:pPr>
      <w:r>
        <w:rPr>
          <w:b w:val="0"/>
          <w:i w:val="0"/>
        </w:rPr>
        <w:t>Rebuild after disaster, using government aid and other funding.Restrict building by avoiding purchasing or building properties in high-risk areas or through strict zoning laws.</w:t>
      </w:r>
    </w:p>
    <w:p>
      <w:pPr>
        <w:pStyle w:val="Heading3"/>
      </w:pPr>
      <w:r>
        <w:rPr>
          <w:b w:val="0"/>
          <w:i w:val="0"/>
        </w:rPr>
        <w:t>NOTES</w:t>
      </w:r>
    </w:p>
    <w:p>
      <w:pPr>
        <w:pStyle w:val="ListNumber"/>
      </w:pPr>
      <w:r>
        <w:rPr>
          <w:b w:val="0"/>
          <w:i w:val="0"/>
        </w:rPr>
        <w:t>1. Amine Ouazad and Matthew E. Kahn, “Mortgage Finance in the Face of Rising Climate Risk,” NBER Working Paper 26322, September 2019.</w:t>
      </w:r>
    </w:p>
    <w:p>
      <w:pPr>
        <w:pStyle w:val="ListNumber"/>
      </w:pPr>
      <w:r>
        <w:rPr>
          <w:b w:val="0"/>
          <w:i w:val="0"/>
        </w:rPr>
        <w:t>2. Regional Plan Association, “Where to Reinforce, Where to Retreat?” Fourth Regional Plan Whitepaper, May 22, 2015. https://www.rpa.org/publication/fourth-regional-plan-whitepaper-where-to-reinforce-where-to-retreat.</w:t>
      </w:r>
    </w:p>
    <w:p>
      <w:pPr>
        <w:pStyle w:val="ListNumber"/>
      </w:pPr>
      <w:r>
        <w:rPr>
          <w:b w:val="0"/>
          <w:i w:val="0"/>
        </w:rPr>
        <w:t>3. Urban Land Institute, “The Urban Implications of Living with Water,” June 19, 2019, https://boston.uli.org/uli-resources/the-urban-implications-of-living-with-water/.</w:t>
      </w:r>
    </w:p>
    <w:p>
      <w:pPr>
        <w:pStyle w:val="ListNumber"/>
      </w:pPr>
      <w:r>
        <w:rPr>
          <w:b w:val="0"/>
          <w:i w:val="0"/>
        </w:rPr>
        <w:t xml:space="preserve">4. Cecelia Smith-Schoenwalder, “Study: FEMA Flood Buyouts Favor the Wealthy,” </w:t>
      </w:r>
      <w:r>
        <w:rPr>
          <w:b w:val="0"/>
          <w:i/>
        </w:rPr>
        <w:t>U.S. News and World Report</w:t>
      </w:r>
      <w:r>
        <w:rPr>
          <w:b w:val="0"/>
          <w:i w:val="0"/>
        </w:rPr>
        <w:t>, October 9, 2019, https://www.usnews.com/news/national-news/articles/2019-10-09/study-fema-flood-buyouts-favor-the-wealthy.</w:t>
      </w:r>
    </w:p>
    <w:p>
      <w:r>
        <w:rPr>
          <w:b w:val="0"/>
          <w:i/>
        </w:rPr>
        <w:t>Adapted from content posted on hbr.org, October 16, 2019 (product #H0583W).</w:t>
      </w:r>
    </w:p>
    <w:p>
      <w:pPr>
        <w:pStyle w:val="Heading1"/>
      </w:pPr>
      <w:r>
        <w:rPr>
          <w:b w:val="0"/>
          <w:i w:val="0"/>
        </w:rPr>
        <w:t>9</w:t>
      </w:r>
    </w:p>
    <w:p>
      <w:pPr>
        <w:pStyle w:val="Heading1"/>
      </w:pPr>
      <w:r>
        <w:rPr>
          <w:b w:val="0"/>
          <w:i w:val="0"/>
        </w:rPr>
        <w:t>HOW BUSINESSES CAN BRACE FOR CATASTROPHE</w:t>
      </w:r>
    </w:p>
    <w:p>
      <w:r>
        <w:rPr>
          <w:b w:val="0"/>
          <w:i w:val="0"/>
        </w:rPr>
        <w:t>by Yvette Mucharraz y Cano</w:t>
      </w:r>
    </w:p>
    <w:p>
      <w:r>
        <w:rPr>
          <w:b w:val="0"/>
          <w:i w:val="0"/>
        </w:rPr>
        <w:t>On Sept. 19, 2017, a severe earthquake struck Mexico City, killing 370, injuring thousands, and destroying scores of buildings. For a short time, the city ground to a halt as rescue efforts took priority over normal commerce. But then something curious happened: Some businesses were able to return to work relatively quickly, while others lagged behind or even failed to recover and disappeared.</w:t>
      </w:r>
    </w:p>
    <w:p>
      <w:r>
        <w:rPr>
          <w:b w:val="0"/>
          <w:i w:val="0"/>
        </w:rPr>
        <w:t>The earthquake provided a natural laboratory to study a crucial but often elusive business capacity: organizational resilience. Two years after the disaster, I met with a group of leaders whose businesses survived the quake to understand what set them apart. I found that their answers fit nicely with a leading theory about organizational resilience: that it falls into successive stages—anticipation, coping, and adaptation.1</w:t>
      </w:r>
    </w:p>
    <w:p>
      <w:pPr>
        <w:pStyle w:val="Heading2"/>
      </w:pPr>
      <w:r>
        <w:rPr>
          <w:b w:val="0"/>
          <w:i w:val="0"/>
        </w:rPr>
        <w:t>Anticipation</w:t>
      </w:r>
    </w:p>
    <w:p>
      <w:r>
        <w:rPr>
          <w:b w:val="0"/>
          <w:i w:val="0"/>
        </w:rPr>
        <w:t>Resilience starts with the awareness generation of potential risks to the organization, supported by data collected through risk assessments and experience. Resilient organizations put in place the necessary action protocols, business continuity efforts, financial provisions, human resources, technology, and infrastructure to ensure they can respond well to high-consequence, low-probability events. For instance, a consulting services company that lost a building in the center of the city and did not have human casualties developed in advance the emergency processes and protocols that protected their clients and employees when the earthquake hit because they evacuated easily and knew how to act. Also, the leaders acquired the insurance coverage that would protect the organization from a catastrophic incident, and the organization received the benefits almost immediately to establish a new office in a few weeks.</w:t>
      </w:r>
    </w:p>
    <w:p>
      <w:r>
        <w:rPr>
          <w:b w:val="0"/>
          <w:i w:val="0"/>
        </w:rPr>
        <w:t>Specifically, the businesses I met with undertook several steps to help prepare them in advance for unforeseen catastrophes:</w:t>
      </w:r>
    </w:p>
    <w:p>
      <w:pPr>
        <w:pStyle w:val="Heading3"/>
      </w:pPr>
      <w:r>
        <w:rPr>
          <w:b w:val="0"/>
          <w:i w:val="0"/>
        </w:rPr>
        <w:t>They built a strong organizational culture</w:t>
      </w:r>
    </w:p>
    <w:p>
      <w:r>
        <w:rPr>
          <w:b w:val="0"/>
          <w:i w:val="0"/>
        </w:rPr>
        <w:t>The corporate culture serves as a preparedness mechanism for environmental events, especially when it is supported by a strong commitment from organizational leaders with ethics and values and when trust is present in the organizational community. For instance, in another organization in which the building collapsed only 15 seconds after the earthquake started, the team and the group of leaders who were interviewed shared a common view about how they lived their corporate values of empowerment, innovation, teamwork, integrity, and inclusion. In the recovery phase, the leaders relied on the team members to make decisions and create solutions to continue operating while the business partners looked for financial support, addressed the legal issues, and supported the families of the affected employees.</w:t>
      </w:r>
    </w:p>
    <w:p>
      <w:pPr>
        <w:pStyle w:val="Heading3"/>
      </w:pPr>
      <w:r>
        <w:rPr>
          <w:b w:val="0"/>
          <w:i w:val="0"/>
        </w:rPr>
        <w:t>They promoted emergent leadership</w:t>
      </w:r>
    </w:p>
    <w:p>
      <w:r>
        <w:rPr>
          <w:b w:val="0"/>
          <w:i w:val="0"/>
        </w:rPr>
        <w:t>Organizations’ emergency responses are activated by emergent leaders during crises, and they are tested during minor crises. Emergent leadership is observed in the response to extreme events and is associated with organizations that have low power distance, distributed leadership, flexible structures, and processes that reflect empowerment and delegation of authority.</w:t>
      </w:r>
    </w:p>
    <w:p>
      <w:pPr>
        <w:pStyle w:val="Heading3"/>
      </w:pPr>
      <w:r>
        <w:rPr>
          <w:b w:val="0"/>
          <w:i w:val="0"/>
        </w:rPr>
        <w:t>They invested in safe and secure workspaces</w:t>
      </w:r>
    </w:p>
    <w:p>
      <w:r>
        <w:rPr>
          <w:b w:val="0"/>
          <w:i w:val="0"/>
        </w:rPr>
        <w:t>The concept of “leadership through place” is critical in environmental hazards that affect organizations, as the loss of the space—for example, a building—impacts individuals deeply, and the feeling of being lost may be relieved by redefining the organization’s identity to foster a sense of belonging and create a “new normalcy” in a new space.</w:t>
      </w:r>
    </w:p>
    <w:p>
      <w:r>
        <w:rPr>
          <w:b w:val="0"/>
          <w:i w:val="0"/>
        </w:rPr>
        <w:t>Consequently, the selection of the space in which an organization operates is more than an incidental aspect. Leaders must provide a safe environment to preserve physical integrity. Adherence to official standards and norms is critical to protect individuals who attend an organizational setting, including employees, contractors, and visitors. Facilities must be evaluated by construction and civil protection experts and secured by insurance coverage. Additionally, employees must be covered by health and life insurance policies and social security in compliance with labor and civil protection laws.</w:t>
      </w:r>
    </w:p>
    <w:p>
      <w:r>
        <w:rPr>
          <w:b w:val="0"/>
          <w:i w:val="0"/>
        </w:rPr>
        <w:t>Leaders must be aware and accept that the threat of an environmental hazard is continuously latent. Action is therefore required on a daily basis. Evacuation drills are not enough; for instance, as part of the continuity of business strategies, it is critical to identify alternate sites from which to operate and to simulate the communication flow, as there may be a suspension of services such as Wi-Fi or social media during an emergency due to a lack of power and the saturation of communication networks. It is also necessary to verify that security measures such as bars or locks installed on access doors or emergency exits do not become obstacles to evacuation during an emergency. In the case of organizations that have animals in their facilities, they also need to be part of the emergency protocols. Finally, critical prevention decisions include the location of company servers, official documents, or objects difficult to replace (for example, art) and cash vaults to secure them in case of an emergency.</w:t>
      </w:r>
    </w:p>
    <w:p>
      <w:pPr>
        <w:pStyle w:val="Heading3"/>
      </w:pPr>
      <w:r>
        <w:rPr>
          <w:b w:val="0"/>
          <w:i w:val="0"/>
        </w:rPr>
        <w:t>Technology can make a difference</w:t>
      </w:r>
    </w:p>
    <w:p>
      <w:r>
        <w:rPr>
          <w:b w:val="0"/>
          <w:i w:val="0"/>
        </w:rPr>
        <w:t>One of the primary considerations that leaders mentioned repeatedly was the use of information and technology to back up organizational data and provide connectivity as a precautionary measure to preserve information. This is a critical intangible asset for the organization and for continuity of business purposes.</w:t>
      </w:r>
    </w:p>
    <w:p>
      <w:pPr>
        <w:pStyle w:val="Heading2"/>
      </w:pPr>
      <w:r>
        <w:rPr>
          <w:b w:val="0"/>
          <w:i w:val="0"/>
        </w:rPr>
        <w:t>Coping</w:t>
      </w:r>
    </w:p>
    <w:p>
      <w:r>
        <w:rPr>
          <w:b w:val="0"/>
          <w:i w:val="0"/>
        </w:rPr>
        <w:t>To cope with an environmental crisis effectively, interorganizational and multisectoral coordination is essential—among governmental institutions, the private sector, universities, nongovernmental entities, and civil society. This coordination can become a source of solidarity and a potential source of relief during a crisis. Resilience must be cultivated cross-functionally, from the prevention stage, activated during the event, and in the recovery phase. For instance, an alliance known as ARISE—the private-sector alliance for disaster-resilient societies led by the UN office for Disaster Risk Reduction (UNDRR)—was established in 2018 in Mexico. Though a global initiative, its Mexican operation fosters the participation of the business community, governmental entities such as the National Coordination of Civil Protection, and other nongovernmental institutions. The ARISE alliance is focused on building resilient societies by disaster prevention and risk reduction.</w:t>
      </w:r>
    </w:p>
    <w:p>
      <w:r>
        <w:rPr>
          <w:b w:val="0"/>
          <w:i w:val="0"/>
        </w:rPr>
        <w:t>After the earthquake, there were exemplary organizations that worked actively in the emergency response efforts. As an illustration, an organization in the south of Mexico City dedicated time and energy to the rescue efforts of the neighborhood. One of the leaders became the leader of a donations center and coordinated the support mechanisms with public entities. Another private company, dedicated to rebuilding damaged buildings, has participated in an ongoing initiative with governmental institutions to support the reconstruction process.</w:t>
      </w:r>
    </w:p>
    <w:p>
      <w:r>
        <w:rPr>
          <w:b w:val="0"/>
          <w:i w:val="0"/>
        </w:rPr>
        <w:t>Furthermore, the role of social media is fundamental during the immediate response stage, as it is a potential source of aid that activates social capital and is directly related to the reduction of human casualties. An example of this coordination was the emergence of #Verificado19s, a digital platform that verified social media information with civil society participation and managed data to make the citizens’ response more efficient after the 2017 earthquake.</w:t>
      </w:r>
    </w:p>
    <w:p>
      <w:pPr>
        <w:pStyle w:val="Heading2"/>
      </w:pPr>
      <w:r>
        <w:rPr>
          <w:b w:val="0"/>
          <w:i w:val="0"/>
        </w:rPr>
        <w:t>Adaptation</w:t>
      </w:r>
    </w:p>
    <w:p>
      <w:pPr>
        <w:pStyle w:val="Heading3"/>
      </w:pPr>
      <w:r>
        <w:rPr>
          <w:b w:val="0"/>
          <w:i w:val="0"/>
        </w:rPr>
        <w:t>Address the grief that results from the crisis</w:t>
      </w:r>
    </w:p>
    <w:p>
      <w:r>
        <w:rPr>
          <w:b w:val="0"/>
          <w:i w:val="0"/>
        </w:rPr>
        <w:t>Emotional support by leaders is essential following traumatic events. The socialization of the grieving process in the corporate community is a means of promoting this emotional response and may lead to posttraumatic growth. Resilience in this context is not only a return to normalcy after a disaster but also involves leaders’ acknowledgment of the grieving process to mourn for what was lost. Companies are more than their assets; at their core are human beings who collaborate, and they should be in the center.</w:t>
      </w:r>
    </w:p>
    <w:p>
      <w:r>
        <w:rPr>
          <w:b w:val="0"/>
          <w:i w:val="0"/>
        </w:rPr>
        <w:t>For instance, a rescuer who was interviewed for the research mentioned that every day during the emergency response following the earthquake, the group of rescuers formed a circle to share their emotions and tell the day’s stories in a safe community as a way to prevent posttraumatic stress. Similar rituals should be introduced into corporate settings as well.</w:t>
      </w:r>
    </w:p>
    <w:p>
      <w:pPr>
        <w:pStyle w:val="Heading3"/>
      </w:pPr>
      <w:r>
        <w:rPr>
          <w:b w:val="0"/>
          <w:i w:val="0"/>
        </w:rPr>
        <w:t>Learn and grow from adversity</w:t>
      </w:r>
    </w:p>
    <w:p>
      <w:r>
        <w:rPr>
          <w:b w:val="0"/>
          <w:i w:val="0"/>
        </w:rPr>
        <w:t>Posttraumatic growth in an organization is related to the organization’s adaptability and is promoted by a learning process in which leaders reflect on what they did well after an environmental incident. Resilient leaders are capable of sharing their vulnerability, are not afraid to look for emotional support, and let themselves be guided by their teams when needed.</w:t>
      </w:r>
    </w:p>
    <w:p>
      <w:r>
        <w:rPr>
          <w:b w:val="0"/>
          <w:i w:val="0"/>
        </w:rPr>
        <w:t>Post-disaster resilience is an adaptive capacity to grow and develop that does not occur by chance. As has been evident in the years after the earthquake in Mexico, resilience is developed collaboratively. Resilient organizations demonstrated responsibility and solidarity with their employees and with the community and were supported by strong internal and multisectoral networks. These networks were developed primarily in the anticipation stage, and the return on the investment to build them has been the survival of the organization despite the critical nature of the emergency. The enemies of resilience were corruption, conformity with the status quo, a lack of flexibility, and the inability to accept the crisis before it escalated.</w:t>
      </w:r>
    </w:p>
    <w:p>
      <w:r>
        <w:rPr>
          <w:b w:val="0"/>
          <w:i w:val="0"/>
        </w:rPr>
        <w:t>TAKEAWAYS</w:t>
      </w:r>
    </w:p>
    <w:p>
      <w:r>
        <w:rPr>
          <w:b w:val="0"/>
          <w:i w:val="0"/>
        </w:rPr>
        <w:t>In the face of catastrophe, companies need a crucial but often elusive business capacity: organizational resilience. By looking at how businesses responded to the devastating earthquake in Mexico City, all leaders can learn how to build such resilience before, during, and after a crisis:</w:t>
      </w:r>
    </w:p>
    <w:p>
      <w:pPr>
        <w:pStyle w:val="ListBullet"/>
      </w:pPr>
      <w:r>
        <w:rPr>
          <w:b w:val="0"/>
          <w:i w:val="0"/>
        </w:rPr>
        <w:t>Anticipation: In advance of potential events, build a strong organizational culture that’s supported by leaders, promote emergent leadership during crises, invest in safe and secure workspaces, and use information and technology to back up data and provide connectivity.</w:t>
      </w:r>
    </w:p>
    <w:p>
      <w:pPr>
        <w:pStyle w:val="ListBullet"/>
      </w:pPr>
      <w:r>
        <w:rPr>
          <w:b w:val="0"/>
          <w:i w:val="0"/>
        </w:rPr>
        <w:t>Coping: Encourage coordination among governmental institutions, the private sector, universities, and other sectors. Such alliances can then become a source of solidarity and disaster relief during a crisis.</w:t>
      </w:r>
    </w:p>
    <w:p>
      <w:pPr>
        <w:pStyle w:val="ListBullet"/>
      </w:pPr>
      <w:r>
        <w:rPr>
          <w:b w:val="0"/>
          <w:i w:val="0"/>
        </w:rPr>
        <w:t>Adaptation: Acknowledge the emotions employees are feeling, like grief, and encourage learning and posttraumatic growth. Such resilience is developed collaboratively, with employees, the community, and other networks built before disaster strikes.</w:t>
      </w:r>
    </w:p>
    <w:p>
      <w:pPr>
        <w:pStyle w:val="Heading3"/>
      </w:pPr>
      <w:r>
        <w:rPr>
          <w:b w:val="0"/>
          <w:i w:val="0"/>
        </w:rPr>
        <w:t>NOTES</w:t>
      </w:r>
    </w:p>
    <w:p>
      <w:pPr>
        <w:pStyle w:val="ListNumber"/>
      </w:pPr>
      <w:r>
        <w:rPr>
          <w:b w:val="0"/>
          <w:i w:val="0"/>
        </w:rPr>
        <w:t xml:space="preserve">1. Stephanie Duchek, “Organizational Resilience: A Capability-Based Conceptualization,” </w:t>
      </w:r>
      <w:r>
        <w:rPr>
          <w:b w:val="0"/>
          <w:i/>
        </w:rPr>
        <w:t>Business Research</w:t>
      </w:r>
      <w:r>
        <w:rPr>
          <w:b w:val="0"/>
          <w:i w:val="0"/>
        </w:rPr>
        <w:t xml:space="preserve"> 13 (January 2019): 215–246.</w:t>
      </w:r>
    </w:p>
    <w:p>
      <w:r>
        <w:rPr>
          <w:b w:val="0"/>
          <w:i/>
        </w:rPr>
        <w:t>Adapted from content posted on hbr.org, February 6, 2020 (product #H05EE7).</w:t>
      </w:r>
    </w:p>
    <w:p>
      <w:pPr>
        <w:pStyle w:val="Heading1"/>
      </w:pPr>
      <w:r>
        <w:rPr>
          <w:b w:val="0"/>
          <w:i w:val="0"/>
        </w:rPr>
        <w:t>10</w:t>
      </w:r>
    </w:p>
    <w:p>
      <w:pPr>
        <w:pStyle w:val="Heading1"/>
      </w:pPr>
      <w:r>
        <w:rPr>
          <w:b w:val="0"/>
          <w:i w:val="0"/>
        </w:rPr>
        <w:t>YOUNG PEOPLE ARE LEADING THE WAY ON CLIMATE CHANGE, AND COMPANIES NEED TO PAY ATTENTION</w:t>
      </w:r>
    </w:p>
    <w:p>
      <w:r>
        <w:rPr>
          <w:b w:val="0"/>
          <w:i w:val="0"/>
        </w:rPr>
        <w:t>by Andrew Winston</w:t>
      </w:r>
    </w:p>
    <w:p>
      <w:r>
        <w:rPr>
          <w:b w:val="0"/>
          <w:i w:val="0"/>
        </w:rPr>
        <w:t>In one of the many oddities of biology, kids hear differently than the rest of us. There are frequencies that only teens and young adults can make out. Lately it seems that the under-20 crowd is hearing one particular high pitch much better than the rest of us, including most business leaders: the alarm that climate scientists have been sounding.</w:t>
      </w:r>
    </w:p>
    <w:p>
      <w:r>
        <w:rPr>
          <w:b w:val="0"/>
          <w:i w:val="0"/>
        </w:rPr>
        <w:t>Consider the young Swede, Greta Thunberg. At age 15, Thunberg stopped going to school to protest inaction on climate change, saying there was little point in studying for a future that may not exist. Within months, Thunberg urged immediate action from business leaders at the World Economic Forum and told the UN’s secretary general and others at the global climate summit in Poland that they are “stealing [childrens’] future in front of their very eyes.”1 What she started is growing, and she’s been nominated twice for a Nobel Peace Prize for her efforts.</w:t>
      </w:r>
    </w:p>
    <w:p>
      <w:r>
        <w:rPr>
          <w:b w:val="0"/>
          <w:i w:val="0"/>
        </w:rPr>
        <w:t>In 2018, thousands of Belgian youth marched weekly on the EU capitol of Brussels. And on March 15, 2019, in what may be the largest youth-led protest in history, an estimated 1.6 million students in 300 cities around the world walked out of school to march for climate action. I went to the New York march, and the energy was electric—and I didn’t even take it personally when a group of teens called some colleagues and me “old people who need to do something.”</w:t>
      </w:r>
    </w:p>
    <w:p>
      <w:r>
        <w:rPr>
          <w:b w:val="0"/>
          <w:i w:val="0"/>
        </w:rPr>
        <w:t>There’s more: The youth group the Sunrise Movement recently held a somewhat contentious meeting with Sen. Dianne Feinstein of California about her support for climate policies. And a group of teens has sued the U.S. government for failing to protect them from climate change. Younger politicians are making their voices heard, too. Consider what Rep. Alexandria Ocasio-Cortez of New York achieved in just a few months in office. By pushing a broad set of climate and inequality goals under the banner of a “Green New Deal,” the youngest woman ever elected to the U.S. Congress has moved the terms of the climate debate significantly.</w:t>
      </w:r>
    </w:p>
    <w:p>
      <w:r>
        <w:rPr>
          <w:b w:val="0"/>
          <w:i w:val="0"/>
        </w:rPr>
        <w:t xml:space="preserve">Before writing this off as a lot of noise, consider the role of youth in previous social movements. Baby Boomers, when they were kids and teens, led the antiwar movement. The famed Greensboro lunch counter sit-in was led by four young men aged 17, 18, and 19. African-American kids bravely desegregated schools, and the first person to get arrested for refusing to give up her bus seat was </w:t>
      </w:r>
      <w:r>
        <w:rPr>
          <w:b w:val="0"/>
          <w:i/>
        </w:rPr>
        <w:t>not</w:t>
      </w:r>
      <w:r>
        <w:rPr>
          <w:b w:val="0"/>
          <w:i w:val="0"/>
        </w:rPr>
        <w:t xml:space="preserve"> actually Rosa Parks, but 15-year-old Claudette Colvin. A generation later, Gen X and then Millennials shifted the debate on LGBT rights and gay marriage at a remarkable pace. In fact, it’s hard to think of any substantial social movement that </w:t>
      </w:r>
      <w:r>
        <w:rPr>
          <w:b w:val="0"/>
          <w:i/>
        </w:rPr>
        <w:t>didn’t</w:t>
      </w:r>
      <w:r>
        <w:rPr>
          <w:b w:val="0"/>
          <w:i w:val="0"/>
        </w:rPr>
        <w:t xml:space="preserve"> have young, fearless people at the center.</w:t>
      </w:r>
    </w:p>
    <w:p>
      <w:r>
        <w:rPr>
          <w:b w:val="0"/>
          <w:i w:val="0"/>
        </w:rPr>
        <w:t>And now, with the powerful tools of social media and 24-7 connectivity, the pace of social movements is quickening. The “Parkland Teens,” the survivors of the horrific school shooting in Florida, attracted millions of Twitter followers in days. Within just a few weeks, they called for marches, for which over a million people showed up around the world. Cut to a year later, and the U.S. House of Representatives passed the first real gun control legislation in many years.</w:t>
      </w:r>
    </w:p>
    <w:p>
      <w:r>
        <w:rPr>
          <w:b w:val="0"/>
          <w:i w:val="0"/>
        </w:rPr>
        <w:t>Will this climate movement end up as significant as the antiwar, civil rights, and gay rights movements? It’s hard to predict. But what’s clear is that we’re in the middle of a major realignment of values around climate. It’s now unacceptable to young activists, and the millions of people they inspire, to espouse climate denial or play the “let’s go slow” card. They don’t appreciate being handed a disaster movie for them to live with for 70 to 80 years.</w:t>
      </w:r>
    </w:p>
    <w:p>
      <w:r>
        <w:rPr>
          <w:b w:val="0"/>
          <w:i w:val="0"/>
        </w:rPr>
        <w:t>This brings me to business, and a warning: No organization can avoid values shifts. Remember, there were moments in history where it was generally acceptable to use slave labor or children in supply chains, to wink at rampant sexual harassment in offices, and to freely dump pollution in rivers and the air. None of these problems are eliminated today, but very few in business would suggest that they’re OK. Morals changed, and then laws.</w:t>
      </w:r>
    </w:p>
    <w:p>
      <w:r>
        <w:rPr>
          <w:b w:val="0"/>
          <w:i w:val="0"/>
        </w:rPr>
        <w:t xml:space="preserve">And while executives do increasingly seem to be moving toward action on climate change, with public pronouncements to cut their own emissions or buy renewable energy becoming the norm in large companies, it’s not clear whether those actions are enough to satisfy this next generation of customers and employees. In fact, companies seem to be more comfortable taking public stands on issues like race, immigration, gun violence, and transgender rights </w:t>
      </w:r>
      <w:r>
        <w:rPr>
          <w:b w:val="0"/>
          <w:i/>
        </w:rPr>
        <w:t>before</w:t>
      </w:r>
      <w:r>
        <w:rPr>
          <w:b w:val="0"/>
          <w:i w:val="0"/>
        </w:rPr>
        <w:t xml:space="preserve"> speaking strongly on the environment.</w:t>
      </w:r>
    </w:p>
    <w:p>
      <w:r>
        <w:rPr>
          <w:b w:val="0"/>
          <w:i w:val="0"/>
        </w:rPr>
        <w:t>But that needs to change now. It’s time, in the words of U.S. senator Sheldon Whitehouse, for “corporate good guys” to “show up in Congress to lobby for climate action.”2 We need CEOs in the halls of power at the state and federal level pushing for aggressive policy.</w:t>
      </w:r>
    </w:p>
    <w:p>
      <w:r>
        <w:rPr>
          <w:b w:val="0"/>
          <w:i w:val="0"/>
        </w:rPr>
        <w:t>This isn’t a new idea, of course, but the history on climate lobbying is sparse. There are “D.C. visit” days organized by a few focused NGOs, and they’re always hoping for bipartisan climate solutions. But in reality, with a few exceptions, only smaller companies have been willing to put themselves out there. The big guys sign on to public statements like “We Are Still In,” which is a good start but is inadequate to the level of change required. They need to put some skin in the game and become more vocal and more aggressive.</w:t>
      </w:r>
    </w:p>
    <w:p>
      <w:r>
        <w:rPr>
          <w:b w:val="0"/>
          <w:i w:val="0"/>
        </w:rPr>
        <w:t xml:space="preserve">In practice, this will mean disagreeing with politicians, up to and including the president, who say it’s too expensive to act, or that climate change is a hoax. In fact, a recent survey shows that 76% of Americans </w:t>
      </w:r>
      <w:r>
        <w:rPr>
          <w:b w:val="0"/>
          <w:i/>
        </w:rPr>
        <w:t>want</w:t>
      </w:r>
      <w:r>
        <w:rPr>
          <w:b w:val="0"/>
          <w:i w:val="0"/>
        </w:rPr>
        <w:t xml:space="preserve"> companies to take a stand for what they believe, even if it’s politically controversial.3</w:t>
      </w:r>
    </w:p>
    <w:p>
      <w:r>
        <w:rPr>
          <w:b w:val="0"/>
          <w:i w:val="0"/>
        </w:rPr>
        <w:t>It may just take the youngest Americans to get companies to take a real and public stand for aggressive global action on climate change; after all, if they don’t, they risk getting out of step with an entire generation of employees and customers.</w:t>
      </w:r>
    </w:p>
    <w:p>
      <w:r>
        <w:rPr>
          <w:b w:val="0"/>
          <w:i w:val="0"/>
        </w:rPr>
        <w:t>TAKEAWAYS</w:t>
      </w:r>
    </w:p>
    <w:p>
      <w:r>
        <w:rPr>
          <w:b w:val="0"/>
          <w:i w:val="0"/>
        </w:rPr>
        <w:t>Young people are increasingly sounding the alarm about climate change. While many individuals may write this off as noise, businesses need to realize that if they don’t pay attention, they might become out of step with an entire generation of employees and customers.</w:t>
      </w:r>
    </w:p>
    <w:p>
      <w:pPr>
        <w:pStyle w:val="ListBullet"/>
      </w:pPr>
      <w:r>
        <w:rPr>
          <w:b w:val="0"/>
          <w:i w:val="0"/>
        </w:rPr>
        <w:t>This isn’t the first time a youth movement is leading the charge in social issues. Baby Boomers led the antiwar movement when they were kids and teens. African American kids bravely desegregated schools, and Gen X and Millennials shifted the debate on LGBT rights and gay marriage.</w:t>
      </w:r>
    </w:p>
    <w:p>
      <w:pPr>
        <w:pStyle w:val="ListBullet"/>
      </w:pPr>
      <w:r>
        <w:rPr>
          <w:b w:val="0"/>
          <w:i w:val="0"/>
        </w:rPr>
        <w:t xml:space="preserve">Young activists and those they inspire find it unacceptable to deny climate change or move slowly, yet companies seem to be more comfortable taking a public stand on key social issues like race, immigration, gun control, and transgender rights </w:t>
      </w:r>
      <w:r>
        <w:rPr>
          <w:b w:val="0"/>
          <w:i/>
        </w:rPr>
        <w:t>before</w:t>
      </w:r>
      <w:r>
        <w:rPr>
          <w:b w:val="0"/>
          <w:i w:val="0"/>
        </w:rPr>
        <w:t xml:space="preserve"> speaking strongly on the environment.</w:t>
      </w:r>
    </w:p>
    <w:p>
      <w:pPr>
        <w:pStyle w:val="ListBullet"/>
      </w:pPr>
      <w:r>
        <w:rPr>
          <w:b w:val="0"/>
          <w:i w:val="0"/>
        </w:rPr>
        <w:t>While executives and organizations do seem to be moving toward taking climate actions, like buying renewable energy or cutting down their emissions, these actions alone may not satisfy these younger individuals. Executives must take a public stand and aggressively lobby on climate issues—even if it means disagreeing with powerful politicians.</w:t>
      </w:r>
    </w:p>
    <w:p>
      <w:pPr>
        <w:pStyle w:val="Heading3"/>
      </w:pPr>
      <w:r>
        <w:rPr>
          <w:b w:val="0"/>
          <w:i w:val="0"/>
        </w:rPr>
        <w:t>NOTES</w:t>
      </w:r>
    </w:p>
    <w:p>
      <w:pPr>
        <w:pStyle w:val="ListNumber"/>
      </w:pPr>
      <w:r>
        <w:rPr>
          <w:b w:val="0"/>
          <w:i w:val="0"/>
        </w:rPr>
        <w:t>1. John Sutter and Lawrence Davidson, “Teen Tells Climate Negotiators They Aren’t Mature Enough,” CNN, December 17, 2018, https://www.cnn.com/2018/12/16/world/greta-thunberg-cop24/index.html.</w:t>
      </w:r>
    </w:p>
    <w:p>
      <w:pPr>
        <w:pStyle w:val="ListNumber"/>
      </w:pPr>
      <w:r>
        <w:rPr>
          <w:b w:val="0"/>
          <w:i w:val="0"/>
        </w:rPr>
        <w:t>2. Carolyn Fortuna, “ ‘Time to Wake Up’—RI Senator Whitehouse Offers Solutions to Climate Change,” CleanTechnica, February 27, 2019, https://cleantechnica.com/2019/02/27/time-to-wake-up-ri-senator-whitehouse-offers-solutions-to-climate-change/.</w:t>
      </w:r>
    </w:p>
    <w:p>
      <w:pPr>
        <w:pStyle w:val="ListNumber"/>
      </w:pPr>
      <w:r>
        <w:rPr>
          <w:b w:val="0"/>
          <w:i w:val="0"/>
        </w:rPr>
        <w:t>3. Julie Hootkin and Tanya Meck, “Call to Action in the Age of Trump: Business &amp; Politics: Do They Mix?” Global Strategy Group, 5th Annual Study, 2018, https://www.globalstrategygroup.com/wp-content/uploads/2018/02/BusinessPolitics_2018.pdf.</w:t>
      </w:r>
    </w:p>
    <w:p>
      <w:r>
        <w:rPr>
          <w:b w:val="0"/>
          <w:i/>
        </w:rPr>
        <w:t>Adapted from content posted on hbr.org, March 26, 2019 (product #H04UZT).</w:t>
      </w:r>
    </w:p>
    <w:p>
      <w:pPr>
        <w:pStyle w:val="Heading1"/>
      </w:pPr>
      <w:r>
        <w:rPr>
          <w:b w:val="0"/>
          <w:i w:val="0"/>
        </w:rPr>
        <w:t>About the Contributors</w:t>
      </w:r>
    </w:p>
    <w:p>
      <w:r>
        <w:rPr>
          <w:b w:val="0"/>
          <w:i w:val="0"/>
        </w:rPr>
        <w:t>ITZHAK (ZAHI) BEN-DAVID is the Neil Klatskin Chair in Finance &amp; Real Estate at the Fisher School of Business, The Ohio State University.</w:t>
      </w:r>
    </w:p>
    <w:p>
      <w:r>
        <w:rPr>
          <w:b w:val="0"/>
          <w:i w:val="0"/>
        </w:rPr>
        <w:t>MARC BLINDER is chief product officer of blockchain-based start-up AIKON. After earning a political science degree from Princeton and working in Bay Area politics, he developed a social network called MobilePlay (sold to Good Technology) and held leadership roles at Context Optional and Efficient Frontier (sold to Adobe). Follow him on Twitter @mblinder.</w:t>
      </w:r>
    </w:p>
    <w:p>
      <w:r>
        <w:rPr>
          <w:b w:val="0"/>
          <w:i w:val="0"/>
        </w:rPr>
        <w:t>JOEL BOTHELLO is an assistant professor in management at the John Molson School of Business, Concordia University. He works at the intersection of organization theory and resilience. Follow him on Twitter @j_bothello and visit his website at joelbothello.com.</w:t>
      </w:r>
    </w:p>
    <w:p>
      <w:r>
        <w:rPr>
          <w:b w:val="0"/>
          <w:i w:val="0"/>
        </w:rPr>
        <w:t>ADAM CONNAKER is senior associate responsible for Innovative Finance at the Rockefeller Foundation in New York City, New York.</w:t>
      </w:r>
    </w:p>
    <w:p>
      <w:r>
        <w:rPr>
          <w:b w:val="0"/>
          <w:i w:val="0"/>
        </w:rPr>
        <w:t xml:space="preserve">DANTE DISPARTE is the vice chairman of the Libra Association and the founder and chairman of Risk Cooperative. He is coauthor of the book </w:t>
      </w:r>
      <w:r>
        <w:rPr>
          <w:b w:val="0"/>
          <w:i/>
        </w:rPr>
        <w:t>Global Risk Agility and Decision Making</w:t>
      </w:r>
      <w:r>
        <w:rPr>
          <w:b w:val="0"/>
          <w:i w:val="0"/>
        </w:rPr>
        <w:t xml:space="preserve"> and serves on the National Advisory Council of the Federal Emergency Management Agency, FEMA.</w:t>
      </w:r>
    </w:p>
    <w:p>
      <w:r>
        <w:rPr>
          <w:b w:val="0"/>
          <w:i w:val="0"/>
        </w:rPr>
        <w:t>STEFANIE KLEIMEIER is professor of entrepreneurial finance and banking at the Open University in the Netherlands. She also holds the positions of associate professor of finance at the Maastricht University in the Netherlands and professor extraordinary at the University of Stellenbosch Business School in South Africa.</w:t>
      </w:r>
    </w:p>
    <w:p>
      <w:r>
        <w:rPr>
          <w:b w:val="0"/>
          <w:i w:val="0"/>
        </w:rPr>
        <w:t>JOHN D. MACOMBER is a senior lecturer in the finance unit at Harvard Business School. He teaches in HBS’s Business and Environment and Social Enterprise Initiatives.</w:t>
      </w:r>
    </w:p>
    <w:p>
      <w:r>
        <w:rPr>
          <w:b w:val="0"/>
          <w:i w:val="0"/>
        </w:rPr>
        <w:t xml:space="preserve">SAADIA MADSBJERG is managing director at the Rockefeller Foundation in New York City, New York, and coauthor of the </w:t>
      </w:r>
      <w:r>
        <w:rPr>
          <w:b w:val="0"/>
          <w:i/>
        </w:rPr>
        <w:t>Foreign Affairs</w:t>
      </w:r>
      <w:r>
        <w:rPr>
          <w:b w:val="0"/>
          <w:i w:val="0"/>
        </w:rPr>
        <w:t xml:space="preserve"> article “The Innovative Finance Revolution.”</w:t>
      </w:r>
    </w:p>
    <w:p>
      <w:r>
        <w:rPr>
          <w:b w:val="0"/>
          <w:i w:val="0"/>
        </w:rPr>
        <w:t xml:space="preserve">ANDREW McAFEE is the codirector of the Initiative on the Digital Economy in the MIT Sloan School of Management. He is the author of </w:t>
      </w:r>
      <w:r>
        <w:rPr>
          <w:b w:val="0"/>
          <w:i/>
        </w:rPr>
        <w:t>Enterprise 2.0</w:t>
      </w:r>
      <w:r>
        <w:rPr>
          <w:b w:val="0"/>
          <w:i w:val="0"/>
        </w:rPr>
        <w:t xml:space="preserve"> and the coauthor, with Erik Brynjolfsson, of </w:t>
      </w:r>
      <w:r>
        <w:rPr>
          <w:b w:val="0"/>
          <w:i/>
        </w:rPr>
        <w:t>The Second Machine Age.</w:t>
      </w:r>
      <w:r>
        <w:rPr>
          <w:b w:val="0"/>
          <w:i w:val="0"/>
        </w:rPr>
        <w:t xml:space="preserve"> His latest book is </w:t>
      </w:r>
      <w:r>
        <w:rPr>
          <w:b w:val="0"/>
          <w:i/>
        </w:rPr>
        <w:t>More from Less: The Surprising Story of How We Learned to Prosper Using Fewer Resources—And What Happens Next</w:t>
      </w:r>
      <w:r>
        <w:rPr>
          <w:b w:val="0"/>
          <w:i w:val="0"/>
        </w:rPr>
        <w:t>.</w:t>
      </w:r>
    </w:p>
    <w:p>
      <w:r>
        <w:rPr>
          <w:b w:val="0"/>
          <w:i w:val="0"/>
        </w:rPr>
        <w:t>YVETTE MUCHARRAZ Y CANO is a professor at Ipade Business School.</w:t>
      </w:r>
    </w:p>
    <w:p>
      <w:r>
        <w:rPr>
          <w:b w:val="0"/>
          <w:i w:val="0"/>
        </w:rPr>
        <w:t xml:space="preserve">CURT NICKISCH is a senior editor at </w:t>
      </w:r>
      <w:r>
        <w:rPr>
          <w:b w:val="0"/>
          <w:i/>
        </w:rPr>
        <w:t>Harvard Business Review</w:t>
      </w:r>
      <w:r>
        <w:rPr>
          <w:b w:val="0"/>
          <w:i w:val="0"/>
        </w:rPr>
        <w:t xml:space="preserve"> where he makes podcasts and cohosts the podcast </w:t>
      </w:r>
      <w:r>
        <w:rPr>
          <w:b w:val="0"/>
          <w:i/>
        </w:rPr>
        <w:t>HBR IdeaCast</w:t>
      </w:r>
      <w:r>
        <w:rPr>
          <w:b w:val="0"/>
          <w:i w:val="0"/>
        </w:rPr>
        <w:t xml:space="preserve">. He earned an MBA from Boston University and previously reported for NPR, </w:t>
      </w:r>
      <w:r>
        <w:rPr>
          <w:b w:val="0"/>
          <w:i/>
        </w:rPr>
        <w:t>Marketplace</w:t>
      </w:r>
      <w:r>
        <w:rPr>
          <w:b w:val="0"/>
          <w:i w:val="0"/>
        </w:rPr>
        <w:t xml:space="preserve">, WBUR, and </w:t>
      </w:r>
      <w:r>
        <w:rPr>
          <w:b w:val="0"/>
          <w:i/>
        </w:rPr>
        <w:t>Fast Company</w:t>
      </w:r>
      <w:r>
        <w:rPr>
          <w:b w:val="0"/>
          <w:i w:val="0"/>
        </w:rPr>
        <w:t xml:space="preserve">. He speaks </w:t>
      </w:r>
      <w:r>
        <w:rPr>
          <w:b w:val="0"/>
          <w:i/>
        </w:rPr>
        <w:t>ausgezeichnet</w:t>
      </w:r>
      <w:r>
        <w:rPr>
          <w:b w:val="0"/>
          <w:i w:val="0"/>
        </w:rPr>
        <w:t xml:space="preserve"> German and binges history podcasts. Find him on Twitter @CurtNickisch.</w:t>
      </w:r>
    </w:p>
    <w:p>
      <w:r>
        <w:rPr>
          <w:b w:val="0"/>
          <w:i w:val="0"/>
        </w:rPr>
        <w:t>THOMAS ROULET is a senior lecturer in organization theory at the Judge Business School and a fellow of Girton College, both at the University of Cambridge. He has provided sociological analyses on different aspects of Brexit in various media outlets (</w:t>
      </w:r>
      <w:r>
        <w:rPr>
          <w:b w:val="0"/>
          <w:i/>
        </w:rPr>
        <w:t>the Telegraph, l’Humanité, Die Zeit</w:t>
      </w:r>
      <w:r>
        <w:rPr>
          <w:b w:val="0"/>
          <w:i w:val="0"/>
        </w:rPr>
        <w:t>). Follow him on Twitter @thomroulet.</w:t>
      </w:r>
    </w:p>
    <w:p>
      <w:r>
        <w:rPr>
          <w:b w:val="0"/>
          <w:i w:val="0"/>
        </w:rPr>
        <w:t>NIGEL TOPPING serves as CEO of We Mean Business coalition, which harnesses business leadership to drive the innovations and policies that accelerate action on climate change. Previously, Nigel was executive director of CDP (formerly the Carbon Disclosure Project), and he has 18 years of experience in the manufacturing sector.</w:t>
      </w:r>
    </w:p>
    <w:p>
      <w:r>
        <w:rPr>
          <w:b w:val="0"/>
          <w:i w:val="0"/>
        </w:rPr>
        <w:t>MICHAEL VIEHS is associate director at Hermes Investment Management in London. In this position, he is responsible for the integration ESG and engagement information in the investment strategies of all public market equity and credit funds. Michael is also an honorary research associate at the Smith School of Enterprise and the Environment at the University of Oxford.</w:t>
      </w:r>
    </w:p>
    <w:p>
      <w:r>
        <w:rPr>
          <w:b w:val="0"/>
          <w:i w:val="0"/>
        </w:rPr>
        <w:t xml:space="preserve">ANDREW WINSTON is the author, most recently, of </w:t>
      </w:r>
      <w:r>
        <w:rPr>
          <w:b w:val="0"/>
          <w:i/>
        </w:rPr>
        <w:t>The Big Pivot</w:t>
      </w:r>
      <w:r>
        <w:rPr>
          <w:b w:val="0"/>
          <w:i w:val="0"/>
        </w:rPr>
        <w:t xml:space="preserve">. He is also coauthor of the best-seller </w:t>
      </w:r>
      <w:r>
        <w:rPr>
          <w:b w:val="0"/>
          <w:i/>
        </w:rPr>
        <w:t>Green to Gold</w:t>
      </w:r>
      <w:r>
        <w:rPr>
          <w:b w:val="0"/>
          <w:i w:val="0"/>
        </w:rPr>
        <w:t xml:space="preserve"> and the author of </w:t>
      </w:r>
      <w:r>
        <w:rPr>
          <w:b w:val="0"/>
          <w:i/>
        </w:rPr>
        <w:t>Green Recovery</w:t>
      </w:r>
      <w:r>
        <w:rPr>
          <w:b w:val="0"/>
          <w:i w:val="0"/>
        </w:rPr>
        <w:t>. He advises some of the world’s leading companies on how they can navigate and profit from environmental and social challenges. Follow him on Twitter @AndrewWinston.</w:t>
      </w:r>
    </w:p>
    <w:p>
      <w:pPr>
        <w:pStyle w:val="Heading1"/>
      </w:pPr>
      <w:r>
        <w:rPr>
          <w:b w:val="0"/>
          <w:i w:val="0"/>
        </w:rPr>
        <w:t>Index</w:t>
      </w:r>
    </w:p>
    <w:p>
      <w:r>
        <w:rPr>
          <w:b w:val="0"/>
          <w:i w:val="0"/>
        </w:rPr>
        <w:t xml:space="preserve">Note: Page numbers followed by </w:t>
      </w:r>
      <w:r>
        <w:rPr>
          <w:b w:val="0"/>
          <w:i/>
        </w:rPr>
        <w:t>f</w:t>
      </w:r>
      <w:r>
        <w:rPr>
          <w:b w:val="0"/>
          <w:i w:val="0"/>
        </w:rPr>
        <w:t xml:space="preserve"> indicate figures.</w:t>
      </w:r>
    </w:p>
    <w:p>
      <w:pPr>
        <w:pStyle w:val="ListBullet"/>
      </w:pPr>
      <w:r>
        <w:rPr>
          <w:b w:val="0"/>
          <w:i w:val="0"/>
        </w:rPr>
        <w:t>adaptation, 4</w:t>
      </w:r>
    </w:p>
    <w:p>
      <w:pPr>
        <w:pStyle w:val="ListBullet"/>
      </w:pPr>
      <w:r>
        <w:rPr>
          <w:b w:val="0"/>
          <w:i w:val="0"/>
        </w:rPr>
        <w:t>funding resources for, 15</w:t>
      </w:r>
    </w:p>
    <w:p>
      <w:pPr>
        <w:pStyle w:val="ListBullet"/>
      </w:pPr>
      <w:r>
        <w:rPr>
          <w:b w:val="0"/>
          <w:i w:val="0"/>
        </w:rPr>
        <w:t>in organizational resilience, 132–133, 134</w:t>
      </w:r>
    </w:p>
    <w:p>
      <w:pPr>
        <w:pStyle w:val="ListBullet"/>
      </w:pPr>
      <w:r>
        <w:rPr>
          <w:b w:val="0"/>
          <w:i w:val="0"/>
        </w:rPr>
        <w:t>advertising, 26</w:t>
      </w:r>
    </w:p>
    <w:p>
      <w:pPr>
        <w:pStyle w:val="ListBullet"/>
      </w:pPr>
      <w:r>
        <w:rPr>
          <w:b w:val="0"/>
          <w:i w:val="0"/>
        </w:rPr>
        <w:t>African Americans, and civil rights movement, 137</w:t>
      </w:r>
    </w:p>
    <w:p>
      <w:pPr>
        <w:pStyle w:val="ListBullet"/>
      </w:pPr>
      <w:r>
        <w:rPr>
          <w:b w:val="0"/>
          <w:i w:val="0"/>
        </w:rPr>
        <w:t>agriculture</w:t>
      </w:r>
    </w:p>
    <w:p>
      <w:pPr>
        <w:pStyle w:val="ListBullet"/>
      </w:pPr>
      <w:r>
        <w:rPr>
          <w:b w:val="0"/>
          <w:i w:val="0"/>
        </w:rPr>
        <w:t>dematerialization in, 73–75</w:t>
      </w:r>
    </w:p>
    <w:p>
      <w:pPr>
        <w:pStyle w:val="ListBullet"/>
      </w:pPr>
      <w:r>
        <w:rPr>
          <w:b w:val="0"/>
          <w:i w:val="0"/>
        </w:rPr>
        <w:t>regenerative, 16</w:t>
      </w:r>
    </w:p>
    <w:p>
      <w:pPr>
        <w:pStyle w:val="ListBullet"/>
      </w:pPr>
      <w:r>
        <w:rPr>
          <w:b w:val="0"/>
          <w:i w:val="0"/>
        </w:rPr>
        <w:t>Alcoa, 22</w:t>
      </w:r>
    </w:p>
    <w:p>
      <w:pPr>
        <w:pStyle w:val="ListBullet"/>
      </w:pPr>
      <w:r>
        <w:rPr>
          <w:b w:val="0"/>
          <w:i w:val="0"/>
        </w:rPr>
        <w:t>aluminum cans, 78</w:t>
      </w:r>
    </w:p>
    <w:p>
      <w:pPr>
        <w:pStyle w:val="ListBullet"/>
      </w:pPr>
      <w:r>
        <w:rPr>
          <w:b w:val="0"/>
          <w:i w:val="0"/>
        </w:rPr>
        <w:t>Amazon</w:t>
      </w:r>
    </w:p>
    <w:p>
      <w:pPr>
        <w:pStyle w:val="ListBullet"/>
      </w:pPr>
      <w:r>
        <w:rPr>
          <w:b w:val="0"/>
          <w:i w:val="0"/>
        </w:rPr>
        <w:t>employees of, 9, 28</w:t>
      </w:r>
    </w:p>
    <w:p>
      <w:pPr>
        <w:pStyle w:val="ListBullet"/>
      </w:pPr>
      <w:r>
        <w:rPr>
          <w:b w:val="0"/>
          <w:i w:val="0"/>
        </w:rPr>
        <w:t>packaging and, 71</w:t>
      </w:r>
    </w:p>
    <w:p>
      <w:pPr>
        <w:pStyle w:val="ListBullet"/>
      </w:pPr>
      <w:r>
        <w:rPr>
          <w:b w:val="0"/>
          <w:i w:val="0"/>
        </w:rPr>
        <w:t>American Fuel and Petrochemical Manufacturers, 100</w:t>
      </w:r>
    </w:p>
    <w:p>
      <w:pPr>
        <w:pStyle w:val="ListBullet"/>
      </w:pPr>
      <w:r>
        <w:rPr>
          <w:b w:val="0"/>
          <w:i w:val="0"/>
        </w:rPr>
        <w:t>American Sustainable Business Council, 13</w:t>
      </w:r>
    </w:p>
    <w:p>
      <w:pPr>
        <w:pStyle w:val="ListBullet"/>
      </w:pPr>
      <w:r>
        <w:rPr>
          <w:b w:val="0"/>
          <w:i w:val="0"/>
        </w:rPr>
        <w:t>anticipation, in organizational resilience, 126–130, 134</w:t>
      </w:r>
    </w:p>
    <w:p>
      <w:pPr>
        <w:pStyle w:val="ListBullet"/>
      </w:pPr>
      <w:r>
        <w:rPr>
          <w:b w:val="0"/>
          <w:i w:val="0"/>
        </w:rPr>
        <w:t>antiwar movement, 137</w:t>
      </w:r>
    </w:p>
    <w:p>
      <w:pPr>
        <w:pStyle w:val="ListBullet"/>
      </w:pPr>
      <w:r>
        <w:rPr>
          <w:b w:val="0"/>
          <w:i w:val="0"/>
        </w:rPr>
        <w:t>Apple</w:t>
      </w:r>
    </w:p>
    <w:p>
      <w:pPr>
        <w:pStyle w:val="ListBullet"/>
      </w:pPr>
      <w:r>
        <w:rPr>
          <w:b w:val="0"/>
          <w:i w:val="0"/>
        </w:rPr>
        <w:t>joint innovation and, 22</w:t>
      </w:r>
    </w:p>
    <w:p>
      <w:pPr>
        <w:pStyle w:val="ListBullet"/>
      </w:pPr>
      <w:r>
        <w:rPr>
          <w:b w:val="0"/>
          <w:i w:val="0"/>
        </w:rPr>
        <w:t>renewable energy used by, 19</w:t>
      </w:r>
    </w:p>
    <w:p>
      <w:pPr>
        <w:pStyle w:val="ListBullet"/>
      </w:pPr>
      <w:r>
        <w:rPr>
          <w:b w:val="0"/>
          <w:i w:val="0"/>
        </w:rPr>
        <w:t>social responsibility initiative of, 8</w:t>
      </w:r>
    </w:p>
    <w:p>
      <w:pPr>
        <w:pStyle w:val="ListBullet"/>
      </w:pPr>
      <w:r>
        <w:rPr>
          <w:b w:val="0"/>
          <w:i w:val="0"/>
        </w:rPr>
        <w:t>ARISE, 130–131</w:t>
      </w:r>
    </w:p>
    <w:p>
      <w:pPr>
        <w:pStyle w:val="ListBullet"/>
      </w:pPr>
      <w:r>
        <w:rPr>
          <w:b w:val="0"/>
          <w:i w:val="0"/>
        </w:rPr>
        <w:t>assets, protecting company, 115–122</w:t>
      </w:r>
    </w:p>
    <w:p>
      <w:pPr>
        <w:pStyle w:val="ListBullet"/>
      </w:pPr>
      <w:r>
        <w:rPr>
          <w:b w:val="0"/>
          <w:i w:val="0"/>
        </w:rPr>
        <w:t>Atlassian, 30</w:t>
      </w:r>
    </w:p>
    <w:p>
      <w:pPr>
        <w:pStyle w:val="ListBullet"/>
      </w:pPr>
      <w:r>
        <w:rPr>
          <w:b w:val="0"/>
          <w:i w:val="0"/>
        </w:rPr>
        <w:t>AT&amp;T, 3, 94</w:t>
      </w:r>
    </w:p>
    <w:p>
      <w:pPr>
        <w:pStyle w:val="ListBullet"/>
      </w:pPr>
      <w:r>
        <w:rPr>
          <w:b w:val="0"/>
          <w:i w:val="0"/>
        </w:rPr>
        <w:t>Australia, bushfires in, xiii</w:t>
      </w:r>
    </w:p>
    <w:p>
      <w:pPr>
        <w:pStyle w:val="ListBullet"/>
      </w:pPr>
      <w:r>
        <w:rPr>
          <w:b w:val="0"/>
          <w:i w:val="0"/>
        </w:rPr>
        <w:t>Ausubel, Jesse, 67, 79</w:t>
      </w:r>
    </w:p>
    <w:p>
      <w:pPr>
        <w:pStyle w:val="ListBullet"/>
      </w:pPr>
      <w:r>
        <w:rPr>
          <w:b w:val="0"/>
          <w:i w:val="0"/>
        </w:rPr>
        <w:t>auto industry</w:t>
      </w:r>
    </w:p>
    <w:p>
      <w:pPr>
        <w:pStyle w:val="ListBullet"/>
      </w:pPr>
      <w:r>
        <w:rPr>
          <w:b w:val="0"/>
          <w:i w:val="0"/>
        </w:rPr>
        <w:t>and efficient vehicles, 87</w:t>
      </w:r>
    </w:p>
    <w:p>
      <w:pPr>
        <w:pStyle w:val="ListBullet"/>
      </w:pPr>
      <w:r>
        <w:rPr>
          <w:b w:val="0"/>
          <w:i w:val="0"/>
        </w:rPr>
        <w:t>and electric vehicles, 35, 88, 98</w:t>
      </w:r>
    </w:p>
    <w:p>
      <w:pPr>
        <w:pStyle w:val="ListBullet"/>
      </w:pPr>
      <w:r>
        <w:rPr>
          <w:b w:val="0"/>
          <w:i w:val="0"/>
        </w:rPr>
        <w:t>aviation sector</w:t>
      </w:r>
    </w:p>
    <w:p>
      <w:pPr>
        <w:pStyle w:val="ListBullet"/>
      </w:pPr>
      <w:r>
        <w:rPr>
          <w:b w:val="0"/>
          <w:i w:val="0"/>
        </w:rPr>
        <w:t>climate tax on flights in, 16</w:t>
      </w:r>
    </w:p>
    <w:p>
      <w:pPr>
        <w:pStyle w:val="ListBullet"/>
      </w:pPr>
      <w:r>
        <w:rPr>
          <w:b w:val="0"/>
          <w:i w:val="0"/>
        </w:rPr>
        <w:t>“flight shaming” in, 85, 86</w:t>
      </w:r>
    </w:p>
    <w:p>
      <w:pPr>
        <w:pStyle w:val="ListBullet"/>
      </w:pPr>
      <w:r>
        <w:rPr>
          <w:b w:val="0"/>
          <w:i w:val="0"/>
        </w:rPr>
        <w:t>B corporations, sustainability strategies of, 10</w:t>
      </w:r>
    </w:p>
    <w:p>
      <w:pPr>
        <w:pStyle w:val="ListBullet"/>
      </w:pPr>
      <w:r>
        <w:rPr>
          <w:b w:val="0"/>
          <w:i w:val="0"/>
        </w:rPr>
        <w:t>The B Team, 101</w:t>
      </w:r>
    </w:p>
    <w:p>
      <w:pPr>
        <w:pStyle w:val="ListBullet"/>
      </w:pPr>
      <w:r>
        <w:rPr>
          <w:b w:val="0"/>
          <w:i w:val="0"/>
        </w:rPr>
        <w:t>Baby Boomers, 137</w:t>
      </w:r>
    </w:p>
    <w:p>
      <w:pPr>
        <w:pStyle w:val="ListBullet"/>
      </w:pPr>
      <w:r>
        <w:rPr>
          <w:b w:val="0"/>
          <w:i w:val="0"/>
        </w:rPr>
        <w:t>Beauty and Personal Care Sustainability Project, 21–22</w:t>
      </w:r>
    </w:p>
    <w:p>
      <w:pPr>
        <w:pStyle w:val="ListBullet"/>
      </w:pPr>
      <w:r>
        <w:rPr>
          <w:b w:val="0"/>
          <w:i w:val="0"/>
        </w:rPr>
        <w:t>Behnam, Rostin, 94</w:t>
      </w:r>
    </w:p>
    <w:p>
      <w:pPr>
        <w:pStyle w:val="ListBullet"/>
      </w:pPr>
      <w:r>
        <w:rPr>
          <w:b w:val="0"/>
          <w:i w:val="0"/>
        </w:rPr>
        <w:t>Belgium, climate march in, 136</w:t>
      </w:r>
    </w:p>
    <w:p>
      <w:pPr>
        <w:pStyle w:val="ListBullet"/>
      </w:pPr>
      <w:r>
        <w:rPr>
          <w:b w:val="0"/>
          <w:i w:val="0"/>
        </w:rPr>
        <w:t>Ben &amp; Jerry’s, 26</w:t>
      </w:r>
    </w:p>
    <w:p>
      <w:pPr>
        <w:pStyle w:val="ListBullet"/>
      </w:pPr>
      <w:r>
        <w:rPr>
          <w:b w:val="0"/>
          <w:i w:val="0"/>
        </w:rPr>
        <w:t>Ben-David, Itzhak (Zahi), 43–50</w:t>
      </w:r>
    </w:p>
    <w:p>
      <w:pPr>
        <w:pStyle w:val="ListBullet"/>
      </w:pPr>
      <w:r>
        <w:rPr>
          <w:b w:val="0"/>
          <w:i w:val="0"/>
        </w:rPr>
        <w:t>beverage companies, 78</w:t>
      </w:r>
    </w:p>
    <w:p>
      <w:pPr>
        <w:pStyle w:val="ListBullet"/>
      </w:pPr>
      <w:r>
        <w:rPr>
          <w:b w:val="0"/>
          <w:i w:val="0"/>
        </w:rPr>
        <w:t>Bezos, Jeff, 9, 71</w:t>
      </w:r>
    </w:p>
    <w:p>
      <w:pPr>
        <w:pStyle w:val="ListBullet"/>
      </w:pPr>
      <w:r>
        <w:rPr>
          <w:b w:val="0"/>
          <w:i w:val="0"/>
        </w:rPr>
        <w:t>BHP, 14</w:t>
      </w:r>
    </w:p>
    <w:p>
      <w:pPr>
        <w:pStyle w:val="ListBullet"/>
      </w:pPr>
      <w:r>
        <w:rPr>
          <w:b w:val="0"/>
          <w:i w:val="0"/>
        </w:rPr>
        <w:t>big energy users</w:t>
      </w:r>
    </w:p>
    <w:p>
      <w:pPr>
        <w:pStyle w:val="ListBullet"/>
      </w:pPr>
      <w:r>
        <w:rPr>
          <w:b w:val="0"/>
          <w:i w:val="0"/>
        </w:rPr>
        <w:t>high performance standards for, 16</w:t>
      </w:r>
    </w:p>
    <w:p>
      <w:pPr>
        <w:pStyle w:val="ListBullet"/>
      </w:pPr>
      <w:r>
        <w:rPr>
          <w:b w:val="0"/>
          <w:i w:val="0"/>
        </w:rPr>
        <w:t>old technology phased out by, 15</w:t>
      </w:r>
    </w:p>
    <w:p>
      <w:pPr>
        <w:pStyle w:val="ListBullet"/>
      </w:pPr>
      <w:r>
        <w:rPr>
          <w:b w:val="0"/>
          <w:i/>
        </w:rPr>
        <w:t>The Big Pivot</w:t>
      </w:r>
      <w:r>
        <w:rPr>
          <w:b w:val="0"/>
          <w:i w:val="0"/>
        </w:rPr>
        <w:t xml:space="preserve"> (Winston), 9–10</w:t>
      </w:r>
    </w:p>
    <w:p>
      <w:pPr>
        <w:pStyle w:val="ListBullet"/>
      </w:pPr>
      <w:r>
        <w:rPr>
          <w:b w:val="0"/>
          <w:i w:val="0"/>
        </w:rPr>
        <w:t>Bitcoin, 108, 109, 110</w:t>
      </w:r>
    </w:p>
    <w:p>
      <w:pPr>
        <w:pStyle w:val="ListBullet"/>
      </w:pPr>
      <w:r>
        <w:rPr>
          <w:b w:val="0"/>
          <w:i w:val="0"/>
        </w:rPr>
        <w:t>Bitcoin Cash, 108, 110</w:t>
      </w:r>
    </w:p>
    <w:p>
      <w:pPr>
        <w:pStyle w:val="ListBullet"/>
      </w:pPr>
      <w:r>
        <w:rPr>
          <w:b w:val="0"/>
          <w:i w:val="0"/>
        </w:rPr>
        <w:t>BlackRock, 58</w:t>
      </w:r>
    </w:p>
    <w:p>
      <w:pPr>
        <w:pStyle w:val="ListBullet"/>
      </w:pPr>
      <w:r>
        <w:rPr>
          <w:b w:val="0"/>
          <w:i w:val="0"/>
        </w:rPr>
        <w:t>Blinder, Marc, 107–113, 143</w:t>
      </w:r>
    </w:p>
    <w:p>
      <w:pPr>
        <w:pStyle w:val="ListBullet"/>
      </w:pPr>
      <w:r>
        <w:rPr>
          <w:b w:val="0"/>
          <w:i w:val="0"/>
        </w:rPr>
        <w:t>blockchain</w:t>
      </w:r>
    </w:p>
    <w:p>
      <w:pPr>
        <w:pStyle w:val="ListBullet"/>
      </w:pPr>
      <w:r>
        <w:rPr>
          <w:b w:val="0"/>
          <w:i w:val="0"/>
        </w:rPr>
        <w:t>advantages of, 107</w:t>
      </w:r>
    </w:p>
    <w:p>
      <w:pPr>
        <w:pStyle w:val="ListBullet"/>
      </w:pPr>
      <w:r>
        <w:rPr>
          <w:b w:val="0"/>
          <w:i w:val="0"/>
        </w:rPr>
        <w:t>energy use by, 108–109</w:t>
      </w:r>
    </w:p>
    <w:p>
      <w:pPr>
        <w:pStyle w:val="ListBullet"/>
      </w:pPr>
      <w:r>
        <w:rPr>
          <w:b w:val="0"/>
          <w:i w:val="0"/>
        </w:rPr>
        <w:t>energy-efficient, 110–112</w:t>
      </w:r>
    </w:p>
    <w:p>
      <w:pPr>
        <w:pStyle w:val="ListBullet"/>
      </w:pPr>
      <w:r>
        <w:rPr>
          <w:b w:val="0"/>
          <w:i w:val="0"/>
        </w:rPr>
        <w:t>future of, 111–112</w:t>
      </w:r>
    </w:p>
    <w:p>
      <w:pPr>
        <w:pStyle w:val="ListBullet"/>
      </w:pPr>
      <w:r>
        <w:rPr>
          <w:b w:val="0"/>
          <w:i w:val="0"/>
        </w:rPr>
        <w:t>green energy for mining, 109–110, 113</w:t>
      </w:r>
    </w:p>
    <w:p>
      <w:pPr>
        <w:pStyle w:val="ListBullet"/>
      </w:pPr>
      <w:r>
        <w:rPr>
          <w:b w:val="0"/>
          <w:i w:val="0"/>
        </w:rPr>
        <w:t>mechanisms of, 108–109</w:t>
      </w:r>
    </w:p>
    <w:p>
      <w:pPr>
        <w:pStyle w:val="ListBullet"/>
      </w:pPr>
      <w:r>
        <w:rPr>
          <w:b w:val="0"/>
          <w:i w:val="0"/>
        </w:rPr>
        <w:t>“blue bond,” 53–54</w:t>
      </w:r>
    </w:p>
    <w:p>
      <w:pPr>
        <w:pStyle w:val="ListBullet"/>
      </w:pPr>
      <w:r>
        <w:rPr>
          <w:b w:val="0"/>
          <w:i w:val="0"/>
        </w:rPr>
        <w:t>boards, 100–101, 105</w:t>
      </w:r>
    </w:p>
    <w:p>
      <w:pPr>
        <w:pStyle w:val="ListBullet"/>
      </w:pPr>
      <w:r>
        <w:rPr>
          <w:b w:val="0"/>
          <w:i w:val="0"/>
        </w:rPr>
        <w:t>Bothello, Joel, 83–90</w:t>
      </w:r>
    </w:p>
    <w:p>
      <w:pPr>
        <w:pStyle w:val="ListBullet"/>
      </w:pPr>
      <w:r>
        <w:rPr>
          <w:b w:val="0"/>
          <w:i w:val="0"/>
        </w:rPr>
        <w:t>Brands for Good, 26</w:t>
      </w:r>
    </w:p>
    <w:p>
      <w:pPr>
        <w:pStyle w:val="ListBullet"/>
      </w:pPr>
      <w:r>
        <w:rPr>
          <w:b w:val="0"/>
          <w:i w:val="0"/>
        </w:rPr>
        <w:t>Britton, Joe, 13</w:t>
      </w:r>
    </w:p>
    <w:p>
      <w:pPr>
        <w:pStyle w:val="ListBullet"/>
      </w:pPr>
      <w:r>
        <w:rPr>
          <w:b w:val="0"/>
          <w:i w:val="0"/>
        </w:rPr>
        <w:t>bushfires, in Australia, xiii</w:t>
      </w:r>
    </w:p>
    <w:p>
      <w:pPr>
        <w:pStyle w:val="ListBullet"/>
      </w:pPr>
      <w:r>
        <w:rPr>
          <w:b w:val="0"/>
          <w:i w:val="0"/>
        </w:rPr>
        <w:t xml:space="preserve">buildings. </w:t>
      </w:r>
      <w:r>
        <w:rPr>
          <w:b w:val="0"/>
          <w:i/>
        </w:rPr>
        <w:t>See also</w:t>
      </w:r>
      <w:r>
        <w:rPr>
          <w:b w:val="0"/>
          <w:i w:val="0"/>
        </w:rPr>
        <w:t xml:space="preserve"> houses</w:t>
      </w:r>
    </w:p>
    <w:p>
      <w:pPr>
        <w:pStyle w:val="ListBullet"/>
      </w:pPr>
      <w:r>
        <w:rPr>
          <w:b w:val="0"/>
          <w:i w:val="0"/>
        </w:rPr>
        <w:t>climate change and, 115–122</w:t>
      </w:r>
    </w:p>
    <w:p>
      <w:pPr>
        <w:pStyle w:val="ListBullet"/>
      </w:pPr>
      <w:r>
        <w:rPr>
          <w:b w:val="0"/>
          <w:i w:val="0"/>
        </w:rPr>
        <w:t>design features for, 119, 122</w:t>
      </w:r>
    </w:p>
    <w:p>
      <w:pPr>
        <w:pStyle w:val="ListBullet"/>
      </w:pPr>
      <w:r>
        <w:rPr>
          <w:b w:val="0"/>
          <w:i w:val="0"/>
        </w:rPr>
        <w:t>evaluating, 129</w:t>
      </w:r>
    </w:p>
    <w:p>
      <w:pPr>
        <w:pStyle w:val="ListBullet"/>
      </w:pPr>
      <w:r>
        <w:rPr>
          <w:b w:val="0"/>
          <w:i w:val="0"/>
        </w:rPr>
        <w:t>flood insurance for, 115–116</w:t>
      </w:r>
    </w:p>
    <w:p>
      <w:pPr>
        <w:pStyle w:val="ListBullet"/>
      </w:pPr>
      <w:r>
        <w:rPr>
          <w:b w:val="0"/>
          <w:i w:val="0"/>
        </w:rPr>
        <w:t>land development policies on, 117</w:t>
      </w:r>
    </w:p>
    <w:p>
      <w:pPr>
        <w:pStyle w:val="ListBullet"/>
      </w:pPr>
      <w:r>
        <w:rPr>
          <w:b w:val="0"/>
          <w:i w:val="0"/>
        </w:rPr>
        <w:t>mortgages for, 115–116, 121</w:t>
      </w:r>
    </w:p>
    <w:p>
      <w:pPr>
        <w:pStyle w:val="ListBullet"/>
      </w:pPr>
      <w:r>
        <w:rPr>
          <w:b w:val="0"/>
          <w:i w:val="0"/>
        </w:rPr>
        <w:t>rebuilding, 119–120, 122</w:t>
      </w:r>
    </w:p>
    <w:p>
      <w:pPr>
        <w:pStyle w:val="ListBullet"/>
      </w:pPr>
      <w:r>
        <w:rPr>
          <w:b w:val="0"/>
          <w:i w:val="0"/>
        </w:rPr>
        <w:t>reinforcing, 118, 122</w:t>
      </w:r>
    </w:p>
    <w:p>
      <w:pPr>
        <w:pStyle w:val="ListBullet"/>
      </w:pPr>
      <w:r>
        <w:rPr>
          <w:b w:val="0"/>
          <w:i w:val="0"/>
        </w:rPr>
        <w:t>restricting, 120–121, 122</w:t>
      </w:r>
    </w:p>
    <w:p>
      <w:pPr>
        <w:pStyle w:val="ListBullet"/>
      </w:pPr>
      <w:r>
        <w:rPr>
          <w:b w:val="0"/>
          <w:i w:val="0"/>
        </w:rPr>
        <w:t>retreat by moving, 119, 122</w:t>
      </w:r>
    </w:p>
    <w:p>
      <w:pPr>
        <w:pStyle w:val="ListBullet"/>
      </w:pPr>
      <w:r>
        <w:rPr>
          <w:b w:val="0"/>
          <w:i w:val="0"/>
        </w:rPr>
        <w:t>Burger King, 36</w:t>
      </w:r>
    </w:p>
    <w:p>
      <w:pPr>
        <w:pStyle w:val="ListBullet"/>
      </w:pPr>
      <w:r>
        <w:rPr>
          <w:b w:val="0"/>
          <w:i w:val="0"/>
        </w:rPr>
        <w:t>Business Climate Leaders, 13</w:t>
      </w:r>
    </w:p>
    <w:p>
      <w:pPr>
        <w:pStyle w:val="ListBullet"/>
      </w:pPr>
      <w:r>
        <w:rPr>
          <w:b w:val="0"/>
          <w:i w:val="0"/>
        </w:rPr>
        <w:t>business customers, 26–28</w:t>
      </w:r>
    </w:p>
    <w:p>
      <w:pPr>
        <w:pStyle w:val="ListBullet"/>
      </w:pPr>
      <w:r>
        <w:rPr>
          <w:b w:val="0"/>
          <w:i w:val="0"/>
        </w:rPr>
        <w:t>business models</w:t>
      </w:r>
    </w:p>
    <w:p>
      <w:pPr>
        <w:pStyle w:val="ListBullet"/>
      </w:pPr>
      <w:r>
        <w:rPr>
          <w:b w:val="0"/>
          <w:i w:val="0"/>
        </w:rPr>
        <w:t>circular, 6, 31</w:t>
      </w:r>
    </w:p>
    <w:p>
      <w:pPr>
        <w:pStyle w:val="ListBullet"/>
      </w:pPr>
      <w:r>
        <w:rPr>
          <w:b w:val="0"/>
          <w:i w:val="0"/>
        </w:rPr>
        <w:t>companies rethinking, 7, 30–37, 39</w:t>
      </w:r>
    </w:p>
    <w:p>
      <w:pPr>
        <w:pStyle w:val="ListBullet"/>
      </w:pPr>
      <w:r>
        <w:rPr>
          <w:b w:val="0"/>
          <w:i w:val="0"/>
        </w:rPr>
        <w:t>California wildfires, xii–xiii, 121</w:t>
      </w:r>
    </w:p>
    <w:p>
      <w:pPr>
        <w:pStyle w:val="ListBullet"/>
      </w:pPr>
      <w:r>
        <w:rPr>
          <w:b w:val="0"/>
          <w:i w:val="0"/>
        </w:rPr>
        <w:t>Camp Fire, xiii</w:t>
      </w:r>
    </w:p>
    <w:p>
      <w:pPr>
        <w:pStyle w:val="ListBullet"/>
      </w:pPr>
      <w:r>
        <w:rPr>
          <w:b w:val="0"/>
          <w:i w:val="0"/>
        </w:rPr>
        <w:t>campaign finance, 11</w:t>
      </w:r>
    </w:p>
    <w:p>
      <w:pPr>
        <w:pStyle w:val="ListBullet"/>
      </w:pPr>
      <w:r>
        <w:rPr>
          <w:b w:val="0"/>
          <w:i w:val="0"/>
        </w:rPr>
        <w:t>Cannon-Brookes, Mike, 30</w:t>
      </w:r>
    </w:p>
    <w:p>
      <w:pPr>
        <w:pStyle w:val="ListBullet"/>
      </w:pPr>
      <w:r>
        <w:rPr>
          <w:b w:val="0"/>
          <w:i w:val="0"/>
        </w:rPr>
        <w:t>capital expenditures, 32</w:t>
      </w:r>
    </w:p>
    <w:p>
      <w:pPr>
        <w:pStyle w:val="ListBullet"/>
      </w:pPr>
      <w:r>
        <w:rPr>
          <w:b w:val="0"/>
          <w:i w:val="0"/>
        </w:rPr>
        <w:t>capitalism, 69–70, 76</w:t>
      </w:r>
    </w:p>
    <w:p>
      <w:pPr>
        <w:pStyle w:val="ListBullet"/>
      </w:pPr>
      <w:r>
        <w:rPr>
          <w:b w:val="0"/>
          <w:i w:val="0"/>
        </w:rPr>
        <w:t xml:space="preserve">carbon dioxide emissions. </w:t>
      </w:r>
      <w:r>
        <w:rPr>
          <w:b w:val="0"/>
          <w:i/>
        </w:rPr>
        <w:t>See also</w:t>
      </w:r>
      <w:r>
        <w:rPr>
          <w:b w:val="0"/>
          <w:i w:val="0"/>
        </w:rPr>
        <w:t xml:space="preserve"> Paris Climate Accords</w:t>
      </w:r>
    </w:p>
    <w:p>
      <w:pPr>
        <w:pStyle w:val="ListBullet"/>
      </w:pPr>
      <w:r>
        <w:rPr>
          <w:b w:val="0"/>
          <w:i w:val="0"/>
        </w:rPr>
        <w:t>abroad, 43–50</w:t>
      </w:r>
    </w:p>
    <w:p>
      <w:pPr>
        <w:pStyle w:val="ListBullet"/>
      </w:pPr>
      <w:r>
        <w:rPr>
          <w:b w:val="0"/>
          <w:i w:val="0"/>
        </w:rPr>
        <w:t>employees demanding reductions in, 9</w:t>
      </w:r>
    </w:p>
    <w:p>
      <w:pPr>
        <w:pStyle w:val="ListBullet"/>
      </w:pPr>
      <w:r>
        <w:rPr>
          <w:b w:val="0"/>
          <w:i w:val="0"/>
        </w:rPr>
        <w:t>funding reduction projects, 33</w:t>
      </w:r>
    </w:p>
    <w:p>
      <w:pPr>
        <w:pStyle w:val="ListBullet"/>
      </w:pPr>
      <w:r>
        <w:rPr>
          <w:b w:val="0"/>
          <w:i w:val="0"/>
        </w:rPr>
        <w:t>net-zero, 93–105</w:t>
      </w:r>
    </w:p>
    <w:p>
      <w:pPr>
        <w:pStyle w:val="ListBullet"/>
      </w:pPr>
      <w:r>
        <w:rPr>
          <w:b w:val="0"/>
          <w:i w:val="0"/>
        </w:rPr>
        <w:t>reduction goals, 9–10</w:t>
      </w:r>
    </w:p>
    <w:p>
      <w:pPr>
        <w:pStyle w:val="ListBullet"/>
      </w:pPr>
      <w:r>
        <w:rPr>
          <w:b w:val="0"/>
          <w:i w:val="0"/>
        </w:rPr>
        <w:t>reduction needed, 4, 5</w:t>
      </w:r>
      <w:r>
        <w:rPr>
          <w:b w:val="0"/>
          <w:i/>
        </w:rPr>
        <w:t>f</w:t>
      </w:r>
    </w:p>
    <w:p>
      <w:pPr>
        <w:pStyle w:val="ListBullet"/>
      </w:pPr>
      <w:r>
        <w:rPr>
          <w:b w:val="0"/>
          <w:i w:val="0"/>
        </w:rPr>
        <w:t>rise in, 4, 5</w:t>
      </w:r>
      <w:r>
        <w:rPr>
          <w:b w:val="0"/>
          <w:i/>
        </w:rPr>
        <w:t>f</w:t>
      </w:r>
    </w:p>
    <w:p>
      <w:pPr>
        <w:pStyle w:val="ListBullet"/>
      </w:pPr>
      <w:r>
        <w:rPr>
          <w:b w:val="0"/>
          <w:i w:val="0"/>
        </w:rPr>
        <w:t>carbon negativity, 19, 24</w:t>
      </w:r>
    </w:p>
    <w:p>
      <w:pPr>
        <w:pStyle w:val="ListBullet"/>
      </w:pPr>
      <w:r>
        <w:rPr>
          <w:b w:val="0"/>
          <w:i w:val="0"/>
        </w:rPr>
        <w:t>carbon neutrality, 19</w:t>
      </w:r>
    </w:p>
    <w:p>
      <w:pPr>
        <w:pStyle w:val="ListBullet"/>
      </w:pPr>
      <w:r>
        <w:rPr>
          <w:b w:val="0"/>
          <w:i w:val="0"/>
        </w:rPr>
        <w:t>carbon pricing, 16, 33</w:t>
      </w:r>
    </w:p>
    <w:p>
      <w:pPr>
        <w:pStyle w:val="ListBullet"/>
      </w:pPr>
      <w:r>
        <w:rPr>
          <w:b w:val="0"/>
          <w:i w:val="0"/>
        </w:rPr>
        <w:t xml:space="preserve">carbon reduction. </w:t>
      </w:r>
      <w:r>
        <w:rPr>
          <w:b w:val="0"/>
          <w:i/>
        </w:rPr>
        <w:t>See also</w:t>
      </w:r>
      <w:r>
        <w:rPr>
          <w:b w:val="0"/>
          <w:i w:val="0"/>
        </w:rPr>
        <w:t xml:space="preserve"> zero-carbon economy</w:t>
      </w:r>
    </w:p>
    <w:p>
      <w:pPr>
        <w:pStyle w:val="ListBullet"/>
      </w:pPr>
      <w:r>
        <w:rPr>
          <w:b w:val="0"/>
          <w:i w:val="0"/>
        </w:rPr>
        <w:t>amount needed, 4, 5</w:t>
      </w:r>
      <w:r>
        <w:rPr>
          <w:b w:val="0"/>
          <w:i/>
        </w:rPr>
        <w:t>f</w:t>
      </w:r>
    </w:p>
    <w:p>
      <w:pPr>
        <w:pStyle w:val="ListBullet"/>
      </w:pPr>
      <w:r>
        <w:rPr>
          <w:b w:val="0"/>
          <w:i w:val="0"/>
        </w:rPr>
        <w:t>through climate actions, 6</w:t>
      </w:r>
    </w:p>
    <w:p>
      <w:pPr>
        <w:pStyle w:val="ListBullet"/>
      </w:pPr>
      <w:r>
        <w:rPr>
          <w:b w:val="0"/>
          <w:i w:val="0"/>
        </w:rPr>
        <w:t>employees demanding, 9</w:t>
      </w:r>
    </w:p>
    <w:p>
      <w:pPr>
        <w:pStyle w:val="ListBullet"/>
      </w:pPr>
      <w:r>
        <w:rPr>
          <w:b w:val="0"/>
          <w:i w:val="0"/>
        </w:rPr>
        <w:t>funding for, 33</w:t>
      </w:r>
    </w:p>
    <w:p>
      <w:pPr>
        <w:pStyle w:val="ListBullet"/>
      </w:pPr>
      <w:r>
        <w:rPr>
          <w:b w:val="0"/>
          <w:i w:val="0"/>
        </w:rPr>
        <w:t>goals for, 9–10</w:t>
      </w:r>
    </w:p>
    <w:p>
      <w:pPr>
        <w:pStyle w:val="ListBullet"/>
      </w:pPr>
      <w:r>
        <w:rPr>
          <w:b w:val="0"/>
          <w:i w:val="0"/>
        </w:rPr>
        <w:t>carbon-footprint information labels, 15</w:t>
      </w:r>
    </w:p>
    <w:p>
      <w:pPr>
        <w:pStyle w:val="ListBullet"/>
      </w:pPr>
      <w:r>
        <w:rPr>
          <w:b w:val="0"/>
          <w:i w:val="0"/>
        </w:rPr>
        <w:t>cardboard, 71–72</w:t>
      </w:r>
    </w:p>
    <w:p>
      <w:pPr>
        <w:pStyle w:val="ListBullet"/>
      </w:pPr>
      <w:r>
        <w:rPr>
          <w:b w:val="0"/>
          <w:i w:val="0"/>
        </w:rPr>
        <w:t>careers, 77–79</w:t>
      </w:r>
    </w:p>
    <w:p>
      <w:pPr>
        <w:pStyle w:val="ListBullet"/>
      </w:pPr>
      <w:r>
        <w:rPr>
          <w:b w:val="0"/>
          <w:i w:val="0"/>
        </w:rPr>
        <w:t>Carney, Mark, 3–4</w:t>
      </w:r>
    </w:p>
    <w:p>
      <w:pPr>
        <w:pStyle w:val="ListBullet"/>
      </w:pPr>
      <w:r>
        <w:rPr>
          <w:b w:val="0"/>
          <w:i w:val="0"/>
        </w:rPr>
        <w:t>catastrophe, preparing for, 125–134</w:t>
      </w:r>
    </w:p>
    <w:p>
      <w:pPr>
        <w:pStyle w:val="ListBullet"/>
      </w:pPr>
      <w:r>
        <w:rPr>
          <w:b w:val="0"/>
          <w:i w:val="0"/>
        </w:rPr>
        <w:t>Ceres, 13, 101</w:t>
      </w:r>
    </w:p>
    <w:p>
      <w:pPr>
        <w:pStyle w:val="ListBullet"/>
      </w:pPr>
      <w:r>
        <w:rPr>
          <w:b w:val="0"/>
          <w:i w:val="0"/>
        </w:rPr>
        <w:t>China Clean Energy Fund, 19</w:t>
      </w:r>
    </w:p>
    <w:p>
      <w:pPr>
        <w:pStyle w:val="ListBullet"/>
      </w:pPr>
      <w:r>
        <w:rPr>
          <w:b w:val="0"/>
          <w:i w:val="0"/>
        </w:rPr>
        <w:t>circular business models, 6, 31</w:t>
      </w:r>
    </w:p>
    <w:p>
      <w:pPr>
        <w:pStyle w:val="ListBullet"/>
      </w:pPr>
      <w:r>
        <w:rPr>
          <w:b w:val="0"/>
          <w:i w:val="0"/>
        </w:rPr>
        <w:t>circular economy, 16</w:t>
      </w:r>
    </w:p>
    <w:p>
      <w:pPr>
        <w:pStyle w:val="ListBullet"/>
      </w:pPr>
      <w:r>
        <w:rPr>
          <w:b w:val="0"/>
          <w:i/>
        </w:rPr>
        <w:t>Citizens United v. Federal Election Commission</w:t>
      </w:r>
      <w:r>
        <w:rPr>
          <w:b w:val="0"/>
          <w:i w:val="0"/>
        </w:rPr>
        <w:t>, 11</w:t>
      </w:r>
    </w:p>
    <w:p>
      <w:pPr>
        <w:pStyle w:val="ListBullet"/>
      </w:pPr>
      <w:r>
        <w:rPr>
          <w:b w:val="0"/>
          <w:i w:val="0"/>
        </w:rPr>
        <w:t>civil rights movement, 137</w:t>
      </w:r>
    </w:p>
    <w:p>
      <w:pPr>
        <w:pStyle w:val="ListBullet"/>
      </w:pPr>
      <w:r>
        <w:rPr>
          <w:b w:val="0"/>
          <w:i w:val="0"/>
        </w:rPr>
        <w:t>clean technology</w:t>
      </w:r>
    </w:p>
    <w:p>
      <w:pPr>
        <w:pStyle w:val="ListBullet"/>
      </w:pPr>
      <w:r>
        <w:rPr>
          <w:b w:val="0"/>
          <w:i w:val="0"/>
        </w:rPr>
        <w:t>costs of shifts to, 18, 39</w:t>
      </w:r>
    </w:p>
    <w:p>
      <w:pPr>
        <w:pStyle w:val="ListBullet"/>
      </w:pPr>
      <w:r>
        <w:rPr>
          <w:b w:val="0"/>
          <w:i w:val="0"/>
        </w:rPr>
        <w:t>investment in, 16</w:t>
      </w:r>
    </w:p>
    <w:p>
      <w:pPr>
        <w:pStyle w:val="ListBullet"/>
      </w:pPr>
      <w:r>
        <w:rPr>
          <w:b w:val="0"/>
          <w:i w:val="0"/>
        </w:rPr>
        <w:t>subsidies to, 16</w:t>
      </w:r>
    </w:p>
    <w:p>
      <w:pPr>
        <w:pStyle w:val="ListBullet"/>
      </w:pPr>
      <w:r>
        <w:rPr>
          <w:b w:val="0"/>
          <w:i w:val="0"/>
        </w:rPr>
        <w:t>climate actions</w:t>
      </w:r>
    </w:p>
    <w:p>
      <w:pPr>
        <w:pStyle w:val="ListBullet"/>
      </w:pPr>
      <w:r>
        <w:rPr>
          <w:b w:val="0"/>
          <w:i w:val="0"/>
        </w:rPr>
        <w:t>change driven by, 6–37</w:t>
      </w:r>
    </w:p>
    <w:p>
      <w:pPr>
        <w:pStyle w:val="ListBullet"/>
      </w:pPr>
      <w:r>
        <w:rPr>
          <w:b w:val="0"/>
          <w:i w:val="0"/>
        </w:rPr>
        <w:t>communicating, 102–103, 105</w:t>
      </w:r>
    </w:p>
    <w:p>
      <w:pPr>
        <w:pStyle w:val="ListBullet"/>
      </w:pPr>
      <w:r>
        <w:rPr>
          <w:b w:val="0"/>
          <w:i w:val="0"/>
        </w:rPr>
        <w:t>examples of, 15, 16–17</w:t>
      </w:r>
    </w:p>
    <w:p>
      <w:pPr>
        <w:pStyle w:val="ListBullet"/>
      </w:pPr>
      <w:r>
        <w:rPr>
          <w:b w:val="0"/>
          <w:i w:val="0"/>
        </w:rPr>
        <w:t>governance and, 100–101, 105</w:t>
      </w:r>
    </w:p>
    <w:p>
      <w:pPr>
        <w:pStyle w:val="ListBullet"/>
      </w:pPr>
      <w:r>
        <w:rPr>
          <w:b w:val="0"/>
          <w:i w:val="0"/>
        </w:rPr>
        <w:t>greenwashing as, xii</w:t>
      </w:r>
    </w:p>
    <w:p>
      <w:pPr>
        <w:pStyle w:val="ListBullet"/>
      </w:pPr>
      <w:r>
        <w:rPr>
          <w:b w:val="0"/>
          <w:i w:val="0"/>
        </w:rPr>
        <w:t>incrementalism as, xii, 37</w:t>
      </w:r>
    </w:p>
    <w:p>
      <w:pPr>
        <w:pStyle w:val="ListBullet"/>
      </w:pPr>
      <w:r>
        <w:rPr>
          <w:b w:val="0"/>
          <w:i w:val="0"/>
        </w:rPr>
        <w:t>lobbying for, 13–14, 139</w:t>
      </w:r>
    </w:p>
    <w:p>
      <w:pPr>
        <w:pStyle w:val="ListBullet"/>
      </w:pPr>
      <w:r>
        <w:rPr>
          <w:b w:val="0"/>
          <w:i w:val="0"/>
        </w:rPr>
        <w:t>need for collective, 43–44, 49</w:t>
      </w:r>
    </w:p>
    <w:p>
      <w:pPr>
        <w:pStyle w:val="ListBullet"/>
      </w:pPr>
      <w:r>
        <w:rPr>
          <w:b w:val="0"/>
          <w:i w:val="0"/>
        </w:rPr>
        <w:t>paths of, 4</w:t>
      </w:r>
    </w:p>
    <w:p>
      <w:pPr>
        <w:pStyle w:val="ListBullet"/>
      </w:pPr>
      <w:r>
        <w:rPr>
          <w:b w:val="0"/>
          <w:i w:val="0"/>
        </w:rPr>
        <w:t>reasons for, 7–10</w:t>
      </w:r>
    </w:p>
    <w:p>
      <w:pPr>
        <w:pStyle w:val="ListBullet"/>
      </w:pPr>
      <w:r>
        <w:rPr>
          <w:b w:val="0"/>
          <w:i w:val="0"/>
        </w:rPr>
        <w:t>to reduce carbon emissions, 6</w:t>
      </w:r>
    </w:p>
    <w:p>
      <w:pPr>
        <w:pStyle w:val="ListBullet"/>
      </w:pPr>
      <w:r>
        <w:rPr>
          <w:b w:val="0"/>
          <w:i w:val="0"/>
        </w:rPr>
        <w:t>reviewing industry groups for, 99–100, 105</w:t>
      </w:r>
    </w:p>
    <w:p>
      <w:pPr>
        <w:pStyle w:val="ListBullet"/>
      </w:pPr>
      <w:r>
        <w:rPr>
          <w:b w:val="0"/>
          <w:i w:val="0"/>
        </w:rPr>
        <w:t>short-term value created by, 6</w:t>
      </w:r>
    </w:p>
    <w:p>
      <w:pPr>
        <w:pStyle w:val="ListBullet"/>
      </w:pPr>
      <w:r>
        <w:rPr>
          <w:b w:val="0"/>
          <w:i w:val="0"/>
        </w:rPr>
        <w:t>UN reports on, 4</w:t>
      </w:r>
    </w:p>
    <w:p>
      <w:pPr>
        <w:pStyle w:val="ListBullet"/>
      </w:pPr>
      <w:r>
        <w:rPr>
          <w:b w:val="0"/>
          <w:i w:val="0"/>
        </w:rPr>
        <w:t>using political influence for, 10–18, 38–39</w:t>
      </w:r>
    </w:p>
    <w:p>
      <w:pPr>
        <w:pStyle w:val="ListBullet"/>
      </w:pPr>
      <w:r>
        <w:rPr>
          <w:b w:val="0"/>
          <w:i w:val="0"/>
        </w:rPr>
        <w:t>visibility of, 102–103, 105</w:t>
      </w:r>
    </w:p>
    <w:p>
      <w:pPr>
        <w:pStyle w:val="ListBullet"/>
      </w:pPr>
      <w:r>
        <w:rPr>
          <w:b w:val="0"/>
          <w:i w:val="0"/>
        </w:rPr>
        <w:t>climate activism</w:t>
      </w:r>
    </w:p>
    <w:p>
      <w:pPr>
        <w:pStyle w:val="ListBullet"/>
      </w:pPr>
      <w:r>
        <w:rPr>
          <w:b w:val="0"/>
          <w:i w:val="0"/>
        </w:rPr>
        <w:t>encouraging employees in, 30</w:t>
      </w:r>
    </w:p>
    <w:p>
      <w:pPr>
        <w:pStyle w:val="ListBullet"/>
      </w:pPr>
      <w:r>
        <w:rPr>
          <w:b w:val="0"/>
          <w:i w:val="0"/>
        </w:rPr>
        <w:t>engaging customers in, 25</w:t>
      </w:r>
    </w:p>
    <w:p>
      <w:pPr>
        <w:pStyle w:val="ListBullet"/>
      </w:pPr>
      <w:r>
        <w:rPr>
          <w:b w:val="0"/>
          <w:i w:val="0"/>
        </w:rPr>
        <w:t>by young people, 135–141</w:t>
      </w:r>
    </w:p>
    <w:p>
      <w:pPr>
        <w:pStyle w:val="ListBullet"/>
      </w:pPr>
      <w:r>
        <w:rPr>
          <w:b w:val="0"/>
          <w:i w:val="0"/>
        </w:rPr>
        <w:t>climate change</w:t>
      </w:r>
    </w:p>
    <w:p>
      <w:pPr>
        <w:pStyle w:val="ListBullet"/>
      </w:pPr>
      <w:r>
        <w:rPr>
          <w:b w:val="0"/>
          <w:i w:val="0"/>
        </w:rPr>
        <w:t>economic consequences of, 3–4, 94</w:t>
      </w:r>
    </w:p>
    <w:p>
      <w:pPr>
        <w:pStyle w:val="ListBullet"/>
      </w:pPr>
      <w:r>
        <w:rPr>
          <w:b w:val="0"/>
          <w:i w:val="0"/>
        </w:rPr>
        <w:t>financial risks from, 94</w:t>
      </w:r>
    </w:p>
    <w:p>
      <w:pPr>
        <w:pStyle w:val="ListBullet"/>
      </w:pPr>
      <w:r>
        <w:rPr>
          <w:b w:val="0"/>
          <w:i w:val="0"/>
        </w:rPr>
        <w:t>and flooding, 12</w:t>
      </w:r>
      <w:r>
        <w:rPr>
          <w:b w:val="0"/>
          <w:i/>
        </w:rPr>
        <w:t>f</w:t>
      </w:r>
    </w:p>
    <w:p>
      <w:pPr>
        <w:pStyle w:val="ListBullet"/>
      </w:pPr>
      <w:r>
        <w:rPr>
          <w:b w:val="0"/>
          <w:i w:val="0"/>
        </w:rPr>
        <w:t>and food shortages, 20</w:t>
      </w:r>
      <w:r>
        <w:rPr>
          <w:b w:val="0"/>
          <w:i/>
        </w:rPr>
        <w:t>f</w:t>
      </w:r>
    </w:p>
    <w:p>
      <w:pPr>
        <w:pStyle w:val="ListBullet"/>
      </w:pPr>
      <w:r>
        <w:rPr>
          <w:b w:val="0"/>
          <w:i w:val="0"/>
        </w:rPr>
        <w:t>and heat waves, 29</w:t>
      </w:r>
      <w:r>
        <w:rPr>
          <w:b w:val="0"/>
          <w:i/>
        </w:rPr>
        <w:t>f</w:t>
      </w:r>
    </w:p>
    <w:p>
      <w:pPr>
        <w:pStyle w:val="ListBullet"/>
      </w:pPr>
      <w:r>
        <w:rPr>
          <w:b w:val="0"/>
          <w:i w:val="0"/>
        </w:rPr>
        <w:t>and nature’s collapse, 24</w:t>
      </w:r>
      <w:r>
        <w:rPr>
          <w:b w:val="0"/>
          <w:i/>
        </w:rPr>
        <w:t>f</w:t>
      </w:r>
    </w:p>
    <w:p>
      <w:pPr>
        <w:pStyle w:val="ListBullet"/>
      </w:pPr>
      <w:r>
        <w:rPr>
          <w:b w:val="0"/>
          <w:i w:val="0"/>
        </w:rPr>
        <w:t>protecting assets from, 115–122</w:t>
      </w:r>
    </w:p>
    <w:p>
      <w:pPr>
        <w:pStyle w:val="ListBullet"/>
      </w:pPr>
      <w:r>
        <w:rPr>
          <w:b w:val="0"/>
          <w:i w:val="0"/>
        </w:rPr>
        <w:t>and water uncertainty, 34</w:t>
      </w:r>
      <w:r>
        <w:rPr>
          <w:b w:val="0"/>
          <w:i/>
        </w:rPr>
        <w:t>f</w:t>
      </w:r>
    </w:p>
    <w:p>
      <w:pPr>
        <w:pStyle w:val="ListBullet"/>
      </w:pPr>
      <w:r>
        <w:rPr>
          <w:b w:val="0"/>
          <w:i w:val="0"/>
        </w:rPr>
        <w:t>Climate Group, 97</w:t>
      </w:r>
    </w:p>
    <w:p>
      <w:pPr>
        <w:pStyle w:val="ListBullet"/>
      </w:pPr>
      <w:r>
        <w:rPr>
          <w:b w:val="0"/>
          <w:i w:val="0"/>
        </w:rPr>
        <w:t>climate march, in Belgium, 136</w:t>
      </w:r>
    </w:p>
    <w:p>
      <w:pPr>
        <w:pStyle w:val="ListBullet"/>
      </w:pPr>
      <w:r>
        <w:rPr>
          <w:b w:val="0"/>
          <w:i w:val="0"/>
        </w:rPr>
        <w:t xml:space="preserve">climate policies. </w:t>
      </w:r>
      <w:r>
        <w:rPr>
          <w:b w:val="0"/>
          <w:i/>
        </w:rPr>
        <w:t>See also</w:t>
      </w:r>
      <w:r>
        <w:rPr>
          <w:b w:val="0"/>
          <w:i w:val="0"/>
        </w:rPr>
        <w:t xml:space="preserve"> environmental regulations</w:t>
      </w:r>
    </w:p>
    <w:p>
      <w:pPr>
        <w:pStyle w:val="ListBullet"/>
      </w:pPr>
      <w:r>
        <w:rPr>
          <w:b w:val="0"/>
          <w:i w:val="0"/>
        </w:rPr>
        <w:t>effectiveness of current, 5</w:t>
      </w:r>
      <w:r>
        <w:rPr>
          <w:b w:val="0"/>
          <w:i/>
        </w:rPr>
        <w:t>f</w:t>
      </w:r>
    </w:p>
    <w:p>
      <w:pPr>
        <w:pStyle w:val="ListBullet"/>
      </w:pPr>
      <w:r>
        <w:rPr>
          <w:b w:val="0"/>
          <w:i w:val="0"/>
        </w:rPr>
        <w:t>speaking up for, 101–102, 105</w:t>
      </w:r>
    </w:p>
    <w:p>
      <w:pPr>
        <w:pStyle w:val="ListBullet"/>
      </w:pPr>
      <w:r>
        <w:rPr>
          <w:b w:val="0"/>
          <w:i w:val="0"/>
        </w:rPr>
        <w:t>climate protests, 136</w:t>
      </w:r>
    </w:p>
    <w:p>
      <w:pPr>
        <w:pStyle w:val="ListBullet"/>
      </w:pPr>
      <w:r>
        <w:rPr>
          <w:b w:val="0"/>
          <w:i w:val="0"/>
        </w:rPr>
        <w:t>climate tax, 16, 33</w:t>
      </w:r>
    </w:p>
    <w:p>
      <w:pPr>
        <w:pStyle w:val="ListBullet"/>
      </w:pPr>
      <w:r>
        <w:rPr>
          <w:b w:val="0"/>
          <w:i w:val="0"/>
        </w:rPr>
        <w:t>clothing industry, degrowth and, xiii, 86, 87, 88</w:t>
      </w:r>
    </w:p>
    <w:p>
      <w:pPr>
        <w:pStyle w:val="ListBullet"/>
      </w:pPr>
      <w:r>
        <w:rPr>
          <w:b w:val="0"/>
          <w:i w:val="0"/>
        </w:rPr>
        <w:t>Colvin, Claudette, 137</w:t>
      </w:r>
    </w:p>
    <w:p>
      <w:pPr>
        <w:pStyle w:val="ListBullet"/>
      </w:pPr>
      <w:r>
        <w:rPr>
          <w:b w:val="0"/>
          <w:i w:val="0"/>
        </w:rPr>
        <w:t>companies</w:t>
      </w:r>
    </w:p>
    <w:p>
      <w:pPr>
        <w:pStyle w:val="ListBullet"/>
      </w:pPr>
      <w:r>
        <w:rPr>
          <w:b w:val="0"/>
          <w:i w:val="0"/>
        </w:rPr>
        <w:t>advantage of renewable energy for, 14</w:t>
      </w:r>
    </w:p>
    <w:p>
      <w:pPr>
        <w:pStyle w:val="ListBullet"/>
      </w:pPr>
      <w:r>
        <w:rPr>
          <w:b w:val="0"/>
          <w:i w:val="0"/>
        </w:rPr>
        <w:t>climate actions by (</w:t>
      </w:r>
      <w:r>
        <w:rPr>
          <w:b w:val="0"/>
          <w:i/>
        </w:rPr>
        <w:t>See</w:t>
      </w:r>
      <w:r>
        <w:rPr>
          <w:b w:val="0"/>
          <w:i w:val="0"/>
        </w:rPr>
        <w:t xml:space="preserve"> climate actions)</w:t>
      </w:r>
    </w:p>
    <w:p>
      <w:pPr>
        <w:pStyle w:val="ListBullet"/>
      </w:pPr>
      <w:r>
        <w:rPr>
          <w:b w:val="0"/>
          <w:i w:val="0"/>
        </w:rPr>
        <w:t>climate governance of, 100–101, 105</w:t>
      </w:r>
    </w:p>
    <w:p>
      <w:pPr>
        <w:pStyle w:val="ListBullet"/>
      </w:pPr>
      <w:r>
        <w:rPr>
          <w:b w:val="0"/>
          <w:i w:val="0"/>
        </w:rPr>
        <w:t>commitment to Paris Climate Accords, 11, 95–96, 104</w:t>
      </w:r>
    </w:p>
    <w:p>
      <w:pPr>
        <w:pStyle w:val="ListBullet"/>
      </w:pPr>
      <w:r>
        <w:rPr>
          <w:b w:val="0"/>
          <w:i w:val="0"/>
        </w:rPr>
        <w:t>embracing degrowth, xiii–xiv, 86–89, 90</w:t>
      </w:r>
    </w:p>
    <w:p>
      <w:pPr>
        <w:pStyle w:val="ListBullet"/>
      </w:pPr>
      <w:r>
        <w:rPr>
          <w:b w:val="0"/>
          <w:i w:val="0"/>
        </w:rPr>
        <w:t>good governance of, 47</w:t>
      </w:r>
    </w:p>
    <w:p>
      <w:pPr>
        <w:pStyle w:val="ListBullet"/>
      </w:pPr>
      <w:r>
        <w:rPr>
          <w:b w:val="0"/>
          <w:i w:val="0"/>
        </w:rPr>
        <w:t>incrementalism and greenwashing used by, xii</w:t>
      </w:r>
    </w:p>
    <w:p>
      <w:pPr>
        <w:pStyle w:val="ListBullet"/>
      </w:pPr>
      <w:r>
        <w:rPr>
          <w:b w:val="0"/>
          <w:i w:val="0"/>
        </w:rPr>
        <w:t>pollution by, abroad, 43–50</w:t>
      </w:r>
    </w:p>
    <w:p>
      <w:pPr>
        <w:pStyle w:val="ListBullet"/>
      </w:pPr>
      <w:r>
        <w:rPr>
          <w:b w:val="0"/>
          <w:i w:val="0"/>
        </w:rPr>
        <w:t>posttraumatic growth of, 132–133</w:t>
      </w:r>
    </w:p>
    <w:p>
      <w:pPr>
        <w:pStyle w:val="ListBullet"/>
      </w:pPr>
      <w:r>
        <w:rPr>
          <w:b w:val="0"/>
          <w:i w:val="0"/>
        </w:rPr>
        <w:t>preparing for catastrophe, 125–134</w:t>
      </w:r>
    </w:p>
    <w:p>
      <w:pPr>
        <w:pStyle w:val="ListBullet"/>
      </w:pPr>
      <w:r>
        <w:rPr>
          <w:b w:val="0"/>
          <w:i w:val="0"/>
        </w:rPr>
        <w:t>rethinking business models, 7, 30–37, 39</w:t>
      </w:r>
    </w:p>
    <w:p>
      <w:pPr>
        <w:pStyle w:val="ListBullet"/>
      </w:pPr>
      <w:r>
        <w:rPr>
          <w:b w:val="0"/>
          <w:i w:val="0"/>
        </w:rPr>
        <w:t>social purpose of, 7</w:t>
      </w:r>
    </w:p>
    <w:p>
      <w:pPr>
        <w:pStyle w:val="ListBullet"/>
      </w:pPr>
      <w:r>
        <w:rPr>
          <w:b w:val="0"/>
          <w:i w:val="0"/>
        </w:rPr>
        <w:t>speaking for climate policy, 101–102, 105, 139, 140</w:t>
      </w:r>
    </w:p>
    <w:p>
      <w:pPr>
        <w:pStyle w:val="ListBullet"/>
      </w:pPr>
      <w:r>
        <w:rPr>
          <w:b w:val="0"/>
          <w:i w:val="0"/>
        </w:rPr>
        <w:t>stakeholder relationships of, 18–31, 39</w:t>
      </w:r>
    </w:p>
    <w:p>
      <w:pPr>
        <w:pStyle w:val="ListBullet"/>
      </w:pPr>
      <w:r>
        <w:rPr>
          <w:b w:val="0"/>
          <w:i w:val="0"/>
        </w:rPr>
        <w:t>stakeholders demanding sustainability from, 8</w:t>
      </w:r>
    </w:p>
    <w:p>
      <w:pPr>
        <w:pStyle w:val="ListBullet"/>
      </w:pPr>
      <w:r>
        <w:rPr>
          <w:b w:val="0"/>
          <w:i w:val="0"/>
        </w:rPr>
        <w:t>sustainability strategies of, 10</w:t>
      </w:r>
    </w:p>
    <w:p>
      <w:pPr>
        <w:pStyle w:val="ListBullet"/>
      </w:pPr>
      <w:r>
        <w:rPr>
          <w:b w:val="0"/>
          <w:i w:val="0"/>
        </w:rPr>
        <w:t>switching to renewable energy, 94, 98–99</w:t>
      </w:r>
    </w:p>
    <w:p>
      <w:pPr>
        <w:pStyle w:val="ListBullet"/>
      </w:pPr>
      <w:r>
        <w:rPr>
          <w:b w:val="0"/>
          <w:i w:val="0"/>
        </w:rPr>
        <w:t>using political influence, 10–18, 38–39</w:t>
      </w:r>
    </w:p>
    <w:p>
      <w:pPr>
        <w:pStyle w:val="ListBullet"/>
      </w:pPr>
      <w:r>
        <w:rPr>
          <w:b w:val="0"/>
          <w:i w:val="0"/>
        </w:rPr>
        <w:t>values shifts and, 138</w:t>
      </w:r>
    </w:p>
    <w:p>
      <w:pPr>
        <w:pStyle w:val="ListBullet"/>
      </w:pPr>
      <w:r>
        <w:rPr>
          <w:b w:val="0"/>
          <w:i w:val="0"/>
        </w:rPr>
        <w:t>and young people, 135–141</w:t>
      </w:r>
    </w:p>
    <w:p>
      <w:pPr>
        <w:pStyle w:val="ListBullet"/>
      </w:pPr>
      <w:r>
        <w:rPr>
          <w:b w:val="0"/>
          <w:i w:val="0"/>
        </w:rPr>
        <w:t>Connaker, Adam, 53–64</w:t>
      </w:r>
    </w:p>
    <w:p>
      <w:pPr>
        <w:pStyle w:val="ListBullet"/>
      </w:pPr>
      <w:r>
        <w:rPr>
          <w:b w:val="0"/>
          <w:i w:val="0"/>
        </w:rPr>
        <w:t>connectivity, 130</w:t>
      </w:r>
    </w:p>
    <w:p>
      <w:pPr>
        <w:pStyle w:val="ListBullet"/>
      </w:pPr>
      <w:r>
        <w:rPr>
          <w:b w:val="0"/>
          <w:i w:val="0"/>
        </w:rPr>
        <w:t xml:space="preserve">construction. </w:t>
      </w:r>
      <w:r>
        <w:rPr>
          <w:b w:val="0"/>
          <w:i/>
        </w:rPr>
        <w:t>See</w:t>
      </w:r>
      <w:r>
        <w:rPr>
          <w:b w:val="0"/>
          <w:i w:val="0"/>
        </w:rPr>
        <w:t xml:space="preserve"> buildings</w:t>
      </w:r>
    </w:p>
    <w:p>
      <w:pPr>
        <w:pStyle w:val="ListBullet"/>
      </w:pPr>
      <w:r>
        <w:rPr>
          <w:b w:val="0"/>
          <w:i w:val="0"/>
        </w:rPr>
        <w:t>“consumer shaming,” 84</w:t>
      </w:r>
    </w:p>
    <w:p>
      <w:pPr>
        <w:pStyle w:val="ListBullet"/>
      </w:pPr>
      <w:r>
        <w:rPr>
          <w:b w:val="0"/>
          <w:i w:val="0"/>
        </w:rPr>
        <w:t>consumer-driven degrowth, 86, 88</w:t>
      </w:r>
    </w:p>
    <w:p>
      <w:pPr>
        <w:pStyle w:val="ListBullet"/>
      </w:pPr>
      <w:r>
        <w:rPr>
          <w:b w:val="0"/>
          <w:i w:val="0"/>
        </w:rPr>
        <w:t>coping, in organizational resilience, 130–131, 134</w:t>
      </w:r>
    </w:p>
    <w:p>
      <w:pPr>
        <w:pStyle w:val="ListBullet"/>
      </w:pPr>
      <w:r>
        <w:rPr>
          <w:b w:val="0"/>
          <w:i w:val="0"/>
        </w:rPr>
        <w:t>COVID-19, xiii</w:t>
      </w:r>
    </w:p>
    <w:p>
      <w:pPr>
        <w:pStyle w:val="ListBullet"/>
      </w:pPr>
      <w:r>
        <w:rPr>
          <w:b w:val="0"/>
          <w:i w:val="0"/>
        </w:rPr>
        <w:t>credit ratings, 56</w:t>
      </w:r>
    </w:p>
    <w:p>
      <w:pPr>
        <w:pStyle w:val="ListBullet"/>
      </w:pPr>
      <w:r>
        <w:rPr>
          <w:b w:val="0"/>
          <w:i w:val="0"/>
        </w:rPr>
        <w:t>creosote, 70</w:t>
      </w:r>
    </w:p>
    <w:p>
      <w:pPr>
        <w:pStyle w:val="ListBullet"/>
      </w:pPr>
      <w:r>
        <w:rPr>
          <w:b w:val="0"/>
          <w:i w:val="0"/>
        </w:rPr>
        <w:t>crisis, companies preparing for, 125–134</w:t>
      </w:r>
    </w:p>
    <w:p>
      <w:pPr>
        <w:pStyle w:val="ListBullet"/>
      </w:pPr>
      <w:r>
        <w:rPr>
          <w:b w:val="0"/>
          <w:i w:val="0"/>
        </w:rPr>
        <w:t>crop tonnage, 74</w:t>
      </w:r>
    </w:p>
    <w:p>
      <w:pPr>
        <w:pStyle w:val="ListBullet"/>
      </w:pPr>
      <w:r>
        <w:rPr>
          <w:b w:val="0"/>
          <w:i w:val="0"/>
        </w:rPr>
        <w:t>crowdsourcing, 87</w:t>
      </w:r>
    </w:p>
    <w:p>
      <w:pPr>
        <w:pStyle w:val="ListBullet"/>
      </w:pPr>
      <w:r>
        <w:rPr>
          <w:b w:val="0"/>
          <w:i w:val="0"/>
        </w:rPr>
        <w:t xml:space="preserve">cryptocurrency. </w:t>
      </w:r>
      <w:r>
        <w:rPr>
          <w:b w:val="0"/>
          <w:i/>
        </w:rPr>
        <w:t>See also</w:t>
      </w:r>
      <w:r>
        <w:rPr>
          <w:b w:val="0"/>
          <w:i w:val="0"/>
        </w:rPr>
        <w:t xml:space="preserve"> blockchain</w:t>
      </w:r>
    </w:p>
    <w:p>
      <w:pPr>
        <w:pStyle w:val="ListBullet"/>
      </w:pPr>
      <w:r>
        <w:rPr>
          <w:b w:val="0"/>
          <w:i w:val="0"/>
        </w:rPr>
        <w:t>energy needed for mining, 108–109</w:t>
      </w:r>
    </w:p>
    <w:p>
      <w:pPr>
        <w:pStyle w:val="ListBullet"/>
      </w:pPr>
      <w:r>
        <w:rPr>
          <w:b w:val="0"/>
          <w:i w:val="0"/>
        </w:rPr>
        <w:t>energy-efficient systems of, 110–112</w:t>
      </w:r>
    </w:p>
    <w:p>
      <w:pPr>
        <w:pStyle w:val="ListBullet"/>
      </w:pPr>
      <w:r>
        <w:rPr>
          <w:b w:val="0"/>
          <w:i w:val="0"/>
        </w:rPr>
        <w:t>mining, 108–110, 113</w:t>
      </w:r>
    </w:p>
    <w:p>
      <w:pPr>
        <w:pStyle w:val="ListBullet"/>
      </w:pPr>
      <w:r>
        <w:rPr>
          <w:b w:val="0"/>
          <w:i w:val="0"/>
        </w:rPr>
        <w:t>sustainable, 107–113</w:t>
      </w:r>
    </w:p>
    <w:p>
      <w:pPr>
        <w:pStyle w:val="ListBullet"/>
      </w:pPr>
      <w:r>
        <w:rPr>
          <w:b w:val="0"/>
          <w:i w:val="0"/>
        </w:rPr>
        <w:t>culture, organizational, 127</w:t>
      </w:r>
    </w:p>
    <w:p>
      <w:pPr>
        <w:pStyle w:val="ListBullet"/>
      </w:pPr>
      <w:r>
        <w:rPr>
          <w:b w:val="0"/>
          <w:i w:val="0"/>
        </w:rPr>
        <w:t>customers</w:t>
      </w:r>
    </w:p>
    <w:p>
      <w:pPr>
        <w:pStyle w:val="ListBullet"/>
      </w:pPr>
      <w:r>
        <w:rPr>
          <w:b w:val="0"/>
          <w:i w:val="0"/>
        </w:rPr>
        <w:t>business, choosing, 26–28</w:t>
      </w:r>
    </w:p>
    <w:p>
      <w:pPr>
        <w:pStyle w:val="ListBullet"/>
      </w:pPr>
      <w:r>
        <w:rPr>
          <w:b w:val="0"/>
          <w:i w:val="0"/>
        </w:rPr>
        <w:t>educating and inspiring, 26</w:t>
      </w:r>
    </w:p>
    <w:p>
      <w:pPr>
        <w:pStyle w:val="ListBullet"/>
      </w:pPr>
      <w:r>
        <w:rPr>
          <w:b w:val="0"/>
          <w:i w:val="0"/>
        </w:rPr>
        <w:t>helping, to use less, 25</w:t>
      </w:r>
    </w:p>
    <w:p>
      <w:pPr>
        <w:pStyle w:val="ListBullet"/>
      </w:pPr>
      <w:r>
        <w:rPr>
          <w:b w:val="0"/>
          <w:i w:val="0"/>
        </w:rPr>
        <w:t>and sustainability, 8, 23–28</w:t>
      </w:r>
    </w:p>
    <w:p>
      <w:pPr>
        <w:pStyle w:val="ListBullet"/>
      </w:pPr>
      <w:r>
        <w:rPr>
          <w:b w:val="0"/>
          <w:i w:val="0"/>
        </w:rPr>
        <w:t>Daimler, 35</w:t>
      </w:r>
    </w:p>
    <w:p>
      <w:pPr>
        <w:pStyle w:val="ListBullet"/>
      </w:pPr>
      <w:r>
        <w:rPr>
          <w:b w:val="0"/>
          <w:i w:val="0"/>
        </w:rPr>
        <w:t>data backup, 130</w:t>
      </w:r>
    </w:p>
    <w:p>
      <w:pPr>
        <w:pStyle w:val="ListBullet"/>
      </w:pPr>
      <w:r>
        <w:rPr>
          <w:b w:val="0"/>
          <w:i w:val="0"/>
        </w:rPr>
        <w:t xml:space="preserve">decarbonization, 36–37, 75–76, 80, 95. </w:t>
      </w:r>
      <w:r>
        <w:rPr>
          <w:b w:val="0"/>
          <w:i/>
        </w:rPr>
        <w:t>See also</w:t>
      </w:r>
      <w:r>
        <w:rPr>
          <w:b w:val="0"/>
          <w:i w:val="0"/>
        </w:rPr>
        <w:t xml:space="preserve"> carbon reduction</w:t>
      </w:r>
    </w:p>
    <w:p>
      <w:pPr>
        <w:pStyle w:val="ListBullet"/>
      </w:pPr>
      <w:r>
        <w:rPr>
          <w:b w:val="0"/>
          <w:i w:val="0"/>
        </w:rPr>
        <w:t>degrowth, 83–90</w:t>
      </w:r>
    </w:p>
    <w:p>
      <w:pPr>
        <w:pStyle w:val="ListBullet"/>
      </w:pPr>
      <w:r>
        <w:rPr>
          <w:b w:val="0"/>
          <w:i w:val="0"/>
        </w:rPr>
        <w:t>companies embracing, xiii–xiv, 86–89, 90</w:t>
      </w:r>
    </w:p>
    <w:p>
      <w:pPr>
        <w:pStyle w:val="ListBullet"/>
      </w:pPr>
      <w:r>
        <w:rPr>
          <w:b w:val="0"/>
          <w:i w:val="0"/>
        </w:rPr>
        <w:t>consumer-driven, 86, 88</w:t>
      </w:r>
    </w:p>
    <w:p>
      <w:pPr>
        <w:pStyle w:val="ListBullet"/>
      </w:pPr>
      <w:r>
        <w:rPr>
          <w:b w:val="0"/>
          <w:i w:val="0"/>
        </w:rPr>
        <w:t>critics of, 84</w:t>
      </w:r>
    </w:p>
    <w:p>
      <w:pPr>
        <w:pStyle w:val="ListBullet"/>
      </w:pPr>
      <w:r>
        <w:rPr>
          <w:b w:val="0"/>
          <w:i w:val="0"/>
        </w:rPr>
        <w:t>at grassroots level, 85–86</w:t>
      </w:r>
    </w:p>
    <w:p>
      <w:pPr>
        <w:pStyle w:val="ListBullet"/>
      </w:pPr>
      <w:r>
        <w:rPr>
          <w:b w:val="0"/>
          <w:i w:val="0"/>
        </w:rPr>
        <w:t>opportunities created by, 86</w:t>
      </w:r>
    </w:p>
    <w:p>
      <w:pPr>
        <w:pStyle w:val="ListBullet"/>
      </w:pPr>
      <w:r>
        <w:rPr>
          <w:b w:val="0"/>
          <w:i w:val="0"/>
        </w:rPr>
        <w:t>original concept of, 83</w:t>
      </w:r>
    </w:p>
    <w:p>
      <w:pPr>
        <w:pStyle w:val="ListBullet"/>
      </w:pPr>
      <w:r>
        <w:rPr>
          <w:b w:val="0"/>
          <w:i w:val="0"/>
        </w:rPr>
        <w:t>strategies of, 86–88</w:t>
      </w:r>
    </w:p>
    <w:p>
      <w:pPr>
        <w:pStyle w:val="ListBullet"/>
      </w:pPr>
      <w:r>
        <w:rPr>
          <w:b w:val="0"/>
          <w:i w:val="0"/>
        </w:rPr>
        <w:t>degrowth-adapted product design, 86–87, 90</w:t>
      </w:r>
    </w:p>
    <w:p>
      <w:pPr>
        <w:pStyle w:val="ListBullet"/>
      </w:pPr>
      <w:r>
        <w:rPr>
          <w:b w:val="0"/>
          <w:i w:val="0"/>
        </w:rPr>
        <w:t>degrowth-oriented standard setting, 88, 90</w:t>
      </w:r>
    </w:p>
    <w:p>
      <w:pPr>
        <w:pStyle w:val="ListBullet"/>
      </w:pPr>
      <w:r>
        <w:rPr>
          <w:b w:val="0"/>
          <w:i w:val="0"/>
        </w:rPr>
        <w:t>delegated proof-of-stake blockchain systems, 111</w:t>
      </w:r>
    </w:p>
    <w:p>
      <w:pPr>
        <w:pStyle w:val="ListBullet"/>
      </w:pPr>
      <w:r>
        <w:rPr>
          <w:b w:val="0"/>
          <w:i w:val="0"/>
        </w:rPr>
        <w:t>dematerialization, 65–80</w:t>
      </w:r>
    </w:p>
    <w:p>
      <w:pPr>
        <w:pStyle w:val="ListBullet"/>
      </w:pPr>
      <w:r>
        <w:rPr>
          <w:b w:val="0"/>
          <w:i w:val="0"/>
        </w:rPr>
        <w:t>in agriculture, 73–75</w:t>
      </w:r>
    </w:p>
    <w:p>
      <w:pPr>
        <w:pStyle w:val="ListBullet"/>
      </w:pPr>
      <w:r>
        <w:rPr>
          <w:b w:val="0"/>
          <w:i w:val="0"/>
        </w:rPr>
        <w:t>and careers, 77–79</w:t>
      </w:r>
    </w:p>
    <w:p>
      <w:pPr>
        <w:pStyle w:val="ListBullet"/>
      </w:pPr>
      <w:r>
        <w:rPr>
          <w:b w:val="0"/>
          <w:i w:val="0"/>
        </w:rPr>
        <w:t>as counterintuitive trend, 66–67</w:t>
      </w:r>
    </w:p>
    <w:p>
      <w:pPr>
        <w:pStyle w:val="ListBullet"/>
      </w:pPr>
      <w:r>
        <w:rPr>
          <w:b w:val="0"/>
          <w:i w:val="0"/>
        </w:rPr>
        <w:t>examples of, 68, 70–72</w:t>
      </w:r>
    </w:p>
    <w:p>
      <w:pPr>
        <w:pStyle w:val="ListBullet"/>
      </w:pPr>
      <w:r>
        <w:rPr>
          <w:b w:val="0"/>
          <w:i w:val="0"/>
        </w:rPr>
        <w:t>with plastics, 74–75</w:t>
      </w:r>
    </w:p>
    <w:p>
      <w:pPr>
        <w:pStyle w:val="ListBullet"/>
      </w:pPr>
      <w:r>
        <w:rPr>
          <w:b w:val="0"/>
          <w:i w:val="0"/>
        </w:rPr>
        <w:t>predictions about, 69–70</w:t>
      </w:r>
    </w:p>
    <w:p>
      <w:pPr>
        <w:pStyle w:val="ListBullet"/>
      </w:pPr>
      <w:r>
        <w:rPr>
          <w:b w:val="0"/>
          <w:i w:val="0"/>
        </w:rPr>
        <w:t>profit and, 69–70</w:t>
      </w:r>
    </w:p>
    <w:p>
      <w:pPr>
        <w:pStyle w:val="ListBullet"/>
      </w:pPr>
      <w:r>
        <w:rPr>
          <w:b w:val="0"/>
          <w:i w:val="0"/>
        </w:rPr>
        <w:t>speed of, 75–76</w:t>
      </w:r>
    </w:p>
    <w:p>
      <w:pPr>
        <w:pStyle w:val="ListBullet"/>
      </w:pPr>
      <w:r>
        <w:rPr>
          <w:b w:val="0"/>
          <w:i w:val="0"/>
        </w:rPr>
        <w:t>Deutsche Post DHL, 99</w:t>
      </w:r>
    </w:p>
    <w:p>
      <w:pPr>
        <w:pStyle w:val="ListBullet"/>
      </w:pPr>
      <w:r>
        <w:rPr>
          <w:b w:val="0"/>
          <w:i w:val="0"/>
        </w:rPr>
        <w:t>developing countries</w:t>
      </w:r>
    </w:p>
    <w:p>
      <w:pPr>
        <w:pStyle w:val="ListBullet"/>
      </w:pPr>
      <w:r>
        <w:rPr>
          <w:b w:val="0"/>
          <w:i w:val="0"/>
        </w:rPr>
        <w:t>peak paper in, 72–73</w:t>
      </w:r>
    </w:p>
    <w:p>
      <w:pPr>
        <w:pStyle w:val="ListBullet"/>
      </w:pPr>
      <w:r>
        <w:rPr>
          <w:b w:val="0"/>
          <w:i w:val="0"/>
        </w:rPr>
        <w:t>smartphones in, 76–77</w:t>
      </w:r>
    </w:p>
    <w:p>
      <w:pPr>
        <w:pStyle w:val="ListBullet"/>
      </w:pPr>
      <w:r>
        <w:rPr>
          <w:b w:val="0"/>
          <w:i w:val="0"/>
        </w:rPr>
        <w:t>urbanization in, 72–73, 80</w:t>
      </w:r>
    </w:p>
    <w:p>
      <w:pPr>
        <w:pStyle w:val="ListBullet"/>
      </w:pPr>
      <w:r>
        <w:rPr>
          <w:b w:val="0"/>
          <w:i w:val="0"/>
        </w:rPr>
        <w:t>disaster, preparing for, 125–134</w:t>
      </w:r>
    </w:p>
    <w:p>
      <w:pPr>
        <w:pStyle w:val="ListBullet"/>
      </w:pPr>
      <w:r>
        <w:rPr>
          <w:b w:val="0"/>
          <w:i w:val="0"/>
        </w:rPr>
        <w:t>Disparte, Dante, xi–xvi</w:t>
      </w:r>
    </w:p>
    <w:p>
      <w:pPr>
        <w:pStyle w:val="ListBullet"/>
      </w:pPr>
      <w:r>
        <w:rPr>
          <w:b w:val="0"/>
          <w:i w:val="0"/>
        </w:rPr>
        <w:t>droughts, 34</w:t>
      </w:r>
      <w:r>
        <w:rPr>
          <w:b w:val="0"/>
          <w:i/>
        </w:rPr>
        <w:t>f</w:t>
      </w:r>
    </w:p>
    <w:p>
      <w:pPr>
        <w:pStyle w:val="ListBullet"/>
      </w:pPr>
      <w:r>
        <w:rPr>
          <w:b w:val="0"/>
          <w:i w:val="0"/>
        </w:rPr>
        <w:t>drug trials, 61–62</w:t>
      </w:r>
    </w:p>
    <w:p>
      <w:pPr>
        <w:pStyle w:val="ListBullet"/>
      </w:pPr>
      <w:r>
        <w:rPr>
          <w:b w:val="0"/>
          <w:i w:val="0"/>
        </w:rPr>
        <w:t>DSM, 14–15</w:t>
      </w:r>
    </w:p>
    <w:p>
      <w:pPr>
        <w:pStyle w:val="ListBullet"/>
      </w:pPr>
      <w:r>
        <w:rPr>
          <w:b w:val="0"/>
          <w:i w:val="0"/>
        </w:rPr>
        <w:t>durability, degrowth and, 86–87</w:t>
      </w:r>
    </w:p>
    <w:p>
      <w:pPr>
        <w:pStyle w:val="ListBullet"/>
      </w:pPr>
      <w:r>
        <w:rPr>
          <w:b w:val="0"/>
          <w:i w:val="0"/>
        </w:rPr>
        <w:t>economy</w:t>
      </w:r>
    </w:p>
    <w:p>
      <w:pPr>
        <w:pStyle w:val="ListBullet"/>
      </w:pPr>
      <w:r>
        <w:rPr>
          <w:b w:val="0"/>
          <w:i w:val="0"/>
        </w:rPr>
        <w:t>circular, 16</w:t>
      </w:r>
    </w:p>
    <w:p>
      <w:pPr>
        <w:pStyle w:val="ListBullet"/>
      </w:pPr>
      <w:r>
        <w:rPr>
          <w:b w:val="0"/>
          <w:i w:val="0"/>
        </w:rPr>
        <w:t xml:space="preserve">zero-carbon. </w:t>
      </w:r>
      <w:r>
        <w:rPr>
          <w:b w:val="0"/>
          <w:i/>
        </w:rPr>
        <w:t>See</w:t>
      </w:r>
      <w:r>
        <w:rPr>
          <w:b w:val="0"/>
          <w:i w:val="0"/>
        </w:rPr>
        <w:t xml:space="preserve"> zero-carbon economy</w:t>
      </w:r>
    </w:p>
    <w:p>
      <w:pPr>
        <w:pStyle w:val="ListBullet"/>
      </w:pPr>
      <w:r>
        <w:rPr>
          <w:b w:val="0"/>
          <w:i w:val="0"/>
        </w:rPr>
        <w:t>efficiency</w:t>
      </w:r>
    </w:p>
    <w:p>
      <w:pPr>
        <w:pStyle w:val="ListBullet"/>
      </w:pPr>
      <w:r>
        <w:rPr>
          <w:b w:val="0"/>
          <w:i w:val="0"/>
        </w:rPr>
        <w:t>and dematerialization, 68</w:t>
      </w:r>
    </w:p>
    <w:p>
      <w:pPr>
        <w:pStyle w:val="ListBullet"/>
      </w:pPr>
      <w:r>
        <w:rPr>
          <w:b w:val="0"/>
          <w:i w:val="0"/>
        </w:rPr>
        <w:t>increased consumption and, 85</w:t>
      </w:r>
    </w:p>
    <w:p>
      <w:pPr>
        <w:pStyle w:val="ListBullet"/>
      </w:pPr>
      <w:r>
        <w:rPr>
          <w:b w:val="0"/>
          <w:i w:val="0"/>
        </w:rPr>
        <w:t>electric vehicles, 35, 88, 98</w:t>
      </w:r>
    </w:p>
    <w:p>
      <w:pPr>
        <w:pStyle w:val="ListBullet"/>
      </w:pPr>
      <w:r>
        <w:rPr>
          <w:b w:val="0"/>
          <w:i w:val="0"/>
        </w:rPr>
        <w:t>Ellicott City, Maryland, flooding in, 118–119</w:t>
      </w:r>
    </w:p>
    <w:p>
      <w:pPr>
        <w:pStyle w:val="ListBullet"/>
      </w:pPr>
      <w:r>
        <w:rPr>
          <w:b w:val="0"/>
          <w:i w:val="0"/>
        </w:rPr>
        <w:t>emergency, preparing for, 125–134</w:t>
      </w:r>
    </w:p>
    <w:p>
      <w:pPr>
        <w:pStyle w:val="ListBullet"/>
      </w:pPr>
      <w:r>
        <w:rPr>
          <w:b w:val="0"/>
          <w:i w:val="0"/>
        </w:rPr>
        <w:t>emergency response efforts, 131</w:t>
      </w:r>
    </w:p>
    <w:p>
      <w:pPr>
        <w:pStyle w:val="ListBullet"/>
      </w:pPr>
      <w:r>
        <w:rPr>
          <w:b w:val="0"/>
          <w:i w:val="0"/>
        </w:rPr>
        <w:t>emergent leadership, 128</w:t>
      </w:r>
    </w:p>
    <w:p>
      <w:pPr>
        <w:pStyle w:val="ListBullet"/>
      </w:pPr>
      <w:r>
        <w:rPr>
          <w:b w:val="0"/>
          <w:i w:val="0"/>
        </w:rPr>
        <w:t>employees</w:t>
      </w:r>
    </w:p>
    <w:p>
      <w:pPr>
        <w:pStyle w:val="ListBullet"/>
      </w:pPr>
      <w:r>
        <w:rPr>
          <w:b w:val="0"/>
          <w:i w:val="0"/>
        </w:rPr>
        <w:t>attracting, 103</w:t>
      </w:r>
    </w:p>
    <w:p>
      <w:pPr>
        <w:pStyle w:val="ListBullet"/>
      </w:pPr>
      <w:r>
        <w:rPr>
          <w:b w:val="0"/>
          <w:i w:val="0"/>
        </w:rPr>
        <w:t>climate action demands of, 9</w:t>
      </w:r>
    </w:p>
    <w:p>
      <w:pPr>
        <w:pStyle w:val="ListBullet"/>
      </w:pPr>
      <w:r>
        <w:rPr>
          <w:b w:val="0"/>
          <w:i w:val="0"/>
        </w:rPr>
        <w:t>and sustainability, 8, 28–31</w:t>
      </w:r>
    </w:p>
    <w:p>
      <w:pPr>
        <w:pStyle w:val="ListBullet"/>
      </w:pPr>
      <w:r>
        <w:rPr>
          <w:b w:val="0"/>
          <w:i w:val="0"/>
        </w:rPr>
        <w:t>ENEL, 34</w:t>
      </w:r>
    </w:p>
    <w:p>
      <w:pPr>
        <w:pStyle w:val="ListBullet"/>
      </w:pPr>
      <w:r>
        <w:rPr>
          <w:b w:val="0"/>
          <w:i w:val="0"/>
        </w:rPr>
        <w:t xml:space="preserve">energy efficiency. </w:t>
      </w:r>
      <w:r>
        <w:rPr>
          <w:b w:val="0"/>
          <w:i/>
        </w:rPr>
        <w:t>See also</w:t>
      </w:r>
      <w:r>
        <w:rPr>
          <w:b w:val="0"/>
          <w:i w:val="0"/>
        </w:rPr>
        <w:t xml:space="preserve"> renewable energy</w:t>
      </w:r>
    </w:p>
    <w:p>
      <w:pPr>
        <w:pStyle w:val="ListBullet"/>
      </w:pPr>
      <w:r>
        <w:rPr>
          <w:b w:val="0"/>
          <w:i w:val="0"/>
        </w:rPr>
        <w:t>of blockchain systems, 110–112</w:t>
      </w:r>
    </w:p>
    <w:p>
      <w:pPr>
        <w:pStyle w:val="ListBullet"/>
      </w:pPr>
      <w:r>
        <w:rPr>
          <w:b w:val="0"/>
          <w:i w:val="0"/>
        </w:rPr>
        <w:t>investing in, 33</w:t>
      </w:r>
    </w:p>
    <w:p>
      <w:pPr>
        <w:pStyle w:val="ListBullet"/>
      </w:pPr>
      <w:r>
        <w:rPr>
          <w:b w:val="0"/>
          <w:i w:val="0"/>
        </w:rPr>
        <w:t>environmental, social, and governance (ESG) investment, 54, 57–58, 63–64</w:t>
      </w:r>
    </w:p>
    <w:p>
      <w:pPr>
        <w:pStyle w:val="ListBullet"/>
      </w:pPr>
      <w:r>
        <w:rPr>
          <w:b w:val="0"/>
          <w:i w:val="0"/>
        </w:rPr>
        <w:t>environmental regulations</w:t>
      </w:r>
    </w:p>
    <w:p>
      <w:pPr>
        <w:pStyle w:val="ListBullet"/>
      </w:pPr>
      <w:r>
        <w:rPr>
          <w:b w:val="0"/>
          <w:i w:val="0"/>
        </w:rPr>
        <w:t>strict domestic, 44</w:t>
      </w:r>
    </w:p>
    <w:p>
      <w:pPr>
        <w:pStyle w:val="ListBullet"/>
      </w:pPr>
      <w:r>
        <w:rPr>
          <w:b w:val="0"/>
          <w:i w:val="0"/>
        </w:rPr>
        <w:t>weak foreign, 44–49</w:t>
      </w:r>
    </w:p>
    <w:p>
      <w:pPr>
        <w:pStyle w:val="ListBullet"/>
      </w:pPr>
      <w:r>
        <w:rPr>
          <w:b w:val="0"/>
          <w:i w:val="0"/>
        </w:rPr>
        <w:t>EP100 initiative, 97</w:t>
      </w:r>
    </w:p>
    <w:p>
      <w:pPr>
        <w:pStyle w:val="ListBullet"/>
      </w:pPr>
      <w:r>
        <w:rPr>
          <w:b w:val="0"/>
          <w:i w:val="0"/>
        </w:rPr>
        <w:t>Ethereum, 108, 109, 110, 111</w:t>
      </w:r>
    </w:p>
    <w:p>
      <w:pPr>
        <w:pStyle w:val="ListBullet"/>
      </w:pPr>
      <w:r>
        <w:rPr>
          <w:b w:val="0"/>
          <w:i w:val="0"/>
        </w:rPr>
        <w:t>evacuation drills, 129</w:t>
      </w:r>
    </w:p>
    <w:p>
      <w:pPr>
        <w:pStyle w:val="ListBullet"/>
      </w:pPr>
      <w:r>
        <w:rPr>
          <w:b w:val="0"/>
          <w:i w:val="0"/>
        </w:rPr>
        <w:t>exchange-traded funds (ETFs), 58–59, 63–64</w:t>
      </w:r>
    </w:p>
    <w:p>
      <w:pPr>
        <w:pStyle w:val="ListBullet"/>
      </w:pPr>
      <w:r>
        <w:rPr>
          <w:b w:val="0"/>
          <w:i w:val="0"/>
        </w:rPr>
        <w:t>extreme weather events</w:t>
      </w:r>
    </w:p>
    <w:p>
      <w:pPr>
        <w:pStyle w:val="ListBullet"/>
      </w:pPr>
      <w:r>
        <w:rPr>
          <w:b w:val="0"/>
          <w:i w:val="0"/>
        </w:rPr>
        <w:t>building options for, 117–120, 121–122</w:t>
      </w:r>
    </w:p>
    <w:p>
      <w:pPr>
        <w:pStyle w:val="ListBullet"/>
      </w:pPr>
      <w:r>
        <w:rPr>
          <w:b w:val="0"/>
          <w:i w:val="0"/>
        </w:rPr>
        <w:t>insurance payouts for damage by, 3</w:t>
      </w:r>
    </w:p>
    <w:p>
      <w:pPr>
        <w:pStyle w:val="ListBullet"/>
      </w:pPr>
      <w:r>
        <w:rPr>
          <w:b w:val="0"/>
          <w:i w:val="0"/>
        </w:rPr>
        <w:t>investing in resilience for, 115–122</w:t>
      </w:r>
    </w:p>
    <w:p>
      <w:pPr>
        <w:pStyle w:val="ListBullet"/>
      </w:pPr>
      <w:r>
        <w:rPr>
          <w:b w:val="0"/>
          <w:i w:val="0"/>
        </w:rPr>
        <w:t>organizational resilience for, 125–135</w:t>
      </w:r>
    </w:p>
    <w:p>
      <w:pPr>
        <w:pStyle w:val="ListBullet"/>
      </w:pPr>
      <w:r>
        <w:rPr>
          <w:b w:val="0"/>
          <w:i w:val="0"/>
        </w:rPr>
        <w:t>factories, 116</w:t>
      </w:r>
    </w:p>
    <w:p>
      <w:pPr>
        <w:pStyle w:val="ListBullet"/>
      </w:pPr>
      <w:r>
        <w:rPr>
          <w:b w:val="0"/>
          <w:i w:val="0"/>
        </w:rPr>
        <w:t>Fairphone, 86–87</w:t>
      </w:r>
    </w:p>
    <w:p>
      <w:pPr>
        <w:pStyle w:val="ListBullet"/>
      </w:pPr>
      <w:r>
        <w:rPr>
          <w:b w:val="0"/>
          <w:i w:val="0"/>
        </w:rPr>
        <w:t>Fannie Mae, 115–116</w:t>
      </w:r>
    </w:p>
    <w:p>
      <w:pPr>
        <w:pStyle w:val="ListBullet"/>
      </w:pPr>
      <w:r>
        <w:rPr>
          <w:b w:val="0"/>
          <w:i w:val="0"/>
        </w:rPr>
        <w:t>farmers, incentives to, 16</w:t>
      </w:r>
    </w:p>
    <w:p>
      <w:pPr>
        <w:pStyle w:val="ListBullet"/>
      </w:pPr>
      <w:r>
        <w:rPr>
          <w:b w:val="0"/>
          <w:i w:val="0"/>
        </w:rPr>
        <w:t>fast fashion, 85–86</w:t>
      </w:r>
    </w:p>
    <w:p>
      <w:pPr>
        <w:pStyle w:val="ListBullet"/>
      </w:pPr>
      <w:r>
        <w:rPr>
          <w:b w:val="0"/>
          <w:i w:val="0"/>
        </w:rPr>
        <w:t>Federal Emergency Management Agency (FEMA), 120</w:t>
      </w:r>
    </w:p>
    <w:p>
      <w:pPr>
        <w:pStyle w:val="ListBullet"/>
      </w:pPr>
      <w:r>
        <w:rPr>
          <w:b w:val="0"/>
          <w:i w:val="0"/>
        </w:rPr>
        <w:t>Feinstein, Dianne (U.S. senator), 136</w:t>
      </w:r>
    </w:p>
    <w:p>
      <w:pPr>
        <w:pStyle w:val="ListBullet"/>
      </w:pPr>
      <w:r>
        <w:rPr>
          <w:b w:val="0"/>
          <w:i w:val="0"/>
        </w:rPr>
        <w:t>fertilizer use, 74</w:t>
      </w:r>
    </w:p>
    <w:p>
      <w:pPr>
        <w:pStyle w:val="ListBullet"/>
      </w:pPr>
      <w:r>
        <w:rPr>
          <w:b w:val="0"/>
          <w:i w:val="0"/>
        </w:rPr>
        <w:t>financial assistance</w:t>
      </w:r>
    </w:p>
    <w:p>
      <w:pPr>
        <w:pStyle w:val="ListBullet"/>
      </w:pPr>
      <w:r>
        <w:rPr>
          <w:b w:val="0"/>
          <w:i w:val="0"/>
        </w:rPr>
        <w:t>in rebuilding assets, 120, 122</w:t>
      </w:r>
    </w:p>
    <w:p>
      <w:pPr>
        <w:pStyle w:val="ListBullet"/>
      </w:pPr>
      <w:r>
        <w:rPr>
          <w:b w:val="0"/>
          <w:i w:val="0"/>
        </w:rPr>
        <w:t>to suppliers, 19–21</w:t>
      </w:r>
    </w:p>
    <w:p>
      <w:pPr>
        <w:pStyle w:val="ListBullet"/>
      </w:pPr>
      <w:r>
        <w:rPr>
          <w:b w:val="0"/>
          <w:i w:val="0"/>
        </w:rPr>
        <w:t>fixed income investment, 55–57</w:t>
      </w:r>
    </w:p>
    <w:p>
      <w:pPr>
        <w:pStyle w:val="ListBullet"/>
      </w:pPr>
      <w:r>
        <w:rPr>
          <w:b w:val="0"/>
          <w:i w:val="0"/>
        </w:rPr>
        <w:t>“flight shaming,” 85, 86</w:t>
      </w:r>
    </w:p>
    <w:p>
      <w:pPr>
        <w:pStyle w:val="ListBullet"/>
      </w:pPr>
      <w:r>
        <w:rPr>
          <w:b w:val="0"/>
          <w:i w:val="0"/>
        </w:rPr>
        <w:t>flights, climate tax on, 16</w:t>
      </w:r>
    </w:p>
    <w:p>
      <w:pPr>
        <w:pStyle w:val="ListBullet"/>
      </w:pPr>
      <w:r>
        <w:rPr>
          <w:b w:val="0"/>
          <w:i w:val="0"/>
        </w:rPr>
        <w:t>flood insurance, 116–117</w:t>
      </w:r>
    </w:p>
    <w:p>
      <w:pPr>
        <w:pStyle w:val="ListBullet"/>
      </w:pPr>
      <w:r>
        <w:rPr>
          <w:b w:val="0"/>
          <w:i w:val="0"/>
        </w:rPr>
        <w:t>flooding, 118–119</w:t>
      </w:r>
    </w:p>
    <w:p>
      <w:pPr>
        <w:pStyle w:val="ListBullet"/>
      </w:pPr>
      <w:r>
        <w:rPr>
          <w:b w:val="0"/>
          <w:i w:val="0"/>
        </w:rPr>
        <w:t>temperature increase and, 12</w:t>
      </w:r>
      <w:r>
        <w:rPr>
          <w:b w:val="0"/>
          <w:i/>
        </w:rPr>
        <w:t>f</w:t>
      </w:r>
    </w:p>
    <w:p>
      <w:pPr>
        <w:pStyle w:val="ListBullet"/>
      </w:pPr>
      <w:r>
        <w:rPr>
          <w:b w:val="0"/>
          <w:i w:val="0"/>
        </w:rPr>
        <w:t>flooring, carbon-negative, 24</w:t>
      </w:r>
    </w:p>
    <w:p>
      <w:pPr>
        <w:pStyle w:val="ListBullet"/>
      </w:pPr>
      <w:r>
        <w:rPr>
          <w:b w:val="0"/>
          <w:i/>
        </w:rPr>
        <w:t>Flygskam</w:t>
      </w:r>
      <w:r>
        <w:rPr>
          <w:b w:val="0"/>
          <w:i w:val="0"/>
        </w:rPr>
        <w:t xml:space="preserve"> (“flight shaming”), 85, 86</w:t>
      </w:r>
    </w:p>
    <w:p>
      <w:pPr>
        <w:pStyle w:val="ListBullet"/>
      </w:pPr>
      <w:r>
        <w:rPr>
          <w:b w:val="0"/>
          <w:i w:val="0"/>
        </w:rPr>
        <w:t>food shortages, 20</w:t>
      </w:r>
      <w:r>
        <w:rPr>
          <w:b w:val="0"/>
          <w:i/>
        </w:rPr>
        <w:t>f</w:t>
      </w:r>
    </w:p>
    <w:p>
      <w:pPr>
        <w:pStyle w:val="ListBullet"/>
      </w:pPr>
      <w:r>
        <w:rPr>
          <w:b w:val="0"/>
          <w:i w:val="0"/>
        </w:rPr>
        <w:t>Forum for the Future, 21</w:t>
      </w:r>
    </w:p>
    <w:p>
      <w:pPr>
        <w:pStyle w:val="ListBullet"/>
      </w:pPr>
      <w:r>
        <w:rPr>
          <w:b w:val="0"/>
          <w:i w:val="0"/>
        </w:rPr>
        <w:t>fossil fuel industry</w:t>
      </w:r>
    </w:p>
    <w:p>
      <w:pPr>
        <w:pStyle w:val="ListBullet"/>
      </w:pPr>
      <w:r>
        <w:rPr>
          <w:b w:val="0"/>
          <w:i w:val="0"/>
        </w:rPr>
        <w:t>climate policies influenced by, 13</w:t>
      </w:r>
    </w:p>
    <w:p>
      <w:pPr>
        <w:pStyle w:val="ListBullet"/>
      </w:pPr>
      <w:r>
        <w:rPr>
          <w:b w:val="0"/>
          <w:i w:val="0"/>
        </w:rPr>
        <w:t>dumping investment in, 27, 96</w:t>
      </w:r>
    </w:p>
    <w:p>
      <w:pPr>
        <w:pStyle w:val="ListBullet"/>
      </w:pPr>
      <w:r>
        <w:rPr>
          <w:b w:val="0"/>
          <w:i w:val="0"/>
        </w:rPr>
        <w:t>moving toward clean options, 27</w:t>
      </w:r>
    </w:p>
    <w:p>
      <w:pPr>
        <w:pStyle w:val="ListBullet"/>
      </w:pPr>
      <w:r>
        <w:rPr>
          <w:b w:val="0"/>
          <w:i w:val="0"/>
        </w:rPr>
        <w:t>France</w:t>
      </w:r>
    </w:p>
    <w:p>
      <w:pPr>
        <w:pStyle w:val="ListBullet"/>
      </w:pPr>
      <w:r>
        <w:rPr>
          <w:b w:val="0"/>
          <w:i w:val="0"/>
        </w:rPr>
        <w:t>ban on internal combustion engines in, 17</w:t>
      </w:r>
    </w:p>
    <w:p>
      <w:pPr>
        <w:pStyle w:val="ListBullet"/>
      </w:pPr>
      <w:r>
        <w:rPr>
          <w:b w:val="0"/>
          <w:i w:val="0"/>
        </w:rPr>
        <w:t>degrowth in, 85</w:t>
      </w:r>
    </w:p>
    <w:p>
      <w:pPr>
        <w:pStyle w:val="ListBullet"/>
      </w:pPr>
      <w:r>
        <w:rPr>
          <w:b w:val="0"/>
          <w:i w:val="0"/>
        </w:rPr>
        <w:t>Freddie Mac, 116</w:t>
      </w:r>
    </w:p>
    <w:p>
      <w:pPr>
        <w:pStyle w:val="ListBullet"/>
      </w:pPr>
      <w:r>
        <w:rPr>
          <w:b w:val="0"/>
          <w:i w:val="0"/>
        </w:rPr>
        <w:t>freeboard, in construction, 119</w:t>
      </w:r>
    </w:p>
    <w:p>
      <w:pPr>
        <w:pStyle w:val="ListBullet"/>
      </w:pPr>
      <w:r>
        <w:rPr>
          <w:b w:val="0"/>
          <w:i w:val="0"/>
        </w:rPr>
        <w:t>Freitag (Zurich-based company), 25</w:t>
      </w:r>
    </w:p>
    <w:p>
      <w:pPr>
        <w:pStyle w:val="ListBullet"/>
      </w:pPr>
      <w:r>
        <w:rPr>
          <w:b w:val="0"/>
          <w:i w:val="0"/>
        </w:rPr>
        <w:t>funding</w:t>
      </w:r>
    </w:p>
    <w:p>
      <w:pPr>
        <w:pStyle w:val="ListBullet"/>
      </w:pPr>
      <w:r>
        <w:rPr>
          <w:b w:val="0"/>
          <w:i w:val="0"/>
        </w:rPr>
        <w:t>for adaptation, 15</w:t>
      </w:r>
    </w:p>
    <w:p>
      <w:pPr>
        <w:pStyle w:val="ListBullet"/>
      </w:pPr>
      <w:r>
        <w:rPr>
          <w:b w:val="0"/>
          <w:i w:val="0"/>
        </w:rPr>
        <w:t>for ESG efforts, xv, 54–64</w:t>
      </w:r>
    </w:p>
    <w:p>
      <w:pPr>
        <w:pStyle w:val="ListBullet"/>
      </w:pPr>
      <w:r>
        <w:rPr>
          <w:b w:val="0"/>
          <w:i w:val="0"/>
        </w:rPr>
        <w:t>emission reduction projects, 33</w:t>
      </w:r>
    </w:p>
    <w:p>
      <w:pPr>
        <w:pStyle w:val="ListBullet"/>
      </w:pPr>
      <w:r>
        <w:rPr>
          <w:b w:val="0"/>
          <w:i w:val="0"/>
        </w:rPr>
        <w:t>by green bonds, 35, 53, 56, 63</w:t>
      </w:r>
    </w:p>
    <w:p>
      <w:pPr>
        <w:pStyle w:val="ListBullet"/>
      </w:pPr>
      <w:r>
        <w:rPr>
          <w:b w:val="0"/>
          <w:i w:val="0"/>
        </w:rPr>
        <w:t>to sustainable companies, xiv</w:t>
      </w:r>
    </w:p>
    <w:p>
      <w:pPr>
        <w:pStyle w:val="ListBullet"/>
      </w:pPr>
      <w:r>
        <w:rPr>
          <w:b w:val="0"/>
          <w:i w:val="0"/>
        </w:rPr>
        <w:t>gay marriage, 137</w:t>
      </w:r>
    </w:p>
    <w:p>
      <w:pPr>
        <w:pStyle w:val="ListBullet"/>
      </w:pPr>
      <w:r>
        <w:rPr>
          <w:b w:val="0"/>
          <w:i w:val="0"/>
        </w:rPr>
        <w:t>Gen X, in social movements, 137</w:t>
      </w:r>
    </w:p>
    <w:p>
      <w:pPr>
        <w:pStyle w:val="ListBullet"/>
      </w:pPr>
      <w:r>
        <w:rPr>
          <w:b w:val="0"/>
          <w:i w:val="0"/>
        </w:rPr>
        <w:t>Gen Z</w:t>
      </w:r>
    </w:p>
    <w:p>
      <w:pPr>
        <w:pStyle w:val="ListBullet"/>
      </w:pPr>
      <w:r>
        <w:rPr>
          <w:b w:val="0"/>
          <w:i w:val="0"/>
        </w:rPr>
        <w:t>as employees, 28, 103</w:t>
      </w:r>
    </w:p>
    <w:p>
      <w:pPr>
        <w:pStyle w:val="ListBullet"/>
      </w:pPr>
      <w:r>
        <w:rPr>
          <w:b w:val="0"/>
          <w:i w:val="0"/>
        </w:rPr>
        <w:t>on social purpose, 8</w:t>
      </w:r>
    </w:p>
    <w:p>
      <w:pPr>
        <w:pStyle w:val="ListBullet"/>
      </w:pPr>
      <w:r>
        <w:rPr>
          <w:b w:val="0"/>
          <w:i w:val="0"/>
        </w:rPr>
        <w:t>Genesis Mining, 109–110</w:t>
      </w:r>
    </w:p>
    <w:p>
      <w:pPr>
        <w:pStyle w:val="ListBullet"/>
      </w:pPr>
      <w:r>
        <w:rPr>
          <w:b w:val="0"/>
          <w:i w:val="0"/>
        </w:rPr>
        <w:t>Goldman Sachs, 60</w:t>
      </w:r>
    </w:p>
    <w:p>
      <w:pPr>
        <w:pStyle w:val="ListBullet"/>
      </w:pPr>
      <w:r>
        <w:rPr>
          <w:b w:val="0"/>
          <w:i w:val="0"/>
        </w:rPr>
        <w:t>Google, 9, 88–89, 98</w:t>
      </w:r>
    </w:p>
    <w:p>
      <w:pPr>
        <w:pStyle w:val="ListBullet"/>
      </w:pPr>
      <w:r>
        <w:rPr>
          <w:b w:val="0"/>
          <w:i w:val="0"/>
        </w:rPr>
        <w:t>Gorz, Andre, 83</w:t>
      </w:r>
    </w:p>
    <w:p>
      <w:pPr>
        <w:pStyle w:val="ListBullet"/>
      </w:pPr>
      <w:r>
        <w:rPr>
          <w:b w:val="0"/>
          <w:i w:val="0"/>
        </w:rPr>
        <w:t>Government Pension Fund (Norway), 95–96</w:t>
      </w:r>
    </w:p>
    <w:p>
      <w:pPr>
        <w:pStyle w:val="ListBullet"/>
      </w:pPr>
      <w:r>
        <w:rPr>
          <w:b w:val="0"/>
          <w:i w:val="0"/>
        </w:rPr>
        <w:t>green bonds, 35, 53, 56, 63</w:t>
      </w:r>
    </w:p>
    <w:p>
      <w:pPr>
        <w:pStyle w:val="ListBullet"/>
      </w:pPr>
      <w:r>
        <w:rPr>
          <w:b w:val="0"/>
          <w:i w:val="0"/>
        </w:rPr>
        <w:t>“Green New Deal,” 137</w:t>
      </w:r>
    </w:p>
    <w:p>
      <w:pPr>
        <w:pStyle w:val="ListBullet"/>
      </w:pPr>
      <w:r>
        <w:rPr>
          <w:b w:val="0"/>
          <w:i w:val="0"/>
        </w:rPr>
        <w:t>Greensboro sit-in, 137</w:t>
      </w:r>
    </w:p>
    <w:p>
      <w:pPr>
        <w:pStyle w:val="ListBullet"/>
      </w:pPr>
      <w:r>
        <w:rPr>
          <w:b w:val="0"/>
          <w:i w:val="0"/>
        </w:rPr>
        <w:t>greenwashing, xii</w:t>
      </w:r>
    </w:p>
    <w:p>
      <w:pPr>
        <w:pStyle w:val="ListBullet"/>
      </w:pPr>
      <w:r>
        <w:rPr>
          <w:b w:val="0"/>
          <w:i w:val="0"/>
        </w:rPr>
        <w:t>grieving process, to crises, 132</w:t>
      </w:r>
    </w:p>
    <w:p>
      <w:pPr>
        <w:pStyle w:val="ListBullet"/>
      </w:pPr>
      <w:r>
        <w:rPr>
          <w:b w:val="0"/>
          <w:i w:val="0"/>
        </w:rPr>
        <w:t>growth, posttraumatic, 132–133</w:t>
      </w:r>
    </w:p>
    <w:p>
      <w:pPr>
        <w:pStyle w:val="ListBullet"/>
      </w:pPr>
      <w:r>
        <w:rPr>
          <w:b w:val="0"/>
          <w:i w:val="0"/>
        </w:rPr>
        <w:t>gun control legislation, 138</w:t>
      </w:r>
    </w:p>
    <w:p>
      <w:pPr>
        <w:pStyle w:val="ListBullet"/>
      </w:pPr>
      <w:r>
        <w:rPr>
          <w:b w:val="0"/>
          <w:i w:val="0"/>
        </w:rPr>
        <w:t>Harrington Project, 62</w:t>
      </w:r>
    </w:p>
    <w:p>
      <w:pPr>
        <w:pStyle w:val="ListBullet"/>
      </w:pPr>
      <w:r>
        <w:rPr>
          <w:b w:val="0"/>
          <w:i w:val="0"/>
        </w:rPr>
        <w:t>heat waves, 29</w:t>
      </w:r>
      <w:r>
        <w:rPr>
          <w:b w:val="0"/>
          <w:i/>
        </w:rPr>
        <w:t>f</w:t>
      </w:r>
    </w:p>
    <w:p>
      <w:pPr>
        <w:pStyle w:val="ListBullet"/>
      </w:pPr>
      <w:r>
        <w:rPr>
          <w:b w:val="0"/>
          <w:i w:val="0"/>
        </w:rPr>
        <w:t>Heinrich, Martin, 13</w:t>
      </w:r>
    </w:p>
    <w:p>
      <w:pPr>
        <w:pStyle w:val="ListBullet"/>
      </w:pPr>
      <w:r>
        <w:rPr>
          <w:b w:val="0"/>
          <w:i w:val="0"/>
        </w:rPr>
        <w:t>high-polluting industries, 47–48, 50</w:t>
      </w:r>
    </w:p>
    <w:p>
      <w:pPr>
        <w:pStyle w:val="ListBullet"/>
      </w:pPr>
      <w:r>
        <w:rPr>
          <w:b w:val="0"/>
          <w:i w:val="0"/>
        </w:rPr>
        <w:t>H&amp;M</w:t>
      </w:r>
    </w:p>
    <w:p>
      <w:pPr>
        <w:pStyle w:val="ListBullet"/>
      </w:pPr>
      <w:r>
        <w:rPr>
          <w:b w:val="0"/>
          <w:i w:val="0"/>
        </w:rPr>
        <w:t>clothing repair in, 88</w:t>
      </w:r>
    </w:p>
    <w:p>
      <w:pPr>
        <w:pStyle w:val="ListBullet"/>
      </w:pPr>
      <w:r>
        <w:rPr>
          <w:b w:val="0"/>
          <w:i w:val="0"/>
        </w:rPr>
        <w:t>commitment to carbon neutrality, 19</w:t>
      </w:r>
    </w:p>
    <w:p>
      <w:pPr>
        <w:pStyle w:val="ListBullet"/>
      </w:pPr>
      <w:r>
        <w:rPr>
          <w:b w:val="0"/>
          <w:i w:val="0"/>
        </w:rPr>
        <w:t>on “consumer shaming,” 84</w:t>
      </w:r>
    </w:p>
    <w:p>
      <w:pPr>
        <w:pStyle w:val="ListBullet"/>
      </w:pPr>
      <w:r>
        <w:rPr>
          <w:b w:val="0"/>
          <w:i w:val="0"/>
        </w:rPr>
        <w:t>consumers criticizing, 86</w:t>
      </w:r>
    </w:p>
    <w:p>
      <w:pPr>
        <w:pStyle w:val="ListBullet"/>
      </w:pPr>
      <w:r>
        <w:rPr>
          <w:b w:val="0"/>
          <w:i w:val="0"/>
        </w:rPr>
        <w:t>degrowth encouraged by, xiii, 88</w:t>
      </w:r>
    </w:p>
    <w:p>
      <w:pPr>
        <w:pStyle w:val="ListBullet"/>
      </w:pPr>
      <w:r>
        <w:rPr>
          <w:b w:val="0"/>
          <w:i w:val="0"/>
        </w:rPr>
        <w:t xml:space="preserve">houses. </w:t>
      </w:r>
      <w:r>
        <w:rPr>
          <w:b w:val="0"/>
          <w:i/>
        </w:rPr>
        <w:t>See also</w:t>
      </w:r>
      <w:r>
        <w:rPr>
          <w:b w:val="0"/>
          <w:i w:val="0"/>
        </w:rPr>
        <w:t xml:space="preserve"> buildings</w:t>
      </w:r>
    </w:p>
    <w:p>
      <w:pPr>
        <w:pStyle w:val="ListBullet"/>
      </w:pPr>
      <w:r>
        <w:rPr>
          <w:b w:val="0"/>
          <w:i w:val="0"/>
        </w:rPr>
        <w:t>flood insurance for, 115–116</w:t>
      </w:r>
    </w:p>
    <w:p>
      <w:pPr>
        <w:pStyle w:val="ListBullet"/>
      </w:pPr>
      <w:r>
        <w:rPr>
          <w:b w:val="0"/>
          <w:i w:val="0"/>
        </w:rPr>
        <w:t>land development policies on, 117</w:t>
      </w:r>
    </w:p>
    <w:p>
      <w:pPr>
        <w:pStyle w:val="ListBullet"/>
      </w:pPr>
      <w:r>
        <w:rPr>
          <w:b w:val="0"/>
          <w:i w:val="0"/>
        </w:rPr>
        <w:t>mortgages for, 115–116</w:t>
      </w:r>
    </w:p>
    <w:p>
      <w:pPr>
        <w:pStyle w:val="ListBullet"/>
      </w:pPr>
      <w:r>
        <w:rPr>
          <w:b w:val="0"/>
          <w:i w:val="0"/>
        </w:rPr>
        <w:t>HSBC, xiv, 21</w:t>
      </w:r>
    </w:p>
    <w:p>
      <w:pPr>
        <w:pStyle w:val="ListBullet"/>
      </w:pPr>
      <w:r>
        <w:rPr>
          <w:b w:val="0"/>
          <w:i w:val="0"/>
        </w:rPr>
        <w:t>hurdle rate, 32–33</w:t>
      </w:r>
    </w:p>
    <w:p>
      <w:pPr>
        <w:pStyle w:val="ListBullet"/>
      </w:pPr>
      <w:r>
        <w:rPr>
          <w:b w:val="0"/>
          <w:i w:val="0"/>
        </w:rPr>
        <w:t>Hurricane Harvey, xii, 118</w:t>
      </w:r>
    </w:p>
    <w:p>
      <w:pPr>
        <w:pStyle w:val="ListBullet"/>
      </w:pPr>
      <w:r>
        <w:rPr>
          <w:b w:val="0"/>
          <w:i w:val="0"/>
        </w:rPr>
        <w:t>Hurricane Maria, xii</w:t>
      </w:r>
    </w:p>
    <w:p>
      <w:pPr>
        <w:pStyle w:val="ListBullet"/>
      </w:pPr>
      <w:r>
        <w:rPr>
          <w:b w:val="0"/>
          <w:i w:val="0"/>
        </w:rPr>
        <w:t>IKEA</w:t>
      </w:r>
    </w:p>
    <w:p>
      <w:pPr>
        <w:pStyle w:val="ListBullet"/>
      </w:pPr>
      <w:r>
        <w:rPr>
          <w:b w:val="0"/>
          <w:i w:val="0"/>
        </w:rPr>
        <w:t>carbon goals for suppliers by, 19</w:t>
      </w:r>
    </w:p>
    <w:p>
      <w:pPr>
        <w:pStyle w:val="ListBullet"/>
      </w:pPr>
      <w:r>
        <w:rPr>
          <w:b w:val="0"/>
          <w:i w:val="0"/>
        </w:rPr>
        <w:t>customer attitudes and, 26</w:t>
      </w:r>
    </w:p>
    <w:p>
      <w:pPr>
        <w:pStyle w:val="ListBullet"/>
      </w:pPr>
      <w:r>
        <w:rPr>
          <w:b w:val="0"/>
          <w:i w:val="0"/>
        </w:rPr>
        <w:t>renewable energy use by suppliers and, 20</w:t>
      </w:r>
    </w:p>
    <w:p>
      <w:pPr>
        <w:pStyle w:val="ListBullet"/>
      </w:pPr>
      <w:r>
        <w:rPr>
          <w:b w:val="0"/>
          <w:i w:val="0"/>
        </w:rPr>
        <w:t>sustainability strategies of, 10</w:t>
      </w:r>
    </w:p>
    <w:p>
      <w:pPr>
        <w:pStyle w:val="ListBullet"/>
      </w:pPr>
      <w:r>
        <w:rPr>
          <w:b w:val="0"/>
          <w:i w:val="0"/>
        </w:rPr>
        <w:t>impact bonds, 55–57, 63</w:t>
      </w:r>
    </w:p>
    <w:p>
      <w:pPr>
        <w:pStyle w:val="ListBullet"/>
      </w:pPr>
      <w:r>
        <w:rPr>
          <w:b w:val="0"/>
          <w:i w:val="0"/>
        </w:rPr>
        <w:t>impact securitization, 59–62, 64</w:t>
      </w:r>
    </w:p>
    <w:p>
      <w:pPr>
        <w:pStyle w:val="ListBullet"/>
      </w:pPr>
      <w:r>
        <w:rPr>
          <w:b w:val="0"/>
          <w:i w:val="0"/>
        </w:rPr>
        <w:t>Impact Shares (nonprofit fund manager), 58</w:t>
      </w:r>
    </w:p>
    <w:p>
      <w:pPr>
        <w:pStyle w:val="ListBullet"/>
      </w:pPr>
      <w:r>
        <w:rPr>
          <w:b w:val="0"/>
          <w:i w:val="0"/>
        </w:rPr>
        <w:t>incrementalism, xii, 37</w:t>
      </w:r>
    </w:p>
    <w:p>
      <w:pPr>
        <w:pStyle w:val="ListBullet"/>
      </w:pPr>
      <w:r>
        <w:rPr>
          <w:b w:val="0"/>
          <w:i w:val="0"/>
        </w:rPr>
        <w:t>industrial era, 67</w:t>
      </w:r>
    </w:p>
    <w:p>
      <w:pPr>
        <w:pStyle w:val="ListBullet"/>
      </w:pPr>
      <w:r>
        <w:rPr>
          <w:b w:val="0"/>
          <w:i w:val="0"/>
        </w:rPr>
        <w:t xml:space="preserve">industry. </w:t>
      </w:r>
      <w:r>
        <w:rPr>
          <w:b w:val="0"/>
          <w:i/>
        </w:rPr>
        <w:t>See also</w:t>
      </w:r>
      <w:r>
        <w:rPr>
          <w:b w:val="0"/>
          <w:i w:val="0"/>
        </w:rPr>
        <w:t xml:space="preserve"> auto industry; clothing industry; fossil fuel industry</w:t>
      </w:r>
    </w:p>
    <w:p>
      <w:pPr>
        <w:pStyle w:val="ListBullet"/>
      </w:pPr>
      <w:r>
        <w:rPr>
          <w:b w:val="0"/>
          <w:i w:val="0"/>
        </w:rPr>
        <w:t>high-polluting, 47–48, 50</w:t>
      </w:r>
    </w:p>
    <w:p>
      <w:pPr>
        <w:pStyle w:val="ListBullet"/>
      </w:pPr>
      <w:r>
        <w:rPr>
          <w:b w:val="0"/>
          <w:i w:val="0"/>
        </w:rPr>
        <w:t>industry groups, reviewing, 99–100, 105</w:t>
      </w:r>
    </w:p>
    <w:p>
      <w:pPr>
        <w:pStyle w:val="ListBullet"/>
      </w:pPr>
      <w:r>
        <w:rPr>
          <w:b w:val="0"/>
          <w:i w:val="0"/>
        </w:rPr>
        <w:t>influencemap.org, 14</w:t>
      </w:r>
    </w:p>
    <w:p>
      <w:pPr>
        <w:pStyle w:val="ListBullet"/>
      </w:pPr>
      <w:r>
        <w:rPr>
          <w:b w:val="0"/>
          <w:i w:val="0"/>
        </w:rPr>
        <w:t xml:space="preserve">infrastructure. </w:t>
      </w:r>
      <w:r>
        <w:rPr>
          <w:b w:val="0"/>
          <w:i/>
        </w:rPr>
        <w:t>See also</w:t>
      </w:r>
      <w:r>
        <w:rPr>
          <w:b w:val="0"/>
          <w:i w:val="0"/>
        </w:rPr>
        <w:t xml:space="preserve"> buildings</w:t>
      </w:r>
    </w:p>
    <w:p>
      <w:pPr>
        <w:pStyle w:val="ListBullet"/>
      </w:pPr>
      <w:r>
        <w:rPr>
          <w:b w:val="0"/>
          <w:i w:val="0"/>
        </w:rPr>
        <w:t>in developing countries, 72–73</w:t>
      </w:r>
    </w:p>
    <w:p>
      <w:pPr>
        <w:pStyle w:val="ListBullet"/>
      </w:pPr>
      <w:r>
        <w:rPr>
          <w:b w:val="0"/>
          <w:i w:val="0"/>
        </w:rPr>
        <w:t>Ingersoll Rand, 20</w:t>
      </w:r>
    </w:p>
    <w:p>
      <w:pPr>
        <w:pStyle w:val="ListBullet"/>
      </w:pPr>
      <w:r>
        <w:rPr>
          <w:b w:val="0"/>
          <w:i w:val="0"/>
        </w:rPr>
        <w:t>innovation, joint, 21–22</w:t>
      </w:r>
    </w:p>
    <w:p>
      <w:pPr>
        <w:pStyle w:val="ListBullet"/>
      </w:pPr>
      <w:r>
        <w:rPr>
          <w:b w:val="0"/>
          <w:i w:val="0"/>
        </w:rPr>
        <w:t>insurance companies</w:t>
      </w:r>
    </w:p>
    <w:p>
      <w:pPr>
        <w:pStyle w:val="ListBullet"/>
      </w:pPr>
      <w:r>
        <w:rPr>
          <w:b w:val="0"/>
          <w:i w:val="0"/>
        </w:rPr>
        <w:t>on flood risk, 116–117</w:t>
      </w:r>
    </w:p>
    <w:p>
      <w:pPr>
        <w:pStyle w:val="ListBullet"/>
      </w:pPr>
      <w:r>
        <w:rPr>
          <w:b w:val="0"/>
          <w:i w:val="0"/>
        </w:rPr>
        <w:t>payouts for extreme weather damage, 3</w:t>
      </w:r>
    </w:p>
    <w:p>
      <w:pPr>
        <w:pStyle w:val="ListBullet"/>
      </w:pPr>
      <w:r>
        <w:rPr>
          <w:b w:val="0"/>
          <w:i w:val="0"/>
        </w:rPr>
        <w:t>intangible benefits, 32–33</w:t>
      </w:r>
    </w:p>
    <w:p>
      <w:pPr>
        <w:pStyle w:val="ListBullet"/>
      </w:pPr>
      <w:r>
        <w:rPr>
          <w:b w:val="0"/>
          <w:i w:val="0"/>
        </w:rPr>
        <w:t>Interface, 25, 98</w:t>
      </w:r>
    </w:p>
    <w:p>
      <w:pPr>
        <w:pStyle w:val="ListBullet"/>
      </w:pPr>
      <w:r>
        <w:rPr>
          <w:b w:val="0"/>
          <w:i w:val="0"/>
        </w:rPr>
        <w:t>internal combustion engines, 17, 35</w:t>
      </w:r>
    </w:p>
    <w:p>
      <w:pPr>
        <w:pStyle w:val="ListBullet"/>
      </w:pPr>
      <w:r>
        <w:rPr>
          <w:b w:val="0"/>
          <w:i w:val="0"/>
        </w:rPr>
        <w:t>internal pricing, 33</w:t>
      </w:r>
    </w:p>
    <w:p>
      <w:pPr>
        <w:pStyle w:val="ListBullet"/>
      </w:pPr>
      <w:r>
        <w:rPr>
          <w:b w:val="0"/>
          <w:i w:val="0"/>
        </w:rPr>
        <w:t>interorganizational coordination, 130, 133</w:t>
      </w:r>
    </w:p>
    <w:p>
      <w:pPr>
        <w:pStyle w:val="ListBullet"/>
      </w:pPr>
      <w:r>
        <w:rPr>
          <w:b w:val="0"/>
          <w:i w:val="0"/>
        </w:rPr>
        <w:t>investment</w:t>
      </w:r>
    </w:p>
    <w:p>
      <w:pPr>
        <w:pStyle w:val="ListBullet"/>
      </w:pPr>
      <w:r>
        <w:rPr>
          <w:b w:val="0"/>
          <w:i w:val="0"/>
        </w:rPr>
        <w:t>in clean technology, 16</w:t>
      </w:r>
    </w:p>
    <w:p>
      <w:pPr>
        <w:pStyle w:val="ListBullet"/>
      </w:pPr>
      <w:r>
        <w:rPr>
          <w:b w:val="0"/>
          <w:i w:val="0"/>
        </w:rPr>
        <w:t>fixed income, 55–57</w:t>
      </w:r>
    </w:p>
    <w:p>
      <w:pPr>
        <w:pStyle w:val="ListBullet"/>
      </w:pPr>
      <w:r>
        <w:rPr>
          <w:b w:val="0"/>
          <w:i w:val="0"/>
        </w:rPr>
        <w:t>passive, 57–59, 63–64</w:t>
      </w:r>
    </w:p>
    <w:p>
      <w:pPr>
        <w:pStyle w:val="ListBullet"/>
      </w:pPr>
      <w:r>
        <w:rPr>
          <w:b w:val="0"/>
          <w:i w:val="0"/>
        </w:rPr>
        <w:t>in safe and secure workspaces, 128</w:t>
      </w:r>
    </w:p>
    <w:p>
      <w:pPr>
        <w:pStyle w:val="ListBullet"/>
      </w:pPr>
      <w:r>
        <w:rPr>
          <w:b w:val="0"/>
          <w:i w:val="0"/>
        </w:rPr>
        <w:t>socially responsible, 53–64</w:t>
      </w:r>
    </w:p>
    <w:p>
      <w:pPr>
        <w:pStyle w:val="ListBullet"/>
      </w:pPr>
      <w:r>
        <w:rPr>
          <w:b w:val="0"/>
          <w:i w:val="0"/>
        </w:rPr>
        <w:t>sustainable, 27, 31–37, 39, 95–96</w:t>
      </w:r>
    </w:p>
    <w:p>
      <w:pPr>
        <w:pStyle w:val="ListBullet"/>
      </w:pPr>
      <w:r>
        <w:rPr>
          <w:b w:val="0"/>
          <w:i w:val="0"/>
        </w:rPr>
        <w:t>iShares MSCI USA ESG Select ETF, 58</w:t>
      </w:r>
    </w:p>
    <w:p>
      <w:pPr>
        <w:pStyle w:val="ListBullet"/>
      </w:pPr>
      <w:r>
        <w:rPr>
          <w:b w:val="0"/>
          <w:i w:val="0"/>
        </w:rPr>
        <w:t>Jackson, Tim (economist), 84</w:t>
      </w:r>
    </w:p>
    <w:p>
      <w:pPr>
        <w:pStyle w:val="ListBullet"/>
      </w:pPr>
      <w:r>
        <w:rPr>
          <w:b w:val="0"/>
          <w:i w:val="0"/>
        </w:rPr>
        <w:t>Japan</w:t>
      </w:r>
    </w:p>
    <w:p>
      <w:pPr>
        <w:pStyle w:val="ListBullet"/>
      </w:pPr>
      <w:r>
        <w:rPr>
          <w:b w:val="0"/>
          <w:i w:val="0"/>
        </w:rPr>
        <w:t>auto industry in, 87</w:t>
      </w:r>
    </w:p>
    <w:p>
      <w:pPr>
        <w:pStyle w:val="ListBullet"/>
      </w:pPr>
      <w:r>
        <w:rPr>
          <w:b w:val="0"/>
          <w:i w:val="0"/>
        </w:rPr>
        <w:t>net-zero emissions goal of, 102</w:t>
      </w:r>
    </w:p>
    <w:p>
      <w:pPr>
        <w:pStyle w:val="ListBullet"/>
      </w:pPr>
      <w:r>
        <w:rPr>
          <w:b w:val="0"/>
          <w:i w:val="0"/>
        </w:rPr>
        <w:t>Jevons paradox, 85</w:t>
      </w:r>
    </w:p>
    <w:p>
      <w:pPr>
        <w:pStyle w:val="ListBullet"/>
      </w:pPr>
      <w:r>
        <w:rPr>
          <w:b w:val="0"/>
          <w:i w:val="0"/>
        </w:rPr>
        <w:t>J.M. Huber Corporation, 32–33</w:t>
      </w:r>
    </w:p>
    <w:p>
      <w:pPr>
        <w:pStyle w:val="ListBullet"/>
      </w:pPr>
      <w:r>
        <w:rPr>
          <w:b w:val="0"/>
          <w:i w:val="0"/>
        </w:rPr>
        <w:t>Johnson Controls, 97</w:t>
      </w:r>
    </w:p>
    <w:p>
      <w:pPr>
        <w:pStyle w:val="ListBullet"/>
      </w:pPr>
      <w:r>
        <w:rPr>
          <w:b w:val="0"/>
          <w:i w:val="0"/>
        </w:rPr>
        <w:t>joint innovation,21–22</w:t>
      </w:r>
    </w:p>
    <w:p>
      <w:pPr>
        <w:pStyle w:val="ListBullet"/>
      </w:pPr>
      <w:r>
        <w:rPr>
          <w:b w:val="0"/>
          <w:i w:val="0"/>
        </w:rPr>
        <w:t>Kleimeier, Stefanie, 43–50</w:t>
      </w:r>
    </w:p>
    <w:p>
      <w:pPr>
        <w:pStyle w:val="ListBullet"/>
      </w:pPr>
      <w:r>
        <w:rPr>
          <w:b w:val="0"/>
          <w:i w:val="0"/>
        </w:rPr>
        <w:t>land development policies, 117</w:t>
      </w:r>
    </w:p>
    <w:p>
      <w:pPr>
        <w:pStyle w:val="ListBullet"/>
      </w:pPr>
      <w:r>
        <w:rPr>
          <w:b w:val="0"/>
          <w:i w:val="0"/>
        </w:rPr>
        <w:t>land use, in agriculture, 74</w:t>
      </w:r>
    </w:p>
    <w:p>
      <w:pPr>
        <w:pStyle w:val="ListBullet"/>
      </w:pPr>
      <w:r>
        <w:rPr>
          <w:b w:val="0"/>
          <w:i w:val="0"/>
        </w:rPr>
        <w:t>leadership</w:t>
      </w:r>
    </w:p>
    <w:p>
      <w:pPr>
        <w:pStyle w:val="ListBullet"/>
      </w:pPr>
      <w:r>
        <w:rPr>
          <w:b w:val="0"/>
          <w:i w:val="0"/>
        </w:rPr>
        <w:t>emergent, 128</w:t>
      </w:r>
    </w:p>
    <w:p>
      <w:pPr>
        <w:pStyle w:val="ListBullet"/>
      </w:pPr>
      <w:r>
        <w:rPr>
          <w:b w:val="0"/>
          <w:i w:val="0"/>
        </w:rPr>
        <w:t>resilient, 133</w:t>
      </w:r>
    </w:p>
    <w:p>
      <w:pPr>
        <w:pStyle w:val="ListBullet"/>
      </w:pPr>
      <w:r>
        <w:rPr>
          <w:b w:val="0"/>
          <w:i w:val="0"/>
        </w:rPr>
        <w:t>supply-chain climate, 19–23</w:t>
      </w:r>
    </w:p>
    <w:p>
      <w:pPr>
        <w:pStyle w:val="ListBullet"/>
      </w:pPr>
      <w:r>
        <w:rPr>
          <w:b w:val="0"/>
          <w:i w:val="0"/>
        </w:rPr>
        <w:t>through place, 128</w:t>
      </w:r>
    </w:p>
    <w:p>
      <w:pPr>
        <w:pStyle w:val="ListBullet"/>
      </w:pPr>
      <w:r>
        <w:rPr>
          <w:b w:val="0"/>
          <w:i w:val="0"/>
        </w:rPr>
        <w:t>LeasePlan, 99</w:t>
      </w:r>
    </w:p>
    <w:p>
      <w:pPr>
        <w:pStyle w:val="ListBullet"/>
      </w:pPr>
      <w:r>
        <w:rPr>
          <w:b w:val="0"/>
          <w:i w:val="0"/>
        </w:rPr>
        <w:t>Lego, 87</w:t>
      </w:r>
    </w:p>
    <w:p>
      <w:pPr>
        <w:pStyle w:val="ListBullet"/>
      </w:pPr>
      <w:r>
        <w:rPr>
          <w:b w:val="0"/>
          <w:i w:val="0"/>
        </w:rPr>
        <w:t>Levi’s, 21, 30</w:t>
      </w:r>
    </w:p>
    <w:p>
      <w:pPr>
        <w:pStyle w:val="ListBullet"/>
      </w:pPr>
      <w:r>
        <w:rPr>
          <w:b w:val="0"/>
          <w:i w:val="0"/>
        </w:rPr>
        <w:t>LGBT rights, 137</w:t>
      </w:r>
    </w:p>
    <w:p>
      <w:pPr>
        <w:pStyle w:val="ListBullet"/>
      </w:pPr>
      <w:r>
        <w:rPr>
          <w:b w:val="0"/>
          <w:i w:val="0"/>
        </w:rPr>
        <w:t>life spans, of products, 86–87</w:t>
      </w:r>
    </w:p>
    <w:p>
      <w:pPr>
        <w:pStyle w:val="ListBullet"/>
      </w:pPr>
      <w:r>
        <w:rPr>
          <w:b w:val="0"/>
          <w:i w:val="0"/>
        </w:rPr>
        <w:t>lobbying</w:t>
      </w:r>
    </w:p>
    <w:p>
      <w:pPr>
        <w:pStyle w:val="ListBullet"/>
      </w:pPr>
      <w:r>
        <w:rPr>
          <w:b w:val="0"/>
          <w:i w:val="0"/>
        </w:rPr>
        <w:t>advantage created by, 14</w:t>
      </w:r>
    </w:p>
    <w:p>
      <w:pPr>
        <w:pStyle w:val="ListBullet"/>
      </w:pPr>
      <w:r>
        <w:rPr>
          <w:b w:val="0"/>
          <w:i w:val="0"/>
        </w:rPr>
        <w:t>for climate action, 13–14, 139</w:t>
      </w:r>
    </w:p>
    <w:p>
      <w:pPr>
        <w:pStyle w:val="ListBullet"/>
      </w:pPr>
      <w:r>
        <w:rPr>
          <w:b w:val="0"/>
          <w:i w:val="0"/>
        </w:rPr>
        <w:t>by fossil fuel industry, 13</w:t>
      </w:r>
    </w:p>
    <w:p>
      <w:pPr>
        <w:pStyle w:val="ListBullet"/>
      </w:pPr>
      <w:r>
        <w:rPr>
          <w:b w:val="0"/>
          <w:i w:val="0"/>
        </w:rPr>
        <w:t>reviewing, 100</w:t>
      </w:r>
    </w:p>
    <w:p>
      <w:pPr>
        <w:pStyle w:val="ListBullet"/>
      </w:pPr>
      <w:r>
        <w:rPr>
          <w:b w:val="0"/>
          <w:i w:val="0"/>
        </w:rPr>
        <w:t>LobbyWatch, 14</w:t>
      </w:r>
    </w:p>
    <w:p>
      <w:pPr>
        <w:pStyle w:val="ListBullet"/>
      </w:pPr>
      <w:r>
        <w:rPr>
          <w:b w:val="0"/>
          <w:i w:val="0"/>
        </w:rPr>
        <w:t>Local Motors, 87</w:t>
      </w:r>
    </w:p>
    <w:p>
      <w:pPr>
        <w:pStyle w:val="ListBullet"/>
      </w:pPr>
      <w:r>
        <w:rPr>
          <w:b w:val="0"/>
          <w:i w:val="0"/>
        </w:rPr>
        <w:t>Low Carbon Technology Partnerships (LCTPi), 97</w:t>
      </w:r>
    </w:p>
    <w:p>
      <w:pPr>
        <w:pStyle w:val="ListBullet"/>
      </w:pPr>
      <w:r>
        <w:rPr>
          <w:b w:val="0"/>
          <w:i w:val="0"/>
        </w:rPr>
        <w:t>Lush (cosmetic retailer), 30</w:t>
      </w:r>
    </w:p>
    <w:p>
      <w:pPr>
        <w:pStyle w:val="ListBullet"/>
      </w:pPr>
      <w:r>
        <w:rPr>
          <w:b w:val="0"/>
          <w:i w:val="0"/>
        </w:rPr>
        <w:t>Macomber, John D., 115–122</w:t>
      </w:r>
    </w:p>
    <w:p>
      <w:pPr>
        <w:pStyle w:val="ListBullet"/>
      </w:pPr>
      <w:r>
        <w:rPr>
          <w:b w:val="0"/>
          <w:i w:val="0"/>
        </w:rPr>
        <w:t>macroeconomic argument, for climate actions, 7–8</w:t>
      </w:r>
    </w:p>
    <w:p>
      <w:pPr>
        <w:pStyle w:val="ListBullet"/>
      </w:pPr>
      <w:r>
        <w:rPr>
          <w:b w:val="0"/>
          <w:i w:val="0"/>
        </w:rPr>
        <w:t>Madsbjerg, Saadia, 53–64</w:t>
      </w:r>
    </w:p>
    <w:p>
      <w:pPr>
        <w:pStyle w:val="ListBullet"/>
      </w:pPr>
      <w:r>
        <w:rPr>
          <w:b w:val="0"/>
          <w:i w:val="0"/>
        </w:rPr>
        <w:t>McAfee, Andrew, 65–80</w:t>
      </w:r>
    </w:p>
    <w:p>
      <w:pPr>
        <w:pStyle w:val="ListBullet"/>
      </w:pPr>
      <w:r>
        <w:rPr>
          <w:b w:val="0"/>
          <w:i w:val="0"/>
        </w:rPr>
        <w:t>McDonald’s, 36</w:t>
      </w:r>
    </w:p>
    <w:p>
      <w:pPr>
        <w:pStyle w:val="ListBullet"/>
      </w:pPr>
      <w:r>
        <w:rPr>
          <w:b w:val="0"/>
          <w:i w:val="0"/>
        </w:rPr>
        <w:t xml:space="preserve">meat substitutes, 86. </w:t>
      </w:r>
      <w:r>
        <w:rPr>
          <w:b w:val="0"/>
          <w:i/>
        </w:rPr>
        <w:t>See also</w:t>
      </w:r>
      <w:r>
        <w:rPr>
          <w:b w:val="0"/>
          <w:i w:val="0"/>
        </w:rPr>
        <w:t xml:space="preserve"> plant-based foods</w:t>
      </w:r>
    </w:p>
    <w:p>
      <w:pPr>
        <w:pStyle w:val="ListBullet"/>
      </w:pPr>
      <w:r>
        <w:rPr>
          <w:b w:val="0"/>
          <w:i w:val="0"/>
        </w:rPr>
        <w:t>Mexico City earthquake, 125–135</w:t>
      </w:r>
    </w:p>
    <w:p>
      <w:pPr>
        <w:pStyle w:val="ListBullet"/>
      </w:pPr>
      <w:r>
        <w:rPr>
          <w:b w:val="0"/>
          <w:i w:val="0"/>
        </w:rPr>
        <w:t>Miami, Florida, buildings in, 119</w:t>
      </w:r>
    </w:p>
    <w:p>
      <w:pPr>
        <w:pStyle w:val="ListBullet"/>
      </w:pPr>
      <w:r>
        <w:rPr>
          <w:b w:val="0"/>
          <w:i w:val="0"/>
        </w:rPr>
        <w:t>microeconomic argument, for climate actions, 8</w:t>
      </w:r>
    </w:p>
    <w:p>
      <w:pPr>
        <w:pStyle w:val="ListBullet"/>
      </w:pPr>
      <w:r>
        <w:rPr>
          <w:b w:val="0"/>
          <w:i w:val="0"/>
        </w:rPr>
        <w:t>microgrids, 56</w:t>
      </w:r>
    </w:p>
    <w:p>
      <w:pPr>
        <w:pStyle w:val="ListBullet"/>
      </w:pPr>
      <w:r>
        <w:rPr>
          <w:b w:val="0"/>
          <w:i w:val="0"/>
        </w:rPr>
        <w:t>Microsoft, 8, 58</w:t>
      </w:r>
    </w:p>
    <w:p>
      <w:pPr>
        <w:pStyle w:val="ListBullet"/>
      </w:pPr>
      <w:r>
        <w:rPr>
          <w:b w:val="0"/>
          <w:i w:val="0"/>
        </w:rPr>
        <w:t>employee walkout, 9</w:t>
      </w:r>
    </w:p>
    <w:p>
      <w:pPr>
        <w:pStyle w:val="ListBullet"/>
      </w:pPr>
      <w:r>
        <w:rPr>
          <w:b w:val="0"/>
          <w:i w:val="0"/>
        </w:rPr>
        <w:t>internal pricing used by, 33</w:t>
      </w:r>
    </w:p>
    <w:p>
      <w:pPr>
        <w:pStyle w:val="ListBullet"/>
      </w:pPr>
      <w:r>
        <w:rPr>
          <w:b w:val="0"/>
          <w:i w:val="0"/>
        </w:rPr>
        <w:t>Millennials</w:t>
      </w:r>
    </w:p>
    <w:p>
      <w:pPr>
        <w:pStyle w:val="ListBullet"/>
      </w:pPr>
      <w:r>
        <w:rPr>
          <w:b w:val="0"/>
          <w:i w:val="0"/>
        </w:rPr>
        <w:t>as employees, 28, 103</w:t>
      </w:r>
    </w:p>
    <w:p>
      <w:pPr>
        <w:pStyle w:val="ListBullet"/>
      </w:pPr>
      <w:r>
        <w:rPr>
          <w:b w:val="0"/>
          <w:i w:val="0"/>
        </w:rPr>
        <w:t>in social movements, 137</w:t>
      </w:r>
    </w:p>
    <w:p>
      <w:pPr>
        <w:pStyle w:val="ListBullet"/>
      </w:pPr>
      <w:r>
        <w:rPr>
          <w:b w:val="0"/>
          <w:i w:val="0"/>
        </w:rPr>
        <w:t>on successful companies, 8</w:t>
      </w:r>
    </w:p>
    <w:p>
      <w:pPr>
        <w:pStyle w:val="ListBullet"/>
      </w:pPr>
      <w:r>
        <w:rPr>
          <w:b w:val="0"/>
          <w:i w:val="0"/>
        </w:rPr>
        <w:t>mining (for cryptocurrency)</w:t>
      </w:r>
    </w:p>
    <w:p>
      <w:pPr>
        <w:pStyle w:val="ListBullet"/>
      </w:pPr>
      <w:r>
        <w:rPr>
          <w:b w:val="0"/>
          <w:i w:val="0"/>
        </w:rPr>
        <w:t>compensation for, 110</w:t>
      </w:r>
    </w:p>
    <w:p>
      <w:pPr>
        <w:pStyle w:val="ListBullet"/>
      </w:pPr>
      <w:r>
        <w:rPr>
          <w:b w:val="0"/>
          <w:i w:val="0"/>
        </w:rPr>
        <w:t>energy needed for, 108–109</w:t>
      </w:r>
    </w:p>
    <w:p>
      <w:pPr>
        <w:pStyle w:val="ListBullet"/>
      </w:pPr>
      <w:r>
        <w:rPr>
          <w:b w:val="0"/>
          <w:i w:val="0"/>
        </w:rPr>
        <w:t>green energy for, 109–110, 113</w:t>
      </w:r>
    </w:p>
    <w:p>
      <w:pPr>
        <w:pStyle w:val="ListBullet"/>
      </w:pPr>
      <w:r>
        <w:rPr>
          <w:b w:val="0"/>
          <w:i w:val="0"/>
        </w:rPr>
        <w:t>MIT Laboratory for Financial Engineering, 61–62</w:t>
      </w:r>
    </w:p>
    <w:p>
      <w:pPr>
        <w:pStyle w:val="ListBullet"/>
      </w:pPr>
      <w:r>
        <w:rPr>
          <w:b w:val="0"/>
          <w:i w:val="0"/>
        </w:rPr>
        <w:t>mitigation, 4</w:t>
      </w:r>
    </w:p>
    <w:p>
      <w:pPr>
        <w:pStyle w:val="ListBullet"/>
      </w:pPr>
      <w:r>
        <w:rPr>
          <w:b w:val="0"/>
          <w:i w:val="0"/>
        </w:rPr>
        <w:t>Morningstar, 58</w:t>
      </w:r>
    </w:p>
    <w:p>
      <w:pPr>
        <w:pStyle w:val="ListBullet"/>
      </w:pPr>
      <w:r>
        <w:rPr>
          <w:b w:val="0"/>
          <w:i w:val="0"/>
        </w:rPr>
        <w:t>mortgages, 115–116, 121</w:t>
      </w:r>
    </w:p>
    <w:p>
      <w:pPr>
        <w:pStyle w:val="ListBullet"/>
      </w:pPr>
      <w:r>
        <w:rPr>
          <w:b w:val="0"/>
          <w:i w:val="0"/>
        </w:rPr>
        <w:t>Mucharraz y Cano, Yvette, 125–134</w:t>
      </w:r>
    </w:p>
    <w:p>
      <w:pPr>
        <w:pStyle w:val="ListBullet"/>
      </w:pPr>
      <w:r>
        <w:rPr>
          <w:b w:val="0"/>
          <w:i w:val="0"/>
        </w:rPr>
        <w:t>multisectoral coordination, 130, 133</w:t>
      </w:r>
    </w:p>
    <w:p>
      <w:pPr>
        <w:pStyle w:val="ListBullet"/>
      </w:pPr>
      <w:r>
        <w:rPr>
          <w:b w:val="0"/>
          <w:i w:val="0"/>
        </w:rPr>
        <w:t>Mumenthaler, Christian, 3</w:t>
      </w:r>
    </w:p>
    <w:p>
      <w:pPr>
        <w:pStyle w:val="ListBullet"/>
      </w:pPr>
      <w:r>
        <w:rPr>
          <w:b w:val="0"/>
          <w:i w:val="0"/>
        </w:rPr>
        <w:t>municipal bonds, 55–57, 63</w:t>
      </w:r>
    </w:p>
    <w:p>
      <w:pPr>
        <w:pStyle w:val="ListBullet"/>
      </w:pPr>
      <w:r>
        <w:rPr>
          <w:b w:val="0"/>
          <w:i w:val="0"/>
        </w:rPr>
        <w:t>Municipal Water Board (Washington, D.C.), 56–57</w:t>
      </w:r>
    </w:p>
    <w:p>
      <w:pPr>
        <w:pStyle w:val="ListBullet"/>
      </w:pPr>
      <w:r>
        <w:rPr>
          <w:b w:val="0"/>
          <w:i w:val="0"/>
        </w:rPr>
        <w:t>NAACP Minority Empowerment ETF, 58–59</w:t>
      </w:r>
    </w:p>
    <w:p>
      <w:pPr>
        <w:pStyle w:val="ListBullet"/>
      </w:pPr>
      <w:r>
        <w:rPr>
          <w:b w:val="0"/>
          <w:i w:val="0"/>
        </w:rPr>
        <w:t>National Coordination of Civil Protection, 131</w:t>
      </w:r>
    </w:p>
    <w:p>
      <w:pPr>
        <w:pStyle w:val="ListBullet"/>
      </w:pPr>
      <w:r>
        <w:rPr>
          <w:b w:val="0"/>
          <w:i w:val="0"/>
        </w:rPr>
        <w:t>National Flood Insurance Program (NFIP), 116–117</w:t>
      </w:r>
    </w:p>
    <w:p>
      <w:pPr>
        <w:pStyle w:val="ListBullet"/>
      </w:pPr>
      <w:r>
        <w:rPr>
          <w:b w:val="0"/>
          <w:i w:val="0"/>
        </w:rPr>
        <w:t>natural disasters</w:t>
      </w:r>
    </w:p>
    <w:p>
      <w:pPr>
        <w:pStyle w:val="ListBullet"/>
      </w:pPr>
      <w:r>
        <w:rPr>
          <w:b w:val="0"/>
          <w:i w:val="0"/>
        </w:rPr>
        <w:t>increase in, xii–xiii</w:t>
      </w:r>
    </w:p>
    <w:p>
      <w:pPr>
        <w:pStyle w:val="ListBullet"/>
      </w:pPr>
      <w:r>
        <w:rPr>
          <w:b w:val="0"/>
          <w:i w:val="0"/>
        </w:rPr>
        <w:t>insurance payouts for damage by, 3</w:t>
      </w:r>
    </w:p>
    <w:p>
      <w:pPr>
        <w:pStyle w:val="ListBullet"/>
      </w:pPr>
      <w:r>
        <w:rPr>
          <w:b w:val="0"/>
          <w:i w:val="0"/>
        </w:rPr>
        <w:t>preparing for, 125–134</w:t>
      </w:r>
    </w:p>
    <w:p>
      <w:pPr>
        <w:pStyle w:val="ListBullet"/>
      </w:pPr>
      <w:r>
        <w:rPr>
          <w:b w:val="0"/>
          <w:i w:val="0"/>
        </w:rPr>
        <w:t>repairs after, 3</w:t>
      </w:r>
    </w:p>
    <w:p>
      <w:pPr>
        <w:pStyle w:val="ListBullet"/>
      </w:pPr>
      <w:r>
        <w:rPr>
          <w:b w:val="0"/>
          <w:i w:val="0"/>
        </w:rPr>
        <w:t>nature, collapse of, 24</w:t>
      </w:r>
      <w:r>
        <w:rPr>
          <w:b w:val="0"/>
          <w:i/>
        </w:rPr>
        <w:t>f</w:t>
      </w:r>
    </w:p>
    <w:p>
      <w:pPr>
        <w:pStyle w:val="ListBullet"/>
      </w:pPr>
      <w:r>
        <w:rPr>
          <w:b w:val="0"/>
          <w:i w:val="0"/>
        </w:rPr>
        <w:t>Nestlé, 11, 26</w:t>
      </w:r>
    </w:p>
    <w:p>
      <w:pPr>
        <w:pStyle w:val="ListBullet"/>
      </w:pPr>
      <w:r>
        <w:rPr>
          <w:b w:val="0"/>
          <w:i w:val="0"/>
        </w:rPr>
        <w:t>plant-based proteins by, 35</w:t>
      </w:r>
    </w:p>
    <w:p>
      <w:pPr>
        <w:pStyle w:val="ListBullet"/>
      </w:pPr>
      <w:r>
        <w:rPr>
          <w:b w:val="0"/>
          <w:i w:val="0"/>
        </w:rPr>
        <w:t>Net Zero Carbon Buildings Commitment, 97</w:t>
      </w:r>
    </w:p>
    <w:p>
      <w:pPr>
        <w:pStyle w:val="ListBullet"/>
      </w:pPr>
      <w:r>
        <w:rPr>
          <w:b w:val="0"/>
          <w:i w:val="0"/>
        </w:rPr>
        <w:t>net-zero buildings, 17</w:t>
      </w:r>
    </w:p>
    <w:p>
      <w:pPr>
        <w:pStyle w:val="ListBullet"/>
      </w:pPr>
      <w:r>
        <w:rPr>
          <w:b w:val="0"/>
          <w:i w:val="0"/>
        </w:rPr>
        <w:t>net-zero emissions, 93–105</w:t>
      </w:r>
    </w:p>
    <w:p>
      <w:pPr>
        <w:pStyle w:val="ListBullet"/>
      </w:pPr>
      <w:r>
        <w:rPr>
          <w:b w:val="0"/>
          <w:i w:val="0"/>
        </w:rPr>
        <w:t>Nickisch, Curt, 65–80</w:t>
      </w:r>
    </w:p>
    <w:p>
      <w:pPr>
        <w:pStyle w:val="ListBullet"/>
      </w:pPr>
      <w:r>
        <w:rPr>
          <w:b w:val="0"/>
          <w:i w:val="0"/>
        </w:rPr>
        <w:t>Nigeria, 73</w:t>
      </w:r>
    </w:p>
    <w:p>
      <w:pPr>
        <w:pStyle w:val="ListBullet"/>
      </w:pPr>
      <w:r>
        <w:rPr>
          <w:b w:val="0"/>
          <w:i w:val="0"/>
        </w:rPr>
        <w:t>Nike, 88</w:t>
      </w:r>
    </w:p>
    <w:p>
      <w:pPr>
        <w:pStyle w:val="ListBullet"/>
      </w:pPr>
      <w:r>
        <w:rPr>
          <w:b w:val="0"/>
          <w:i w:val="0"/>
        </w:rPr>
        <w:t>North Face, 22</w:t>
      </w:r>
    </w:p>
    <w:p>
      <w:pPr>
        <w:pStyle w:val="ListBullet"/>
      </w:pPr>
      <w:r>
        <w:rPr>
          <w:b w:val="0"/>
          <w:i w:val="0"/>
        </w:rPr>
        <w:t>Norway</w:t>
      </w:r>
    </w:p>
    <w:p>
      <w:pPr>
        <w:pStyle w:val="ListBullet"/>
      </w:pPr>
      <w:r>
        <w:rPr>
          <w:b w:val="0"/>
          <w:i w:val="0"/>
        </w:rPr>
        <w:t>ban on internal combustion engines in, 17</w:t>
      </w:r>
    </w:p>
    <w:p>
      <w:pPr>
        <w:pStyle w:val="ListBullet"/>
      </w:pPr>
      <w:r>
        <w:rPr>
          <w:b w:val="0"/>
          <w:i w:val="0"/>
        </w:rPr>
        <w:t>sustainable investment in, 27, 95–96</w:t>
      </w:r>
    </w:p>
    <w:p>
      <w:pPr>
        <w:pStyle w:val="ListBullet"/>
      </w:pPr>
      <w:r>
        <w:rPr>
          <w:b w:val="0"/>
          <w:i w:val="0"/>
        </w:rPr>
        <w:t>Oatly, 25</w:t>
      </w:r>
    </w:p>
    <w:p>
      <w:pPr>
        <w:pStyle w:val="ListBullet"/>
      </w:pPr>
      <w:r>
        <w:rPr>
          <w:b w:val="0"/>
          <w:i w:val="0"/>
        </w:rPr>
        <w:t>Ocasio-Cortez, Alexandria, 137</w:t>
      </w:r>
    </w:p>
    <w:p>
      <w:pPr>
        <w:pStyle w:val="ListBullet"/>
      </w:pPr>
      <w:r>
        <w:rPr>
          <w:b w:val="0"/>
          <w:i w:val="0"/>
        </w:rPr>
        <w:t>offshore wind farms, 37</w:t>
      </w:r>
    </w:p>
    <w:p>
      <w:pPr>
        <w:pStyle w:val="ListBullet"/>
      </w:pPr>
      <w:r>
        <w:rPr>
          <w:b w:val="0"/>
          <w:i w:val="0"/>
        </w:rPr>
        <w:t>organizational culture, 127</w:t>
      </w:r>
    </w:p>
    <w:p>
      <w:pPr>
        <w:pStyle w:val="ListBullet"/>
      </w:pPr>
      <w:r>
        <w:rPr>
          <w:b w:val="0"/>
          <w:i w:val="0"/>
        </w:rPr>
        <w:t>organizational resilience, 125–135</w:t>
      </w:r>
    </w:p>
    <w:p>
      <w:pPr>
        <w:pStyle w:val="ListBullet"/>
      </w:pPr>
      <w:r>
        <w:rPr>
          <w:b w:val="0"/>
          <w:i w:val="0"/>
        </w:rPr>
        <w:t>orphan disease drug development, 61–62</w:t>
      </w:r>
    </w:p>
    <w:p>
      <w:pPr>
        <w:pStyle w:val="ListBullet"/>
      </w:pPr>
      <w:r>
        <w:rPr>
          <w:b w:val="0"/>
          <w:i w:val="0"/>
        </w:rPr>
        <w:t>Ørsted, 36</w:t>
      </w:r>
    </w:p>
    <w:p>
      <w:pPr>
        <w:pStyle w:val="ListBullet"/>
      </w:pPr>
      <w:r>
        <w:rPr>
          <w:b w:val="0"/>
          <w:i w:val="0"/>
        </w:rPr>
        <w:t>packaging</w:t>
      </w:r>
    </w:p>
    <w:p>
      <w:pPr>
        <w:pStyle w:val="ListBullet"/>
      </w:pPr>
      <w:r>
        <w:rPr>
          <w:b w:val="0"/>
          <w:i w:val="0"/>
        </w:rPr>
        <w:t>educating consumers via, 26</w:t>
      </w:r>
    </w:p>
    <w:p>
      <w:pPr>
        <w:pStyle w:val="ListBullet"/>
      </w:pPr>
      <w:r>
        <w:rPr>
          <w:b w:val="0"/>
          <w:i w:val="0"/>
        </w:rPr>
        <w:t>reducing materials used in, 23, 71–72, 78</w:t>
      </w:r>
    </w:p>
    <w:p>
      <w:pPr>
        <w:pStyle w:val="ListBullet"/>
      </w:pPr>
      <w:r>
        <w:rPr>
          <w:b w:val="0"/>
          <w:i w:val="0"/>
        </w:rPr>
        <w:t>pandemics, xiii</w:t>
      </w:r>
    </w:p>
    <w:p>
      <w:pPr>
        <w:pStyle w:val="ListBullet"/>
      </w:pPr>
      <w:r>
        <w:rPr>
          <w:b w:val="0"/>
          <w:i w:val="0"/>
        </w:rPr>
        <w:t>paper</w:t>
      </w:r>
    </w:p>
    <w:p>
      <w:pPr>
        <w:pStyle w:val="ListBullet"/>
      </w:pPr>
      <w:r>
        <w:rPr>
          <w:b w:val="0"/>
          <w:i w:val="0"/>
        </w:rPr>
        <w:t>decrease in use of, 71</w:t>
      </w:r>
    </w:p>
    <w:p>
      <w:pPr>
        <w:pStyle w:val="ListBullet"/>
      </w:pPr>
      <w:r>
        <w:rPr>
          <w:b w:val="0"/>
          <w:i w:val="0"/>
        </w:rPr>
        <w:t>peak, 71, 72–73</w:t>
      </w:r>
    </w:p>
    <w:p>
      <w:pPr>
        <w:pStyle w:val="ListBullet"/>
      </w:pPr>
      <w:r>
        <w:rPr>
          <w:b w:val="0"/>
          <w:i w:val="0"/>
        </w:rPr>
        <w:t>Paris Climate Accords</w:t>
      </w:r>
    </w:p>
    <w:p>
      <w:pPr>
        <w:pStyle w:val="ListBullet"/>
      </w:pPr>
      <w:r>
        <w:rPr>
          <w:b w:val="0"/>
          <w:i w:val="0"/>
        </w:rPr>
        <w:t>companies committed to, 11, 95–96, 104</w:t>
      </w:r>
    </w:p>
    <w:p>
      <w:pPr>
        <w:pStyle w:val="ListBullet"/>
      </w:pPr>
      <w:r>
        <w:rPr>
          <w:b w:val="0"/>
          <w:i w:val="0"/>
        </w:rPr>
        <w:t>companies supporting, 101–102</w:t>
      </w:r>
    </w:p>
    <w:p>
      <w:pPr>
        <w:pStyle w:val="ListBullet"/>
      </w:pPr>
      <w:r>
        <w:rPr>
          <w:b w:val="0"/>
          <w:i w:val="0"/>
        </w:rPr>
        <w:t>raising awareness about, 26</w:t>
      </w:r>
    </w:p>
    <w:p>
      <w:pPr>
        <w:pStyle w:val="ListBullet"/>
      </w:pPr>
      <w:r>
        <w:rPr>
          <w:b w:val="0"/>
          <w:i w:val="0"/>
        </w:rPr>
        <w:t>“Parkland Teens,” 137–138</w:t>
      </w:r>
    </w:p>
    <w:p>
      <w:pPr>
        <w:pStyle w:val="ListBullet"/>
      </w:pPr>
      <w:r>
        <w:rPr>
          <w:b w:val="0"/>
          <w:i w:val="0"/>
        </w:rPr>
        <w:t>Parks, Rosa, 137</w:t>
      </w:r>
    </w:p>
    <w:p>
      <w:pPr>
        <w:pStyle w:val="ListBullet"/>
      </w:pPr>
      <w:r>
        <w:rPr>
          <w:b w:val="0"/>
          <w:i w:val="0"/>
        </w:rPr>
        <w:t>passive investment, 57–59, 63–64</w:t>
      </w:r>
    </w:p>
    <w:p>
      <w:pPr>
        <w:pStyle w:val="ListBullet"/>
      </w:pPr>
      <w:r>
        <w:rPr>
          <w:b w:val="0"/>
          <w:i w:val="0"/>
        </w:rPr>
        <w:t>Patagonia</w:t>
      </w:r>
    </w:p>
    <w:p>
      <w:pPr>
        <w:pStyle w:val="ListBullet"/>
      </w:pPr>
      <w:r>
        <w:rPr>
          <w:b w:val="0"/>
          <w:i w:val="0"/>
        </w:rPr>
        <w:t>degrowth and, xiii, 25, 88</w:t>
      </w:r>
    </w:p>
    <w:p>
      <w:pPr>
        <w:pStyle w:val="ListBullet"/>
      </w:pPr>
      <w:r>
        <w:rPr>
          <w:b w:val="0"/>
          <w:i w:val="0"/>
        </w:rPr>
        <w:t>sustainability strategies of, 10</w:t>
      </w:r>
    </w:p>
    <w:p>
      <w:pPr>
        <w:pStyle w:val="ListBullet"/>
      </w:pPr>
      <w:r>
        <w:rPr>
          <w:b w:val="0"/>
          <w:i w:val="0"/>
        </w:rPr>
        <w:t>Patagonia Action Works initiative, 25</w:t>
      </w:r>
    </w:p>
    <w:p>
      <w:pPr>
        <w:pStyle w:val="ListBullet"/>
      </w:pPr>
      <w:r>
        <w:rPr>
          <w:b w:val="0"/>
          <w:i w:val="0"/>
        </w:rPr>
        <w:t>peak paper, 71, 72–73</w:t>
      </w:r>
    </w:p>
    <w:p>
      <w:pPr>
        <w:pStyle w:val="ListBullet"/>
      </w:pPr>
      <w:r>
        <w:rPr>
          <w:b w:val="0"/>
          <w:i w:val="0"/>
        </w:rPr>
        <w:t>peak plastics, 75</w:t>
      </w:r>
    </w:p>
    <w:p>
      <w:pPr>
        <w:pStyle w:val="ListBullet"/>
      </w:pPr>
      <w:r>
        <w:rPr>
          <w:b w:val="0"/>
          <w:i w:val="0"/>
        </w:rPr>
        <w:t>PepsiCo, 26, 58</w:t>
      </w:r>
    </w:p>
    <w:p>
      <w:pPr>
        <w:pStyle w:val="ListBullet"/>
      </w:pPr>
      <w:r>
        <w:rPr>
          <w:b w:val="0"/>
          <w:i w:val="0"/>
        </w:rPr>
        <w:t>Persson, Karl-Johan, 84</w:t>
      </w:r>
    </w:p>
    <w:p>
      <w:pPr>
        <w:pStyle w:val="ListBullet"/>
      </w:pPr>
      <w:r>
        <w:rPr>
          <w:b w:val="0"/>
          <w:i w:val="0"/>
        </w:rPr>
        <w:t>P&amp;G, 18, 21, 26</w:t>
      </w:r>
    </w:p>
    <w:p>
      <w:pPr>
        <w:pStyle w:val="ListBullet"/>
      </w:pPr>
      <w:r>
        <w:rPr>
          <w:b w:val="0"/>
          <w:i w:val="0"/>
        </w:rPr>
        <w:t>PG&amp;E, 121</w:t>
      </w:r>
    </w:p>
    <w:p>
      <w:pPr>
        <w:pStyle w:val="ListBullet"/>
      </w:pPr>
      <w:r>
        <w:rPr>
          <w:b w:val="0"/>
          <w:i w:val="0"/>
        </w:rPr>
        <w:t>phase-ins, 17</w:t>
      </w:r>
    </w:p>
    <w:p>
      <w:pPr>
        <w:pStyle w:val="ListBullet"/>
      </w:pPr>
      <w:r>
        <w:rPr>
          <w:b w:val="0"/>
          <w:i w:val="0"/>
        </w:rPr>
        <w:t>phaseouts, 17</w:t>
      </w:r>
    </w:p>
    <w:p>
      <w:pPr>
        <w:pStyle w:val="ListBullet"/>
      </w:pPr>
      <w:r>
        <w:rPr>
          <w:b w:val="0"/>
          <w:i w:val="0"/>
        </w:rPr>
        <w:t>Philips Lighting, 36</w:t>
      </w:r>
    </w:p>
    <w:p>
      <w:pPr>
        <w:pStyle w:val="ListBullet"/>
      </w:pPr>
      <w:r>
        <w:rPr>
          <w:b w:val="0"/>
          <w:i w:val="0"/>
        </w:rPr>
        <w:t>plant-based foods</w:t>
      </w:r>
    </w:p>
    <w:p>
      <w:pPr>
        <w:pStyle w:val="ListBullet"/>
      </w:pPr>
      <w:r>
        <w:rPr>
          <w:b w:val="0"/>
          <w:i w:val="0"/>
        </w:rPr>
        <w:t>carbon footprint of, 35, 86</w:t>
      </w:r>
    </w:p>
    <w:p>
      <w:pPr>
        <w:pStyle w:val="ListBullet"/>
      </w:pPr>
      <w:r>
        <w:rPr>
          <w:b w:val="0"/>
          <w:i w:val="0"/>
        </w:rPr>
        <w:t>at McDonald’s and Burger King, 37</w:t>
      </w:r>
    </w:p>
    <w:p>
      <w:pPr>
        <w:pStyle w:val="ListBullet"/>
      </w:pPr>
      <w:r>
        <w:rPr>
          <w:b w:val="0"/>
          <w:i w:val="0"/>
        </w:rPr>
        <w:t>plastics, 74</w:t>
      </w:r>
    </w:p>
    <w:p>
      <w:pPr>
        <w:pStyle w:val="ListBullet"/>
      </w:pPr>
      <w:r>
        <w:rPr>
          <w:b w:val="0"/>
          <w:i w:val="0"/>
        </w:rPr>
        <w:t>political actions, of young people, 136–137</w:t>
      </w:r>
    </w:p>
    <w:p>
      <w:pPr>
        <w:pStyle w:val="ListBullet"/>
      </w:pPr>
      <w:r>
        <w:rPr>
          <w:b w:val="0"/>
          <w:i w:val="0"/>
        </w:rPr>
        <w:t>political influence, companies using, 10–18, 38–39, 139, 140</w:t>
      </w:r>
    </w:p>
    <w:p>
      <w:pPr>
        <w:pStyle w:val="ListBullet"/>
      </w:pPr>
      <w:r>
        <w:rPr>
          <w:b w:val="0"/>
          <w:i w:val="0"/>
        </w:rPr>
        <w:t>pollution haven hypothesis (PHH), 45–46</w:t>
      </w:r>
    </w:p>
    <w:p>
      <w:pPr>
        <w:pStyle w:val="ListBullet"/>
      </w:pPr>
      <w:r>
        <w:rPr>
          <w:b w:val="0"/>
          <w:i w:val="0"/>
        </w:rPr>
        <w:t>pollution havens, 44–49, 50</w:t>
      </w:r>
    </w:p>
    <w:p>
      <w:pPr>
        <w:pStyle w:val="ListBullet"/>
      </w:pPr>
      <w:r>
        <w:rPr>
          <w:b w:val="0"/>
          <w:i w:val="0"/>
        </w:rPr>
        <w:t>Polman, Paul, 8</w:t>
      </w:r>
    </w:p>
    <w:p>
      <w:pPr>
        <w:pStyle w:val="ListBullet"/>
      </w:pPr>
      <w:r>
        <w:rPr>
          <w:b w:val="0"/>
          <w:i w:val="0"/>
        </w:rPr>
        <w:t>posttraumatic growth, 132–133</w:t>
      </w:r>
    </w:p>
    <w:p>
      <w:pPr>
        <w:pStyle w:val="ListBullet"/>
      </w:pPr>
      <w:r>
        <w:rPr>
          <w:b w:val="0"/>
          <w:i w:val="0"/>
        </w:rPr>
        <w:t>posttraumatic stress, 132</w:t>
      </w:r>
    </w:p>
    <w:p>
      <w:pPr>
        <w:pStyle w:val="ListBullet"/>
      </w:pPr>
      <w:r>
        <w:rPr>
          <w:b w:val="0"/>
          <w:i w:val="0"/>
        </w:rPr>
        <w:t>private companies, sustainability strategies of, 10</w:t>
      </w:r>
    </w:p>
    <w:p>
      <w:pPr>
        <w:pStyle w:val="ListBullet"/>
      </w:pPr>
      <w:r>
        <w:rPr>
          <w:b w:val="0"/>
          <w:i w:val="0"/>
        </w:rPr>
        <w:t>product design, degrowth-adapted, 86–87, 90</w:t>
      </w:r>
    </w:p>
    <w:p>
      <w:pPr>
        <w:pStyle w:val="ListBullet"/>
      </w:pPr>
      <w:r>
        <w:rPr>
          <w:b w:val="0"/>
          <w:i w:val="0"/>
        </w:rPr>
        <w:t>profit</w:t>
      </w:r>
    </w:p>
    <w:p>
      <w:pPr>
        <w:pStyle w:val="ListBullet"/>
      </w:pPr>
      <w:r>
        <w:rPr>
          <w:b w:val="0"/>
          <w:i w:val="0"/>
        </w:rPr>
        <w:t>quest for, 69–70</w:t>
      </w:r>
    </w:p>
    <w:p>
      <w:pPr>
        <w:pStyle w:val="ListBullet"/>
      </w:pPr>
      <w:r>
        <w:rPr>
          <w:b w:val="0"/>
          <w:i w:val="0"/>
        </w:rPr>
        <w:t>sustainability and, 19</w:t>
      </w:r>
    </w:p>
    <w:p>
      <w:pPr>
        <w:pStyle w:val="ListBullet"/>
      </w:pPr>
      <w:r>
        <w:rPr>
          <w:b w:val="0"/>
          <w:i w:val="0"/>
        </w:rPr>
        <w:t>“Project Ara” (Google), 88–89</w:t>
      </w:r>
    </w:p>
    <w:p>
      <w:pPr>
        <w:pStyle w:val="ListBullet"/>
      </w:pPr>
      <w:r>
        <w:rPr>
          <w:b w:val="0"/>
          <w:i w:val="0"/>
        </w:rPr>
        <w:t>proof-of-stake blockchain systems, 110–111, 113</w:t>
      </w:r>
    </w:p>
    <w:p>
      <w:pPr>
        <w:pStyle w:val="ListBullet"/>
      </w:pPr>
      <w:r>
        <w:rPr>
          <w:b w:val="0"/>
          <w:i w:val="0"/>
        </w:rPr>
        <w:t>proof-of-work blockchain systems, 110–112</w:t>
      </w:r>
    </w:p>
    <w:p>
      <w:pPr>
        <w:pStyle w:val="ListBullet"/>
      </w:pPr>
      <w:r>
        <w:rPr>
          <w:b w:val="0"/>
          <w:i w:val="0"/>
        </w:rPr>
        <w:t xml:space="preserve">property. </w:t>
      </w:r>
      <w:r>
        <w:rPr>
          <w:b w:val="0"/>
          <w:i/>
        </w:rPr>
        <w:t>See</w:t>
      </w:r>
      <w:r>
        <w:rPr>
          <w:b w:val="0"/>
          <w:i w:val="0"/>
        </w:rPr>
        <w:t xml:space="preserve"> assets; houses</w:t>
      </w:r>
    </w:p>
    <w:p>
      <w:pPr>
        <w:pStyle w:val="ListBullet"/>
      </w:pPr>
      <w:r>
        <w:rPr>
          <w:b w:val="0"/>
          <w:i w:val="0"/>
        </w:rPr>
        <w:t>public companies, sustainability strategies of, 10</w:t>
      </w:r>
    </w:p>
    <w:p>
      <w:pPr>
        <w:pStyle w:val="ListBullet"/>
      </w:pPr>
      <w:r>
        <w:rPr>
          <w:b w:val="0"/>
          <w:i w:val="0"/>
        </w:rPr>
        <w:t>purchasing power, 22–23</w:t>
      </w:r>
    </w:p>
    <w:p>
      <w:pPr>
        <w:pStyle w:val="ListBullet"/>
      </w:pPr>
      <w:r>
        <w:rPr>
          <w:b w:val="0"/>
          <w:i w:val="0"/>
        </w:rPr>
        <w:t>railroads, 70</w:t>
      </w:r>
    </w:p>
    <w:p>
      <w:pPr>
        <w:pStyle w:val="ListBullet"/>
      </w:pPr>
      <w:r>
        <w:rPr>
          <w:b w:val="0"/>
          <w:i w:val="0"/>
        </w:rPr>
        <w:t>RE100, 98</w:t>
      </w:r>
    </w:p>
    <w:p>
      <w:pPr>
        <w:pStyle w:val="ListBullet"/>
      </w:pPr>
      <w:r>
        <w:rPr>
          <w:b w:val="0"/>
          <w:i w:val="0"/>
        </w:rPr>
        <w:t>Real Estate Investment Trusts, 120</w:t>
      </w:r>
    </w:p>
    <w:p>
      <w:pPr>
        <w:pStyle w:val="ListBullet"/>
      </w:pPr>
      <w:r>
        <w:rPr>
          <w:b w:val="0"/>
          <w:i w:val="0"/>
        </w:rPr>
        <w:t>rebound, design features for, 119, 122</w:t>
      </w:r>
    </w:p>
    <w:p>
      <w:pPr>
        <w:pStyle w:val="ListBullet"/>
      </w:pPr>
      <w:r>
        <w:rPr>
          <w:b w:val="0"/>
          <w:i w:val="0"/>
        </w:rPr>
        <w:t>rebuilding, 120, 122</w:t>
      </w:r>
    </w:p>
    <w:p>
      <w:pPr>
        <w:pStyle w:val="ListBullet"/>
      </w:pPr>
      <w:r>
        <w:rPr>
          <w:b w:val="0"/>
          <w:i w:val="0"/>
        </w:rPr>
        <w:t>recyclable vehicles, 87</w:t>
      </w:r>
    </w:p>
    <w:p>
      <w:pPr>
        <w:pStyle w:val="ListBullet"/>
      </w:pPr>
      <w:r>
        <w:rPr>
          <w:b w:val="0"/>
          <w:i w:val="0"/>
        </w:rPr>
        <w:t xml:space="preserve">reducing carbon emissions. </w:t>
      </w:r>
      <w:r>
        <w:rPr>
          <w:b w:val="0"/>
          <w:i/>
        </w:rPr>
        <w:t>See</w:t>
      </w:r>
      <w:r>
        <w:rPr>
          <w:b w:val="0"/>
          <w:i w:val="0"/>
        </w:rPr>
        <w:t xml:space="preserve"> carbon reduction</w:t>
      </w:r>
    </w:p>
    <w:p>
      <w:pPr>
        <w:pStyle w:val="ListBullet"/>
      </w:pPr>
      <w:r>
        <w:rPr>
          <w:b w:val="0"/>
          <w:i w:val="0"/>
        </w:rPr>
        <w:t>“regulatory distance,” 46</w:t>
      </w:r>
    </w:p>
    <w:p>
      <w:pPr>
        <w:pStyle w:val="ListBullet"/>
      </w:pPr>
      <w:r>
        <w:rPr>
          <w:b w:val="0"/>
          <w:i w:val="0"/>
        </w:rPr>
        <w:t>reinforcement, investing in, 118, 122</w:t>
      </w:r>
    </w:p>
    <w:p>
      <w:pPr>
        <w:pStyle w:val="ListBullet"/>
      </w:pPr>
      <w:r>
        <w:rPr>
          <w:b w:val="0"/>
          <w:i w:val="0"/>
        </w:rPr>
        <w:t>renewable energy</w:t>
      </w:r>
    </w:p>
    <w:p>
      <w:pPr>
        <w:pStyle w:val="ListBullet"/>
      </w:pPr>
      <w:r>
        <w:rPr>
          <w:b w:val="0"/>
          <w:i w:val="0"/>
        </w:rPr>
        <w:t>companies committed to switching, 94, 98–99</w:t>
      </w:r>
    </w:p>
    <w:p>
      <w:pPr>
        <w:pStyle w:val="ListBullet"/>
      </w:pPr>
      <w:r>
        <w:rPr>
          <w:b w:val="0"/>
          <w:i w:val="0"/>
        </w:rPr>
        <w:t>cost advantage created by, 14</w:t>
      </w:r>
    </w:p>
    <w:p>
      <w:pPr>
        <w:pStyle w:val="ListBullet"/>
      </w:pPr>
      <w:r>
        <w:rPr>
          <w:b w:val="0"/>
          <w:i w:val="0"/>
        </w:rPr>
        <w:t>for cryptomining, 109–110</w:t>
      </w:r>
    </w:p>
    <w:p>
      <w:pPr>
        <w:pStyle w:val="ListBullet"/>
      </w:pPr>
      <w:r>
        <w:rPr>
          <w:b w:val="0"/>
          <w:i w:val="0"/>
        </w:rPr>
        <w:t>driving up demand for, 98</w:t>
      </w:r>
    </w:p>
    <w:p>
      <w:pPr>
        <w:pStyle w:val="ListBullet"/>
      </w:pPr>
      <w:r>
        <w:rPr>
          <w:b w:val="0"/>
          <w:i w:val="0"/>
        </w:rPr>
        <w:t>green bonds funding, 53</w:t>
      </w:r>
    </w:p>
    <w:p>
      <w:pPr>
        <w:pStyle w:val="ListBullet"/>
      </w:pPr>
      <w:r>
        <w:rPr>
          <w:b w:val="0"/>
          <w:i w:val="0"/>
        </w:rPr>
        <w:t>investing in, 33</w:t>
      </w:r>
    </w:p>
    <w:p>
      <w:pPr>
        <w:pStyle w:val="ListBullet"/>
      </w:pPr>
      <w:r>
        <w:rPr>
          <w:b w:val="0"/>
          <w:i w:val="0"/>
        </w:rPr>
        <w:t>suppliers using, 19–21</w:t>
      </w:r>
    </w:p>
    <w:p>
      <w:pPr>
        <w:pStyle w:val="ListBullet"/>
      </w:pPr>
      <w:r>
        <w:rPr>
          <w:b w:val="0"/>
          <w:i w:val="0"/>
        </w:rPr>
        <w:t>rescue efforts, 131</w:t>
      </w:r>
    </w:p>
    <w:p>
      <w:pPr>
        <w:pStyle w:val="ListBullet"/>
      </w:pPr>
      <w:r>
        <w:rPr>
          <w:b w:val="0"/>
          <w:i w:val="0"/>
        </w:rPr>
        <w:t>research and development, 16, 35, 61</w:t>
      </w:r>
    </w:p>
    <w:p>
      <w:pPr>
        <w:pStyle w:val="ListBullet"/>
      </w:pPr>
      <w:r>
        <w:rPr>
          <w:b w:val="0"/>
          <w:i w:val="0"/>
        </w:rPr>
        <w:t>research-backed obligations (RBO) bonds, 61–62</w:t>
      </w:r>
    </w:p>
    <w:p>
      <w:pPr>
        <w:pStyle w:val="ListBullet"/>
      </w:pPr>
      <w:r>
        <w:rPr>
          <w:b w:val="0"/>
          <w:i w:val="0"/>
        </w:rPr>
        <w:t>resilience</w:t>
      </w:r>
    </w:p>
    <w:p>
      <w:pPr>
        <w:pStyle w:val="ListBullet"/>
      </w:pPr>
      <w:r>
        <w:rPr>
          <w:b w:val="0"/>
          <w:i w:val="0"/>
        </w:rPr>
        <w:t>enemies of, 133</w:t>
      </w:r>
    </w:p>
    <w:p>
      <w:pPr>
        <w:pStyle w:val="ListBullet"/>
      </w:pPr>
      <w:r>
        <w:rPr>
          <w:b w:val="0"/>
          <w:i w:val="0"/>
        </w:rPr>
        <w:t>investing in, 4, 117, 118</w:t>
      </w:r>
    </w:p>
    <w:p>
      <w:pPr>
        <w:pStyle w:val="ListBullet"/>
      </w:pPr>
      <w:r>
        <w:rPr>
          <w:b w:val="0"/>
          <w:i w:val="0"/>
        </w:rPr>
        <w:t>of leaders, 133</w:t>
      </w:r>
    </w:p>
    <w:p>
      <w:pPr>
        <w:pStyle w:val="ListBullet"/>
      </w:pPr>
      <w:r>
        <w:rPr>
          <w:b w:val="0"/>
          <w:i w:val="0"/>
        </w:rPr>
        <w:t>organizational, 125–135</w:t>
      </w:r>
    </w:p>
    <w:p>
      <w:pPr>
        <w:pStyle w:val="ListBullet"/>
      </w:pPr>
      <w:r>
        <w:rPr>
          <w:b w:val="0"/>
          <w:i w:val="0"/>
        </w:rPr>
        <w:t>post-disaster, 133</w:t>
      </w:r>
    </w:p>
    <w:p>
      <w:pPr>
        <w:pStyle w:val="ListBullet"/>
      </w:pPr>
      <w:r>
        <w:rPr>
          <w:b w:val="0"/>
          <w:i w:val="0"/>
        </w:rPr>
        <w:t>restricting buildings, 120–121, 122</w:t>
      </w:r>
    </w:p>
    <w:p>
      <w:pPr>
        <w:pStyle w:val="ListBullet"/>
      </w:pPr>
      <w:r>
        <w:rPr>
          <w:b w:val="0"/>
          <w:i w:val="0"/>
        </w:rPr>
        <w:t>retreat, by moving assets, 119, 122</w:t>
      </w:r>
    </w:p>
    <w:p>
      <w:pPr>
        <w:pStyle w:val="ListBullet"/>
      </w:pPr>
      <w:r>
        <w:rPr>
          <w:b w:val="0"/>
          <w:i w:val="0"/>
        </w:rPr>
        <w:t>“The Return of Nature: How Technology Liberates the Environment” (Ausubel), 67</w:t>
      </w:r>
    </w:p>
    <w:p>
      <w:pPr>
        <w:pStyle w:val="ListBullet"/>
      </w:pPr>
      <w:r>
        <w:rPr>
          <w:b w:val="0"/>
          <w:i w:val="0"/>
        </w:rPr>
        <w:t>return on investment (ROI), 9, 32</w:t>
      </w:r>
    </w:p>
    <w:p>
      <w:pPr>
        <w:pStyle w:val="ListBullet"/>
      </w:pPr>
      <w:r>
        <w:rPr>
          <w:b w:val="0"/>
          <w:i w:val="0"/>
        </w:rPr>
        <w:t>Rio Tinto, 22</w:t>
      </w:r>
    </w:p>
    <w:p>
      <w:pPr>
        <w:pStyle w:val="ListBullet"/>
      </w:pPr>
      <w:r>
        <w:rPr>
          <w:b w:val="0"/>
          <w:i w:val="0"/>
        </w:rPr>
        <w:t>risk assessment, 126</w:t>
      </w:r>
    </w:p>
    <w:p>
      <w:pPr>
        <w:pStyle w:val="ListBullet"/>
      </w:pPr>
      <w:r>
        <w:rPr>
          <w:b w:val="0"/>
          <w:i w:val="0"/>
        </w:rPr>
        <w:t>risk-sharing impact bonds, 55–57, 63</w:t>
      </w:r>
    </w:p>
    <w:p>
      <w:pPr>
        <w:pStyle w:val="ListBullet"/>
      </w:pPr>
      <w:r>
        <w:rPr>
          <w:b w:val="0"/>
          <w:i w:val="0"/>
        </w:rPr>
        <w:t>Rockefeller Foundation, 55</w:t>
      </w:r>
    </w:p>
    <w:p>
      <w:pPr>
        <w:pStyle w:val="ListBullet"/>
      </w:pPr>
      <w:r>
        <w:rPr>
          <w:b w:val="0"/>
          <w:i w:val="0"/>
        </w:rPr>
        <w:t>Roulet, Thomas, 83–90</w:t>
      </w:r>
    </w:p>
    <w:p>
      <w:pPr>
        <w:pStyle w:val="ListBullet"/>
      </w:pPr>
      <w:r>
        <w:rPr>
          <w:b w:val="0"/>
          <w:i w:val="0"/>
        </w:rPr>
        <w:t>Schneider, Mark (executive), 35</w:t>
      </w:r>
    </w:p>
    <w:p>
      <w:pPr>
        <w:pStyle w:val="ListBullet"/>
      </w:pPr>
      <w:r>
        <w:rPr>
          <w:b w:val="0"/>
          <w:i w:val="0"/>
        </w:rPr>
        <w:t>school climate strikes, 136</w:t>
      </w:r>
    </w:p>
    <w:p>
      <w:pPr>
        <w:pStyle w:val="ListBullet"/>
      </w:pPr>
      <w:r>
        <w:rPr>
          <w:b w:val="0"/>
          <w:i w:val="0"/>
        </w:rPr>
        <w:t>school desegregation, 137</w:t>
      </w:r>
    </w:p>
    <w:p>
      <w:pPr>
        <w:pStyle w:val="ListBullet"/>
      </w:pPr>
      <w:r>
        <w:rPr>
          <w:b w:val="0"/>
          <w:i w:val="0"/>
        </w:rPr>
        <w:t>school shootings, 137–138</w:t>
      </w:r>
    </w:p>
    <w:p>
      <w:pPr>
        <w:pStyle w:val="ListBullet"/>
      </w:pPr>
      <w:r>
        <w:rPr>
          <w:b w:val="0"/>
          <w:i w:val="0"/>
        </w:rPr>
        <w:t>sea-level rise, 12</w:t>
      </w:r>
      <w:r>
        <w:rPr>
          <w:b w:val="0"/>
          <w:i/>
        </w:rPr>
        <w:t>f</w:t>
      </w:r>
    </w:p>
    <w:p>
      <w:pPr>
        <w:pStyle w:val="ListBullet"/>
      </w:pPr>
      <w:r>
        <w:rPr>
          <w:b w:val="0"/>
          <w:i w:val="0"/>
        </w:rPr>
        <w:t>Seventh Generation, 26</w:t>
      </w:r>
    </w:p>
    <w:p>
      <w:pPr>
        <w:pStyle w:val="ListBullet"/>
      </w:pPr>
      <w:r>
        <w:rPr>
          <w:b w:val="0"/>
          <w:i w:val="0"/>
        </w:rPr>
        <w:t>shareholder primacy, 7</w:t>
      </w:r>
    </w:p>
    <w:p>
      <w:pPr>
        <w:pStyle w:val="ListBullet"/>
      </w:pPr>
      <w:r>
        <w:rPr>
          <w:b w:val="0"/>
          <w:i w:val="0"/>
        </w:rPr>
        <w:t>Shell, 100</w:t>
      </w:r>
    </w:p>
    <w:p>
      <w:pPr>
        <w:pStyle w:val="ListBullet"/>
      </w:pPr>
      <w:r>
        <w:rPr>
          <w:b w:val="0"/>
          <w:i w:val="0"/>
        </w:rPr>
        <w:t>shipbuilding, 70</w:t>
      </w:r>
    </w:p>
    <w:p>
      <w:pPr>
        <w:pStyle w:val="ListBullet"/>
      </w:pPr>
      <w:r>
        <w:rPr>
          <w:b w:val="0"/>
          <w:i w:val="0"/>
        </w:rPr>
        <w:t>Siemens, 14</w:t>
      </w:r>
    </w:p>
    <w:p>
      <w:pPr>
        <w:pStyle w:val="ListBullet"/>
      </w:pPr>
      <w:r>
        <w:rPr>
          <w:b w:val="0"/>
          <w:i w:val="0"/>
        </w:rPr>
        <w:t>Sixup, 60–61</w:t>
      </w:r>
    </w:p>
    <w:p>
      <w:pPr>
        <w:pStyle w:val="ListBullet"/>
      </w:pPr>
      <w:r>
        <w:rPr>
          <w:b w:val="0"/>
          <w:i w:val="0"/>
        </w:rPr>
        <w:t>smartphones, 76–77, 86–87</w:t>
      </w:r>
    </w:p>
    <w:p>
      <w:pPr>
        <w:pStyle w:val="ListBullet"/>
      </w:pPr>
      <w:r>
        <w:rPr>
          <w:b w:val="0"/>
          <w:i w:val="0"/>
        </w:rPr>
        <w:t>social media, 131, 137</w:t>
      </w:r>
    </w:p>
    <w:p>
      <w:pPr>
        <w:pStyle w:val="ListBullet"/>
      </w:pPr>
      <w:r>
        <w:rPr>
          <w:b w:val="0"/>
          <w:i w:val="0"/>
        </w:rPr>
        <w:t>social movements, 137</w:t>
      </w:r>
    </w:p>
    <w:p>
      <w:pPr>
        <w:pStyle w:val="ListBullet"/>
      </w:pPr>
      <w:r>
        <w:rPr>
          <w:b w:val="0"/>
          <w:i w:val="0"/>
        </w:rPr>
        <w:t>social purpose, 7, 8</w:t>
      </w:r>
    </w:p>
    <w:p>
      <w:pPr>
        <w:pStyle w:val="ListBullet"/>
      </w:pPr>
      <w:r>
        <w:rPr>
          <w:b w:val="0"/>
          <w:i w:val="0"/>
        </w:rPr>
        <w:t>socially active index funds, 57–59, 63–64</w:t>
      </w:r>
    </w:p>
    <w:p>
      <w:pPr>
        <w:pStyle w:val="ListBullet"/>
      </w:pPr>
      <w:r>
        <w:rPr>
          <w:b w:val="0"/>
          <w:i w:val="0"/>
        </w:rPr>
        <w:t>socially responsible investment, 53–64</w:t>
      </w:r>
    </w:p>
    <w:p>
      <w:pPr>
        <w:pStyle w:val="ListBullet"/>
      </w:pPr>
      <w:r>
        <w:rPr>
          <w:b w:val="0"/>
          <w:i w:val="0"/>
        </w:rPr>
        <w:t>societal argument, for climate actions, 7–8</w:t>
      </w:r>
    </w:p>
    <w:p>
      <w:pPr>
        <w:pStyle w:val="ListBullet"/>
      </w:pPr>
      <w:r>
        <w:rPr>
          <w:b w:val="0"/>
          <w:i w:val="0"/>
        </w:rPr>
        <w:t>stakeholder engagement, 87–88</w:t>
      </w:r>
    </w:p>
    <w:p>
      <w:pPr>
        <w:pStyle w:val="ListBullet"/>
      </w:pPr>
      <w:r>
        <w:rPr>
          <w:b w:val="0"/>
          <w:i w:val="0"/>
        </w:rPr>
        <w:t>stakeholders</w:t>
      </w:r>
    </w:p>
    <w:p>
      <w:pPr>
        <w:pStyle w:val="ListBullet"/>
      </w:pPr>
      <w:r>
        <w:rPr>
          <w:b w:val="0"/>
          <w:i w:val="0"/>
        </w:rPr>
        <w:t>relationships with, 18–31, 39</w:t>
      </w:r>
    </w:p>
    <w:p>
      <w:pPr>
        <w:pStyle w:val="ListBullet"/>
      </w:pPr>
      <w:r>
        <w:rPr>
          <w:b w:val="0"/>
          <w:i w:val="0"/>
        </w:rPr>
        <w:t>signaling commitment to climate action to, 98, 104–105</w:t>
      </w:r>
    </w:p>
    <w:p>
      <w:pPr>
        <w:pStyle w:val="ListBullet"/>
      </w:pPr>
      <w:r>
        <w:rPr>
          <w:b w:val="0"/>
          <w:i w:val="0"/>
        </w:rPr>
        <w:t>sustainability demands of, 8</w:t>
      </w:r>
    </w:p>
    <w:p>
      <w:pPr>
        <w:pStyle w:val="ListBullet"/>
      </w:pPr>
      <w:r>
        <w:rPr>
          <w:b w:val="0"/>
          <w:i w:val="0"/>
        </w:rPr>
        <w:t>Stiglitz, Joseph, 84</w:t>
      </w:r>
    </w:p>
    <w:p>
      <w:pPr>
        <w:pStyle w:val="ListBullet"/>
      </w:pPr>
      <w:r>
        <w:rPr>
          <w:b w:val="0"/>
          <w:i w:val="0"/>
        </w:rPr>
        <w:t>stormwater runoff, 56–57</w:t>
      </w:r>
    </w:p>
    <w:p>
      <w:pPr>
        <w:pStyle w:val="ListBullet"/>
      </w:pPr>
      <w:r>
        <w:rPr>
          <w:b w:val="0"/>
          <w:i w:val="0"/>
        </w:rPr>
        <w:t>stress, posttraumatic, 132</w:t>
      </w:r>
    </w:p>
    <w:p>
      <w:pPr>
        <w:pStyle w:val="ListBullet"/>
      </w:pPr>
      <w:r>
        <w:rPr>
          <w:b w:val="0"/>
          <w:i w:val="0"/>
        </w:rPr>
        <w:t>students, climate marches by, 136</w:t>
      </w:r>
    </w:p>
    <w:p>
      <w:pPr>
        <w:pStyle w:val="ListBullet"/>
      </w:pPr>
      <w:r>
        <w:rPr>
          <w:b w:val="0"/>
          <w:i w:val="0"/>
        </w:rPr>
        <w:t>subsidies, to clean technology, 16</w:t>
      </w:r>
    </w:p>
    <w:p>
      <w:pPr>
        <w:pStyle w:val="ListBullet"/>
      </w:pPr>
      <w:r>
        <w:rPr>
          <w:b w:val="0"/>
          <w:i w:val="0"/>
        </w:rPr>
        <w:t>substitution effect, 70</w:t>
      </w:r>
    </w:p>
    <w:p>
      <w:pPr>
        <w:pStyle w:val="ListBullet"/>
      </w:pPr>
      <w:r>
        <w:rPr>
          <w:b w:val="0"/>
          <w:i w:val="0"/>
        </w:rPr>
        <w:t>Sunrise Movement, 136</w:t>
      </w:r>
    </w:p>
    <w:p>
      <w:pPr>
        <w:pStyle w:val="ListBullet"/>
      </w:pPr>
      <w:r>
        <w:rPr>
          <w:b w:val="0"/>
          <w:i w:val="0"/>
        </w:rPr>
        <w:t>suppliers</w:t>
      </w:r>
    </w:p>
    <w:p>
      <w:pPr>
        <w:pStyle w:val="ListBullet"/>
      </w:pPr>
      <w:r>
        <w:rPr>
          <w:b w:val="0"/>
          <w:i w:val="0"/>
        </w:rPr>
        <w:t>financial assistance to, 19–21</w:t>
      </w:r>
    </w:p>
    <w:p>
      <w:pPr>
        <w:pStyle w:val="ListBullet"/>
      </w:pPr>
      <w:r>
        <w:rPr>
          <w:b w:val="0"/>
          <w:i w:val="0"/>
        </w:rPr>
        <w:t>renewable energy used by, 19–21</w:t>
      </w:r>
    </w:p>
    <w:p>
      <w:pPr>
        <w:pStyle w:val="ListBullet"/>
      </w:pPr>
      <w:r>
        <w:rPr>
          <w:b w:val="0"/>
          <w:i w:val="0"/>
        </w:rPr>
        <w:t>sustainability of, 18–23</w:t>
      </w:r>
    </w:p>
    <w:p>
      <w:pPr>
        <w:pStyle w:val="ListBullet"/>
      </w:pPr>
      <w:r>
        <w:rPr>
          <w:b w:val="0"/>
          <w:i w:val="0"/>
        </w:rPr>
        <w:t>supply-chain climate leadership, 19–23</w:t>
      </w:r>
    </w:p>
    <w:p>
      <w:pPr>
        <w:pStyle w:val="ListBullet"/>
      </w:pPr>
      <w:r>
        <w:rPr>
          <w:b w:val="0"/>
          <w:i w:val="0"/>
        </w:rPr>
        <w:t>sustainability</w:t>
      </w:r>
    </w:p>
    <w:p>
      <w:pPr>
        <w:pStyle w:val="ListBullet"/>
      </w:pPr>
      <w:r>
        <w:rPr>
          <w:b w:val="0"/>
          <w:i w:val="0"/>
        </w:rPr>
        <w:t>company strategies for, 10</w:t>
      </w:r>
    </w:p>
    <w:p>
      <w:pPr>
        <w:pStyle w:val="ListBullet"/>
      </w:pPr>
      <w:r>
        <w:rPr>
          <w:b w:val="0"/>
          <w:i w:val="0"/>
        </w:rPr>
        <w:t>of cryptocurrency, 107–113</w:t>
      </w:r>
    </w:p>
    <w:p>
      <w:pPr>
        <w:pStyle w:val="ListBullet"/>
      </w:pPr>
      <w:r>
        <w:rPr>
          <w:b w:val="0"/>
          <w:i w:val="0"/>
        </w:rPr>
        <w:t>customers and, 8, 23–28</w:t>
      </w:r>
    </w:p>
    <w:p>
      <w:pPr>
        <w:pStyle w:val="ListBullet"/>
      </w:pPr>
      <w:r>
        <w:rPr>
          <w:b w:val="0"/>
          <w:i w:val="0"/>
        </w:rPr>
        <w:t>employees and, 8, 28–31</w:t>
      </w:r>
    </w:p>
    <w:p>
      <w:pPr>
        <w:pStyle w:val="ListBullet"/>
      </w:pPr>
      <w:r>
        <w:rPr>
          <w:b w:val="0"/>
          <w:i w:val="0"/>
        </w:rPr>
        <w:t>rethinking business models for, 30–37, 39</w:t>
      </w:r>
    </w:p>
    <w:p>
      <w:pPr>
        <w:pStyle w:val="ListBullet"/>
      </w:pPr>
      <w:r>
        <w:rPr>
          <w:b w:val="0"/>
          <w:i w:val="0"/>
        </w:rPr>
        <w:t>stakeholders and, 8</w:t>
      </w:r>
    </w:p>
    <w:p>
      <w:pPr>
        <w:pStyle w:val="ListBullet"/>
      </w:pPr>
      <w:r>
        <w:rPr>
          <w:b w:val="0"/>
          <w:i w:val="0"/>
        </w:rPr>
        <w:t>of suppliers, 18–23</w:t>
      </w:r>
    </w:p>
    <w:p>
      <w:pPr>
        <w:pStyle w:val="ListBullet"/>
      </w:pPr>
      <w:r>
        <w:rPr>
          <w:b w:val="0"/>
          <w:i w:val="0"/>
        </w:rPr>
        <w:t>Sustainable Brands, 26</w:t>
      </w:r>
    </w:p>
    <w:p>
      <w:pPr>
        <w:pStyle w:val="ListBullet"/>
      </w:pPr>
      <w:r>
        <w:rPr>
          <w:b w:val="0"/>
          <w:i w:val="0"/>
        </w:rPr>
        <w:t>sustainable investment, 27, 31–37, 39, 95–96</w:t>
      </w:r>
    </w:p>
    <w:p>
      <w:pPr>
        <w:pStyle w:val="ListBullet"/>
      </w:pPr>
      <w:r>
        <w:rPr>
          <w:b w:val="0"/>
          <w:i w:val="0"/>
        </w:rPr>
        <w:t>Sustainalytics, 58</w:t>
      </w:r>
    </w:p>
    <w:p>
      <w:pPr>
        <w:pStyle w:val="ListBullet"/>
      </w:pPr>
      <w:r>
        <w:rPr>
          <w:b w:val="0"/>
          <w:i w:val="0"/>
        </w:rPr>
        <w:t>Sweden</w:t>
      </w:r>
    </w:p>
    <w:p>
      <w:pPr>
        <w:pStyle w:val="ListBullet"/>
      </w:pPr>
      <w:r>
        <w:rPr>
          <w:b w:val="0"/>
          <w:i w:val="0"/>
        </w:rPr>
        <w:t>ban on internal combustion engines in, 17</w:t>
      </w:r>
    </w:p>
    <w:p>
      <w:pPr>
        <w:pStyle w:val="ListBullet"/>
      </w:pPr>
      <w:r>
        <w:rPr>
          <w:b w:val="0"/>
          <w:i w:val="0"/>
        </w:rPr>
        <w:t>“flight shaming” in, 85, 86</w:t>
      </w:r>
    </w:p>
    <w:p>
      <w:pPr>
        <w:pStyle w:val="ListBullet"/>
      </w:pPr>
      <w:r>
        <w:rPr>
          <w:b w:val="0"/>
          <w:i w:val="0"/>
        </w:rPr>
        <w:t>Swiss Re, 3</w:t>
      </w:r>
    </w:p>
    <w:p>
      <w:pPr>
        <w:pStyle w:val="ListBullet"/>
      </w:pPr>
      <w:r>
        <w:rPr>
          <w:b w:val="0"/>
          <w:i/>
        </w:rPr>
        <w:t>T</w:t>
      </w:r>
      <w:r>
        <w:rPr>
          <w:b w:val="0"/>
          <w:i w:val="0"/>
        </w:rPr>
        <w:t>å</w:t>
      </w:r>
      <w:r>
        <w:rPr>
          <w:b w:val="0"/>
          <w:i/>
        </w:rPr>
        <w:t>gskryt</w:t>
      </w:r>
      <w:r>
        <w:rPr>
          <w:b w:val="0"/>
          <w:i w:val="0"/>
        </w:rPr>
        <w:t xml:space="preserve"> (“train brag”), 86</w:t>
      </w:r>
    </w:p>
    <w:p>
      <w:pPr>
        <w:pStyle w:val="ListBullet"/>
      </w:pPr>
      <w:r>
        <w:rPr>
          <w:b w:val="0"/>
          <w:i w:val="0"/>
        </w:rPr>
        <w:t>Target, 21, 22</w:t>
      </w:r>
    </w:p>
    <w:p>
      <w:pPr>
        <w:pStyle w:val="ListBullet"/>
      </w:pPr>
      <w:r>
        <w:rPr>
          <w:b w:val="0"/>
          <w:i w:val="0"/>
        </w:rPr>
        <w:t>Task Force on Climate-related Financial Disclosures (TCFD), 17, 101</w:t>
      </w:r>
    </w:p>
    <w:p>
      <w:pPr>
        <w:pStyle w:val="ListBullet"/>
      </w:pPr>
      <w:r>
        <w:rPr>
          <w:b w:val="0"/>
          <w:i w:val="0"/>
        </w:rPr>
        <w:t>tech companies, choosing business customers, 26–28</w:t>
      </w:r>
    </w:p>
    <w:p>
      <w:pPr>
        <w:pStyle w:val="ListBullet"/>
      </w:pPr>
      <w:r>
        <w:rPr>
          <w:b w:val="0"/>
          <w:i w:val="0"/>
        </w:rPr>
        <w:t>technology</w:t>
      </w:r>
    </w:p>
    <w:p>
      <w:pPr>
        <w:pStyle w:val="ListBullet"/>
      </w:pPr>
      <w:r>
        <w:rPr>
          <w:b w:val="0"/>
          <w:i w:val="0"/>
        </w:rPr>
        <w:t>clean (</w:t>
      </w:r>
      <w:r>
        <w:rPr>
          <w:b w:val="0"/>
          <w:i/>
        </w:rPr>
        <w:t>See</w:t>
      </w:r>
      <w:r>
        <w:rPr>
          <w:b w:val="0"/>
          <w:i w:val="0"/>
        </w:rPr>
        <w:t xml:space="preserve"> clean technology)</w:t>
      </w:r>
    </w:p>
    <w:p>
      <w:pPr>
        <w:pStyle w:val="ListBullet"/>
      </w:pPr>
      <w:r>
        <w:rPr>
          <w:b w:val="0"/>
          <w:i w:val="0"/>
        </w:rPr>
        <w:t>for data backup and connectivity, 130</w:t>
      </w:r>
    </w:p>
    <w:p>
      <w:pPr>
        <w:pStyle w:val="ListBullet"/>
      </w:pPr>
      <w:r>
        <w:rPr>
          <w:b w:val="0"/>
          <w:i w:val="0"/>
        </w:rPr>
        <w:t>and degrowth, 84–85</w:t>
      </w:r>
    </w:p>
    <w:p>
      <w:pPr>
        <w:pStyle w:val="ListBullet"/>
      </w:pPr>
      <w:r>
        <w:rPr>
          <w:b w:val="0"/>
          <w:i w:val="0"/>
        </w:rPr>
        <w:t>and dematerialization possibilities, 70</w:t>
      </w:r>
    </w:p>
    <w:p>
      <w:pPr>
        <w:pStyle w:val="ListBullet"/>
      </w:pPr>
      <w:r>
        <w:rPr>
          <w:b w:val="0"/>
          <w:i w:val="0"/>
        </w:rPr>
        <w:t>progress of, 76–77</w:t>
      </w:r>
    </w:p>
    <w:p>
      <w:pPr>
        <w:pStyle w:val="ListBullet"/>
      </w:pPr>
      <w:r>
        <w:rPr>
          <w:b w:val="0"/>
          <w:i w:val="0"/>
        </w:rPr>
        <w:t xml:space="preserve">temperature increase. </w:t>
      </w:r>
      <w:r>
        <w:rPr>
          <w:b w:val="0"/>
          <w:i/>
        </w:rPr>
        <w:t>See</w:t>
      </w:r>
      <w:r>
        <w:rPr>
          <w:b w:val="0"/>
          <w:i w:val="0"/>
        </w:rPr>
        <w:t xml:space="preserve"> climate change</w:t>
      </w:r>
    </w:p>
    <w:p>
      <w:pPr>
        <w:pStyle w:val="ListBullet"/>
      </w:pPr>
      <w:r>
        <w:rPr>
          <w:b w:val="0"/>
          <w:i w:val="0"/>
        </w:rPr>
        <w:t>Tesla, 88</w:t>
      </w:r>
    </w:p>
    <w:p>
      <w:pPr>
        <w:pStyle w:val="ListBullet"/>
      </w:pPr>
      <w:r>
        <w:rPr>
          <w:b w:val="0"/>
          <w:i w:val="0"/>
        </w:rPr>
        <w:t>Texas Medical Center (TMC), 118</w:t>
      </w:r>
    </w:p>
    <w:p>
      <w:pPr>
        <w:pStyle w:val="ListBullet"/>
      </w:pPr>
      <w:r>
        <w:rPr>
          <w:b w:val="0"/>
          <w:i w:val="0"/>
        </w:rPr>
        <w:t>30 Year Sweatshirt, 87</w:t>
      </w:r>
    </w:p>
    <w:p>
      <w:pPr>
        <w:pStyle w:val="ListBullet"/>
      </w:pPr>
      <w:r>
        <w:rPr>
          <w:b w:val="0"/>
          <w:i w:val="0"/>
        </w:rPr>
        <w:t>Thurnberg, Greta, 136</w:t>
      </w:r>
    </w:p>
    <w:p>
      <w:pPr>
        <w:pStyle w:val="ListBullet"/>
      </w:pPr>
      <w:r>
        <w:rPr>
          <w:b w:val="0"/>
          <w:i w:val="0"/>
        </w:rPr>
        <w:t>timber, 70–72</w:t>
      </w:r>
    </w:p>
    <w:p>
      <w:pPr>
        <w:pStyle w:val="ListBullet"/>
      </w:pPr>
      <w:r>
        <w:rPr>
          <w:b w:val="0"/>
          <w:i w:val="0"/>
        </w:rPr>
        <w:t>Time to Vote initiative, 30</w:t>
      </w:r>
    </w:p>
    <w:p>
      <w:pPr>
        <w:pStyle w:val="ListBullet"/>
      </w:pPr>
      <w:r>
        <w:rPr>
          <w:b w:val="0"/>
          <w:i w:val="0"/>
        </w:rPr>
        <w:t>Tom Cridland (clothing brand), 87</w:t>
      </w:r>
    </w:p>
    <w:p>
      <w:pPr>
        <w:pStyle w:val="ListBullet"/>
      </w:pPr>
      <w:r>
        <w:rPr>
          <w:b w:val="0"/>
          <w:i w:val="0"/>
        </w:rPr>
        <w:t>Topping, Nigel, 93–105</w:t>
      </w:r>
    </w:p>
    <w:p>
      <w:pPr>
        <w:pStyle w:val="ListBullet"/>
      </w:pPr>
      <w:r>
        <w:rPr>
          <w:b w:val="0"/>
          <w:i w:val="0"/>
        </w:rPr>
        <w:t>total land use, 74</w:t>
      </w:r>
    </w:p>
    <w:p>
      <w:pPr>
        <w:pStyle w:val="ListBullet"/>
      </w:pPr>
      <w:r>
        <w:rPr>
          <w:b w:val="0"/>
          <w:i w:val="0"/>
        </w:rPr>
        <w:t>total water use, 74</w:t>
      </w:r>
    </w:p>
    <w:p>
      <w:pPr>
        <w:pStyle w:val="ListBullet"/>
      </w:pPr>
      <w:r>
        <w:rPr>
          <w:b w:val="0"/>
          <w:i w:val="0"/>
        </w:rPr>
        <w:t>trade associations</w:t>
      </w:r>
    </w:p>
    <w:p>
      <w:pPr>
        <w:pStyle w:val="ListBullet"/>
      </w:pPr>
      <w:r>
        <w:rPr>
          <w:b w:val="0"/>
          <w:i w:val="0"/>
        </w:rPr>
        <w:t>lobbying by, 14</w:t>
      </w:r>
    </w:p>
    <w:p>
      <w:pPr>
        <w:pStyle w:val="ListBullet"/>
      </w:pPr>
      <w:r>
        <w:rPr>
          <w:b w:val="0"/>
          <w:i w:val="0"/>
        </w:rPr>
        <w:t>reviewing, 100</w:t>
      </w:r>
    </w:p>
    <w:p>
      <w:pPr>
        <w:pStyle w:val="ListBullet"/>
      </w:pPr>
      <w:r>
        <w:rPr>
          <w:b w:val="0"/>
          <w:i w:val="0"/>
        </w:rPr>
        <w:t>“train brag,” 86</w:t>
      </w:r>
    </w:p>
    <w:p>
      <w:pPr>
        <w:pStyle w:val="ListBullet"/>
      </w:pPr>
      <w:r>
        <w:rPr>
          <w:b w:val="0"/>
          <w:i w:val="0"/>
        </w:rPr>
        <w:t>transformative initiative, 96–97, 104</w:t>
      </w:r>
    </w:p>
    <w:p>
      <w:pPr>
        <w:pStyle w:val="ListBullet"/>
      </w:pPr>
      <w:r>
        <w:rPr>
          <w:b w:val="0"/>
          <w:i w:val="0"/>
        </w:rPr>
        <w:t>transparency</w:t>
      </w:r>
    </w:p>
    <w:p>
      <w:pPr>
        <w:pStyle w:val="ListBullet"/>
      </w:pPr>
      <w:r>
        <w:rPr>
          <w:b w:val="0"/>
          <w:i w:val="0"/>
        </w:rPr>
        <w:t>enabling, 15</w:t>
      </w:r>
    </w:p>
    <w:p>
      <w:pPr>
        <w:pStyle w:val="ListBullet"/>
      </w:pPr>
      <w:r>
        <w:rPr>
          <w:b w:val="0"/>
          <w:i w:val="0"/>
        </w:rPr>
        <w:t>lobbying and, 14</w:t>
      </w:r>
    </w:p>
    <w:p>
      <w:pPr>
        <w:pStyle w:val="ListBullet"/>
      </w:pPr>
      <w:r>
        <w:rPr>
          <w:b w:val="0"/>
          <w:i w:val="0"/>
        </w:rPr>
        <w:t>prioritizing, 17</w:t>
      </w:r>
    </w:p>
    <w:p>
      <w:pPr>
        <w:pStyle w:val="ListBullet"/>
      </w:pPr>
      <w:r>
        <w:rPr>
          <w:b w:val="0"/>
          <w:i w:val="0"/>
        </w:rPr>
        <w:t>transportation sector</w:t>
      </w:r>
    </w:p>
    <w:p>
      <w:pPr>
        <w:pStyle w:val="ListBullet"/>
      </w:pPr>
      <w:r>
        <w:rPr>
          <w:b w:val="0"/>
          <w:i w:val="0"/>
        </w:rPr>
        <w:t>efficient vehicles in, 87</w:t>
      </w:r>
    </w:p>
    <w:p>
      <w:pPr>
        <w:pStyle w:val="ListBullet"/>
      </w:pPr>
      <w:r>
        <w:rPr>
          <w:b w:val="0"/>
          <w:i w:val="0"/>
        </w:rPr>
        <w:t>electric vehicles in, 35, 88, 98</w:t>
      </w:r>
    </w:p>
    <w:p>
      <w:pPr>
        <w:pStyle w:val="ListBullet"/>
      </w:pPr>
      <w:r>
        <w:rPr>
          <w:b w:val="0"/>
          <w:i w:val="0"/>
        </w:rPr>
        <w:t>“flight shaming” in, 85, 86</w:t>
      </w:r>
    </w:p>
    <w:p>
      <w:pPr>
        <w:pStyle w:val="ListBullet"/>
      </w:pPr>
      <w:r>
        <w:rPr>
          <w:b w:val="0"/>
          <w:i w:val="0"/>
        </w:rPr>
        <w:t>tree planting, 33</w:t>
      </w:r>
    </w:p>
    <w:p>
      <w:pPr>
        <w:pStyle w:val="ListBullet"/>
      </w:pPr>
      <w:r>
        <w:rPr>
          <w:b w:val="0"/>
          <w:i w:val="0"/>
        </w:rPr>
        <w:t>Typhoon Haiyan, xiii</w:t>
      </w:r>
    </w:p>
    <w:p>
      <w:pPr>
        <w:pStyle w:val="ListBullet"/>
      </w:pPr>
      <w:r>
        <w:rPr>
          <w:b w:val="0"/>
          <w:i w:val="0"/>
        </w:rPr>
        <w:t>Unilever, 8, 18</w:t>
      </w:r>
    </w:p>
    <w:p>
      <w:pPr>
        <w:pStyle w:val="ListBullet"/>
      </w:pPr>
      <w:r>
        <w:rPr>
          <w:b w:val="0"/>
          <w:i w:val="0"/>
        </w:rPr>
        <w:t>and joint innovation, 21</w:t>
      </w:r>
    </w:p>
    <w:p>
      <w:pPr>
        <w:pStyle w:val="ListBullet"/>
      </w:pPr>
      <w:r>
        <w:rPr>
          <w:b w:val="0"/>
          <w:i w:val="0"/>
        </w:rPr>
        <w:t>on lobbying, 100</w:t>
      </w:r>
    </w:p>
    <w:p>
      <w:pPr>
        <w:pStyle w:val="ListBullet"/>
      </w:pPr>
      <w:r>
        <w:rPr>
          <w:b w:val="0"/>
          <w:i w:val="0"/>
        </w:rPr>
        <w:t>“United for the Paris Agreement,” 11</w:t>
      </w:r>
    </w:p>
    <w:p>
      <w:pPr>
        <w:pStyle w:val="ListBullet"/>
      </w:pPr>
      <w:r>
        <w:rPr>
          <w:b w:val="0"/>
          <w:i w:val="0"/>
        </w:rPr>
        <w:t>United Kingdom (UK), 102</w:t>
      </w:r>
    </w:p>
    <w:p>
      <w:pPr>
        <w:pStyle w:val="ListBullet"/>
      </w:pPr>
      <w:r>
        <w:rPr>
          <w:b w:val="0"/>
          <w:i w:val="0"/>
        </w:rPr>
        <w:t>United Nations (UN)</w:t>
      </w:r>
    </w:p>
    <w:p>
      <w:pPr>
        <w:pStyle w:val="ListBullet"/>
      </w:pPr>
      <w:r>
        <w:rPr>
          <w:b w:val="0"/>
          <w:i w:val="0"/>
        </w:rPr>
        <w:t>on climate action, 4</w:t>
      </w:r>
    </w:p>
    <w:p>
      <w:pPr>
        <w:pStyle w:val="ListBullet"/>
      </w:pPr>
      <w:r>
        <w:rPr>
          <w:b w:val="0"/>
          <w:i w:val="0"/>
        </w:rPr>
        <w:t>office for Disaster Risk Reduction, 130</w:t>
      </w:r>
    </w:p>
    <w:p>
      <w:pPr>
        <w:pStyle w:val="ListBullet"/>
      </w:pPr>
      <w:r>
        <w:rPr>
          <w:b w:val="0"/>
          <w:i w:val="0"/>
        </w:rPr>
        <w:t>Sustainable Development Goals of, 35</w:t>
      </w:r>
    </w:p>
    <w:p>
      <w:pPr>
        <w:pStyle w:val="ListBullet"/>
      </w:pPr>
      <w:r>
        <w:rPr>
          <w:b w:val="0"/>
          <w:i w:val="0"/>
        </w:rPr>
        <w:t>urbanization, 72–73, 80</w:t>
      </w:r>
    </w:p>
    <w:p>
      <w:pPr>
        <w:pStyle w:val="ListBullet"/>
      </w:pPr>
      <w:r>
        <w:rPr>
          <w:b w:val="0"/>
          <w:i w:val="0"/>
        </w:rPr>
        <w:t>U.S. Chamber of Commerce, 15</w:t>
      </w:r>
    </w:p>
    <w:p>
      <w:pPr>
        <w:pStyle w:val="ListBullet"/>
      </w:pPr>
      <w:r>
        <w:rPr>
          <w:b w:val="0"/>
          <w:i w:val="0"/>
        </w:rPr>
        <w:t>validators (blockchain), 110</w:t>
      </w:r>
    </w:p>
    <w:p>
      <w:pPr>
        <w:pStyle w:val="ListBullet"/>
      </w:pPr>
      <w:r>
        <w:rPr>
          <w:b w:val="0"/>
          <w:i w:val="0"/>
        </w:rPr>
        <w:t>value-chain repositioning, 87–88, 90</w:t>
      </w:r>
    </w:p>
    <w:p>
      <w:pPr>
        <w:pStyle w:val="ListBullet"/>
      </w:pPr>
      <w:r>
        <w:rPr>
          <w:b w:val="0"/>
          <w:i w:val="0"/>
        </w:rPr>
        <w:t>values shifts, 138</w:t>
      </w:r>
    </w:p>
    <w:p>
      <w:pPr>
        <w:pStyle w:val="ListBullet"/>
      </w:pPr>
      <w:r>
        <w:rPr>
          <w:b w:val="0"/>
          <w:i w:val="0"/>
        </w:rPr>
        <w:t>Vans, 22</w:t>
      </w:r>
    </w:p>
    <w:p>
      <w:pPr>
        <w:pStyle w:val="ListBullet"/>
      </w:pPr>
      <w:r>
        <w:rPr>
          <w:b w:val="0"/>
          <w:i w:val="0"/>
        </w:rPr>
        <w:t>VDA (lobby group), 100</w:t>
      </w:r>
    </w:p>
    <w:p>
      <w:pPr>
        <w:pStyle w:val="ListBullet"/>
      </w:pPr>
      <w:r>
        <w:rPr>
          <w:b w:val="0"/>
          <w:i w:val="0"/>
        </w:rPr>
        <w:t>Venice (Italy), 119</w:t>
      </w:r>
    </w:p>
    <w:p>
      <w:pPr>
        <w:pStyle w:val="ListBullet"/>
      </w:pPr>
      <w:r>
        <w:rPr>
          <w:b w:val="0"/>
          <w:i w:val="0"/>
        </w:rPr>
        <w:t>VF Corporation, 22</w:t>
      </w:r>
    </w:p>
    <w:p>
      <w:pPr>
        <w:pStyle w:val="ListBullet"/>
      </w:pPr>
      <w:r>
        <w:rPr>
          <w:b w:val="0"/>
          <w:i w:val="0"/>
        </w:rPr>
        <w:t>Viehs, Michael, 43–50</w:t>
      </w:r>
    </w:p>
    <w:p>
      <w:pPr>
        <w:pStyle w:val="ListBullet"/>
      </w:pPr>
      <w:r>
        <w:rPr>
          <w:b w:val="0"/>
          <w:i w:val="0"/>
        </w:rPr>
        <w:t>Volkswagen, 100</w:t>
      </w:r>
    </w:p>
    <w:p>
      <w:pPr>
        <w:pStyle w:val="ListBullet"/>
      </w:pPr>
      <w:r>
        <w:rPr>
          <w:b w:val="0"/>
          <w:i w:val="0"/>
        </w:rPr>
        <w:t>Walmart, 18</w:t>
      </w:r>
    </w:p>
    <w:p>
      <w:pPr>
        <w:pStyle w:val="ListBullet"/>
      </w:pPr>
      <w:r>
        <w:rPr>
          <w:b w:val="0"/>
          <w:i w:val="0"/>
        </w:rPr>
        <w:t>assault rifle ban by, 8</w:t>
      </w:r>
    </w:p>
    <w:p>
      <w:pPr>
        <w:pStyle w:val="ListBullet"/>
      </w:pPr>
      <w:r>
        <w:rPr>
          <w:b w:val="0"/>
          <w:i w:val="0"/>
        </w:rPr>
        <w:t>on degrowth, 88</w:t>
      </w:r>
    </w:p>
    <w:p>
      <w:pPr>
        <w:pStyle w:val="ListBullet"/>
      </w:pPr>
      <w:r>
        <w:rPr>
          <w:b w:val="0"/>
          <w:i w:val="0"/>
        </w:rPr>
        <w:t>employees of, 30</w:t>
      </w:r>
    </w:p>
    <w:p>
      <w:pPr>
        <w:pStyle w:val="ListBullet"/>
      </w:pPr>
      <w:r>
        <w:rPr>
          <w:b w:val="0"/>
          <w:i w:val="0"/>
        </w:rPr>
        <w:t>and joint innovation, 21</w:t>
      </w:r>
    </w:p>
    <w:p>
      <w:pPr>
        <w:pStyle w:val="ListBullet"/>
      </w:pPr>
      <w:r>
        <w:rPr>
          <w:b w:val="0"/>
          <w:i w:val="0"/>
        </w:rPr>
        <w:t>sustainability of suppliers and, 21, 22</w:t>
      </w:r>
    </w:p>
    <w:p>
      <w:pPr>
        <w:pStyle w:val="ListBullet"/>
      </w:pPr>
      <w:r>
        <w:rPr>
          <w:b w:val="0"/>
          <w:i w:val="0"/>
        </w:rPr>
        <w:t>water bonds, 56–57</w:t>
      </w:r>
    </w:p>
    <w:p>
      <w:pPr>
        <w:pStyle w:val="ListBullet"/>
      </w:pPr>
      <w:r>
        <w:rPr>
          <w:b w:val="0"/>
          <w:i w:val="0"/>
        </w:rPr>
        <w:t>water scarcity, 34</w:t>
      </w:r>
      <w:r>
        <w:rPr>
          <w:b w:val="0"/>
          <w:i/>
        </w:rPr>
        <w:t>f</w:t>
      </w:r>
    </w:p>
    <w:p>
      <w:pPr>
        <w:pStyle w:val="ListBullet"/>
      </w:pPr>
      <w:r>
        <w:rPr>
          <w:b w:val="0"/>
          <w:i w:val="0"/>
        </w:rPr>
        <w:t>water uncertainty, 34</w:t>
      </w:r>
      <w:r>
        <w:rPr>
          <w:b w:val="0"/>
          <w:i/>
        </w:rPr>
        <w:t>f</w:t>
      </w:r>
    </w:p>
    <w:p>
      <w:pPr>
        <w:pStyle w:val="ListBullet"/>
      </w:pPr>
      <w:r>
        <w:rPr>
          <w:b w:val="0"/>
          <w:i w:val="0"/>
        </w:rPr>
        <w:t>water use, in agriculture, 74</w:t>
      </w:r>
    </w:p>
    <w:p>
      <w:pPr>
        <w:pStyle w:val="ListBullet"/>
      </w:pPr>
      <w:r>
        <w:rPr>
          <w:b w:val="0"/>
          <w:i w:val="0"/>
        </w:rPr>
        <w:t>“We Are Still In,” 11</w:t>
      </w:r>
    </w:p>
    <w:p>
      <w:pPr>
        <w:pStyle w:val="ListBullet"/>
      </w:pPr>
      <w:r>
        <w:rPr>
          <w:b w:val="0"/>
          <w:i w:val="0"/>
        </w:rPr>
        <w:t>We Mean Business Take Action campaign, 94</w:t>
      </w:r>
    </w:p>
    <w:p>
      <w:pPr>
        <w:pStyle w:val="ListBullet"/>
      </w:pPr>
      <w:r>
        <w:rPr>
          <w:b w:val="0"/>
          <w:i w:val="0"/>
        </w:rPr>
        <w:t>Welsh, Hugh, 14–15</w:t>
      </w:r>
    </w:p>
    <w:p>
      <w:pPr>
        <w:pStyle w:val="ListBullet"/>
      </w:pPr>
      <w:r>
        <w:rPr>
          <w:b w:val="0"/>
          <w:i w:val="0"/>
        </w:rPr>
        <w:t>Whitehouse, Sheldon, 139</w:t>
      </w:r>
    </w:p>
    <w:p>
      <w:pPr>
        <w:pStyle w:val="ListBullet"/>
      </w:pPr>
      <w:r>
        <w:rPr>
          <w:b w:val="0"/>
          <w:i w:val="0"/>
        </w:rPr>
        <w:t>wind farms, 36</w:t>
      </w:r>
    </w:p>
    <w:p>
      <w:pPr>
        <w:pStyle w:val="ListBullet"/>
      </w:pPr>
      <w:r>
        <w:rPr>
          <w:b w:val="0"/>
          <w:i w:val="0"/>
        </w:rPr>
        <w:t>Winston, Andrew, 3–39, 135–141</w:t>
      </w:r>
    </w:p>
    <w:p>
      <w:pPr>
        <w:pStyle w:val="ListBullet"/>
      </w:pPr>
      <w:r>
        <w:rPr>
          <w:b w:val="0"/>
          <w:i w:val="0"/>
        </w:rPr>
        <w:t>workspaces, investing in safe and secure, 128</w:t>
      </w:r>
    </w:p>
    <w:p>
      <w:pPr>
        <w:pStyle w:val="ListBullet"/>
      </w:pPr>
      <w:r>
        <w:rPr>
          <w:b w:val="0"/>
          <w:i w:val="0"/>
        </w:rPr>
        <w:t>World Bank, 53</w:t>
      </w:r>
    </w:p>
    <w:p>
      <w:pPr>
        <w:pStyle w:val="ListBullet"/>
      </w:pPr>
      <w:r>
        <w:rPr>
          <w:b w:val="0"/>
          <w:i w:val="0"/>
        </w:rPr>
        <w:t>World Business Council for Sustainable Development, 97</w:t>
      </w:r>
    </w:p>
    <w:p>
      <w:pPr>
        <w:pStyle w:val="ListBullet"/>
      </w:pPr>
      <w:r>
        <w:rPr>
          <w:b w:val="0"/>
          <w:i w:val="0"/>
        </w:rPr>
        <w:t>World Economic Forum (WEF), 45–46, 136</w:t>
      </w:r>
    </w:p>
    <w:p>
      <w:pPr>
        <w:pStyle w:val="ListBullet"/>
      </w:pPr>
      <w:r>
        <w:rPr>
          <w:b w:val="0"/>
          <w:i w:val="0"/>
        </w:rPr>
        <w:t>YouGov, 85</w:t>
      </w:r>
    </w:p>
    <w:p>
      <w:pPr>
        <w:pStyle w:val="ListBullet"/>
      </w:pPr>
      <w:r>
        <w:rPr>
          <w:b w:val="0"/>
          <w:i w:val="0"/>
        </w:rPr>
        <w:t xml:space="preserve">young people. </w:t>
      </w:r>
      <w:r>
        <w:rPr>
          <w:b w:val="0"/>
          <w:i/>
        </w:rPr>
        <w:t>See also</w:t>
      </w:r>
      <w:r>
        <w:rPr>
          <w:b w:val="0"/>
          <w:i w:val="0"/>
        </w:rPr>
        <w:t xml:space="preserve"> Gen Z; Millennials</w:t>
      </w:r>
    </w:p>
    <w:p>
      <w:pPr>
        <w:pStyle w:val="ListBullet"/>
      </w:pPr>
      <w:r>
        <w:rPr>
          <w:b w:val="0"/>
          <w:i w:val="0"/>
        </w:rPr>
        <w:t>climate actions by, 135–141</w:t>
      </w:r>
    </w:p>
    <w:p>
      <w:pPr>
        <w:pStyle w:val="ListBullet"/>
      </w:pPr>
      <w:r>
        <w:rPr>
          <w:b w:val="0"/>
          <w:i w:val="0"/>
        </w:rPr>
        <w:t>role of, in social movements, 137</w:t>
      </w:r>
    </w:p>
    <w:p>
      <w:pPr>
        <w:pStyle w:val="ListBullet"/>
      </w:pPr>
      <w:r>
        <w:rPr>
          <w:b w:val="0"/>
          <w:i w:val="0"/>
        </w:rPr>
        <w:t>Youth Climate Movement, 26</w:t>
      </w:r>
    </w:p>
    <w:p>
      <w:pPr>
        <w:pStyle w:val="ListBullet"/>
      </w:pPr>
      <w:r>
        <w:rPr>
          <w:b w:val="0"/>
          <w:i w:val="0"/>
        </w:rPr>
        <w:t>zero-carbon economy, 93–105</w:t>
      </w:r>
    </w:p>
    <w:p>
      <w:pPr>
        <w:pStyle w:val="ListBullet"/>
      </w:pPr>
      <w:r>
        <w:rPr>
          <w:b w:val="0"/>
          <w:i w:val="0"/>
        </w:rPr>
        <w:t>climate governance and, 100–101, 105</w:t>
      </w:r>
    </w:p>
    <w:p>
      <w:pPr>
        <w:pStyle w:val="ListBullet"/>
      </w:pPr>
      <w:r>
        <w:rPr>
          <w:b w:val="0"/>
          <w:i w:val="0"/>
        </w:rPr>
        <w:t>commitment to Paris Climate Accords and, 11, 95–96, 104</w:t>
      </w:r>
    </w:p>
    <w:p>
      <w:pPr>
        <w:pStyle w:val="ListBullet"/>
      </w:pPr>
      <w:r>
        <w:rPr>
          <w:b w:val="0"/>
          <w:i w:val="0"/>
        </w:rPr>
        <w:t>commitment to renewable energy and, 94, 98–99</w:t>
      </w:r>
    </w:p>
    <w:p>
      <w:pPr>
        <w:pStyle w:val="ListBullet"/>
      </w:pPr>
      <w:r>
        <w:rPr>
          <w:b w:val="0"/>
          <w:i w:val="0"/>
        </w:rPr>
        <w:t>financial incentive for, 94</w:t>
      </w:r>
    </w:p>
    <w:p>
      <w:pPr>
        <w:pStyle w:val="ListBullet"/>
      </w:pPr>
      <w:r>
        <w:rPr>
          <w:b w:val="0"/>
          <w:i w:val="0"/>
        </w:rPr>
        <w:t>reviewing industry groups for, 99–100, 105</w:t>
      </w:r>
    </w:p>
    <w:p>
      <w:pPr>
        <w:pStyle w:val="ListBullet"/>
      </w:pPr>
      <w:r>
        <w:rPr>
          <w:b w:val="0"/>
          <w:i w:val="0"/>
        </w:rPr>
        <w:t>supporting climate policy and, 101–102, 105, 139, 140</w:t>
      </w:r>
    </w:p>
    <w:p>
      <w:pPr>
        <w:pStyle w:val="ListBullet"/>
      </w:pPr>
      <w:r>
        <w:rPr>
          <w:b w:val="0"/>
          <w:i w:val="0"/>
        </w:rPr>
        <w:t>transformative initiatives and, 96–97, 104</w:t>
      </w:r>
    </w:p>
    <w:p>
      <w:pPr>
        <w:pStyle w:val="ListBullet"/>
      </w:pPr>
      <w:r>
        <w:rPr>
          <w:b w:val="0"/>
          <w:i w:val="0"/>
        </w:rPr>
        <w:t>visibility of climate actions and, 102–103, 105</w:t>
      </w:r>
    </w:p>
    <w:p>
      <w:pPr>
        <w:pStyle w:val="ListBullet"/>
      </w:pPr>
      <w:r>
        <w:rPr>
          <w:b w:val="0"/>
          <w:i w:val="0"/>
        </w:rPr>
        <w:t>Zika virus, xiii</w:t>
      </w:r>
    </w:p>
    <w:p>
      <w:pPr>
        <w:jc w:val="center"/>
      </w:pPr>
      <w:r>
        <w:drawing>
          <wp:inline xmlns:a="http://schemas.openxmlformats.org/drawingml/2006/main" xmlns:pic="http://schemas.openxmlformats.org/drawingml/2006/picture">
            <wp:extent cx="6464300" cy="8890000"/>
            <wp:docPr id="97" name="Picture 97"/>
            <wp:cNvGraphicFramePr>
              <a:graphicFrameLocks noChangeAspect="1"/>
            </wp:cNvGraphicFramePr>
            <a:graphic>
              <a:graphicData uri="http://schemas.openxmlformats.org/drawingml/2006/picture">
                <pic:pic>
                  <pic:nvPicPr>
                    <pic:cNvPr id="0" name="epub_img_1765682018634078932.jpg"/>
                    <pic:cNvPicPr/>
                  </pic:nvPicPr>
                  <pic:blipFill>
                    <a:blip r:embed="rId70"/>
                    <a:stretch>
                      <a:fillRect/>
                    </a:stretch>
                  </pic:blipFill>
                  <pic:spPr>
                    <a:xfrm>
                      <a:off x="0" y="0"/>
                      <a:ext cx="64643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98" name="Picture 98"/>
            <wp:cNvGraphicFramePr>
              <a:graphicFrameLocks noChangeAspect="1"/>
            </wp:cNvGraphicFramePr>
            <a:graphic>
              <a:graphicData uri="http://schemas.openxmlformats.org/drawingml/2006/picture">
                <pic:pic>
                  <pic:nvPicPr>
                    <pic:cNvPr id="0" name="epub_img_7441356833883062829.jpg"/>
                    <pic:cNvPicPr/>
                  </pic:nvPicPr>
                  <pic:blipFill>
                    <a:blip r:embed="rId26"/>
                    <a:stretch>
                      <a:fillRect/>
                    </a:stretch>
                  </pic:blipFill>
                  <pic:spPr>
                    <a:xfrm>
                      <a:off x="0" y="0"/>
                      <a:ext cx="59309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99" name="Picture 99"/>
            <wp:cNvGraphicFramePr>
              <a:graphicFrameLocks noChangeAspect="1"/>
            </wp:cNvGraphicFramePr>
            <a:graphic>
              <a:graphicData uri="http://schemas.openxmlformats.org/drawingml/2006/picture">
                <pic:pic>
                  <pic:nvPicPr>
                    <pic:cNvPr id="0" name="epub_img_2148544655389502306.jpg"/>
                    <pic:cNvPicPr/>
                  </pic:nvPicPr>
                  <pic:blipFill>
                    <a:blip r:embed="rId71"/>
                    <a:stretch>
                      <a:fillRect/>
                    </a:stretch>
                  </pic:blipFill>
                  <pic:spPr>
                    <a:xfrm>
                      <a:off x="0" y="0"/>
                      <a:ext cx="5930900" cy="8890000"/>
                    </a:xfrm>
                    <a:prstGeom prst="rect"/>
                  </pic:spPr>
                </pic:pic>
              </a:graphicData>
            </a:graphic>
          </wp:inline>
        </w:drawing>
      </w:r>
    </w:p>
    <w:p>
      <w:r>
        <w:rPr>
          <w:b w:val="0"/>
          <w:i w:val="0"/>
        </w:rPr>
        <w:t>Insights You Need from Harvard Business Review</w:t>
      </w:r>
    </w:p>
    <w:p>
      <w:r>
        <w:rPr>
          <w:b w:val="0"/>
          <w:i w:val="0"/>
        </w:rPr>
        <w:t>Business is changing. Will you adapt or be left behind?</w:t>
      </w:r>
    </w:p>
    <w:p>
      <w:r>
        <w:rPr>
          <w:b w:val="0"/>
          <w:i w:val="0"/>
        </w:rPr>
        <w:t>Get up to speed and deepen your understanding of the topics that are shaping your company’s future with the Insights You Need from Harvard Business Review series. Featuring HBR’s smartest thinking on fast-moving issues—blockchain, cybersecurity, AI, and more—each book provides the foundational introduction and practical case studies your organization needs to compete today and collects the best research, interviews, and analysis to get it ready for tomorrow.</w:t>
      </w:r>
    </w:p>
    <w:p>
      <w:r>
        <w:rPr>
          <w:b w:val="0"/>
          <w:i w:val="0"/>
        </w:rPr>
        <w:t>You can’t afford to ignore how these issues will transform the landscape of business and society. The Insights You Need series will help you grasp these critical ideas—and prepare you and your company for the future.</w:t>
      </w:r>
    </w:p>
    <w:p>
      <w:r>
        <w:rPr>
          <w:b w:val="0"/>
          <w:i w:val="0"/>
        </w:rPr>
        <w:t>Books in the series include:</w:t>
      </w:r>
    </w:p>
    <w:p>
      <w:r>
        <w:rPr>
          <w:b w:val="0"/>
          <w:i/>
        </w:rPr>
        <w:t>Agile</w:t>
      </w:r>
    </w:p>
    <w:p>
      <w:r>
        <w:rPr>
          <w:b w:val="0"/>
          <w:i/>
        </w:rPr>
        <w:t>Artificial Intelligence</w:t>
      </w:r>
    </w:p>
    <w:p>
      <w:r>
        <w:rPr>
          <w:b w:val="0"/>
          <w:i/>
        </w:rPr>
        <w:t>Blockchain</w:t>
      </w:r>
    </w:p>
    <w:p>
      <w:r>
        <w:rPr>
          <w:b w:val="0"/>
          <w:i/>
        </w:rPr>
        <w:t>Climate Change</w:t>
      </w:r>
    </w:p>
    <w:p>
      <w:r>
        <w:rPr>
          <w:b w:val="0"/>
          <w:i/>
        </w:rPr>
        <w:t>Coronavirus: Leadership and Recovery</w:t>
      </w:r>
    </w:p>
    <w:p>
      <w:r>
        <w:rPr>
          <w:b w:val="0"/>
          <w:i/>
        </w:rPr>
        <w:t>Customer Data and Privacy</w:t>
      </w:r>
    </w:p>
    <w:p>
      <w:r>
        <w:rPr>
          <w:b w:val="0"/>
          <w:i/>
        </w:rPr>
        <w:t>Cybersecurity</w:t>
      </w:r>
    </w:p>
    <w:p>
      <w:r>
        <w:rPr>
          <w:b w:val="0"/>
          <w:i/>
        </w:rPr>
        <w:t>Monopolies and Tech Giants</w:t>
      </w:r>
    </w:p>
    <w:p>
      <w:r>
        <w:rPr>
          <w:b w:val="0"/>
          <w:i/>
        </w:rPr>
        <w:t>Strategic Analytics</w:t>
      </w:r>
    </w:p>
    <w:p>
      <w:r>
        <w:rPr>
          <w:b w:val="0"/>
          <w:i/>
        </w:rPr>
        <w:t>The Year in Tech, 2021</w:t>
      </w:r>
    </w:p>
    <w:p>
      <w:pPr>
        <w:jc w:val="center"/>
      </w:pPr>
      <w:r>
        <w:drawing>
          <wp:inline xmlns:a="http://schemas.openxmlformats.org/drawingml/2006/main" xmlns:pic="http://schemas.openxmlformats.org/drawingml/2006/picture">
            <wp:extent cx="5930900" cy="8890000"/>
            <wp:docPr id="100" name="Picture 100"/>
            <wp:cNvGraphicFramePr>
              <a:graphicFrameLocks noChangeAspect="1"/>
            </wp:cNvGraphicFramePr>
            <a:graphic>
              <a:graphicData uri="http://schemas.openxmlformats.org/drawingml/2006/picture">
                <pic:pic>
                  <pic:nvPicPr>
                    <pic:cNvPr id="0" name="epub_img_4933393625787374012.jpg"/>
                    <pic:cNvPicPr/>
                  </pic:nvPicPr>
                  <pic:blipFill>
                    <a:blip r:embed="rId72"/>
                    <a:stretch>
                      <a:fillRect/>
                    </a:stretch>
                  </pic:blipFill>
                  <pic:spPr>
                    <a:xfrm>
                      <a:off x="0" y="0"/>
                      <a:ext cx="5930900" cy="8890000"/>
                    </a:xfrm>
                    <a:prstGeom prst="rect"/>
                  </pic:spPr>
                </pic:pic>
              </a:graphicData>
            </a:graphic>
          </wp:inline>
        </w:drawing>
      </w:r>
    </w:p>
    <w:p>
      <w:r>
        <w:rPr>
          <w:b/>
          <w:i w:val="0"/>
        </w:rPr>
        <w:t>HBR Press Quantity Sales Discounts</w:t>
      </w:r>
    </w:p>
    <w:p>
      <w:r>
        <w:rPr>
          <w:b w:val="0"/>
          <w:i w:val="0"/>
        </w:rPr>
        <w:t>Harvard Business Review Press titles are available at significant quantity discounts when purchased in bulk for client gifts, sales promotions, and premiums. Special editions, including books with corporate logos, customized covers, and letters from the company or CEO printed in the front matter, as well as excerpts of existing books, can also be created in large quantities for special needs.</w:t>
      </w:r>
    </w:p>
    <w:p>
      <w:r>
        <w:rPr>
          <w:b w:val="0"/>
          <w:i w:val="0"/>
        </w:rPr>
        <w:t>For details and discount information for both print andebook formats, contact booksales@harvardbusiness.org,tel. 800-988-0886, or www.hbr.org/bulksales.</w:t>
      </w:r>
    </w:p>
    <w:p>
      <w:r>
        <w:rPr>
          <w:b w:val="0"/>
          <w:i w:val="0"/>
        </w:rPr>
        <w:t>Copyright 2020 Harvard Business School Publishing Corporation</w:t>
      </w:r>
    </w:p>
    <w:p>
      <w:r>
        <w:rPr>
          <w:b w:val="0"/>
          <w:i w:val="0"/>
        </w:rPr>
        <w:t>All rights reserved</w:t>
      </w:r>
    </w:p>
    <w:p>
      <w:r>
        <w:rPr>
          <w:b w:val="0"/>
          <w:i w:val="0"/>
        </w:rPr>
        <w:t>No part of this publication may be reproduced, stored in or introduced into a retrieval system, or transmitted, in any form, or by any means (electronic, mechanical, photocopying, recording, or otherwise), without the prior permission of the publisher. Requests for permission should be directed to permissions@harvardbusiness.org, or mailed to Permissions, Harvard Business School Publishing, 60 Harvard Way, Boston, Massachusetts 02163.</w:t>
      </w:r>
    </w:p>
    <w:p>
      <w:r>
        <w:rPr>
          <w:b w:val="0"/>
          <w:i w:val="0"/>
        </w:rPr>
        <w:t>The web addresses referenced in this book were live and correct at the time of the book’s publication but may be subject to change.</w:t>
      </w:r>
    </w:p>
    <w:p>
      <w:r>
        <w:rPr>
          <w:b w:val="0"/>
          <w:i w:val="0"/>
        </w:rPr>
        <w:t>Library of Congress Cataloging-in-Publication Data</w:t>
      </w:r>
    </w:p>
    <w:p>
      <w:r>
        <w:rPr>
          <w:b w:val="0"/>
          <w:i w:val="0"/>
        </w:rPr>
        <w:t>Names: Harvard Business Review Press.</w:t>
      </w:r>
    </w:p>
    <w:p>
      <w:r>
        <w:rPr>
          <w:b w:val="0"/>
          <w:i w:val="0"/>
        </w:rPr>
        <w:t>Title: Customer data and privacy : the insights you need from Harvard Business Review.</w:t>
      </w:r>
    </w:p>
    <w:p>
      <w:r>
        <w:rPr>
          <w:b w:val="0"/>
          <w:i w:val="0"/>
        </w:rPr>
        <w:t>Other titles: Insights you need from Harvard Business Review.</w:t>
      </w:r>
    </w:p>
    <w:p>
      <w:r>
        <w:rPr>
          <w:b w:val="0"/>
          <w:i w:val="0"/>
        </w:rPr>
        <w:t>Description: Boston, Massachusetts : Harvard Business Review Press, [2020] | Series: Insights you need from Harvard Business Review | Includes index.</w:t>
      </w:r>
    </w:p>
    <w:p>
      <w:r>
        <w:rPr>
          <w:b w:val="0"/>
          <w:i w:val="0"/>
        </w:rPr>
        <w:t>Identifiers: LCCN 2020013620 (print) | LCCN 2020013621 (ebook) | ISBN 9781633699861 (paperback) | ISBN 9781633699878 (ebook)</w:t>
      </w:r>
    </w:p>
    <w:p>
      <w:r>
        <w:rPr>
          <w:b w:val="0"/>
          <w:i w:val="0"/>
        </w:rPr>
        <w:t>Subjects: LCSH: Data protection. | Privacy, Right of.</w:t>
      </w:r>
    </w:p>
    <w:p>
      <w:r>
        <w:rPr>
          <w:b w:val="0"/>
          <w:i w:val="0"/>
        </w:rPr>
        <w:t>Classification: LCC QA76.9.A25 C875 2020 (print) | LCC QA76.9.A25 (ebook) | DDC 005.8—dc23</w:t>
      </w:r>
    </w:p>
    <w:p>
      <w:r>
        <w:rPr>
          <w:b w:val="0"/>
          <w:i w:val="0"/>
        </w:rPr>
        <w:t>LC record available at https://lccn.loc.gov/2020013620</w:t>
      </w:r>
    </w:p>
    <w:p>
      <w:r>
        <w:rPr>
          <w:b w:val="0"/>
          <w:i w:val="0"/>
        </w:rPr>
        <w:t>LC ebook record available at https://lccn.loc.gov/2020013621</w:t>
      </w:r>
    </w:p>
    <w:p>
      <w:r>
        <w:rPr>
          <w:b w:val="0"/>
          <w:i w:val="0"/>
        </w:rPr>
        <w:t>ISBN: 978-1-63369-986-1</w:t>
      </w:r>
    </w:p>
    <w:p>
      <w:r>
        <w:rPr>
          <w:b w:val="0"/>
          <w:i w:val="0"/>
        </w:rPr>
        <w:t>eISBN: 978-1-63369-987-8</w:t>
      </w:r>
    </w:p>
    <w:p>
      <w:pPr>
        <w:pStyle w:val="Heading1"/>
      </w:pPr>
      <w:r>
        <w:rPr>
          <w:b w:val="0"/>
          <w:i w:val="0"/>
        </w:rPr>
        <w:t>Contents</w:t>
      </w:r>
    </w:p>
    <w:p>
      <w:pPr>
        <w:pStyle w:val="ListNumber"/>
      </w:pPr>
      <w:r>
        <w:rPr>
          <w:b w:val="0"/>
          <w:i w:val="0"/>
        </w:rPr>
        <w:t>Introduction</w:t>
      </w:r>
    </w:p>
    <w:p>
      <w:pPr>
        <w:pStyle w:val="ListNumber"/>
      </w:pPr>
      <w:r>
        <w:rPr>
          <w:b w:val="0"/>
          <w:i w:val="0"/>
        </w:rPr>
        <w:t>Trust: The New Competitive Advantage</w:t>
      </w:r>
    </w:p>
    <w:p>
      <w:pPr>
        <w:pStyle w:val="ListNumber"/>
      </w:pPr>
      <w:r>
        <w:rPr>
          <w:b w:val="0"/>
          <w:i/>
        </w:rPr>
        <w:t>Gathering data and building relationships with customers.</w:t>
      </w:r>
    </w:p>
    <w:p>
      <w:pPr>
        <w:pStyle w:val="ListNumber"/>
      </w:pPr>
      <w:r>
        <w:rPr>
          <w:b w:val="0"/>
          <w:i w:val="0"/>
        </w:rPr>
        <w:t>by Timothy Morey</w:t>
      </w:r>
    </w:p>
    <w:p>
      <w:pPr>
        <w:pStyle w:val="ListNumber"/>
      </w:pPr>
      <w:r>
        <w:rPr>
          <w:b w:val="0"/>
          <w:i w:val="0"/>
        </w:rPr>
        <w:t>1.  Uninformed Consent</w:t>
      </w:r>
    </w:p>
    <w:p>
      <w:pPr>
        <w:pStyle w:val="ListNumber"/>
      </w:pPr>
      <w:r>
        <w:rPr>
          <w:b w:val="0"/>
          <w:i/>
        </w:rPr>
        <w:t>Unlock value from customer data—without triggering a backlash.</w:t>
      </w:r>
    </w:p>
    <w:p>
      <w:pPr>
        <w:pStyle w:val="ListNumber"/>
      </w:pPr>
      <w:r>
        <w:rPr>
          <w:b w:val="0"/>
          <w:i w:val="0"/>
        </w:rPr>
        <w:t>by Leslie K. John</w:t>
      </w:r>
    </w:p>
    <w:p>
      <w:pPr>
        <w:pStyle w:val="ListNumber"/>
      </w:pPr>
      <w:r>
        <w:rPr>
          <w:b w:val="0"/>
          <w:i w:val="0"/>
        </w:rPr>
        <w:t>2.  Why It’s a Bad Idea to Let a Few Tech Companies Monopolize Our Data</w:t>
      </w:r>
    </w:p>
    <w:p>
      <w:pPr>
        <w:pStyle w:val="ListNumber"/>
      </w:pPr>
      <w:r>
        <w:rPr>
          <w:b w:val="0"/>
          <w:i/>
        </w:rPr>
        <w:t>Eight potential harms.</w:t>
      </w:r>
    </w:p>
    <w:p>
      <w:pPr>
        <w:pStyle w:val="ListNumber"/>
      </w:pPr>
      <w:r>
        <w:rPr>
          <w:b w:val="0"/>
          <w:i w:val="0"/>
        </w:rPr>
        <w:t>by Maurice E. Stucke</w:t>
      </w:r>
    </w:p>
    <w:p>
      <w:pPr>
        <w:pStyle w:val="ListNumber"/>
      </w:pPr>
      <w:r>
        <w:rPr>
          <w:b w:val="0"/>
          <w:i w:val="0"/>
        </w:rPr>
        <w:t>3.  Privacy and Cybersecurity Are Converging: Here’s Why That Matters for People and for Companies</w:t>
      </w:r>
    </w:p>
    <w:p>
      <w:pPr>
        <w:pStyle w:val="ListNumber"/>
      </w:pPr>
      <w:r>
        <w:rPr>
          <w:b w:val="0"/>
          <w:i/>
        </w:rPr>
        <w:t>Big data combined with machine learning could kill the notion of consent.</w:t>
      </w:r>
    </w:p>
    <w:p>
      <w:pPr>
        <w:pStyle w:val="ListNumber"/>
      </w:pPr>
      <w:r>
        <w:rPr>
          <w:b w:val="0"/>
          <w:i w:val="0"/>
        </w:rPr>
        <w:t>by Andrew Burt</w:t>
      </w:r>
    </w:p>
    <w:p>
      <w:pPr>
        <w:pStyle w:val="ListNumber"/>
      </w:pPr>
      <w:r>
        <w:rPr>
          <w:b w:val="0"/>
          <w:i w:val="0"/>
        </w:rPr>
        <w:t>4.  A Strong Privacy Policy Can Save Your Company Millions</w:t>
      </w:r>
    </w:p>
    <w:p>
      <w:pPr>
        <w:pStyle w:val="ListNumber"/>
      </w:pPr>
      <w:r>
        <w:rPr>
          <w:b w:val="0"/>
          <w:i/>
        </w:rPr>
        <w:t>Lessons from</w:t>
      </w:r>
      <w:r>
        <w:rPr>
          <w:b w:val="0"/>
          <w:i w:val="0"/>
        </w:rPr>
        <w:t xml:space="preserve"> Fortune </w:t>
      </w:r>
      <w:r>
        <w:rPr>
          <w:b w:val="0"/>
          <w:i/>
        </w:rPr>
        <w:t>100 companies with the best and worst policies.</w:t>
      </w:r>
    </w:p>
    <w:p>
      <w:pPr>
        <w:pStyle w:val="ListNumber"/>
      </w:pPr>
      <w:r>
        <w:rPr>
          <w:b w:val="0"/>
          <w:i w:val="0"/>
        </w:rPr>
        <w:t>by Kelly D. Martin, Abhishek Borah, and Robert W. Palmatier</w:t>
      </w:r>
    </w:p>
    <w:p>
      <w:pPr>
        <w:pStyle w:val="ListNumber"/>
      </w:pPr>
      <w:r>
        <w:rPr>
          <w:b w:val="0"/>
          <w:i w:val="0"/>
        </w:rPr>
        <w:t>5.  Do You Care About Privacy as Much as Your Customers Do?</w:t>
      </w:r>
    </w:p>
    <w:p>
      <w:pPr>
        <w:pStyle w:val="ListNumber"/>
      </w:pPr>
      <w:r>
        <w:rPr>
          <w:b w:val="0"/>
          <w:i/>
        </w:rPr>
        <w:t>If you don’t protect your users’ data, they’ll find a company that will.</w:t>
      </w:r>
    </w:p>
    <w:p>
      <w:pPr>
        <w:pStyle w:val="ListNumber"/>
      </w:pPr>
      <w:r>
        <w:rPr>
          <w:b w:val="0"/>
          <w:i w:val="0"/>
        </w:rPr>
        <w:t>by Thomas C. Redman and Robert M. Waitman</w:t>
      </w:r>
    </w:p>
    <w:p>
      <w:pPr>
        <w:pStyle w:val="ListNumber"/>
      </w:pPr>
      <w:r>
        <w:rPr>
          <w:b w:val="0"/>
          <w:i w:val="0"/>
        </w:rPr>
        <w:t>6.  How to Exercise the Power You Didn’t Ask For</w:t>
      </w:r>
    </w:p>
    <w:p>
      <w:pPr>
        <w:pStyle w:val="ListNumber"/>
      </w:pPr>
      <w:r>
        <w:rPr>
          <w:b w:val="0"/>
          <w:i/>
        </w:rPr>
        <w:t>Don’t wait for regulation to do the right thing.</w:t>
      </w:r>
    </w:p>
    <w:p>
      <w:pPr>
        <w:pStyle w:val="ListNumber"/>
      </w:pPr>
      <w:r>
        <w:rPr>
          <w:b w:val="0"/>
          <w:i w:val="0"/>
        </w:rPr>
        <w:t>by Jonathan Zittrain</w:t>
      </w:r>
    </w:p>
    <w:p>
      <w:pPr>
        <w:pStyle w:val="ListNumber"/>
      </w:pPr>
      <w:r>
        <w:rPr>
          <w:b w:val="0"/>
          <w:i w:val="0"/>
        </w:rPr>
        <w:t>7.  To Regain Consumers’ Trust, Marketers Need Transparent Data Practices</w:t>
      </w:r>
    </w:p>
    <w:p>
      <w:pPr>
        <w:pStyle w:val="ListNumber"/>
      </w:pPr>
      <w:r>
        <w:rPr>
          <w:b w:val="0"/>
          <w:i/>
        </w:rPr>
        <w:t>Customers will develop fewer, deeper relationships with companies.</w:t>
      </w:r>
    </w:p>
    <w:p>
      <w:pPr>
        <w:pStyle w:val="ListNumber"/>
      </w:pPr>
      <w:r>
        <w:rPr>
          <w:b w:val="0"/>
          <w:i w:val="0"/>
        </w:rPr>
        <w:t>by Kevin Cochrane</w:t>
      </w:r>
    </w:p>
    <w:p>
      <w:pPr>
        <w:pStyle w:val="ListNumber"/>
      </w:pPr>
      <w:r>
        <w:rPr>
          <w:b w:val="0"/>
          <w:i w:val="0"/>
        </w:rPr>
        <w:t>8.  How Blockchain Can Help Marketers Build Better Relationships with Their Customers</w:t>
      </w:r>
    </w:p>
    <w:p>
      <w:pPr>
        <w:pStyle w:val="ListNumber"/>
      </w:pPr>
      <w:r>
        <w:rPr>
          <w:b w:val="0"/>
          <w:i/>
        </w:rPr>
        <w:t>Connect your products and services with customers at scale.</w:t>
      </w:r>
    </w:p>
    <w:p>
      <w:pPr>
        <w:pStyle w:val="ListNumber"/>
      </w:pPr>
      <w:r>
        <w:rPr>
          <w:b w:val="0"/>
          <w:i w:val="0"/>
        </w:rPr>
        <w:t>by Campbell R. Harvey, Christine Moorman, and Marc Toledo</w:t>
      </w:r>
    </w:p>
    <w:p>
      <w:pPr>
        <w:pStyle w:val="ListNumber"/>
      </w:pPr>
      <w:r>
        <w:rPr>
          <w:b w:val="0"/>
          <w:i w:val="0"/>
        </w:rPr>
        <w:t>9.  The Dangers of Digital Protectionism</w:t>
      </w:r>
    </w:p>
    <w:p>
      <w:pPr>
        <w:pStyle w:val="ListNumber"/>
      </w:pPr>
      <w:r>
        <w:rPr>
          <w:b w:val="0"/>
          <w:i/>
        </w:rPr>
        <w:t>Too many regulations could strand us on data islands.</w:t>
      </w:r>
    </w:p>
    <w:p>
      <w:pPr>
        <w:pStyle w:val="ListNumber"/>
      </w:pPr>
      <w:r>
        <w:rPr>
          <w:b w:val="0"/>
          <w:i w:val="0"/>
        </w:rPr>
        <w:t>by Ziyang Fan and Anil Gupta</w:t>
      </w:r>
    </w:p>
    <w:p>
      <w:pPr>
        <w:pStyle w:val="ListNumber"/>
      </w:pPr>
      <w:r>
        <w:rPr>
          <w:b w:val="0"/>
          <w:i w:val="0"/>
        </w:rPr>
        <w:t>10.  Why Companies Are Forming Cybersecurity Alliances</w:t>
      </w:r>
    </w:p>
    <w:p>
      <w:pPr>
        <w:pStyle w:val="ListNumber"/>
      </w:pPr>
      <w:r>
        <w:rPr>
          <w:b w:val="0"/>
          <w:i/>
        </w:rPr>
        <w:t>Join one.</w:t>
      </w:r>
    </w:p>
    <w:p>
      <w:pPr>
        <w:pStyle w:val="ListNumber"/>
      </w:pPr>
      <w:r>
        <w:rPr>
          <w:b w:val="0"/>
          <w:i w:val="0"/>
        </w:rPr>
        <w:t>by Daniel Dobrygowski</w:t>
      </w:r>
    </w:p>
    <w:p>
      <w:pPr>
        <w:pStyle w:val="ListNumber"/>
      </w:pPr>
      <w:r>
        <w:rPr>
          <w:b w:val="0"/>
          <w:i w:val="0"/>
        </w:rPr>
        <w:t>About the Contributors</w:t>
      </w:r>
    </w:p>
    <w:p>
      <w:pPr>
        <w:pStyle w:val="ListNumber"/>
      </w:pPr>
      <w:r>
        <w:rPr>
          <w:b w:val="0"/>
          <w:i w:val="0"/>
        </w:rPr>
        <w:t>Index</w:t>
      </w:r>
    </w:p>
    <w:p>
      <w:pPr>
        <w:pStyle w:val="Heading1"/>
      </w:pPr>
      <w:r>
        <w:rPr>
          <w:b w:val="0"/>
          <w:i w:val="0"/>
        </w:rPr>
        <w:t>Introduction</w:t>
      </w:r>
    </w:p>
    <w:p>
      <w:pPr>
        <w:pStyle w:val="Heading1"/>
      </w:pPr>
      <w:r>
        <w:rPr>
          <w:b w:val="0"/>
          <w:i w:val="0"/>
        </w:rPr>
        <w:t>TRUST</w:t>
      </w:r>
    </w:p>
    <w:p>
      <w:pPr>
        <w:pStyle w:val="Heading2"/>
      </w:pPr>
      <w:r>
        <w:rPr>
          <w:b w:val="0"/>
          <w:i w:val="0"/>
        </w:rPr>
        <w:t>The New Competitive Advantage</w:t>
      </w:r>
    </w:p>
    <w:p>
      <w:r>
        <w:rPr>
          <w:b w:val="0"/>
          <w:i w:val="0"/>
        </w:rPr>
        <w:t>by Timothy Morey</w:t>
      </w:r>
    </w:p>
    <w:p>
      <w:r>
        <w:rPr>
          <w:b w:val="0"/>
          <w:i/>
        </w:rPr>
        <w:t>Imagine you’re a parent taking your teenage daughter to a beach volleyball training session. As you’re getting ready to leave the house, you ask Alexa about the weather. You punch the address into Google Maps to check traffic conditions; your Tesla Model 3 knows where you’re going and who’s driving. En route, license plate scanners assess tolls and track your progress. On arrival, you pay for street parking with the ParkMobile app and use the Starbucks app to pick up coffee. You’re not even two hours into a Saturday morning and already Amazon, Google, Tesla, the local government, AT&amp;T, a parking app provider, Starbucks,</w:t>
      </w:r>
      <w:r>
        <w:rPr>
          <w:b w:val="0"/>
          <w:i w:val="0"/>
        </w:rPr>
        <w:t xml:space="preserve"> </w:t>
      </w:r>
      <w:r>
        <w:rPr>
          <w:b w:val="0"/>
          <w:i/>
        </w:rPr>
        <w:t>Apple, and a payment provider know where you are and what you’re up to. And that’s before any of them sell your information to data brokers.</w:t>
      </w:r>
    </w:p>
    <w:p>
      <w:r>
        <w:rPr>
          <w:b w:val="0"/>
          <w:i w:val="0"/>
        </w:rPr>
        <w:t xml:space="preserve">Until recently, consumers have been largely unaware, indifferent, or resigned to the use of their data for personalized experiences and targeted marketing. The convenience outweighed the cost, resulting in the </w:t>
      </w:r>
      <w:r>
        <w:rPr>
          <w:b w:val="0"/>
          <w:i/>
        </w:rPr>
        <w:t>privacy paradox</w:t>
      </w:r>
      <w:r>
        <w:rPr>
          <w:b w:val="0"/>
          <w:i w:val="0"/>
        </w:rPr>
        <w:t xml:space="preserve">, where consumers </w:t>
      </w:r>
      <w:r>
        <w:rPr>
          <w:b w:val="0"/>
          <w:i/>
        </w:rPr>
        <w:t>say</w:t>
      </w:r>
      <w:r>
        <w:rPr>
          <w:b w:val="0"/>
          <w:i w:val="0"/>
        </w:rPr>
        <w:t xml:space="preserve"> they are concerned but don’t change their behavior. But the sheer pervasiveness of digital surveillance is causing concerned customers to act and call into question how companies treat their data.</w:t>
      </w:r>
    </w:p>
    <w:p>
      <w:r>
        <w:rPr>
          <w:b w:val="0"/>
          <w:i w:val="0"/>
        </w:rPr>
        <w:t>Governments have stepped up regulation in response to data breaches and abuses, from the General Data Protection Regulation (GDPR) in Europe to the California Consumer Privacy Act (CCPA) in the United States. Regulatory backlash is just one of the costs of abusing customer data. It also results in reputational damage, direct costs to businesses to deal with the cleanup of data breaches, and executive job losses all the way up to the CEO. Data breaches and abuses make it harder for businesses to attract and retain talented employees. But most of all, mistreating customer data results in wary customers and a loss of trust. If customers don’t trust you, they’re less likely to do business with you. More than ever, consumer trust matters.</w:t>
      </w:r>
    </w:p>
    <w:p>
      <w:r>
        <w:rPr>
          <w:b w:val="0"/>
          <w:i w:val="0"/>
        </w:rPr>
        <w:t xml:space="preserve">Companies that are trusted can gather more personal data and use that data to enhance their services, giving them a competitive advantage over less trusted firms. And trusted companies are more readily forgiven when things inevitably go wrong. Take the smart speaker market: Amazon’s Alexa dominates with 70% share, whereas Facebook’s Portal, despite a quality product and a massive marketing push, remains statistically insignificant. That’s no surprise, considering the number and magnitude of data breaches Facebook has suffered. Unfortunately, trust does not easily lend itself to business metrics and KPIs. Rather, it must be measured indirectly through customer attrition, share of customer wallet, customer lifetime value, and attitudinal metrics such as Net Promoter Scores. Trust resides in customers’ minds, formed by their perceptions and experiences of a company over time. It’s not entirely in a company’s control; however, companies </w:t>
      </w:r>
      <w:r>
        <w:rPr>
          <w:b w:val="0"/>
          <w:i/>
        </w:rPr>
        <w:t>can</w:t>
      </w:r>
      <w:r>
        <w:rPr>
          <w:b w:val="0"/>
          <w:i w:val="0"/>
        </w:rPr>
        <w:t xml:space="preserve"> take steps to increase their chances of being trusted.</w:t>
      </w:r>
    </w:p>
    <w:p>
      <w:r>
        <w:rPr>
          <w:b w:val="0"/>
          <w:i w:val="0"/>
        </w:rPr>
        <w:t>So beyond meeting basic regulatory requirements, how can your company build trust with its customers?</w:t>
      </w:r>
    </w:p>
    <w:p>
      <w:r>
        <w:rPr>
          <w:b w:val="0"/>
          <w:i w:val="0"/>
        </w:rPr>
        <w:t>Be clear about your data practices</w:t>
      </w:r>
    </w:p>
    <w:p>
      <w:r>
        <w:rPr>
          <w:b w:val="0"/>
          <w:i w:val="0"/>
        </w:rPr>
        <w:t>Don’t obfuscate your data practices with legalese; honestly explain your policy in clear and simple language. A short video, perhaps from your CEO, is better than asking customers to click away an “I accept” privacy notice that never gets read. On top of building trust, companies with clear statements are less likely to be punished by consumers if and when they suffer a data breach.</w:t>
      </w:r>
    </w:p>
    <w:p>
      <w:r>
        <w:rPr>
          <w:b w:val="0"/>
          <w:i w:val="0"/>
        </w:rPr>
        <w:t>Give your customers control</w:t>
      </w:r>
    </w:p>
    <w:p>
      <w:r>
        <w:rPr>
          <w:b w:val="0"/>
          <w:i w:val="0"/>
        </w:rPr>
        <w:t>Providing your customers with tools to manage how they interact with your company and being upfront about what you do with their data builds trust. It signals to customers that you’re respectful of their wishes and will be thoughtful stewards of their data. Offer an easy-to-navigate privacy dashboard, promote and link to it, and allow customers to download or erase their data.</w:t>
      </w:r>
    </w:p>
    <w:p>
      <w:r>
        <w:rPr>
          <w:b w:val="0"/>
          <w:i w:val="0"/>
        </w:rPr>
        <w:t>Make it a two-way street</w:t>
      </w:r>
    </w:p>
    <w:p>
      <w:r>
        <w:rPr>
          <w:b w:val="0"/>
          <w:i w:val="0"/>
        </w:rPr>
        <w:t>Even though the direct-exchange mechanism between consumers and providers has broken down to some extent, trusted companies offer clear value to their customers in exchange for their data. Businesses like Spotify and Pinterest curate recommendations as they observe user behavior, giving consumers clear benefits for taking the time to listen to or like content. The more value a company provides, and the more consistently it provides it, the more it will be trusted. Trust has evolved from a rational evaluation of a business’s trustworthiness to a more emotional evaluation, rather like brand perception.</w:t>
      </w:r>
    </w:p>
    <w:p>
      <w:r>
        <w:rPr>
          <w:b w:val="0"/>
          <w:i w:val="0"/>
        </w:rPr>
        <w:t>Go beyond the legally required minimum</w:t>
      </w:r>
    </w:p>
    <w:p>
      <w:r>
        <w:rPr>
          <w:b w:val="0"/>
          <w:i w:val="0"/>
        </w:rPr>
        <w:t>Data-driven technology firms abused consumer trust through their cavalier attitudes to privacy in the first years of the 2000s and into the early 2010s. That’s now catching up with them as a subset of privacy-active consumers switch providers over data policies. It’s also driving new regulation beyond the GDPR and CCPA. As other types of businesses and industries digitize their customer experience, they’re dealing with skeptical consumers who’ve been abused by data-driven tech firms. To navigate this effectively and to build trust, collect only the data your company needs, educate customers about how you’re going to use the data, and behave in a customer-centric fashion.</w:t>
      </w:r>
    </w:p>
    <w:p>
      <w:r>
        <w:rPr>
          <w:b w:val="0"/>
          <w:i w:val="0"/>
        </w:rPr>
        <w:t>Where do we go from here?</w:t>
      </w:r>
    </w:p>
    <w:p>
      <w:r>
        <w:rPr>
          <w:b w:val="0"/>
          <w:i w:val="0"/>
        </w:rPr>
        <w:t>Regulation will remain in place and, if anything, become stricter. The hands-off approach to regulation of early internet businesses has given way to a realization that consumer protections are needed. For businesses coping with regulation, the typical approach is to meet the demands of the strictest jurisdiction and make that the global standard for the company. There’s little interest in maintaining one digital product for California, another for the rest of the United States, yet another for the European Union, and so on.</w:t>
      </w:r>
    </w:p>
    <w:p>
      <w:r>
        <w:rPr>
          <w:b w:val="0"/>
          <w:i w:val="0"/>
        </w:rPr>
        <w:t>Business appetite for customer data will continue to grow. Access to data will increase competitive advantage as businesses with data can offer valuable, tailored, personal experiences to their customers. In retrospect, offering targeted advertising was easy, because it used data that wasn’t particularly sensitive. What comes next will be harder. Health care applications that are based on medical records and DNA, wellness products that ask for a customer’s mental health history, or financial products that rely on full disclosures of spending histories will all require access to much more sensitive data sets. Companies that have proved themselves to be trustworthy will do better here.</w:t>
      </w:r>
    </w:p>
    <w:p>
      <w:r>
        <w:rPr>
          <w:b w:val="0"/>
          <w:i w:val="0"/>
        </w:rPr>
        <w:t>The big unknown is how peoples’ attitudes toward data privacy will evolve. But for business decision making, it’s safest to assume that customer skepticism will grow. Businesses need to take action today to remain on the right side of emerging customer expectations. The chapters in this volume will help you think critically about the steps your organization needs to take to collect, store, and use customer data in a way that builds trust—and your business.</w:t>
      </w:r>
    </w:p>
    <w:p>
      <w:r>
        <w:rPr>
          <w:b w:val="0"/>
          <w:i w:val="0"/>
        </w:rPr>
        <w:t>Further Reading</w:t>
      </w:r>
    </w:p>
    <w:p>
      <w:r>
        <w:rPr>
          <w:b w:val="0"/>
          <w:i w:val="0"/>
        </w:rPr>
        <w:t>If after reading this book, you want to dig deeper, I recommend the following resources:</w:t>
      </w:r>
    </w:p>
    <w:p>
      <w:r>
        <w:rPr>
          <w:b w:val="0"/>
          <w:i/>
        </w:rPr>
        <w:t>The Age of Surveillance Capitalism: The Fight for a Human Future at the New Frontier of Power</w:t>
      </w:r>
      <w:r>
        <w:rPr>
          <w:b w:val="0"/>
          <w:i w:val="0"/>
        </w:rPr>
        <w:t>, by Shoshana Zuboff (PublicAffairs, 2020).</w:t>
      </w:r>
    </w:p>
    <w:p>
      <w:r>
        <w:rPr>
          <w:b w:val="0"/>
          <w:i/>
        </w:rPr>
        <w:t>What Stays in Vegas: The World of Personal Data—Lifeblood of Big Business—and the End of Privacy as We Know It</w:t>
      </w:r>
      <w:r>
        <w:rPr>
          <w:b w:val="0"/>
          <w:i w:val="0"/>
        </w:rPr>
        <w:t>, by Adam Tanner (PublicAffairs, 2016).</w:t>
      </w:r>
    </w:p>
    <w:p>
      <w:r>
        <w:rPr>
          <w:b w:val="0"/>
          <w:i w:val="0"/>
        </w:rPr>
        <w:t>Electronic Frontier Foundation (EFF) (https://www.eff.org/) advocates for internet civil liberties. It publishes articles and white papers on privacy, free speech, and innovation, advocating for ordinary technology users. As you make product and service design decisions, it’s useful to ask yourself what EFF would say about your choices.</w:t>
      </w:r>
    </w:p>
    <w:p>
      <w:pPr>
        <w:pStyle w:val="Heading1"/>
      </w:pPr>
      <w:r>
        <w:rPr>
          <w:b w:val="0"/>
          <w:i w:val="0"/>
        </w:rPr>
        <w:t>1</w:t>
      </w:r>
    </w:p>
    <w:p>
      <w:pPr>
        <w:pStyle w:val="Heading1"/>
      </w:pPr>
      <w:r>
        <w:rPr>
          <w:b w:val="0"/>
          <w:i w:val="0"/>
        </w:rPr>
        <w:t>UNINFORMED CONSENT</w:t>
      </w:r>
    </w:p>
    <w:p>
      <w:r>
        <w:rPr>
          <w:b w:val="0"/>
          <w:i w:val="0"/>
        </w:rPr>
        <w:t>by Leslie K. John</w:t>
      </w:r>
    </w:p>
    <w:p>
      <w:r>
        <w:rPr>
          <w:b w:val="0"/>
          <w:i w:val="0"/>
        </w:rPr>
        <w:t xml:space="preserve">The satirical website the </w:t>
      </w:r>
      <w:r>
        <w:rPr>
          <w:b w:val="0"/>
          <w:i/>
        </w:rPr>
        <w:t>Onion</w:t>
      </w:r>
      <w:r>
        <w:rPr>
          <w:b w:val="0"/>
          <w:i w:val="0"/>
        </w:rPr>
        <w:t xml:space="preserve"> once ran an article with the headline “Woman Stalked Across 8 Websites by Obsessed Shoe Advertisement.” Everywhere she went online, this fictional consumer saw the same ad. “The creepiest part,” she says in the story, “is that it even seems to know my shoe size.” The piece poked fun at an increasingly common—if clumsy—digital marketing technique. But today its gentle humor seems almost quaint. Technology has advanced far beyond the browser cookies and retargeting that allow ads to follow us around the internet. Smartphones now track our physical location and proximity to other people—and, as researchers recently discovered, can even do so when we turn off location services.1 We can disable the tracking on our web browsers, but our digital fingerprints can still be connected across devices, enabling our identities to be sleuthed out. Home assistants like Alexa listen to our conversations and, when activated, record what we’re saying. A growing range of everyday </w:t>
      </w:r>
      <w:r>
        <w:rPr>
          <w:b w:val="0"/>
          <w:i/>
        </w:rPr>
        <w:t>things</w:t>
      </w:r>
      <w:r>
        <w:rPr>
          <w:b w:val="0"/>
          <w:i w:val="0"/>
        </w:rPr>
        <w:t>—from Barbie dolls to medical devices—connect to the internet and transmit information about our movements, our behavior, our preferences, and even our health. A dominant web business model today is to amass as much data on individuals as possible and then use it or sell it—to target or persuade, reward or penalize. The internet has become a surveillance economy.</w:t>
      </w:r>
    </w:p>
    <w:p>
      <w:r>
        <w:rPr>
          <w:b w:val="0"/>
          <w:i w:val="0"/>
        </w:rPr>
        <w:t>What’s more, the rise of data science has made the information collected much more powerful, allowing companies to build remarkably detailed profiles of individuals. Machine learning and artificial intelligence can make eerily accurate predictions about people using seemingly random data. Companies can use data analysis to deduce someone’s political affiliation or sexuality or even who has had a one-night stand. As new technologies such as facial recognition software and home DNA testing are added to the tool kit, the surveillance done by businesses may soon surpass that of the 20th century’s most invasive security states.</w:t>
      </w:r>
    </w:p>
    <w:p>
      <w:r>
        <w:rPr>
          <w:b w:val="0"/>
          <w:i w:val="0"/>
        </w:rPr>
        <w:t>The obvious question is, How could consumers let this happen? As a behavioral scientist, I study how people sometimes act against their own interests. One issue is that “informed consent”—the principle companies use as permission to operate in this economy—is something of a charade. Most consumers are either unaware of the personal information they share online or, quite understandably, unable to determine the cost of sharing it—if not both.</w:t>
      </w:r>
    </w:p>
    <w:p>
      <w:r>
        <w:rPr>
          <w:b w:val="0"/>
          <w:i w:val="0"/>
        </w:rPr>
        <w:t>It’s true that consumers do gain some benefits from all the data gathering, such as more meaningful advertising and better customer service, pricing, and potentially even access to credit. But companies urgently need to find a way to balance the benefits with privacy protection. Consumer advocates are raising alarm bells about invasive digital practices. Public outcries ensue each time a scandal hits the headlines, whether it involves Equifax’s loss of sensitive personal information about tens of millions of people or Russian operatives using social media to manipulate the votes of Americans. Internet privacy experts who not too long ago were viewed as cranks on the fringe now testify before Congress and headline conferences. In Europe major legislation to protect user privacy has already passed. We’re starting to see signs of a widespread “techlash,” which could have profound implications for firms that use consumers’ data. It’s probably no coincidence that Facebook saw its valuation plummet roughly 20% after it publicly suggested it might scale back on some data collection.</w:t>
      </w:r>
    </w:p>
    <w:p>
      <w:r>
        <w:rPr>
          <w:b w:val="0"/>
          <w:i w:val="0"/>
        </w:rPr>
        <w:t xml:space="preserve">At the same time, consumers don’t reward companies for offering better privacy protection. Privacy-enhancing technologies have not been widely adopted. People are generally unwilling to pay for privacy-enhancing technologies and, even if they do, will pay only modest amounts.2 Though some might take this as evidence that people simply don’t care about privacy, I’ve come to a different conclusion: People </w:t>
      </w:r>
      <w:r>
        <w:rPr>
          <w:b w:val="0"/>
          <w:i/>
        </w:rPr>
        <w:t>do</w:t>
      </w:r>
      <w:r>
        <w:rPr>
          <w:b w:val="0"/>
          <w:i w:val="0"/>
        </w:rPr>
        <w:t xml:space="preserve"> care, but as I’ll explain, several factors impede their ability to make wise choices.</w:t>
      </w:r>
    </w:p>
    <w:p>
      <w:r>
        <w:rPr>
          <w:b w:val="0"/>
          <w:i w:val="0"/>
        </w:rPr>
        <w:t>If both sides continue on these diverging trajectories, the surveillance economy may be headed for a market failure. The good news is that policy makers can help. The first step is to understand how people make decisions about the privacy of their personal information and how they can be induced to overshare.</w:t>
      </w:r>
    </w:p>
    <w:p>
      <w:pPr>
        <w:pStyle w:val="Heading2"/>
      </w:pPr>
      <w:r>
        <w:rPr>
          <w:b w:val="0"/>
          <w:i w:val="0"/>
        </w:rPr>
        <w:t>How Consumers Got In So Deep</w:t>
      </w:r>
    </w:p>
    <w:p>
      <w:r>
        <w:rPr>
          <w:b w:val="0"/>
          <w:i w:val="0"/>
        </w:rPr>
        <w:t>Let’s be frank: People are bad at making decisions about their private data. They misunderstand both costs and benefits. Moreover, natural human biases interfere with their judgment. And whether by design or accident, major platform companies and data aggregators have structured their products and services to exploit those biases, often in subtle ways.</w:t>
      </w:r>
    </w:p>
    <w:p>
      <w:pPr>
        <w:pStyle w:val="Heading3"/>
      </w:pPr>
      <w:r>
        <w:rPr>
          <w:b w:val="0"/>
          <w:i w:val="0"/>
        </w:rPr>
        <w:t>Impatience</w:t>
      </w:r>
    </w:p>
    <w:p>
      <w:r>
        <w:rPr>
          <w:b w:val="0"/>
          <w:i w:val="0"/>
        </w:rPr>
        <w:t>People tend to overvalue immediate costs and benefits and underweight those that will occur in the future. They want $9 today rather than $10 tomorrow. On the internet, this tendency manifests itself in a willingness to reveal personal information for trivial rewards. Free quizzes and surveys are prime examples. Often administered by third parties, they are a data-security nightmare, but many people can’t resist them. For instance, on the popular “real age” website, people divulge a large amount of sensitive health information in exchange for the immediate “benefit” of knowing whether their “biological age” is older or younger than their calendar age. Consumers gain zero financial reward for such disclosures. They may be vaguely aware of the potential costs of providing such information (at its extreme, higher insurance premiums down the road), but because those downsides are vague and in the future, they’re disregarded in exchange for a few minutes of fun.</w:t>
      </w:r>
    </w:p>
    <w:p>
      <w:r>
        <w:rPr>
          <w:b w:val="0"/>
          <w:i w:val="0"/>
        </w:rPr>
        <w:t>Impatience also prevents us from adopting privacy controls. In one experiment, people who were setting up a digital wallet were offered a service that would secure (that is, encrypt) their purchase transaction data.3 Adding the service took a few additional steps, but only a quarter of people successfully went through them. The vast majority were unwilling to trivially inconvenience themselves by following a onetime simple process in order to protect their data from abuse down the road.</w:t>
      </w:r>
    </w:p>
    <w:p>
      <w:r>
        <w:rPr>
          <w:b w:val="0"/>
          <w:i w:val="0"/>
        </w:rPr>
        <w:t>Data “transactions” are often structured so that the benefits of disclosure are immediate, tangible, and attractive, while the costs are delayed and more amorphous—and in these situations, our impatience tilts us toward disclosure. Mobile credit-card stations, for instance, email you receipts and make transactions fast and paperless. But the costs of companies’ capturing your email address and other personal information come later. Sensitive data, such as your name, demographics, and location, is amassed and shared or sold, and in all likelihood you are eventually barraged with targeted marketing. Although some of those ads may be welcome, others may be annoying or intrusive. And some fear that in the future consumer data may even be used in more-impactful ways, such as credit score calculations—and possibly lead to discriminatory “digital redlining.”4</w:t>
      </w:r>
    </w:p>
    <w:p>
      <w:pPr>
        <w:pStyle w:val="Heading3"/>
      </w:pPr>
      <w:r>
        <w:rPr>
          <w:b w:val="0"/>
          <w:i w:val="0"/>
        </w:rPr>
        <w:t>The endowment effect</w:t>
      </w:r>
    </w:p>
    <w:p>
      <w:r>
        <w:rPr>
          <w:b w:val="0"/>
          <w:i w:val="0"/>
        </w:rPr>
        <w:t xml:space="preserve">In theory people should be willing to pay the same amount to buy a good as they’d demand when selling it. In reality, people typically value a good </w:t>
      </w:r>
      <w:r>
        <w:rPr>
          <w:b w:val="0"/>
          <w:i/>
        </w:rPr>
        <w:t>less</w:t>
      </w:r>
      <w:r>
        <w:rPr>
          <w:b w:val="0"/>
          <w:i w:val="0"/>
        </w:rPr>
        <w:t xml:space="preserve"> when they have to buy it. A similar dynamic can be seen when people make decisions about privacy.</w:t>
      </w:r>
    </w:p>
    <w:p>
      <w:r>
        <w:rPr>
          <w:b w:val="0"/>
          <w:i w:val="0"/>
        </w:rPr>
        <w:t>In one study, Alessandro Acquisti, George Loewenstein, and I offered consumers one of two gift cards: a $10 “private” card that wouldn’t track their purchases or a $12 card that would.5 In some cases the study’s subjects were given the option to “buy” privacy by trading the $12 tracked card for the $10 untracked card. In other cases they were given the option to “sell” their privacy by trading the $10 card for the $12 one. In either situation, privacy cost $2. Surely your willingness to forgo $2 to protect your privacy should not be affected by which card you’re initially handed. But, in fact, almost 50% of people were willing to give up privacy for $2, but fewer than 10% were willing to pay $2 to get privacy.</w:t>
      </w:r>
    </w:p>
    <w:p>
      <w:r>
        <w:rPr>
          <w:b w:val="0"/>
          <w:i w:val="0"/>
        </w:rPr>
        <w:t>This implies that we value privacy less when we have to acquire it. So something as simple as whether our information is by default public or private can have enormous implications; we’re far more amenable to sharing it when the default is public. More broadly, the disparity is consistent with the way privacy breaches generate outcry, while privacy gains aren’t met with commensurate jubilation. It may also set the stage for vicious cycles of privacy erosion: Breaches make information increasingly public. And when our information is public, we value our privacy less, in turn making us more comfortable with parting with it.</w:t>
      </w:r>
    </w:p>
    <w:p>
      <w:r>
        <w:rPr>
          <w:b w:val="0"/>
          <w:i w:val="0"/>
        </w:rPr>
        <w:t>Firms have made loose privacy defaults, well, the default for the tech industry. Here are just a few examples: In November 2016, Uber changed its preset options to allow it to track users at all times. (It changed them back in September 2017 after facing criticism.) On the social payments app Venmo, transactions are public by default. Google automatically stores your location when you merely open its Maps app; opting out is confusing, if not downright misleading.</w:t>
      </w:r>
    </w:p>
    <w:p>
      <w:r>
        <w:rPr>
          <w:b w:val="0"/>
          <w:i w:val="0"/>
        </w:rPr>
        <w:t>Users’ ability to opt out is also often obfuscated. In a recent white paper, Senator Mark Warner (D-VA) highlighted how Facebook’s mobile app used defaults to “deceptively prod users into consenting to upload their phone contacts to Facebook (something highly lucrative to Facebook in tracking a user’s ‘social graph’).”6 The first screen on the mobile app gives the impression that consent to sharing contacts is the sole choice. Only when users click on a “learn more” button do they discover (if they scroll down and look carefully) that they can opt out.</w:t>
      </w:r>
    </w:p>
    <w:p>
      <w:pPr>
        <w:pStyle w:val="Heading3"/>
      </w:pPr>
      <w:r>
        <w:rPr>
          <w:b w:val="0"/>
          <w:i w:val="0"/>
        </w:rPr>
        <w:t>Illusion of control</w:t>
      </w:r>
    </w:p>
    <w:p>
      <w:r>
        <w:rPr>
          <w:b w:val="0"/>
          <w:i w:val="0"/>
        </w:rPr>
        <w:t>People share a misapprehension that they can control chance processes. This explains why, for example, study subjects valued lottery tickets that they had personally selected more than tickets that had been randomly handed to them.7 People also confuse the superficial trappings of control with real control. In a study on receptiveness to behaviorally targeted ads, Tami Kim, Kate Barasz, and I found that people are more comfortable with third-party data sharing, a practice they ordinarily deem invasive, when they have a sense of control—even if what they seem to control has nothing to do with the ads they see or the data shared. People can be put at ease by something as irrelevant as a reminder that they can choose their profile pictures. Related research suggests that people are overconfident about their ability to control their own security in cyberspace. In a recent survey conducted by Experian, 56% of respondents mistakenly believed that the risk of identity theft decreases over time, and 10% believed that they weren’t at risk because their finances were weak.</w:t>
      </w:r>
    </w:p>
    <w:p>
      <w:r>
        <w:rPr>
          <w:b w:val="0"/>
          <w:i w:val="0"/>
        </w:rPr>
        <w:t>While some efforts to grant consumers more control over their data are meaningful, I also see instances in which their privacy concerns may be placated by an illusory sense of control. Consider the Network Advertising Initiative’s Consumer Opt Out site. On it people are informed of the companies that are customizing ads for their browsers and can select which companies’ to opt out of. When I used the service, I opted out of 72 firms’ ads. I felt in control. But when I checked the fine print, I learned that my choice only prevents the specific companies from delivering targeted advertisements; it doesn’t necessarily stop me from being tracked—a fact that’s easily forgotten because I no longer see those targeted ads—the very thing that could remind me my data is being collected.</w:t>
      </w:r>
    </w:p>
    <w:p>
      <w:pPr>
        <w:pStyle w:val="Heading3"/>
      </w:pPr>
      <w:r>
        <w:rPr>
          <w:b w:val="0"/>
          <w:i w:val="0"/>
        </w:rPr>
        <w:t>Desire for disclosure</w:t>
      </w:r>
    </w:p>
    <w:p>
      <w:r>
        <w:rPr>
          <w:b w:val="0"/>
          <w:i w:val="0"/>
        </w:rPr>
        <w:t>This is not a decision-making bias. Rather, humans have what appears to be an innate desire, or even need, to share with others. After all, that’s how we forge relationships—and we’re inherently social creatures. In one study, even people who were very concerned about their privacy went on to readily divulge personal information to a chat bot. Unloading your secrets has psychological and physical benefits.8 When strangers are paired up in lab experiments and prompted to disclose personal information with each other, they build greater rapport.9 Keeping a journal in which you share your worries can improve physical health, while keeping secrets can reduce well-being.10 And a neuroscientific study found that when people disclose information about themselves, it activates the reward regions in their brains; in the same experiment, people even passed up monetary rewards for the chance to answer personal questions.11</w:t>
      </w:r>
    </w:p>
    <w:p>
      <w:r>
        <w:rPr>
          <w:b w:val="0"/>
          <w:i w:val="0"/>
        </w:rPr>
        <w:t xml:space="preserve">Our orientation toward disclosure is also apparent in how we perceive those who abstain: We view people who withhold with contempt. For example, as my research with Kate Barasz and Mike Norton shows, we dislike and distrust those who avoid answering personal questions </w:t>
      </w:r>
      <w:r>
        <w:rPr>
          <w:b w:val="0"/>
          <w:i/>
        </w:rPr>
        <w:t>even more</w:t>
      </w:r>
      <w:r>
        <w:rPr>
          <w:b w:val="0"/>
          <w:i w:val="0"/>
        </w:rPr>
        <w:t xml:space="preserve"> than those who reveal damaging information about themselves. In one experiment, participants indicated greater interest in hiring a job candidate who admitted to having done drugs than someone who had withheld the answer to a question about drug use.</w:t>
      </w:r>
    </w:p>
    <w:p>
      <w:r>
        <w:rPr>
          <w:b w:val="0"/>
          <w:i w:val="0"/>
        </w:rPr>
        <w:t>Online, the boundaries between social and commercial transactions are increasingly blurred. For example, on virtually all social media platforms, ads resemble noncommercial posts. Though there may be other reasons for this practice (the wish to make ads less intrusive, for instance), it also gives ads the feel of social posts, which I suspect helps trigger people’s desire to disclose and keeps privacy concerns at bay. Similarly, casual, unprofessional-looking interfaces induce self-disclosure too, even though such interfaces are often indicative of poorer privacy protections.12</w:t>
      </w:r>
    </w:p>
    <w:p>
      <w:r>
        <w:rPr>
          <w:b w:val="0"/>
          <w:i w:val="0"/>
        </w:rPr>
        <w:t xml:space="preserve">Indeed, heightening the desire to disclose appears to be central to many social media sites, right down to the perpetual “What’s on your mind?” prompt on Facebook. Online retailers have been adding similar social elements to sales processes, such as robot chat agents designed to build rapport with consumers. The structure of Venmo’s site mirrors that of social media sites. Users build their social graph by adding contacts; those contacts’ transactions are displayed prominently in a newsfeed. That makes financial transactions feel like social transactions, turning something that people would ordinarily keep private into something that they not only are comfortable sharing but potentially </w:t>
      </w:r>
      <w:r>
        <w:rPr>
          <w:b w:val="0"/>
          <w:i/>
        </w:rPr>
        <w:t>want</w:t>
      </w:r>
      <w:r>
        <w:rPr>
          <w:b w:val="0"/>
          <w:i w:val="0"/>
        </w:rPr>
        <w:t xml:space="preserve"> to share. Though consumers may get some value out of sites’ social aspects, those aspects can also make the risks of disclosure less apparent.</w:t>
      </w:r>
    </w:p>
    <w:p>
      <w:pPr>
        <w:pStyle w:val="Heading3"/>
      </w:pPr>
      <w:r>
        <w:rPr>
          <w:b w:val="0"/>
          <w:i w:val="0"/>
        </w:rPr>
        <w:t>False sense of boundaries</w:t>
      </w:r>
    </w:p>
    <w:p>
      <w:r>
        <w:rPr>
          <w:b w:val="0"/>
          <w:i w:val="0"/>
        </w:rPr>
        <w:t>In offline contexts, people naturally understand and comply with social norms about discretion and interpersonal communication. Though we may be tempted to gossip about someone, the norm “don’t talk behind people’s backs” usually checks that urge. Most of us would never tell a trusted confidant our secrets when others are within earshot. And people’s reactions in the moment can make us quickly scale back if we disclose something inappropriate.</w:t>
      </w:r>
    </w:p>
    <w:p>
      <w:r>
        <w:rPr>
          <w:b w:val="0"/>
          <w:i w:val="0"/>
        </w:rPr>
        <w:t>But in the online world, the rules are different. We often don’t get the same rich, visceral feedback that tempers our behavior in the offline world. We may have the illusion, for instance, that we’re disclosing information only to a select group of people, such as the friends in our social media feed. People get into trouble when they post rants (say, about their employer) meant for a small subset of their friends, forgetting the broader audience that can see those disclosures (say, their boss and colleagues).</w:t>
      </w:r>
    </w:p>
    <w:p>
      <w:r>
        <w:rPr>
          <w:b w:val="0"/>
          <w:i w:val="0"/>
        </w:rPr>
        <w:t>We’re easily seduced by the seeming ephemerality of digital interactions, too. My research with Reto Hofstetter and Roland Rüppell has found that temporary sharing technologies that allow messages to disappear, such as Snapchat and Instagram Stories, lead people to make uninhibited disclosures. Yet the damage to their reputations is potentially long lasting. Most of us wouldn’t dream of making a profane gesture in a professional meeting just because such an act would be fleeting. But online, perhaps because we often receive only impoverished feedback, the promise of ephemerality goads us into oversharing.</w:t>
      </w:r>
    </w:p>
    <w:p>
      <w:pPr>
        <w:pStyle w:val="Heading2"/>
      </w:pPr>
      <w:r>
        <w:rPr>
          <w:b w:val="0"/>
          <w:i w:val="0"/>
        </w:rPr>
        <w:t>Complexity and the Coming Conundrum</w:t>
      </w:r>
    </w:p>
    <w:p>
      <w:r>
        <w:rPr>
          <w:b w:val="0"/>
          <w:i w:val="0"/>
        </w:rPr>
        <w:t>We’ve unpacked both the consumer and producer sides of the surveillance economy, but underlying it all is a factor of increasing importance: complexity.</w:t>
      </w:r>
    </w:p>
    <w:p>
      <w:r>
        <w:rPr>
          <w:b w:val="0"/>
          <w:i w:val="0"/>
        </w:rPr>
        <w:t>Do you know how cookies work? Do you understand how information on your browsing history, search requests, Facebook likes, and so on are monetized and exchanged among brokers to target advertising to you? Do you know what’s recorded and tracked when you ask your digital assistant to do something? The answer is probably no. That’s a problem.</w:t>
      </w:r>
    </w:p>
    <w:p>
      <w:r>
        <w:rPr>
          <w:b w:val="0"/>
          <w:i w:val="0"/>
        </w:rPr>
        <w:t>A key tenet of any functioning market is “buyer beware.” But online, weighing the risks against the benefits of sharing can feel like an act of futile metaphysics. How much privacy have you lost when firms track your location—and what is the value of that privacy? Is it worth the added convenience of a GPS navigation tool? What should a consumer be “paid” for allowing continuous location tracking? Moreover, the behind-the-scenes “plumbing” of the surveillance economy is so byzantine and opaque that it’s effectively impossible for consumers to be adequately informed.</w:t>
      </w:r>
    </w:p>
    <w:p>
      <w:r>
        <w:rPr>
          <w:b w:val="0"/>
          <w:i w:val="0"/>
        </w:rPr>
        <w:t>There is also no way to know what all third parties are doing, or will do, with your data. Although Facebook has been tightening oversight of apps as well as their access to user data, the fact is that many apps have been selling user information obtained on Facebook, and consumers can’t possibly have known where their data would end up when they agreed to the apps’ terms and conditions. Suppose that a couple of years ago you clicked on a Facebook link for a quiz like “What ’80s Movie Best Represents Your Life?” The administrator of the quiz could have gathered some Facebook data—birthday, friends, things you’ve clicked on, likes, locations, groups you belonged to, where you’d checked in—and made it available to third parties by wrapping it in JavaScript, circumventing privacy protections offered by most web browsers. A data broker could have collected that parcel of information and sold it for use in targeted ad campaigns. It would be effectively impossible for you to figure out how your data moved through the advertising ecosystem or identify the brokers or agencies involved.</w:t>
      </w:r>
    </w:p>
    <w:p>
      <w:r>
        <w:rPr>
          <w:b w:val="0"/>
          <w:i w:val="0"/>
        </w:rPr>
        <w:t>There’s also nothing stopping your friends from sharing information on your behalf. In a study by economists Susan Athey, Christian Catalini, and Catherine Tucker, people readily disclosed their friends’ email addresses in exchange for free pizza.</w:t>
      </w:r>
    </w:p>
    <w:p>
      <w:r>
        <w:rPr>
          <w:b w:val="0"/>
          <w:i w:val="0"/>
        </w:rPr>
        <w:t>Even when consumers actively seek to uncover what personal information about them has been shared and with which entities, firms are not always forthcoming. When users click on Facebook’s “Why am I seeing this ad?” feature (which is difficult to find), the explanations they’re given are sometimes uselessly generic (for example, “One reason you’re seeing this ad is that Rothy’s wants to reach people who may be similar to their customers”).</w:t>
      </w:r>
    </w:p>
    <w:p>
      <w:r>
        <w:rPr>
          <w:b w:val="0"/>
          <w:i w:val="0"/>
        </w:rPr>
        <w:t xml:space="preserve">Even if all the players and transactions in the surveillance economy were widely understood, consumers would still sometimes find it impossible to know what they were actually disclosing, because discrete pieces of data can be synthesized to form new data. For example, it is possible to identify someone by knowing the dates and locations of just four of his credit card transactions. A person’s Social Security number can sometimes be predicted by her birth date and birthplace, meaning that if a consumer provides her birth date to an entity that already knows her birthplace, she may unwittingly divulge her Social Security number. What the consumer reveals is not just a function of what the consumer </w:t>
      </w:r>
      <w:r>
        <w:rPr>
          <w:b w:val="0"/>
          <w:i/>
        </w:rPr>
        <w:t>decides</w:t>
      </w:r>
      <w:r>
        <w:rPr>
          <w:b w:val="0"/>
          <w:i w:val="0"/>
        </w:rPr>
        <w:t xml:space="preserve"> to reveal. It’s also determined by what the receiver knows about that consumer.</w:t>
      </w:r>
    </w:p>
    <w:p>
      <w:r>
        <w:rPr>
          <w:b w:val="0"/>
          <w:i w:val="0"/>
        </w:rPr>
        <w:t>Algorithms and processing power now make it possible to build behavioral profiles of users without ever having to ask for their data. Their mere presence in someone’s social network or comment on someone else’s social feed can be harvested to predict and profile. This phenomenon creates entirely new conundrums: If a company profiles a consumer using machine learning, is that profile subject to the regulatory rules of personally identifiable information? Does the consumer have any right to it? Should a company be allowed to use such techniques without the consent of the targets, or at all? No one knows.</w:t>
      </w:r>
    </w:p>
    <w:p>
      <w:r>
        <w:rPr>
          <w:b w:val="0"/>
          <w:i w:val="0"/>
        </w:rPr>
        <w:t>For all these reasons, privacy decision making is incredibly complex. And when people perceive decisions to be overwhelmingly complex, they are prone to disengage. Anyone faced with the decision to “accept” online terms of use can relate. They are typically so long that you cannot reasonably expect anyone to read them, let alone understand them. One study estimated it would take Americans 54 billion hours annually to read the privacy policy of every new website they visit.13</w:t>
      </w:r>
    </w:p>
    <w:p>
      <w:r>
        <w:rPr>
          <w:b w:val="0"/>
          <w:i w:val="0"/>
        </w:rPr>
        <w:t xml:space="preserve">So most consumers respond by throwing their hands up and agreeing to terms that would give them pause if they understood them. Mobile game app users, for example, might be surprised to learn that they have “consented” to allow some of these apps to share their personal data with third parties, for any reason whatever. Some even have access to people’s microphones, which they use to record audio </w:t>
      </w:r>
      <w:r>
        <w:rPr>
          <w:b w:val="0"/>
          <w:i/>
        </w:rPr>
        <w:t>even when the app is not in use—and even though that information is not used in the game itself.</w:t>
      </w:r>
      <w:r>
        <w:rPr>
          <w:b w:val="0"/>
          <w:i w:val="0"/>
        </w:rPr>
        <w:t xml:space="preserve"> “Super apps” like China’s WeChat, which has one billion users, have far-reaching access to personal data, including social media posts, bank and credit card details, financial transactions, and even voice data. By technically providing information on the costs and benefits of information sharing and having consumers “agree” to it, these and other digital platforms maintain a kind of plausible deniability.</w:t>
      </w:r>
    </w:p>
    <w:p>
      <w:r>
        <w:rPr>
          <w:b w:val="0"/>
          <w:i w:val="0"/>
        </w:rPr>
        <w:t>Complexity makes it hard to fix the surveillance economy without breaking the system entirely. Though that’s a possible outcome, it’s not a good one. Data gathering doesn’t have to be a bad deal for internet users. Consumers have gained enormous benefits from it and from major platform companies such as Alphabet and Facebook. However, the fact that so much of the surveillance economy operates surreptitiously and by default suggests that tech companies have reason to fear consumers might not opt in if they truly understood the bargain that “free” technologies entailed.</w:t>
      </w:r>
    </w:p>
    <w:p>
      <w:r>
        <w:rPr>
          <w:b w:val="0"/>
          <w:i w:val="0"/>
        </w:rPr>
        <w:t>Moreover, while consumers surf in the dark, firms have a much better understanding of their own costs and benefits. Expenses for tracking technology and data brokers and the lift in sales from more finely targeted ads can be calculated with precision. Firms thus have an informational advantage over consumers. As any economist will tell you, that asymmetry on its own suggests a market failure and thus invites regulatory intervention.</w:t>
      </w:r>
    </w:p>
    <w:p>
      <w:pPr>
        <w:pStyle w:val="Heading2"/>
      </w:pPr>
      <w:r>
        <w:rPr>
          <w:b w:val="0"/>
          <w:i w:val="0"/>
        </w:rPr>
        <w:t>Restoring Balance</w:t>
      </w:r>
    </w:p>
    <w:p>
      <w:r>
        <w:rPr>
          <w:b w:val="0"/>
          <w:i w:val="0"/>
        </w:rPr>
        <w:t>In the 1960s the United States and other governments began to systematically write product safety regulations after it became clear that consumers couldn’t properly assess risks—such as the danger of riding in a car without a seat belt and the chance that a soda bottle might explode—and that firms weren’t motivated to address them. Scholars have argued that in such situations it makes sense for regulators to shift risk onto those best able to manage it: the makers of the products. Given that consumers face similar challenges in evaluating privacy risks, lawmakers should consider taking this approach with regulations about personal data collection.</w:t>
      </w:r>
    </w:p>
    <w:p>
      <w:r>
        <w:rPr>
          <w:b w:val="0"/>
          <w:i w:val="0"/>
        </w:rPr>
        <w:t>Of course, any regulatory response will prompt skeptics to point out the thorny issues we haven’t yet begun to understand well. Here are just a few of the questions they’re apt to raise:</w:t>
      </w:r>
    </w:p>
    <w:p>
      <w:pPr>
        <w:pStyle w:val="ListBullet"/>
      </w:pPr>
      <w:r>
        <w:rPr>
          <w:b w:val="0"/>
          <w:i w:val="0"/>
        </w:rPr>
        <w:t>To what extent do people own their personal data?</w:t>
      </w:r>
    </w:p>
    <w:p>
      <w:pPr>
        <w:pStyle w:val="ListBullet"/>
      </w:pPr>
      <w:r>
        <w:rPr>
          <w:b w:val="0"/>
          <w:i w:val="0"/>
        </w:rPr>
        <w:t>Should people have an expectation of privacy in public spaces, or is anything they do in public fair game for surveillance?</w:t>
      </w:r>
    </w:p>
    <w:p>
      <w:pPr>
        <w:pStyle w:val="ListBullet"/>
      </w:pPr>
      <w:r>
        <w:rPr>
          <w:b w:val="0"/>
          <w:i w:val="0"/>
        </w:rPr>
        <w:t>Is the online realm a public space?</w:t>
      </w:r>
    </w:p>
    <w:p>
      <w:pPr>
        <w:pStyle w:val="ListBullet"/>
      </w:pPr>
      <w:r>
        <w:rPr>
          <w:b w:val="0"/>
          <w:i w:val="0"/>
        </w:rPr>
        <w:t>What is the value of privacy? Can it even be calculated?</w:t>
      </w:r>
    </w:p>
    <w:p>
      <w:pPr>
        <w:pStyle w:val="ListBullet"/>
      </w:pPr>
      <w:r>
        <w:rPr>
          <w:b w:val="0"/>
          <w:i w:val="0"/>
        </w:rPr>
        <w:t>What is the value of personal information? Can it even be calculated?</w:t>
      </w:r>
    </w:p>
    <w:p>
      <w:pPr>
        <w:pStyle w:val="ListBullet"/>
      </w:pPr>
      <w:r>
        <w:rPr>
          <w:b w:val="0"/>
          <w:i w:val="0"/>
        </w:rPr>
        <w:t>What information is mine to control—does it include AI-generated predictions about my behavior?</w:t>
      </w:r>
    </w:p>
    <w:p>
      <w:pPr>
        <w:pStyle w:val="ListBullet"/>
      </w:pPr>
      <w:r>
        <w:rPr>
          <w:b w:val="0"/>
          <w:i w:val="0"/>
        </w:rPr>
        <w:t>What are the costs of enforcing privacy regulation? Do they outweigh the benefits?</w:t>
      </w:r>
    </w:p>
    <w:p>
      <w:r>
        <w:rPr>
          <w:b w:val="0"/>
          <w:i w:val="0"/>
        </w:rPr>
        <w:t>Some argue that it may be too late to protect consumers’ personal data, because it has already been fed into machine-learning tools that can accurately infer information about us without collecting any more. Despite machine learning’s impressive capabilities, this is not yet the reality. Firms continue to have great interest in obtaining consumer data. But even if predictive AI capabilities do dampen the demand for consumer data, regulation could place basic limits on what firms could do with those predictions (by, say, preventing health insurers from using them to discriminate against applicants who might have medical problems). (See the sidebar “Why Is Data Governance So Hard?”)</w:t>
      </w:r>
    </w:p>
    <w:p>
      <w:r>
        <w:rPr>
          <w:b w:val="0"/>
          <w:i w:val="0"/>
        </w:rPr>
        <w:t>Though the details of such regulation are beyond the scope of this chapter, the research I’ve described does provide some broad guidance about what is likely to work. First, the goal should not be simply to make it harder to share or to unilaterally increase firms’ barriers to consumer data. Such an approach would be overly simplistic, because firms and consumers alike have much to gain from sharing information. Regulators should also be aware of the costs of restricting information flow—for example, the potential to impede innovation.</w:t>
      </w:r>
    </w:p>
    <w:p>
      <w:r>
        <w:rPr>
          <w:b w:val="0"/>
          <w:i w:val="0"/>
        </w:rPr>
        <w:t>Why Is Data Governance So Hard?</w:t>
      </w:r>
    </w:p>
    <w:p>
      <w:r>
        <w:rPr>
          <w:b w:val="0"/>
          <w:i w:val="0"/>
        </w:rPr>
        <w:t>by Bhaskar Chakravorti</w:t>
      </w:r>
    </w:p>
    <w:p>
      <w:r>
        <w:rPr>
          <w:b w:val="0"/>
          <w:i w:val="0"/>
        </w:rPr>
        <w:t>As we consider the future of data governance, we’re missing a system that defines and grants users “digital agency”—the ability to own the rights to their personal data, manage access to this data, and potentially be compensated fairly for such access. This would make data similar to other forms of personal property: a home, a bank account, or even a mobile phone number.</w:t>
      </w:r>
    </w:p>
    <w:p>
      <w:r>
        <w:rPr>
          <w:b w:val="0"/>
          <w:i w:val="0"/>
        </w:rPr>
        <w:t>But data, unlike other forms of personal property, is just plain complicated. Any workable solution would need to manage the following 10-point checklist at a minimum:</w:t>
      </w:r>
    </w:p>
    <w:p>
      <w:pPr>
        <w:pStyle w:val="ListNumber"/>
      </w:pPr>
      <w:r>
        <w:rPr>
          <w:b w:val="0"/>
          <w:i w:val="0"/>
        </w:rPr>
        <w:t>Define what constitutes the personal data to which a user has exclusive rights. For example, a personal photo may contain a picture of a friend tagged by the user. Moving that data could violate the friend’s privacy. Alternatively, a user’s click trail tracked by a platform reveals the user’s preferences based on the platform’s analysis. At what point does that revelation become the platform’s intellectual property?</w:t>
      </w:r>
    </w:p>
    <w:p>
      <w:pPr>
        <w:pStyle w:val="ListNumber"/>
      </w:pPr>
      <w:r>
        <w:rPr>
          <w:b w:val="0"/>
          <w:i w:val="0"/>
        </w:rPr>
        <w:t>Establish criteria to demarcate personal data, anonymized data, and third-party data. To see why this can be difficult, even anonymized data when linked can reveal personally identifiable information; an algorithm was shown to identify 99.98% of Americans by knowing as few as 15 demographic attributes per person. Alternatively, if a user’s data links to third-party data that is deemed harmful or false, can the user remove it without violating the third party’s free-speech rights?</w:t>
      </w:r>
    </w:p>
    <w:p>
      <w:pPr>
        <w:pStyle w:val="ListNumber"/>
      </w:pPr>
      <w:r>
        <w:rPr>
          <w:b w:val="0"/>
          <w:i w:val="0"/>
        </w:rPr>
        <w:t>Create a transparent, market-based, and universally accepted system of valuing data and compensating users accordingly for trading data. The compensation could be in the form of a tailored service or monetary compensation, while some data may not be tradable at all.</w:t>
      </w:r>
    </w:p>
    <w:p>
      <w:pPr>
        <w:pStyle w:val="ListNumber"/>
      </w:pPr>
      <w:r>
        <w:rPr>
          <w:b w:val="0"/>
          <w:i w:val="0"/>
        </w:rPr>
        <w:t>Define standards for how the data is stored, moved, or accessed interoperably across different digital platforms.</w:t>
      </w:r>
    </w:p>
    <w:p>
      <w:pPr>
        <w:pStyle w:val="ListNumber"/>
      </w:pPr>
      <w:r>
        <w:rPr>
          <w:b w:val="0"/>
          <w:i w:val="0"/>
        </w:rPr>
        <w:t>Establish criteria to evaluate the trade-offs between many needs: interoperability, privacy, and cybersecurity. Ease of interoperability, for example, could also reduce cybersecurity.</w:t>
      </w:r>
    </w:p>
    <w:p>
      <w:pPr>
        <w:pStyle w:val="ListNumber"/>
      </w:pPr>
      <w:r>
        <w:rPr>
          <w:b w:val="0"/>
          <w:i w:val="0"/>
        </w:rPr>
        <w:t>Establish criteria to evaluate the trade-offs between personal data and the use of aggregated data as a public good—for training algorithms for societal use, fraud detection, public safety, flagging fake news, and so on.</w:t>
      </w:r>
    </w:p>
    <w:p>
      <w:pPr>
        <w:pStyle w:val="ListNumber"/>
      </w:pPr>
      <w:r>
        <w:rPr>
          <w:b w:val="0"/>
          <w:i w:val="0"/>
        </w:rPr>
        <w:t>Mitigate the transaction costs of negotiating with multiple parties whenever a platform needs multiple data sources—for example, location data needed for a ride-sharing app.</w:t>
      </w:r>
    </w:p>
    <w:p>
      <w:pPr>
        <w:pStyle w:val="ListNumber"/>
      </w:pPr>
      <w:r>
        <w:rPr>
          <w:b w:val="0"/>
          <w:i w:val="0"/>
        </w:rPr>
        <w:t>Mitigate the risks of bots or malicious actors taking advantage of compensation for access to data. For example, Microsoft experimented with paying users for data, and bots—with no usable information—exploited the system.</w:t>
      </w:r>
    </w:p>
    <w:p>
      <w:pPr>
        <w:pStyle w:val="ListNumber"/>
      </w:pPr>
      <w:r>
        <w:rPr>
          <w:b w:val="0"/>
          <w:i w:val="0"/>
        </w:rPr>
        <w:t>Make it easy to move data across platforms, without expecting the user to be a technology expert.</w:t>
      </w:r>
    </w:p>
    <w:p>
      <w:pPr>
        <w:pStyle w:val="ListNumber"/>
      </w:pPr>
      <w:r>
        <w:rPr>
          <w:b w:val="0"/>
          <w:i w:val="0"/>
        </w:rPr>
        <w:t>Anticipate unintended consequences of changes as fundamental as transferring the control and management of data from big tech professionals to regular users.</w:t>
      </w:r>
    </w:p>
    <w:p>
      <w:r>
        <w:rPr>
          <w:b w:val="0"/>
          <w:i w:val="0"/>
        </w:rPr>
        <w:t>Finding a workable digital agency solution is daunting. It’s time to figure out which parts of this checklist are most practical, scalable, and sustainable.</w:t>
      </w:r>
    </w:p>
    <w:p>
      <w:r>
        <w:rPr>
          <w:b w:val="0"/>
          <w:i/>
        </w:rPr>
        <w:t>Bhaskar Chakravorti</w:t>
      </w:r>
      <w:r>
        <w:rPr>
          <w:b w:val="0"/>
          <w:i w:val="0"/>
        </w:rPr>
        <w:t xml:space="preserve"> is the dean of Global Business at the Fletcher School at Tufts University and founding executive director of Fletcher’s Institute for Business in the Global Context. He is the author of </w:t>
      </w:r>
      <w:r>
        <w:rPr>
          <w:b w:val="0"/>
          <w:i/>
        </w:rPr>
        <w:t>The Slow Pace of Fast Change</w:t>
      </w:r>
      <w:r>
        <w:rPr>
          <w:b w:val="0"/>
          <w:i w:val="0"/>
        </w:rPr>
        <w:t>.</w:t>
      </w:r>
    </w:p>
    <w:p>
      <w:r>
        <w:rPr>
          <w:b w:val="0"/>
          <w:i/>
        </w:rPr>
        <w:t>Source:</w:t>
      </w:r>
      <w:r>
        <w:rPr>
          <w:b w:val="0"/>
          <w:i w:val="0"/>
        </w:rPr>
        <w:t xml:space="preserve"> Adapted from “Why It’s So Hard for Users to Control Their Data” by Bhaskar Chakravorti, published on hbr.org on January 30, 2020 (reprint #H05DVB)</w:t>
      </w:r>
    </w:p>
    <w:p>
      <w:r>
        <w:rPr>
          <w:b w:val="0"/>
          <w:i w:val="0"/>
        </w:rPr>
        <w:t>In Europe, the General Data Protection Regulation (GDPR) privacy law requires firms to get consumers’ opt-in consent to harvest personal information. This is laudable because it addresses issues with defaults, though at the cost of annoying and inconveniencing consumers. And when people are repeatedly faced with decisions about opting in or out, they can become desensitized, which is hardly a recipe for thoughtful choices. So some of the same factors that make data collection ripe for intervention also make designing regulations about it particularly challenging.</w:t>
      </w:r>
    </w:p>
    <w:p>
      <w:r>
        <w:rPr>
          <w:b w:val="0"/>
          <w:i w:val="0"/>
        </w:rPr>
        <w:t>A common approach is to require firms to give consumers information on the relevant costs and benefits of sharing and to tell them about data breaches. But as I’ve noted, research points to the limits of this approach. It’s unlikely to solve the problem given that users don’t read privacy policies and, despite the media uproar, don’t take much action when they learn of breaches. (Indeed, the majority of Facebook users stayed on the platform after the Cambridge Analytica scandal broke.)</w:t>
      </w:r>
    </w:p>
    <w:p>
      <w:r>
        <w:rPr>
          <w:b w:val="0"/>
          <w:i w:val="0"/>
        </w:rPr>
        <w:t>A related approach is to use regulation to directly reduce risks to consumers by, say, placing specific restrictions on what personal data firms can collect and how they can use it, and handing out penalties for noncompliance. In the United States, there is no national law regulating the collection and use of personal data. Some basic ground rules do seem to be in order. In Massachusetts, for example, companies must encrypt personal data that flows over public networks. And California’s groundbreaking Consumer Privacy Act imposes several rules on firms; for example, businesses that sell consumers’ data must allow users to opt out of such sales without penalty.</w:t>
      </w:r>
    </w:p>
    <w:p>
      <w:r>
        <w:rPr>
          <w:b w:val="0"/>
          <w:i w:val="0"/>
        </w:rPr>
        <w:t>But a problem with this approach is that it can lead to the “Whack-A-Mole” problem, whereby firms find loopholes to wriggle out of while complying with the letter of the law. For example, California’s privacy law forbids differential treatment of consumers who exercise their privacy rights—unless it “is reasonably related to the value provided by the consumer’s data”—a possible loophole for firms to exploit. And workarounds may be particularly easy to find in the digital space, where firms are quite nimble; a quick tweak in wording of a privacy policy can have enormous consequences.</w:t>
      </w:r>
    </w:p>
    <w:p>
      <w:r>
        <w:rPr>
          <w:b w:val="0"/>
          <w:i w:val="0"/>
        </w:rPr>
        <w:t>So the real promise of government intervention may lie in giving firms an incentive to use consumers’ personal data only in reasonable ways. One way to do that is to adopt a tool used in the product safety regime: strict liability, or making firms responsible for negative consequences arising from their use of consumer data, even in the absence of negligence or ill intent. Relatedly, firms that collect our personal data could be deemed, as legal scholars Jack Balkin and Jonathan Zittrain have argued, “information fiduciaries”—entities that have a legal obligation to behave in a trustworthy manner with our data. Interventions such as these would give firms a sincere interest in responsibly using data and in preempting abuses and failures in the system of data collection and sharing (because otherwise they’d face financial penalties).</w:t>
      </w:r>
    </w:p>
    <w:p>
      <w:r>
        <w:rPr>
          <w:b w:val="0"/>
          <w:i w:val="0"/>
        </w:rPr>
        <w:t>To be sure, many difficult questions need to be answered first. For example, how would damages be determined? Although the harm done by disclosure cannot be calculated with precision, it could be estimated. Terry Bollea (also known as “Hulk Hogan”) was awarded $115 million in compensatory damages when Gawker violated his privacy by posting a sex tape of him where millions could see it. (Full disclosure: I worked as a consultant to Bollea’s team on this case.)</w:t>
      </w:r>
    </w:p>
    <w:p>
      <w:r>
        <w:rPr>
          <w:b w:val="0"/>
          <w:i w:val="0"/>
        </w:rPr>
        <w:t>Another challenge is proving harm; because this is hard to do in the privacy sphere, some have cogently argued, the courts would have to accept the notion of probabilistic damages. Also, what constitutes reasonable versus unreasonable data use? That’s difficult to articulate, but it’s often the kind of thing you know when you see it. And a key aim of regulation would be to serve as a deterrent and prevent irresponsible use of data in the first place.</w:t>
      </w:r>
    </w:p>
    <w:p>
      <w:r>
        <w:rPr>
          <w:b w:val="0"/>
          <w:i w:val="0"/>
        </w:rPr>
        <w:t>A common concern with regulation is that it can reduce competition. The cost of compliance is disproportionately burdensome for small players, so the net effect of regulation can be greater market power for large incumbents. But there is reason to believe that this pitfall would be less likely if firms were given an interest in behaving in a trustworthy manner. First, companies with deep pockets would be disproportionately targeted by those seeking damages. Second, this approach is conceivably less restrictive to new entrants because it need not require the large up-front investment in compliance that direct approaches typically do.</w:t>
      </w:r>
    </w:p>
    <w:p>
      <w:r>
        <w:rPr>
          <w:b w:val="0"/>
          <w:i w:val="0"/>
        </w:rPr>
        <w:t>Regulation is not a panacea for the surveillance economy. It will surely introduce some new issues. There’s also more to gaining consumers’ trust than merely following the law. But if we draw on insights from behavioral science and accept that consumers are imperfect decision makers rather than perfectly rational economic actors, we can design better regulation that will help realize the benefits of data collection while mitigating its pitfalls—for both firms and consumers alike.</w:t>
      </w:r>
    </w:p>
    <w:p>
      <w:r>
        <w:rPr>
          <w:b w:val="0"/>
          <w:i w:val="0"/>
        </w:rPr>
        <w:t>TAKEAWAYS</w:t>
      </w:r>
    </w:p>
    <w:p>
      <w:r>
        <w:rPr>
          <w:b w:val="0"/>
          <w:i w:val="0"/>
        </w:rPr>
        <w:t>Data gathering doesn’t have to be exploitative or creepy for internet users, but companies need to find ways to balance the benefits of collection with privacy protection for consumers. Companies and policy makers should consider these guidelines when developing regulations:</w:t>
      </w:r>
    </w:p>
    <w:p>
      <w:pPr>
        <w:pStyle w:val="ListBullet"/>
      </w:pPr>
      <w:r>
        <w:rPr>
          <w:b w:val="0"/>
          <w:i w:val="0"/>
        </w:rPr>
        <w:t>Shape solutions after product safety regulations (such as “Caution: This coffee may be hot”) since most consumers aren’t skilled at evaluating privacy risks.</w:t>
      </w:r>
    </w:p>
    <w:p>
      <w:pPr>
        <w:pStyle w:val="ListBullet"/>
      </w:pPr>
      <w:r>
        <w:rPr>
          <w:b w:val="0"/>
          <w:i w:val="0"/>
        </w:rPr>
        <w:t xml:space="preserve">Flip the model and ask customers to </w:t>
      </w:r>
      <w:r>
        <w:rPr>
          <w:b w:val="0"/>
          <w:i/>
        </w:rPr>
        <w:t>opt in</w:t>
      </w:r>
      <w:r>
        <w:rPr>
          <w:b w:val="0"/>
          <w:i w:val="0"/>
        </w:rPr>
        <w:t xml:space="preserve"> and consent to the harvesting of their personal information.</w:t>
      </w:r>
    </w:p>
    <w:p>
      <w:pPr>
        <w:pStyle w:val="ListBullet"/>
      </w:pPr>
      <w:r>
        <w:rPr>
          <w:b w:val="0"/>
          <w:i w:val="0"/>
        </w:rPr>
        <w:t>Require firms to give consumers information on the relevant costs and benefits of sharing and to tell them about data breaches. And government intervention should help make this a two-way street by giving firms an incentive to use consumers’ personal data only in fair ways.</w:t>
      </w:r>
    </w:p>
    <w:p>
      <w:pPr>
        <w:pStyle w:val="ListBullet"/>
      </w:pPr>
      <w:r>
        <w:rPr>
          <w:b w:val="0"/>
          <w:i w:val="0"/>
        </w:rPr>
        <w:t>Place restrictions on data-harvesting practices that are risky for consumers, and penalize noncomplying companies.</w:t>
      </w:r>
    </w:p>
    <w:p>
      <w:pPr>
        <w:pStyle w:val="Heading3"/>
      </w:pPr>
      <w:r>
        <w:rPr>
          <w:b w:val="0"/>
          <w:i w:val="0"/>
        </w:rPr>
        <w:t>NOTES</w:t>
      </w:r>
    </w:p>
    <w:p>
      <w:pPr>
        <w:pStyle w:val="ListNumber"/>
      </w:pPr>
      <w:r>
        <w:rPr>
          <w:b w:val="0"/>
          <w:i w:val="0"/>
        </w:rPr>
        <w:t xml:space="preserve">1. Olivia Krauth, “Your Smartphone Can Be Tracked Even If GPS, Location Services Are Turned Off,” </w:t>
      </w:r>
      <w:r>
        <w:rPr>
          <w:b w:val="0"/>
          <w:i/>
        </w:rPr>
        <w:t>TechRepublic</w:t>
      </w:r>
      <w:r>
        <w:rPr>
          <w:b w:val="0"/>
          <w:i w:val="0"/>
        </w:rPr>
        <w:t>, February 8, 2018, https://www.techrepublic.com/article/your-smartphone-can-be-tracked-even-if-gps-location-services-are-turned-off/.</w:t>
      </w:r>
    </w:p>
    <w:p>
      <w:pPr>
        <w:pStyle w:val="ListNumber"/>
      </w:pPr>
      <w:r>
        <w:rPr>
          <w:b w:val="0"/>
          <w:i w:val="0"/>
        </w:rPr>
        <w:t xml:space="preserve">2. Janice Y. Tsai, Serge Egelman, Lorrie Cranor, and Alessandro Acquisti, “The Effect of Online Privacy Information on Purchasing Behavior: An Experimental Study,” </w:t>
      </w:r>
      <w:r>
        <w:rPr>
          <w:b w:val="0"/>
          <w:i/>
        </w:rPr>
        <w:t>Information Systems Research</w:t>
      </w:r>
      <w:r>
        <w:rPr>
          <w:b w:val="0"/>
          <w:i w:val="0"/>
        </w:rPr>
        <w:t xml:space="preserve"> 22, no. 2 (2011): 254–268.</w:t>
      </w:r>
    </w:p>
    <w:p>
      <w:pPr>
        <w:pStyle w:val="ListNumber"/>
      </w:pPr>
      <w:r>
        <w:rPr>
          <w:b w:val="0"/>
          <w:i w:val="0"/>
        </w:rPr>
        <w:t>3. Susan Athey, Christian Catalini, and Catherine E. Tucker, “The Digital Privacy Paradox: Small Money, Small Costs, Small Talk,” MIT Sloan Research Paper No. 5196-17, Stanford University Graduate School of Business Research Paper No. 17-14, February 15, 2017; revised April 17, 2018, https://papers.ssrn.com/sol3/papers.cfm?abstract_id=2916489.</w:t>
      </w:r>
    </w:p>
    <w:p>
      <w:pPr>
        <w:pStyle w:val="ListNumber"/>
      </w:pPr>
      <w:r>
        <w:rPr>
          <w:b w:val="0"/>
          <w:i w:val="0"/>
        </w:rPr>
        <w:t xml:space="preserve">4. Robinson Meyer, “Could a Bank Deny Your Loan Based on Your Facebook Friends?,” </w:t>
      </w:r>
      <w:r>
        <w:rPr>
          <w:b w:val="0"/>
          <w:i/>
        </w:rPr>
        <w:t>Atlantic</w:t>
      </w:r>
      <w:r>
        <w:rPr>
          <w:b w:val="0"/>
          <w:i w:val="0"/>
        </w:rPr>
        <w:t>, September 25, 2015, https://www.theatlantic.com/technology/archive/2015/09/facebooks-new-patent-and-digital-redlining/407287/.</w:t>
      </w:r>
    </w:p>
    <w:p>
      <w:pPr>
        <w:pStyle w:val="ListNumber"/>
      </w:pPr>
      <w:r>
        <w:rPr>
          <w:b w:val="0"/>
          <w:i w:val="0"/>
        </w:rPr>
        <w:t xml:space="preserve">5. Alessandro Acquisti, Leslie K. John, and George Loewenstein, “What Is Privacy Worth?,” </w:t>
      </w:r>
      <w:r>
        <w:rPr>
          <w:b w:val="0"/>
          <w:i/>
        </w:rPr>
        <w:t>Journal of Legal Studies</w:t>
      </w:r>
      <w:r>
        <w:rPr>
          <w:b w:val="0"/>
          <w:i w:val="0"/>
        </w:rPr>
        <w:t xml:space="preserve"> 42, no. 2 (June 2013): 249–274.</w:t>
      </w:r>
    </w:p>
    <w:p>
      <w:pPr>
        <w:pStyle w:val="ListNumber"/>
      </w:pPr>
      <w:r>
        <w:rPr>
          <w:b w:val="0"/>
          <w:i w:val="0"/>
        </w:rPr>
        <w:t>6. Mark R. Warner, “Potential Policy Proposals for Regulation of Social Media and Technology Firms,” draft white paper, https://regmedia.co.uk/2018/07/30/warner_social_media_proposal.pdf.</w:t>
      </w:r>
    </w:p>
    <w:p>
      <w:pPr>
        <w:pStyle w:val="ListNumber"/>
      </w:pPr>
      <w:r>
        <w:rPr>
          <w:b w:val="0"/>
          <w:i w:val="0"/>
        </w:rPr>
        <w:t xml:space="preserve">7. Ellen J. Langer, “The Illusion of Control,” </w:t>
      </w:r>
      <w:r>
        <w:rPr>
          <w:b w:val="0"/>
          <w:i/>
        </w:rPr>
        <w:t>Journal of Personality and Social Psychology</w:t>
      </w:r>
      <w:r>
        <w:rPr>
          <w:b w:val="0"/>
          <w:i w:val="0"/>
        </w:rPr>
        <w:t xml:space="preserve"> 32, no. 2 (1975): 311–328.</w:t>
      </w:r>
    </w:p>
    <w:p>
      <w:pPr>
        <w:pStyle w:val="ListNumber"/>
      </w:pPr>
      <w:r>
        <w:rPr>
          <w:b w:val="0"/>
          <w:i w:val="0"/>
        </w:rPr>
        <w:t xml:space="preserve">8. Sarah Spiekermann, Bettina Berendt, and Jens Grossklags, “E-Privacy in 2nd Generation E-Commerce: Privacy Preferences versus Actual Behavior,” abstract, </w:t>
      </w:r>
      <w:r>
        <w:rPr>
          <w:b w:val="0"/>
          <w:i/>
        </w:rPr>
        <w:t>SSRN</w:t>
      </w:r>
      <w:r>
        <w:rPr>
          <w:b w:val="0"/>
          <w:i w:val="0"/>
        </w:rPr>
        <w:t>, February 20, 2009, https://ssrn.com/abstract=761107.</w:t>
      </w:r>
    </w:p>
    <w:p>
      <w:pPr>
        <w:pStyle w:val="ListNumber"/>
      </w:pPr>
      <w:r>
        <w:rPr>
          <w:b w:val="0"/>
          <w:i w:val="0"/>
        </w:rPr>
        <w:t xml:space="preserve">9. Constantine Sedikides, W. Keith Campbell, Glenn Reeder, and Andrew Elliot, “The Relationship Closeness Induction Task,” </w:t>
      </w:r>
      <w:r>
        <w:rPr>
          <w:b w:val="0"/>
          <w:i/>
        </w:rPr>
        <w:t>Representative Research in Social Psychology</w:t>
      </w:r>
      <w:r>
        <w:rPr>
          <w:b w:val="0"/>
          <w:i w:val="0"/>
        </w:rPr>
        <w:t xml:space="preserve"> 23 (January 1999): 1–4.</w:t>
      </w:r>
    </w:p>
    <w:p>
      <w:pPr>
        <w:pStyle w:val="ListNumber"/>
      </w:pPr>
      <w:r>
        <w:rPr>
          <w:b w:val="0"/>
          <w:i w:val="0"/>
        </w:rPr>
        <w:t xml:space="preserve">10. James W. Pennebaker, “Telling Stories: The Health Benefits of Narrative,” </w:t>
      </w:r>
      <w:r>
        <w:rPr>
          <w:b w:val="0"/>
          <w:i/>
        </w:rPr>
        <w:t>Literature and Medicine</w:t>
      </w:r>
      <w:r>
        <w:rPr>
          <w:b w:val="0"/>
          <w:i w:val="0"/>
        </w:rPr>
        <w:t xml:space="preserve"> 19, no. 1 (2000): 3–18; Michael Slepian and Edythe Moulton-Tetlock, “Confiding Secrets and Well-Being,” preprint submitted April 6, 2018, doi:10.31234/osf.io/dta8n.</w:t>
      </w:r>
    </w:p>
    <w:p>
      <w:pPr>
        <w:pStyle w:val="ListNumber"/>
      </w:pPr>
      <w:r>
        <w:rPr>
          <w:b w:val="0"/>
          <w:i w:val="0"/>
        </w:rPr>
        <w:t xml:space="preserve">11. Diana I. Tamir and Jason P. Mitchell, “Intrinsic Value of Self-Disclosure,” </w:t>
      </w:r>
      <w:r>
        <w:rPr>
          <w:b w:val="0"/>
          <w:i/>
        </w:rPr>
        <w:t>Proceedings of the National Academy of Sciences</w:t>
      </w:r>
      <w:r>
        <w:rPr>
          <w:b w:val="0"/>
          <w:i w:val="0"/>
        </w:rPr>
        <w:t xml:space="preserve"> 109, no. 21 (May 2012): 8038–8043.</w:t>
      </w:r>
    </w:p>
    <w:p>
      <w:pPr>
        <w:pStyle w:val="ListNumber"/>
      </w:pPr>
      <w:r>
        <w:rPr>
          <w:b w:val="0"/>
          <w:i w:val="0"/>
        </w:rPr>
        <w:t xml:space="preserve">12. Leslie K. John, Alessandro Acquisti, and George Loewenstein, “Strangers on a Plane: Context-Dependent Willingness to Divulge Sensitive Information,” </w:t>
      </w:r>
      <w:r>
        <w:rPr>
          <w:b w:val="0"/>
          <w:i/>
        </w:rPr>
        <w:t>Journal of Consumer Research</w:t>
      </w:r>
      <w:r>
        <w:rPr>
          <w:b w:val="0"/>
          <w:i w:val="0"/>
        </w:rPr>
        <w:t xml:space="preserve"> 37, no. 5 (February 2011): 858–873.</w:t>
      </w:r>
    </w:p>
    <w:p>
      <w:pPr>
        <w:pStyle w:val="ListNumber"/>
      </w:pPr>
      <w:r>
        <w:rPr>
          <w:b w:val="0"/>
          <w:i w:val="0"/>
        </w:rPr>
        <w:t xml:space="preserve">13. Aleecia M. McDonald and Lorrie Faith Cranor, “The Cost of Reading Privacy Policies,” </w:t>
      </w:r>
      <w:r>
        <w:rPr>
          <w:b w:val="0"/>
          <w:i/>
        </w:rPr>
        <w:t>I/S: A Journal of Law and Policy for the Information Society</w:t>
      </w:r>
      <w:r>
        <w:rPr>
          <w:b w:val="0"/>
          <w:i w:val="0"/>
        </w:rPr>
        <w:t xml:space="preserve"> 4, no. 3 (2008): 543–568.</w:t>
      </w:r>
    </w:p>
    <w:p>
      <w:r>
        <w:rPr>
          <w:b w:val="0"/>
          <w:i/>
        </w:rPr>
        <w:t>Adapted from content posted on hbr.org, October 5, 2018 (product #BG1805).</w:t>
      </w:r>
    </w:p>
    <w:p>
      <w:pPr>
        <w:pStyle w:val="Heading1"/>
      </w:pPr>
      <w:r>
        <w:rPr>
          <w:b w:val="0"/>
          <w:i w:val="0"/>
        </w:rPr>
        <w:t>2</w:t>
      </w:r>
    </w:p>
    <w:p>
      <w:pPr>
        <w:pStyle w:val="Heading1"/>
      </w:pPr>
      <w:r>
        <w:rPr>
          <w:b w:val="0"/>
          <w:i w:val="0"/>
        </w:rPr>
        <w:t>WHY IT’S A BAD IDEA TO LET A FEW TECH COMPANIES MONOPOLIZE OUR DATA</w:t>
      </w:r>
    </w:p>
    <w:p>
      <w:r>
        <w:rPr>
          <w:b w:val="0"/>
          <w:i w:val="0"/>
        </w:rPr>
        <w:t>by Maurice E. Stucke</w:t>
      </w:r>
    </w:p>
    <w:p>
      <w:r>
        <w:rPr>
          <w:b w:val="0"/>
          <w:i w:val="0"/>
        </w:rPr>
        <w:t>“It’s no good fighting an election campaign on the facts,” Cambridge Analytica’s managing director told an undercover reporter, “because actually it’s all about emotion.” To target U.S. voters and appeal to their hopes, neuroses, and fears, the political consulting firm needed to train its algorithm to predict and map personality traits. That required lots of personal data. So, to build these psychographic profiles, Cambridge Analytica enlisted a Cambridge University professor, whose app collected data on 50 million Facebook users and their friends. Facebook, at that time, allowed app developers to collect this personal data. Facebook argued that Cambridge Analytica and the professor violated its data polices. But this was not the first time its policies were violated. Nor is it likely to be the last.</w:t>
      </w:r>
    </w:p>
    <w:p>
      <w:r>
        <w:rPr>
          <w:b w:val="0"/>
          <w:i w:val="0"/>
        </w:rPr>
        <w:t>This scandal came on the heels of Russia’s using Facebook, Google, and Twitter “to sow discord in the U.S. political system, including the 2016 U.S. presidential election.” It heightened concerns over today’s tech giants and the influence they have.</w:t>
      </w:r>
    </w:p>
    <w:p>
      <w:r>
        <w:rPr>
          <w:b w:val="0"/>
          <w:i w:val="0"/>
        </w:rPr>
        <w:t xml:space="preserve">That influence comes in part from data. Facebook, Google, Amazon, and similar companies are “data-opolies.” By that I mean companies that control a key platform that, like a coral reef, attracts to its ecosystem users, sellers, advertisers, software developers, app developers, and accessory makers. Apple and Google, for example, each control a popular mobile phone operating system platform (and key apps on that platform), Amazon controls the largest online merchant platform, and Facebook controls the largest social network platform. A significant </w:t>
      </w:r>
      <w:r>
        <w:rPr>
          <w:b w:val="0"/>
          <w:i/>
        </w:rPr>
        <w:t>volume</w:t>
      </w:r>
      <w:r>
        <w:rPr>
          <w:b w:val="0"/>
          <w:i w:val="0"/>
        </w:rPr>
        <w:t xml:space="preserve"> and </w:t>
      </w:r>
      <w:r>
        <w:rPr>
          <w:b w:val="0"/>
          <w:i/>
        </w:rPr>
        <w:t>variety</w:t>
      </w:r>
      <w:r>
        <w:rPr>
          <w:b w:val="0"/>
          <w:i w:val="0"/>
        </w:rPr>
        <w:t xml:space="preserve"> of personal data flows through their leading platforms. The </w:t>
      </w:r>
      <w:r>
        <w:rPr>
          <w:b w:val="0"/>
          <w:i/>
        </w:rPr>
        <w:t>velocity</w:t>
      </w:r>
      <w:r>
        <w:rPr>
          <w:b w:val="0"/>
          <w:i w:val="0"/>
        </w:rPr>
        <w:t xml:space="preserve"> in acquiring and exploiting this personal data can help these companies obtain significant market power.</w:t>
      </w:r>
    </w:p>
    <w:p>
      <w:r>
        <w:rPr>
          <w:b w:val="0"/>
          <w:i w:val="0"/>
        </w:rPr>
        <w:t>Is it okay for a few firms to possess so much data and thereby wield so much power? In the United States, at least, antitrust officials so far seem ambivalent about these data-opolies. They’re free, the thinking goes, so what’s the harm? But that reasoning is misguided. Data-opolies pose tremendous risks for consumers, workers, competition, and the overall health of our democracy. Here’s why.</w:t>
      </w:r>
    </w:p>
    <w:p>
      <w:pPr>
        <w:pStyle w:val="Heading2"/>
      </w:pPr>
      <w:r>
        <w:rPr>
          <w:b w:val="0"/>
          <w:i w:val="0"/>
        </w:rPr>
        <w:t>Why U.S. Antitrust Isn’t Worried About Data-Opolies</w:t>
      </w:r>
    </w:p>
    <w:p>
      <w:r>
        <w:rPr>
          <w:b w:val="0"/>
          <w:i w:val="0"/>
        </w:rPr>
        <w:t>The European competition authorities brought actions against four data-opolies: Google, Apple, Facebook, and Amazon. The European Commission, for example, fined Google a record €2.42 billion for leveraging its search monopoly to advance its comparative shopping service. The European Commission also preliminarily found Google to have abused its dominant position both with its Android mobile operating system and with AdSense. Facebook, Germany’s competition agency preliminarily found, abused its dominant position “by making the use of its social network conditional on its being allowed to limitlessly amass every kind of data generated by using third-party websites and merge it with the user’s Facebook account.”</w:t>
      </w:r>
    </w:p>
    <w:p>
      <w:r>
        <w:rPr>
          <w:b w:val="0"/>
          <w:i w:val="0"/>
        </w:rPr>
        <w:t>We will likely see more fines and other remedies in the next few years from the Europeans. But in the United States, the data-opolies have largely escaped antitrust scrutiny, under both the Barack Obama and the George W. Bush administrations. Notably, while the European Commission found Google’s search bias to be anticompetitive, the U.S. Federal Trade Commission did not. From 2000 onward, the Department of Justice brought only one monopolization case in total, against anyone. (In contrast, the DOJ, between 1970 and 1972, brought 39 civil and 3 criminal cases against monopolies and oligopolies.)</w:t>
      </w:r>
    </w:p>
    <w:p>
      <w:r>
        <w:rPr>
          <w:b w:val="0"/>
          <w:i w:val="0"/>
        </w:rPr>
        <w:t>The head of the Department of Justice’s Antitrust Division recognized the enforcement gap between the United States and Europe. He noted his agency’s “particular concerns in digital markets.” But absent “demonstrable harm to competition and consumers,” the DOJ is “reluctant to impose special duties on digital platforms, out of [its] concern that special duties might stifle the very innovation that has created dynamic competition for the benefit of consumers.”</w:t>
      </w:r>
    </w:p>
    <w:p>
      <w:r>
        <w:rPr>
          <w:b w:val="0"/>
          <w:i w:val="0"/>
        </w:rPr>
        <w:t>So the divergence in antitrust enforcement may reflect differences over these data-opolies’ perceived harms. Ordinarily the harm from monopolies is higher prices, less output, or reduced quality. It superficially appears that data-opolies pose little, if any, risk of these harms. Unlike some pharmaceutical companies, data-opolies do not charge consumers exorbitant prices. Most of Google’s and Facebook’s consumer products are ostensibly “free.” The data-opolies’ scale can also mean higher-quality products. The more people use a particular search engine, the more the search engine’s algorithm can learn users’ preferences, and the more relevant the search results will likely be, which in turn will likely attract others to the search engine, and the positive feedback continues.</w:t>
      </w:r>
    </w:p>
    <w:p>
      <w:r>
        <w:rPr>
          <w:b w:val="0"/>
          <w:i w:val="0"/>
        </w:rPr>
        <w:t>As Robert Bork argues, there “is no coherent case for monopolization because a search engine, like Google, is free to consumers and they can switch to an alternative search engine with a click.”</w:t>
      </w:r>
    </w:p>
    <w:p>
      <w:pPr>
        <w:pStyle w:val="Heading2"/>
      </w:pPr>
      <w:r>
        <w:rPr>
          <w:b w:val="0"/>
          <w:i w:val="0"/>
        </w:rPr>
        <w:t>How Data-Opolies Harm</w:t>
      </w:r>
    </w:p>
    <w:p>
      <w:r>
        <w:rPr>
          <w:b w:val="0"/>
          <w:i w:val="0"/>
        </w:rPr>
        <w:t>But higher prices are not the only way for powerful companies to harm their consumers or the rest of society. Upon closer examination, we see that data-opolies can pose at least eight potential harms.</w:t>
      </w:r>
    </w:p>
    <w:p>
      <w:pPr>
        <w:pStyle w:val="Heading3"/>
      </w:pPr>
      <w:r>
        <w:rPr>
          <w:b w:val="0"/>
          <w:i w:val="0"/>
        </w:rPr>
        <w:t>Lower-quality products with less privacy</w:t>
      </w:r>
    </w:p>
    <w:p>
      <w:r>
        <w:rPr>
          <w:b w:val="0"/>
          <w:i w:val="0"/>
        </w:rPr>
        <w:t xml:space="preserve">Companies, antitrust authorities increasingly recognize, can compete on privacy and protecting data. But without competition, data-opolies face less pressure. They can depress privacy protection </w:t>
      </w:r>
      <w:r>
        <w:rPr>
          <w:b w:val="0"/>
          <w:i/>
        </w:rPr>
        <w:t>below</w:t>
      </w:r>
      <w:r>
        <w:rPr>
          <w:b w:val="0"/>
          <w:i w:val="0"/>
        </w:rPr>
        <w:t xml:space="preserve"> competitive levels and collect personal data </w:t>
      </w:r>
      <w:r>
        <w:rPr>
          <w:b w:val="0"/>
          <w:i/>
        </w:rPr>
        <w:t>above</w:t>
      </w:r>
      <w:r>
        <w:rPr>
          <w:b w:val="0"/>
          <w:i w:val="0"/>
        </w:rPr>
        <w:t xml:space="preserve"> competitive levels. The collection of too much personal data can be the equivalent of charging an excessive price.</w:t>
      </w:r>
    </w:p>
    <w:p>
      <w:r>
        <w:rPr>
          <w:b w:val="0"/>
          <w:i w:val="0"/>
        </w:rPr>
        <w:t xml:space="preserve">Data-opolies can also fail to disclose </w:t>
      </w:r>
      <w:r>
        <w:rPr>
          <w:b w:val="0"/>
          <w:i/>
        </w:rPr>
        <w:t>what</w:t>
      </w:r>
      <w:r>
        <w:rPr>
          <w:b w:val="0"/>
          <w:i w:val="0"/>
        </w:rPr>
        <w:t xml:space="preserve"> data they collect and </w:t>
      </w:r>
      <w:r>
        <w:rPr>
          <w:b w:val="0"/>
          <w:i/>
        </w:rPr>
        <w:t>how</w:t>
      </w:r>
      <w:r>
        <w:rPr>
          <w:b w:val="0"/>
          <w:i w:val="0"/>
        </w:rPr>
        <w:t xml:space="preserve"> they will use the data. They face little competitive pressure to change their opaque privacy policies. Even if a data-opoly improves its privacy statement, so what? The current notice-and-consent regime is meaningless when there are no viable competitive alternatives and the bargaining power is so unequal.</w:t>
      </w:r>
    </w:p>
    <w:p>
      <w:pPr>
        <w:pStyle w:val="Heading3"/>
      </w:pPr>
      <w:r>
        <w:rPr>
          <w:b w:val="0"/>
          <w:i w:val="0"/>
        </w:rPr>
        <w:t>Surveillance and security risks</w:t>
      </w:r>
    </w:p>
    <w:p>
      <w:r>
        <w:rPr>
          <w:b w:val="0"/>
          <w:i w:val="0"/>
        </w:rPr>
        <w:t>In a monopolized market, personal data is concentrated in a few firms. Consumers have limited outside options that offer better privacy protection. This raises additional risks, including:</w:t>
      </w:r>
    </w:p>
    <w:p>
      <w:pPr>
        <w:pStyle w:val="ListBullet"/>
      </w:pPr>
      <w:r>
        <w:rPr>
          <w:b w:val="0"/>
          <w:i w:val="0"/>
        </w:rPr>
        <w:t>Government capture.  The fewer the firms controlling the personal data, the greater the potential risk that a government will capture the firm. Companies need things from government; governments often want access to data. When there are only a few firms, this can increase the likelihood of companies secretly cooperating with the government to provide access to data. China, for example, relies on its data-opolies to better monitor its population.</w:t>
      </w:r>
    </w:p>
    <w:p>
      <w:pPr>
        <w:pStyle w:val="ListBullet"/>
      </w:pPr>
      <w:r>
        <w:rPr>
          <w:b w:val="0"/>
          <w:i w:val="0"/>
        </w:rPr>
        <w:t>Covert surveillance.  Even if the government cannot capture a data-opoly, its rich data trove increases a government’s incentive to circumvent the data-opoly’s privacy protections to tap into the personal data. Even if the government can’t strike a deal to access the data directly, it may be able to do so covertly.</w:t>
      </w:r>
    </w:p>
    <w:p>
      <w:pPr>
        <w:pStyle w:val="ListBullet"/>
      </w:pPr>
      <w:r>
        <w:rPr>
          <w:b w:val="0"/>
          <w:i w:val="0"/>
        </w:rPr>
        <w:t>Implications of a data policy violation or security breach.  Data-opolies have greater incentives to prevent a breach than do typical firms. But with more personal data concentrated in fewer companies, hackers, marketers, and political consultants, among others, have even greater incentives to find ways to circumvent or breach the dominant firm’s security measures. The concentration of data means that if one of them is breached, the harm done could be orders of magnitude greater than with a normal company. While consumers may be outraged, a dominant firm has less reason to worry about consumers’ switching to rivals.</w:t>
      </w:r>
    </w:p>
    <w:p>
      <w:pPr>
        <w:pStyle w:val="Heading3"/>
      </w:pPr>
      <w:r>
        <w:rPr>
          <w:b w:val="0"/>
          <w:i w:val="0"/>
        </w:rPr>
        <w:t>Wealth transfer to data-opolies</w:t>
      </w:r>
    </w:p>
    <w:p>
      <w:r>
        <w:rPr>
          <w:b w:val="0"/>
          <w:i w:val="0"/>
        </w:rPr>
        <w:t>Even when their products and services are ostensibly “free,” data-opolies can extract significant wealth in several ways that they otherwise couldn’t in a competitive market.</w:t>
      </w:r>
    </w:p>
    <w:p>
      <w:r>
        <w:rPr>
          <w:b w:val="0"/>
          <w:i w:val="0"/>
        </w:rPr>
        <w:t xml:space="preserve">First, data-opolies can extract wealth by getting personal data without having to pay the data’s fair market value. The personal data collected may be worth far more than the cost of providing the free service. The fact that the service is free does not mean we are fairly compensated for our data. Thus, data-opolies have a strong economic incentive to maintain the status quo, in which users, as </w:t>
      </w:r>
      <w:r>
        <w:rPr>
          <w:b w:val="0"/>
          <w:i/>
        </w:rPr>
        <w:t>MIT Technology Review</w:t>
      </w:r>
      <w:r>
        <w:rPr>
          <w:b w:val="0"/>
          <w:i w:val="0"/>
        </w:rPr>
        <w:t xml:space="preserve"> put it, “have little idea how much personal data they have provided, how it is used, and what it is worth.” If the public knew, and if they had viable alternatives, they might hold out for compensation.</w:t>
      </w:r>
    </w:p>
    <w:p>
      <w:r>
        <w:rPr>
          <w:b w:val="0"/>
          <w:i w:val="0"/>
        </w:rPr>
        <w:t>Second, something similar can happen with the content users create. Data-opolies can extract wealth by getting creative content from users for free. In a competitive market, users could conceivably demand compensation not only for their data but also their contributions to YouTube and Facebook. With no viable alternatives, they cannot.</w:t>
      </w:r>
    </w:p>
    <w:p>
      <w:r>
        <w:rPr>
          <w:b w:val="0"/>
          <w:i w:val="0"/>
        </w:rPr>
        <w:t>Third, data-opolies can extract wealth from sellers upstream. One example is when data-opolies scrape valuable content from photographers, authors, musicians, and others’ websites and post it on their own platform. In this case, the wealth of the data-opolies comes at the expense of other businesses in their value chain.</w:t>
      </w:r>
    </w:p>
    <w:p>
      <w:r>
        <w:rPr>
          <w:b w:val="0"/>
          <w:i w:val="0"/>
        </w:rPr>
        <w:t>Fourth, data-opolies can extract our wealth indirectly, when their higher advertising fees are passed along in the prices for the advertised goods and services. If the data-opolies had more competitors for their advertising services, ads could cost even less—and therefore so might the products being advertised.</w:t>
      </w:r>
    </w:p>
    <w:p>
      <w:r>
        <w:rPr>
          <w:b w:val="0"/>
          <w:i w:val="0"/>
        </w:rPr>
        <w:t xml:space="preserve">Finally, data-opolies can extract wealth from both sellers upstream and consumers downstream by facilitating or engaging in </w:t>
      </w:r>
      <w:r>
        <w:rPr>
          <w:b w:val="0"/>
          <w:i/>
        </w:rPr>
        <w:t>behavioral discrimination</w:t>
      </w:r>
      <w:r>
        <w:rPr>
          <w:b w:val="0"/>
          <w:i w:val="0"/>
        </w:rPr>
        <w:t>, a form of price discrimination based on past behavior—such as internet browsing history. Data-opolies can use the personal data to get people to buy things they did not necessarily want at the highest price they are willing to pay.</w:t>
      </w:r>
    </w:p>
    <w:p>
      <w:r>
        <w:rPr>
          <w:b w:val="0"/>
          <w:i w:val="0"/>
        </w:rPr>
        <w:t>As data-opolies expand their platforms to digital personal assistants, the Internet of Things, and smart technologies, the concern is that their data advantage will increase their competitive advantage and market power. As a result, the data-opolies’ monopoly profits will likely increase, at our expense.</w:t>
      </w:r>
    </w:p>
    <w:p>
      <w:pPr>
        <w:pStyle w:val="Heading3"/>
      </w:pPr>
      <w:r>
        <w:rPr>
          <w:b w:val="0"/>
          <w:i w:val="0"/>
        </w:rPr>
        <w:t>Loss of trust</w:t>
      </w:r>
    </w:p>
    <w:p>
      <w:r>
        <w:rPr>
          <w:b w:val="0"/>
          <w:i w:val="0"/>
        </w:rPr>
        <w:t>Market economies rely on trust. For online markets to deliver their benefits, people must trust firms and their use of personal data. But as technology evolves and more personal data is collected, we are increasingly aware that a few powerful firms are using our personal information for their benefit, not ours. When data-opolies degrade privacy protections below competitive levels, some consumers will choose “to [not] share their data, to limit their data sharing with companies, or even to lie when providing information,” as the U. K. Competition and Markets Authority put it. Consumers may forgo the data-opolies’ services, which they otherwise would have used if privacy competition were robust. This loss would represent what economists call a deadweight welfare loss. In other words, as distrust increases, society overall becomes worse off.</w:t>
      </w:r>
    </w:p>
    <w:p>
      <w:pPr>
        <w:pStyle w:val="Heading3"/>
      </w:pPr>
      <w:r>
        <w:rPr>
          <w:b w:val="0"/>
          <w:i w:val="0"/>
        </w:rPr>
        <w:t>Significant costs on third parties</w:t>
      </w:r>
    </w:p>
    <w:p>
      <w:r>
        <w:rPr>
          <w:b w:val="0"/>
          <w:i w:val="0"/>
        </w:rPr>
        <w:t>Additionally, data-opolies that control a key platform, like a mobile phone operating system, can cheaply exclude rivals by:</w:t>
      </w:r>
    </w:p>
    <w:p>
      <w:pPr>
        <w:pStyle w:val="ListBullet"/>
      </w:pPr>
      <w:r>
        <w:rPr>
          <w:b w:val="0"/>
          <w:i w:val="0"/>
        </w:rPr>
        <w:t>steering users and advertisers to their own products and services to the detriment of rival sellers on the platform (and contrary to consumers’ wishes)</w:t>
      </w:r>
    </w:p>
    <w:p>
      <w:pPr>
        <w:pStyle w:val="ListBullet"/>
      </w:pPr>
      <w:r>
        <w:rPr>
          <w:b w:val="0"/>
          <w:i w:val="0"/>
        </w:rPr>
        <w:t>degrading an independent app’s functionality</w:t>
      </w:r>
    </w:p>
    <w:p>
      <w:pPr>
        <w:pStyle w:val="ListBullet"/>
      </w:pPr>
      <w:r>
        <w:rPr>
          <w:b w:val="0"/>
          <w:i w:val="0"/>
        </w:rPr>
        <w:t>reducing traffic to an independent app by making it harder to find via its search engine or in its app store</w:t>
      </w:r>
    </w:p>
    <w:p>
      <w:r>
        <w:rPr>
          <w:b w:val="0"/>
          <w:i w:val="0"/>
        </w:rPr>
        <w:t xml:space="preserve">Data-opolies can also impose costs on companies seeking to protect our privacy interests. My book with Ariel Ezrachi, </w:t>
      </w:r>
      <w:r>
        <w:rPr>
          <w:b w:val="0"/>
          <w:i/>
        </w:rPr>
        <w:t>Virtual Competition</w:t>
      </w:r>
      <w:r>
        <w:rPr>
          <w:b w:val="0"/>
          <w:i w:val="0"/>
        </w:rPr>
        <w:t>, discusses, for example, Google’s kicking the privacy app Disconnect out of its Android app store.</w:t>
      </w:r>
    </w:p>
    <w:p>
      <w:pPr>
        <w:pStyle w:val="Heading3"/>
      </w:pPr>
      <w:r>
        <w:rPr>
          <w:b w:val="0"/>
          <w:i w:val="0"/>
        </w:rPr>
        <w:t>Less innovation in markets dominated by data-opolies</w:t>
      </w:r>
    </w:p>
    <w:p>
      <w:r>
        <w:rPr>
          <w:b w:val="0"/>
          <w:i w:val="0"/>
        </w:rPr>
        <w:t xml:space="preserve">Data-opolies can chill innovation with a weapon that earlier monopolies lacked. Allen Grunes and I call it the “now-casting radar.” Our book </w:t>
      </w:r>
      <w:r>
        <w:rPr>
          <w:b w:val="0"/>
          <w:i/>
        </w:rPr>
        <w:t>Big Data and Competition Policy</w:t>
      </w:r>
      <w:r>
        <w:rPr>
          <w:b w:val="0"/>
          <w:i w:val="0"/>
        </w:rPr>
        <w:t xml:space="preserve"> explores how some platforms have a relative advantage in accessing and analyzing data to discern consumer trends well before others. Data-opolies can use their relative advantage to see what products or services are becoming more popular. With their now-casting radar, data-opolies can acquire or squelch these nascent competitive threats.</w:t>
      </w:r>
    </w:p>
    <w:p>
      <w:pPr>
        <w:pStyle w:val="Heading3"/>
      </w:pPr>
      <w:r>
        <w:rPr>
          <w:b w:val="0"/>
          <w:i w:val="0"/>
        </w:rPr>
        <w:t>Social and moral concerns</w:t>
      </w:r>
    </w:p>
    <w:p>
      <w:r>
        <w:rPr>
          <w:b w:val="0"/>
          <w:i w:val="0"/>
        </w:rPr>
        <w:t>Historically, antitrust has also been concerned with how monopolies can hinder individual autonomy. Data-opolies can also hurt individual autonomy. To start with, they can direct (and limit) opportunities for startups that subsist on their super platform. This includes third-party sellers that rely on Amazon’s platform to reach consumers, newspapers and journalists who depend on Facebook and Google to reach younger readers, and as the European Commission’s Google Shopping Case explores, companies that depend on traffic from Google’s search engine.</w:t>
      </w:r>
    </w:p>
    <w:p>
      <w:r>
        <w:rPr>
          <w:b w:val="0"/>
          <w:i w:val="0"/>
        </w:rPr>
        <w:t xml:space="preserve">But the autonomy concerns go beyond the constellation of app developers, sellers, journalists, musicians, writers, photographers, and artists dependent on the data-opoly to reach users. Every individual’s autonomy is at stake. In January, the hedge fund Jana Partners joined the California State Teachers’ Retirement System pension fund to demand that Apple do more to address the effects of its devices on children. As the </w:t>
      </w:r>
      <w:r>
        <w:rPr>
          <w:b w:val="0"/>
          <w:i/>
        </w:rPr>
        <w:t>Economist</w:t>
      </w:r>
      <w:r>
        <w:rPr>
          <w:b w:val="0"/>
          <w:i w:val="0"/>
        </w:rPr>
        <w:t xml:space="preserve"> noted, “You know you are in trouble if a Wall Street firm is lecturing you about morality.” The concern is that the data-opolies’ products are purposefully addictive and thereby eroding individuals’ ability to make free choices.</w:t>
      </w:r>
    </w:p>
    <w:p>
      <w:r>
        <w:rPr>
          <w:b w:val="0"/>
          <w:i w:val="0"/>
        </w:rPr>
        <w:t>There is an interesting counterargument that’s worth noting, based on the interplay between monopoly power and competition. On the one hand, in monopolized markets, consumers have fewer competitive options, and arguably, there is less need to addict them. On the other hand, data-opolies like Facebook and Google, even without significant rivals, can increase profits by increasing our engagement with their products. Data-opolies can have an incentive to exploit behavioral biases and imperfect willpower to addict users—whether watching YouTube videos or posting on Instagram.</w:t>
      </w:r>
    </w:p>
    <w:p>
      <w:pPr>
        <w:pStyle w:val="Heading3"/>
      </w:pPr>
      <w:r>
        <w:rPr>
          <w:b w:val="0"/>
          <w:i w:val="0"/>
        </w:rPr>
        <w:t>Political concerns</w:t>
      </w:r>
    </w:p>
    <w:p>
      <w:r>
        <w:rPr>
          <w:b w:val="0"/>
          <w:i w:val="0"/>
        </w:rPr>
        <w:t>Economic power often translates into political power. Unlike earlier monopolies, data-opolies, given how they interact with individuals, possess a more powerful tool: the ability to affect the public debate and our perception of right and wrong.</w:t>
      </w:r>
    </w:p>
    <w:p>
      <w:r>
        <w:rPr>
          <w:b w:val="0"/>
          <w:i w:val="0"/>
        </w:rPr>
        <w:t>Many people now receive their news from social media platforms. But the news isn’t just passively transmitted. Data-opolies can influence how we feel and think. Facebook, for example, in an “emotional contagion” study, manipulated 689,003 users’ emotions by altering their news feed. Other risks of this sort include:</w:t>
      </w:r>
    </w:p>
    <w:p>
      <w:pPr>
        <w:pStyle w:val="ListBullet"/>
      </w:pPr>
      <w:r>
        <w:rPr>
          <w:b w:val="0"/>
          <w:i w:val="0"/>
        </w:rPr>
        <w:t>Bias.  In filtering the information we receive based on our preferences, data-opolies can reduce the viewpoints we receive, thereby leading to echo chambers and filter bubbles.</w:t>
      </w:r>
    </w:p>
    <w:p>
      <w:pPr>
        <w:pStyle w:val="ListBullet"/>
      </w:pPr>
      <w:r>
        <w:rPr>
          <w:b w:val="0"/>
          <w:i w:val="0"/>
        </w:rPr>
        <w:t>Censorship.  Data-opolies, through their platform, can control or block content that users receive and enforce governmental censorship of political or religious information.</w:t>
      </w:r>
    </w:p>
    <w:p>
      <w:pPr>
        <w:pStyle w:val="ListBullet"/>
      </w:pPr>
      <w:r>
        <w:rPr>
          <w:b w:val="0"/>
          <w:i w:val="0"/>
        </w:rPr>
        <w:t>Manipulation.  Data-opolies can promote stories that further their particular business or political interests instead of their relevance or quality.</w:t>
      </w:r>
    </w:p>
    <w:p>
      <w:pPr>
        <w:pStyle w:val="Heading2"/>
      </w:pPr>
      <w:r>
        <w:rPr>
          <w:b w:val="0"/>
          <w:i w:val="0"/>
        </w:rPr>
        <w:t>Limiting the Power of Data-Opolies</w:t>
      </w:r>
    </w:p>
    <w:p>
      <w:r>
        <w:rPr>
          <w:b w:val="0"/>
          <w:i w:val="0"/>
        </w:rPr>
        <w:t xml:space="preserve">Upon closer examination, data-opolies can actually be </w:t>
      </w:r>
      <w:r>
        <w:rPr>
          <w:b w:val="0"/>
          <w:i/>
        </w:rPr>
        <w:t>more</w:t>
      </w:r>
      <w:r>
        <w:rPr>
          <w:b w:val="0"/>
          <w:i w:val="0"/>
        </w:rPr>
        <w:t xml:space="preserve"> dangerous than traditional monopolies. They can affect not only our wallets but our privacy, autonomy, democracy, and well-being.</w:t>
      </w:r>
    </w:p>
    <w:p>
      <w:r>
        <w:rPr>
          <w:b w:val="0"/>
          <w:i w:val="0"/>
        </w:rPr>
        <w:t>Markets dominated by these data-opolies will not necessarily self-correct. Network effects, high switching costs for consumers (given the lack of data portability and user rights over their data), and weak privacy protection help data-opolies maintain their dominance.</w:t>
      </w:r>
    </w:p>
    <w:p>
      <w:r>
        <w:rPr>
          <w:b w:val="0"/>
          <w:i w:val="0"/>
        </w:rPr>
        <w:t>Luckily, global antitrust enforcement can help. The Ronald Reagan administration, in espousing the then-popular Chicago school of economics beliefs, discounted concerns over monopolies. The Supreme Court, relying on faulty economic reasoning, surmised that charging monopoly prices was “an important element of the free market system.” With the rise of a progressive, antimonopoly New Brandeis school, the pendulum is swinging the other way. Given the emergence of data-opolies, this is a welcome change.</w:t>
      </w:r>
    </w:p>
    <w:p>
      <w:r>
        <w:rPr>
          <w:b w:val="0"/>
          <w:i w:val="0"/>
        </w:rPr>
        <w:t>Nonetheless, global antitrust enforcement, while a necessary tool to deter these harms, is not sufficient. Antitrust enforcers must coordinate with privacy and consumer protection officials to ensure that the conditions for effective privacy competition and an inclusive economy are in place.</w:t>
      </w:r>
    </w:p>
    <w:p>
      <w:r>
        <w:rPr>
          <w:b w:val="0"/>
          <w:i w:val="0"/>
        </w:rPr>
        <w:t>TAKEAWAYS</w:t>
      </w:r>
    </w:p>
    <w:p>
      <w:r>
        <w:rPr>
          <w:b w:val="0"/>
          <w:i w:val="0"/>
        </w:rPr>
        <w:t>Many tech giants are “data-opolies.” The volume, variety, and velocity of personal data flows through these ecosystems help these companies gain significant market power. They control key platforms that attract users, sellers, advertisers, software developers, app developers, and accessory makers to their ecosystems.</w:t>
      </w:r>
    </w:p>
    <w:p>
      <w:pPr>
        <w:pStyle w:val="ListBullet"/>
      </w:pPr>
      <w:r>
        <w:rPr>
          <w:b w:val="0"/>
          <w:i w:val="0"/>
        </w:rPr>
        <w:t>Concentrating personal data in fewer firms increases surveillance and security risks. Data-opolies can negatively affect not only consumers’ wallets but their privacy, autonomy, democracy, and well-being.</w:t>
      </w:r>
    </w:p>
    <w:p>
      <w:pPr>
        <w:pStyle w:val="ListBullet"/>
      </w:pPr>
      <w:r>
        <w:rPr>
          <w:b w:val="0"/>
          <w:i w:val="0"/>
        </w:rPr>
        <w:t>Even though most products and services the data-opolies provide are “free,” these companies can extract significant wealth using a variety of means, including personal data collection, appropriating user-created content, and selling data to other vendors.</w:t>
      </w:r>
    </w:p>
    <w:p>
      <w:pPr>
        <w:pStyle w:val="ListBullet"/>
      </w:pPr>
      <w:r>
        <w:rPr>
          <w:b w:val="0"/>
          <w:i w:val="0"/>
        </w:rPr>
        <w:t>Allowing data-opolies to go unchecked introduces potential harms including security risks, declining innovation, and social, moral, and political concerns.</w:t>
      </w:r>
    </w:p>
    <w:p>
      <w:r>
        <w:rPr>
          <w:b w:val="0"/>
          <w:i/>
        </w:rPr>
        <w:t>Adapted from “Here Are All the Reasons It’s a Bad Idea to Let a Few Tech Companies Monopolize Our Data” on hbr.org, March 27, 2018 (product #H048R4).</w:t>
      </w:r>
    </w:p>
    <w:p>
      <w:pPr>
        <w:pStyle w:val="Heading1"/>
      </w:pPr>
      <w:r>
        <w:rPr>
          <w:b w:val="0"/>
          <w:i w:val="0"/>
        </w:rPr>
        <w:t>3</w:t>
      </w:r>
    </w:p>
    <w:p>
      <w:pPr>
        <w:pStyle w:val="Heading1"/>
      </w:pPr>
      <w:r>
        <w:rPr>
          <w:b w:val="0"/>
          <w:i w:val="0"/>
        </w:rPr>
        <w:t>PRIVACY AND CYBERSECURITY ARE CONVERGING</w:t>
      </w:r>
    </w:p>
    <w:p>
      <w:pPr>
        <w:pStyle w:val="Heading2"/>
      </w:pPr>
      <w:r>
        <w:rPr>
          <w:b w:val="0"/>
          <w:i w:val="0"/>
        </w:rPr>
        <w:t>Here’s Why That Matters for People and for Companies</w:t>
      </w:r>
    </w:p>
    <w:p>
      <w:r>
        <w:rPr>
          <w:b w:val="0"/>
          <w:i w:val="0"/>
        </w:rPr>
        <w:t>by Andrew Burt</w:t>
      </w:r>
    </w:p>
    <w:p>
      <w:r>
        <w:rPr>
          <w:b w:val="0"/>
          <w:i w:val="0"/>
        </w:rPr>
        <w:t>Privacy issues have dominated headlines in recent years. These events are symptoms of larger, profound shifts in the world of data privacy and security that have major implications for how organizations think about and manage both.</w:t>
      </w:r>
    </w:p>
    <w:p>
      <w:r>
        <w:rPr>
          <w:b w:val="0"/>
          <w:i w:val="0"/>
        </w:rPr>
        <w:t>So what exactly is changing?</w:t>
      </w:r>
    </w:p>
    <w:p>
      <w:r>
        <w:rPr>
          <w:b w:val="0"/>
          <w:i w:val="0"/>
        </w:rPr>
        <w:t>Put simply, privacy and security are converging, thanks to the rise of big data and machine learning. What was once an abstract concept designed to protect expectations about our own data is now becoming more concrete, and more critical—on par with the threat of adversaries accessing our data without authorization.</w:t>
      </w:r>
    </w:p>
    <w:p>
      <w:r>
        <w:rPr>
          <w:b w:val="0"/>
          <w:i w:val="0"/>
        </w:rPr>
        <w:t xml:space="preserve">More specifically, the threat of </w:t>
      </w:r>
      <w:r>
        <w:rPr>
          <w:b w:val="0"/>
          <w:i/>
        </w:rPr>
        <w:t>unauthorized access</w:t>
      </w:r>
      <w:r>
        <w:rPr>
          <w:b w:val="0"/>
          <w:i w:val="0"/>
        </w:rPr>
        <w:t xml:space="preserve"> to our data used to pose the biggest danger to our digital selves—that was a world in which we worried about intruders attempting to get at data we wanted private. And it was a world in which privacy and security were largely separate functions, where privacy took a back seat to the more tangible concerns over security. Today, however, the biggest risk to our privacy and our security has become the threat of </w:t>
      </w:r>
      <w:r>
        <w:rPr>
          <w:b w:val="0"/>
          <w:i/>
        </w:rPr>
        <w:t>unintended inferences</w:t>
      </w:r>
      <w:r>
        <w:rPr>
          <w:b w:val="0"/>
          <w:i w:val="0"/>
        </w:rPr>
        <w:t>, due to the power of increasingly widespread machine learning techniques. Once we generate data, anyone who possesses enough of it can be a threat, posing new dangers to both our privacy and our security.</w:t>
      </w:r>
    </w:p>
    <w:p>
      <w:r>
        <w:rPr>
          <w:b w:val="0"/>
          <w:i w:val="0"/>
        </w:rPr>
        <w:t>These inferences may, for example, threaten our anonymity—like when a group of researchers used machine learning techniques to identify authorship of written text based simply on patterns in language.1 (Similar techniques have been used to identify software developers based simply on the code they’ve written.2)</w:t>
      </w:r>
    </w:p>
    <w:p>
      <w:r>
        <w:rPr>
          <w:b w:val="0"/>
          <w:i w:val="0"/>
        </w:rPr>
        <w:t>These inferences might reveal information about our political leanings—like when researchers used the prevalence of certain types of cars in Google’s Street View image database to determine local political affiliations.3</w:t>
      </w:r>
    </w:p>
    <w:p>
      <w:r>
        <w:rPr>
          <w:b w:val="0"/>
          <w:i w:val="0"/>
        </w:rPr>
        <w:t>Or these inferences might also indicate intimate details about our health—like when researchers used online search history to detect neurodegenerative disorders such as Alzheimer’s.4</w:t>
      </w:r>
    </w:p>
    <w:p>
      <w:r>
        <w:rPr>
          <w:b w:val="0"/>
          <w:i w:val="0"/>
        </w:rPr>
        <w:t>So what does a world look like when privacy and security are focused on preventing the same harms?</w:t>
      </w:r>
    </w:p>
    <w:p>
      <w:r>
        <w:rPr>
          <w:b w:val="0"/>
          <w:i w:val="0"/>
        </w:rPr>
        <w:t>To start with, privacy will no longer be the merely immaterial or political concept it once was. Instead, privacy will begin to have substantial impacts on businesses’ bottom lines—something we began to see in 2018. Facebook, for example, lost a whopping $119 billion in market capitalization in the wake of the Cambridge Analytica scandal because of concerns over privacy. Polls show that consumers are increasingly concerned about privacy issues. And governments around the world are reacting with new privacy legislation of their own.</w:t>
      </w:r>
    </w:p>
    <w:p>
      <w:r>
        <w:rPr>
          <w:b w:val="0"/>
          <w:i w:val="0"/>
        </w:rPr>
        <w:t>Within organizations, this convergence also means that the once-clear line between privacy and security teams is beginning to blur—a trend that businesses in general, and security and privacy practitioners in particular, should embrace. From a practical perspective, this means that legal and privacy personnel will become more technical, and technical personnel will become more familiar with legal and compliance mandates. The idea of two distinct teams, operating independently of each other, will become a relic of the past.</w:t>
      </w:r>
    </w:p>
    <w:p>
      <w:r>
        <w:rPr>
          <w:b w:val="0"/>
          <w:i w:val="0"/>
        </w:rPr>
        <w:t xml:space="preserve">And this means individuals and governments alike should no longer expect consent to play a meaningful role in protecting our privacy. Because the threat of unintended inferences reduces our ability to understand the value of our data, our expectations about our privacy—and therefore what we can meaningfully consent to—are becoming less consequential. Being </w:t>
      </w:r>
      <w:r>
        <w:rPr>
          <w:b w:val="0"/>
          <w:i/>
        </w:rPr>
        <w:t>surprised</w:t>
      </w:r>
      <w:r>
        <w:rPr>
          <w:b w:val="0"/>
          <w:i w:val="0"/>
        </w:rPr>
        <w:t xml:space="preserve"> at the nature of the violation, in short, will become an inherent feature of future privacy and security harms.</w:t>
      </w:r>
    </w:p>
    <w:p>
      <w:r>
        <w:rPr>
          <w:b w:val="0"/>
          <w:i w:val="0"/>
        </w:rPr>
        <w:t>This is precisely why the recent string of massive data breaches, from the Marriott breach that impacted 500 million guests to the Yahoo breach that affected 3 billion users, is so troubling. The problem isn’t simply that unauthorized intruders accessed these records at a single point in time; the problem is all the unforeseen uses and all the intimate inferences that this volume of data can generate going forward. It is for this reason that legal scholars such as Oxford’s Sandra Wachter are now proposing legal constraints around the ability to perform this type of pattern recognition at all.5</w:t>
      </w:r>
    </w:p>
    <w:p>
      <w:r>
        <w:rPr>
          <w:b w:val="0"/>
          <w:i w:val="0"/>
        </w:rPr>
        <w:t>Once described by Supreme Court justice Louis Brandeis as “the right to be let alone,” privacy is now best described as the ability to control data we cannot stop generating, giving rise to inferences we can’t predict.</w:t>
      </w:r>
    </w:p>
    <w:p>
      <w:r>
        <w:rPr>
          <w:b w:val="0"/>
          <w:i w:val="0"/>
        </w:rPr>
        <w:t>And because we create more and more data every day—an estimated 2.5 quintillion bytes of it—these issues will only become more pressing over time.</w:t>
      </w:r>
    </w:p>
    <w:p>
      <w:r>
        <w:rPr>
          <w:b w:val="0"/>
          <w:i w:val="0"/>
        </w:rPr>
        <w:t>TAKEAWAYS</w:t>
      </w:r>
    </w:p>
    <w:p>
      <w:r>
        <w:rPr>
          <w:b w:val="0"/>
          <w:i w:val="0"/>
        </w:rPr>
        <w:t>Thanks to the rise of big data and machine learning, privacy and security are converging. The largest threat is no longer unauthorized access to our data—it is the unintended, uncannily accurate inferences made by algorithms that are able to sift through and combine multiple sets of data:</w:t>
      </w:r>
    </w:p>
    <w:p>
      <w:pPr>
        <w:pStyle w:val="ListBullet"/>
      </w:pPr>
      <w:r>
        <w:rPr>
          <w:b w:val="0"/>
          <w:i w:val="0"/>
        </w:rPr>
        <w:t>Consumers and government are taking note, by abandoning platforms they can’t trust and introducing new privacy legislation.</w:t>
      </w:r>
    </w:p>
    <w:p>
      <w:pPr>
        <w:pStyle w:val="ListBullet"/>
      </w:pPr>
      <w:r>
        <w:rPr>
          <w:b w:val="0"/>
          <w:i w:val="0"/>
        </w:rPr>
        <w:t>For organizations, this means security and privacy teams will have to work together more closely; legal and privacy personnel will become more technical, and technical personnel will become more familiar with legal and compliance mandates.</w:t>
      </w:r>
    </w:p>
    <w:p>
      <w:pPr>
        <w:pStyle w:val="ListBullet"/>
      </w:pPr>
      <w:r>
        <w:rPr>
          <w:b w:val="0"/>
          <w:i w:val="0"/>
        </w:rPr>
        <w:t>For individuals and governments, this means consent will no longer play a meaningful role in protecting privacy.</w:t>
      </w:r>
    </w:p>
    <w:p>
      <w:pPr>
        <w:pStyle w:val="Heading3"/>
      </w:pPr>
      <w:r>
        <w:rPr>
          <w:b w:val="0"/>
          <w:i w:val="0"/>
        </w:rPr>
        <w:t>NOTES</w:t>
      </w:r>
    </w:p>
    <w:p>
      <w:pPr>
        <w:pStyle w:val="ListNumber"/>
      </w:pPr>
      <w:r>
        <w:rPr>
          <w:b w:val="0"/>
          <w:i w:val="0"/>
        </w:rPr>
        <w:t>1. Arvind Narayanan et al., “On the Feasibility of Internet-Scale Author Identification,” 2012 IEEE Symposium on Security and Privacy, May 2012, https://ieeexplore.ieee.org/document/6234420/authors#authors.</w:t>
      </w:r>
    </w:p>
    <w:p>
      <w:pPr>
        <w:pStyle w:val="ListNumber"/>
      </w:pPr>
      <w:r>
        <w:rPr>
          <w:b w:val="0"/>
          <w:i w:val="0"/>
        </w:rPr>
        <w:t>2. Aylin Caliskan et al., “When Coding Style Survives Compilation: De-anonymizing Programmers from Executable Binaries,” Cornell University working paper, December 18, 2017, https://arxiv.org/abs/1512.08546.</w:t>
      </w:r>
    </w:p>
    <w:p>
      <w:pPr>
        <w:pStyle w:val="ListNumber"/>
      </w:pPr>
      <w:r>
        <w:rPr>
          <w:b w:val="0"/>
          <w:i w:val="0"/>
        </w:rPr>
        <w:t xml:space="preserve">3. Timnit Gebru et al., “Using Deep Learning and Google Street View to Estimate the Demographic Makeup of the US,” </w:t>
      </w:r>
      <w:r>
        <w:rPr>
          <w:b w:val="0"/>
          <w:i/>
        </w:rPr>
        <w:t>PNAS</w:t>
      </w:r>
      <w:r>
        <w:rPr>
          <w:b w:val="0"/>
          <w:i w:val="0"/>
        </w:rPr>
        <w:t xml:space="preserve"> 114, no. 50 (2017): 13108–13113.</w:t>
      </w:r>
    </w:p>
    <w:p>
      <w:pPr>
        <w:pStyle w:val="ListNumber"/>
      </w:pPr>
      <w:r>
        <w:rPr>
          <w:b w:val="0"/>
          <w:i w:val="0"/>
        </w:rPr>
        <w:t xml:space="preserve">4. Ryen W. White, P. Murali Doraiswamy, and Eric Horvitz, “Detecting Neurodegenerative Disorders from Web Search Signals,” </w:t>
      </w:r>
      <w:r>
        <w:rPr>
          <w:b w:val="0"/>
          <w:i/>
        </w:rPr>
        <w:t>Nature</w:t>
      </w:r>
      <w:r>
        <w:rPr>
          <w:b w:val="0"/>
          <w:i w:val="0"/>
        </w:rPr>
        <w:t>, April 23, 2018, https://www.nature.com/articles/s41746-018-0016-6.</w:t>
      </w:r>
    </w:p>
    <w:p>
      <w:pPr>
        <w:pStyle w:val="ListNumber"/>
      </w:pPr>
      <w:r>
        <w:rPr>
          <w:b w:val="0"/>
          <w:i w:val="0"/>
        </w:rPr>
        <w:t xml:space="preserve">5. Sandra Wachter and Brent Mittelstadt, “A Right to Reasonable Inferences: Re-Thinking Data Protection Law in the Age of Big Data and AI,” </w:t>
      </w:r>
      <w:r>
        <w:rPr>
          <w:b w:val="0"/>
          <w:i/>
        </w:rPr>
        <w:t>Columbia Business Law Review</w:t>
      </w:r>
      <w:r>
        <w:rPr>
          <w:b w:val="0"/>
          <w:i w:val="0"/>
        </w:rPr>
        <w:t>, September 13, 2018, https://papers.ssrn.com/sol3/papers.cfm?abstract_id=3248829.</w:t>
      </w:r>
    </w:p>
    <w:p>
      <w:r>
        <w:rPr>
          <w:b w:val="0"/>
          <w:i/>
        </w:rPr>
        <w:t>Adapted from content posted on hbr.org, January 3, 2019 (product #H04PY8).</w:t>
      </w:r>
    </w:p>
    <w:p>
      <w:pPr>
        <w:pStyle w:val="Heading1"/>
      </w:pPr>
      <w:r>
        <w:rPr>
          <w:b w:val="0"/>
          <w:i w:val="0"/>
        </w:rPr>
        <w:t>4</w:t>
      </w:r>
    </w:p>
    <w:p>
      <w:pPr>
        <w:pStyle w:val="Heading1"/>
      </w:pPr>
      <w:r>
        <w:rPr>
          <w:b w:val="0"/>
          <w:i w:val="0"/>
        </w:rPr>
        <w:t>A STRONG PRIVACY POLICY CAN SAVE YOUR COMPANY MILLIONS</w:t>
      </w:r>
    </w:p>
    <w:p>
      <w:r>
        <w:rPr>
          <w:b w:val="0"/>
          <w:i w:val="0"/>
        </w:rPr>
        <w:t>by Kelly D. Martin, Abhishek Borah, and Robert W. Palmatier</w:t>
      </w:r>
    </w:p>
    <w:p>
      <w:r>
        <w:rPr>
          <w:b w:val="0"/>
          <w:i w:val="0"/>
        </w:rPr>
        <w:t>Cyberattacks are on the rise, with over 1,000 data breaches occurring at U.S. organizations in 2016 alone, most often through hacking or external theft. And it isn’t only violated firms that are hurt by these incidents. Studying hundreds of data breaches, our research has found that data breaches sometimes harm a firm’s close rivals (because of spillover effects) but sometimes help them (because of competitive effects). We also found that a good corporate privacy policy can shield firms from the financial harm posed by a data breach—by offering customers transparency and control over their personal information—while a flawed policy can exacerbate the problems caused by a breach. This is the first evidence to show that a firm’s close rivals are directly, financially affected by its data breach, and our research offers actionable solutions that could save some companies hundreds of millions of dollars.</w:t>
      </w:r>
    </w:p>
    <w:p>
      <w:r>
        <w:rPr>
          <w:b w:val="0"/>
          <w:i w:val="0"/>
        </w:rPr>
        <w:t>Our research shows that sometimes a breach creates spillover, in which investors perceive a guilt-by-association effect that harms the breached firm’s close rivals. For an example of competitor harm due to these spillover effects, consider the Nvidia data breach, which affected 400,000 user accounts. Its rival Advanced Micro Devices (AMD) lost about $48 million on the event day (1.4% drop in stock price) from the spillover effects of Nvidia’s breach, controlling for overall market effects. That is, when removing from our analyses all other events that could have influenced AMD’s stock drop, such as dividend declarations, contract signings, earnings information, or mergers and acquisitions, we find clear and significant harm to AMD from Nvidia’s data breach.</w:t>
      </w:r>
    </w:p>
    <w:p>
      <w:r>
        <w:rPr>
          <w:b w:val="0"/>
          <w:i w:val="0"/>
        </w:rPr>
        <w:t>In fact, the spillover effects across our sample led to a drop in stock price that averaged more than $8 million in losses for rival firms where no such data breach occurred. Our results show the financial hit to these rivals’ stock prices can be detected for several days after the data breach before eventually stabilizing.</w:t>
      </w:r>
    </w:p>
    <w:p>
      <w:r>
        <w:rPr>
          <w:b w:val="0"/>
          <w:i w:val="0"/>
        </w:rPr>
        <w:t>Yet a breach can sometimes help a close rival, creating beneficial competitive effects. Consider the massive Anthem data breach, which affected as many as 80 million customers. The high severity of this breach led rival Aetna to gain about $745 million (2.2% increase in stock prices) on the event day, due to competitive effects, again controlling for overall market effects. A data breach of this type and scale makes investors worry about customers defecting en masse to competitors, thus providing a boost to a close competitor’s stock price.</w:t>
      </w:r>
    </w:p>
    <w:p>
      <w:r>
        <w:rPr>
          <w:b w:val="0"/>
          <w:i w:val="0"/>
        </w:rPr>
        <w:t>Our research shows that the severity of, or number of customers affected by, a breach is a key to understanding whether close rivals will be harmed or helped by their competitor’s bad fortune. As the number of customers harmed by the breach increases, stock market effects for the firm’s rivals go from negative to positive, as competitive effects become more dominant. This suggests that smaller breaches signal that others in the industry may also be vulnerable to hacking. However, large data breaches create the impression that the breached firm is in a unique amount of trouble. Our research shows that in large data breaches, customers’ desire to leave the breached firm increased. Expected switching behavior ultimately benefits the breached firm’s competitors, as captured in their stock returns.</w:t>
      </w:r>
    </w:p>
    <w:p>
      <w:r>
        <w:rPr>
          <w:b w:val="0"/>
          <w:i w:val="0"/>
        </w:rPr>
        <w:t>The good news is that firms are not powerless against these data breach effects. There are actionable strategies they can use to protect or inoculate themselves from their own or a rival’s breach. Using studies querying hundreds of customers whom we recruited on Amazon Mechanical Turk, coupled with stock data analysis of hundreds of companies over 10 years, our research finds that firms can protect themselves from data breach harm by implementing two important privacy-focused practices that benefit customers.</w:t>
      </w:r>
    </w:p>
    <w:p>
      <w:r>
        <w:rPr>
          <w:b w:val="0"/>
          <w:i w:val="0"/>
        </w:rPr>
        <w:t>First, they can clearly explain to customers how they are using and sharing their data. Transparent privacy practices tell customers what specific information companies capture (such as IP address and search history) and how they use it (for example, using in promotions or selling to third parties). Second, firms can give customers ample control over the use and sharing of their data. Control is endowed through giving customers opportunities to opt out of the firm’s data practices (promotions, sharing with partners, selling). Together, these measures were perceived to effectively empower customers, giving them greater knowledge and the ability to have a say in business practices. (See the sidebar “Why Study Privacy Policies?”)</w:t>
      </w:r>
    </w:p>
    <w:p>
      <w:r>
        <w:rPr>
          <w:b w:val="0"/>
          <w:i w:val="0"/>
        </w:rPr>
        <w:t>Why Study Privacy Policies?</w:t>
      </w:r>
    </w:p>
    <w:p>
      <w:r>
        <w:rPr>
          <w:b w:val="0"/>
          <w:i w:val="0"/>
        </w:rPr>
        <w:t>Although companies can provide transparency and control through various customer communications, the formalized and codified way they do this is privacy policies. These policies are important customer communication tools because the firm has legally agreed to abide by them. Regardless of what a company might message about data privacy in other ways, what is put into practice is formally documented in the privacy policy. When customers are in doubt about their personal information, company messaging commonly refers them to the privacy policy. A review of data privacy research in marketing found that customers do, in fact, have a good idea of a firm’s data practices as captured in a firm’s privacy policy—even if they don’t read the privacy policy. Because privacy policies simply document all company privacy practices, customers who are familiar with a given company and its approach to privacy have a highly accurate sense of what is in the policy. Again, our research with hundreds of customers confirmed this.</w:t>
      </w:r>
    </w:p>
    <w:p>
      <w:r>
        <w:rPr>
          <w:b w:val="0"/>
          <w:i w:val="0"/>
        </w:rPr>
        <w:t>When a firm had transparent privacy practices, customers in our studies felt they had the knowledge to make an informed decision about sharing their personal data. When a firm’s privacy practices offered control, customers knew they had the ability to change their preferences about what information they shared and how. In our studies, customers did not punish breached firms that provided both transparency and control. Empowered customers are more willing to share information and are more forgiving of data privacy breaches, remaining loyal after the fact, as we learned. Customers of firms that offer high transparency and control reported feeling less violated by big data practices, attested to being more trusting, provided more-accurate data to the firm, and were more likely to generate positive word of mouth.</w:t>
      </w:r>
    </w:p>
    <w:p>
      <w:r>
        <w:rPr>
          <w:b w:val="0"/>
          <w:i w:val="0"/>
        </w:rPr>
        <w:t xml:space="preserve">Firms with relatively high transparency and control also were buffered from stock price damage during data breaches, either their own or rivals’. Yet only about 10% of </w:t>
      </w:r>
      <w:r>
        <w:rPr>
          <w:b w:val="0"/>
          <w:i/>
        </w:rPr>
        <w:t>Fortune</w:t>
      </w:r>
      <w:r>
        <w:rPr>
          <w:b w:val="0"/>
          <w:i w:val="0"/>
        </w:rPr>
        <w:t xml:space="preserve"> 500 firms fit this profile.</w:t>
      </w:r>
    </w:p>
    <w:p>
      <w:r>
        <w:rPr>
          <w:b w:val="0"/>
          <w:i w:val="0"/>
        </w:rPr>
        <w:t xml:space="preserve">To study how a firm implements practices that provide transparency and control, we looked at the documented ways in which companies explain their approach to customer data privacy. Our research team combed through the privacy policies of all </w:t>
      </w:r>
      <w:r>
        <w:rPr>
          <w:b w:val="0"/>
          <w:i/>
        </w:rPr>
        <w:t>Fortune</w:t>
      </w:r>
      <w:r>
        <w:rPr>
          <w:b w:val="0"/>
          <w:i w:val="0"/>
        </w:rPr>
        <w:t xml:space="preserve"> 100 firms to study their transparency and control and from that understand how protected the firms were from the negative effects of data breaches.</w:t>
      </w:r>
    </w:p>
    <w:p>
      <w:r>
        <w:rPr>
          <w:b w:val="0"/>
          <w:i w:val="0"/>
        </w:rPr>
        <w:t>Our findings show that some firms provide high levels of data transparency and control and would be protected from data breaches. (See our ranking in figure 4-1.) Top-ranked firms such as Costco, Verizon, and HP would be shielded from spillover effects if a close competitor experienced a data breach. These firms clearly state what information they capture and how they capture it while offering their customers substantial control over that information’s sharing and use.</w:t>
      </w:r>
    </w:p>
    <w:p>
      <w:r>
        <w:rPr>
          <w:b/>
          <w:i w:val="0"/>
        </w:rPr>
        <w:t>FIGURE 4-1</w:t>
      </w:r>
    </w:p>
    <w:p>
      <w:r>
        <w:rPr>
          <w:b w:val="0"/>
          <w:i w:val="0"/>
        </w:rPr>
        <w:t xml:space="preserve">How good are the </w:t>
      </w:r>
      <w:r>
        <w:rPr>
          <w:b/>
          <w:i/>
        </w:rPr>
        <w:t>Fortune</w:t>
      </w:r>
      <w:r>
        <w:rPr>
          <w:b w:val="0"/>
          <w:i w:val="0"/>
        </w:rPr>
        <w:t xml:space="preserve"> 100’s privacy policies?</w:t>
      </w:r>
    </w:p>
    <w:p>
      <w:r>
        <w:rPr>
          <w:b w:val="0"/>
          <w:i/>
        </w:rPr>
        <w:t>A ranking of how transparent each company’s policy is, and how much control it gives customers.</w:t>
      </w:r>
    </w:p>
    <w:p>
      <w:pPr>
        <w:jc w:val="center"/>
      </w:pPr>
      <w:r>
        <w:drawing>
          <wp:inline xmlns:a="http://schemas.openxmlformats.org/drawingml/2006/main" xmlns:pic="http://schemas.openxmlformats.org/drawingml/2006/picture">
            <wp:extent cx="6680200" cy="8013700"/>
            <wp:docPr id="101" name="Picture 101"/>
            <wp:cNvGraphicFramePr>
              <a:graphicFrameLocks noChangeAspect="1"/>
            </wp:cNvGraphicFramePr>
            <a:graphic>
              <a:graphicData uri="http://schemas.openxmlformats.org/drawingml/2006/picture">
                <pic:pic>
                  <pic:nvPicPr>
                    <pic:cNvPr id="0" name="epub_img_1687132060516080964.jpg"/>
                    <pic:cNvPicPr/>
                  </pic:nvPicPr>
                  <pic:blipFill>
                    <a:blip r:embed="rId73"/>
                    <a:stretch>
                      <a:fillRect/>
                    </a:stretch>
                  </pic:blipFill>
                  <pic:spPr>
                    <a:xfrm>
                      <a:off x="0" y="0"/>
                      <a:ext cx="6680200" cy="8013700"/>
                    </a:xfrm>
                    <a:prstGeom prst="rect"/>
                  </pic:spPr>
                </pic:pic>
              </a:graphicData>
            </a:graphic>
          </wp:inline>
        </w:drawing>
      </w:r>
    </w:p>
    <w:p>
      <w:pPr>
        <w:jc w:val="center"/>
      </w:pPr>
      <w:r>
        <w:drawing>
          <wp:inline xmlns:a="http://schemas.openxmlformats.org/drawingml/2006/main" xmlns:pic="http://schemas.openxmlformats.org/drawingml/2006/picture">
            <wp:extent cx="6680200" cy="8013700"/>
            <wp:docPr id="102" name="Picture 102"/>
            <wp:cNvGraphicFramePr>
              <a:graphicFrameLocks noChangeAspect="1"/>
            </wp:cNvGraphicFramePr>
            <a:graphic>
              <a:graphicData uri="http://schemas.openxmlformats.org/drawingml/2006/picture">
                <pic:pic>
                  <pic:nvPicPr>
                    <pic:cNvPr id="0" name="epub_img_1687132060516080964.jpg"/>
                    <pic:cNvPicPr/>
                  </pic:nvPicPr>
                  <pic:blipFill>
                    <a:blip r:embed="rId73"/>
                    <a:stretch>
                      <a:fillRect/>
                    </a:stretch>
                  </pic:blipFill>
                  <pic:spPr>
                    <a:xfrm>
                      <a:off x="0" y="0"/>
                      <a:ext cx="6680200" cy="8013700"/>
                    </a:xfrm>
                    <a:prstGeom prst="rect"/>
                  </pic:spPr>
                </pic:pic>
              </a:graphicData>
            </a:graphic>
          </wp:inline>
        </w:drawing>
      </w:r>
    </w:p>
    <w:p>
      <w:r>
        <w:rPr>
          <w:b w:val="0"/>
          <w:i w:val="0"/>
        </w:rPr>
        <w:t>*The privacy policies of these companies offer additional opt outs that did not factor into our ranking.</w:t>
      </w:r>
    </w:p>
    <w:p>
      <w:r>
        <w:rPr>
          <w:b w:val="0"/>
          <w:i/>
        </w:rPr>
        <w:t>(Continued)</w:t>
      </w:r>
    </w:p>
    <w:p>
      <w:r>
        <w:rPr>
          <w:b/>
          <w:i w:val="0"/>
        </w:rPr>
        <w:t>FIGURE 4-1 (</w:t>
      </w:r>
      <w:r>
        <w:rPr>
          <w:b/>
          <w:i/>
        </w:rPr>
        <w:t>continued</w:t>
      </w:r>
      <w:r>
        <w:rPr>
          <w:b/>
          <w:i w:val="0"/>
        </w:rPr>
        <w:t>)</w:t>
      </w:r>
    </w:p>
    <w:p>
      <w:pPr>
        <w:jc w:val="center"/>
      </w:pPr>
      <w:r>
        <w:drawing>
          <wp:inline xmlns:a="http://schemas.openxmlformats.org/drawingml/2006/main" xmlns:pic="http://schemas.openxmlformats.org/drawingml/2006/picture">
            <wp:extent cx="6680200" cy="7988300"/>
            <wp:docPr id="103" name="Picture 103"/>
            <wp:cNvGraphicFramePr>
              <a:graphicFrameLocks noChangeAspect="1"/>
            </wp:cNvGraphicFramePr>
            <a:graphic>
              <a:graphicData uri="http://schemas.openxmlformats.org/drawingml/2006/picture">
                <pic:pic>
                  <pic:nvPicPr>
                    <pic:cNvPr id="0" name="epub_img_4117605507114656776.jpg"/>
                    <pic:cNvPicPr/>
                  </pic:nvPicPr>
                  <pic:blipFill>
                    <a:blip r:embed="rId74"/>
                    <a:stretch>
                      <a:fillRect/>
                    </a:stretch>
                  </pic:blipFill>
                  <pic:spPr>
                    <a:xfrm>
                      <a:off x="0" y="0"/>
                      <a:ext cx="6680200" cy="7988300"/>
                    </a:xfrm>
                    <a:prstGeom prst="rect"/>
                  </pic:spPr>
                </pic:pic>
              </a:graphicData>
            </a:graphic>
          </wp:inline>
        </w:drawing>
      </w:r>
    </w:p>
    <w:p>
      <w:pPr>
        <w:jc w:val="center"/>
      </w:pPr>
      <w:r>
        <w:drawing>
          <wp:inline xmlns:a="http://schemas.openxmlformats.org/drawingml/2006/main" xmlns:pic="http://schemas.openxmlformats.org/drawingml/2006/picture">
            <wp:extent cx="6680200" cy="7988300"/>
            <wp:docPr id="104" name="Picture 104"/>
            <wp:cNvGraphicFramePr>
              <a:graphicFrameLocks noChangeAspect="1"/>
            </wp:cNvGraphicFramePr>
            <a:graphic>
              <a:graphicData uri="http://schemas.openxmlformats.org/drawingml/2006/picture">
                <pic:pic>
                  <pic:nvPicPr>
                    <pic:cNvPr id="0" name="epub_img_4117605507114656776.jpg"/>
                    <pic:cNvPicPr/>
                  </pic:nvPicPr>
                  <pic:blipFill>
                    <a:blip r:embed="rId74"/>
                    <a:stretch>
                      <a:fillRect/>
                    </a:stretch>
                  </pic:blipFill>
                  <pic:spPr>
                    <a:xfrm>
                      <a:off x="0" y="0"/>
                      <a:ext cx="6680200" cy="7988300"/>
                    </a:xfrm>
                    <a:prstGeom prst="rect"/>
                  </pic:spPr>
                </pic:pic>
              </a:graphicData>
            </a:graphic>
          </wp:inline>
        </w:drawing>
      </w:r>
    </w:p>
    <w:p>
      <w:r>
        <w:rPr>
          <w:b w:val="0"/>
          <w:i w:val="0"/>
        </w:rPr>
        <w:t>On the other end of the ranking are firms such as Citigroup, Morgan Stanley, and HCA Holdings. In 2011 Citigroup experienced a data breach of 146,000 customer records and suffered a $1.3 billion stock value loss. According to our analysis, if Citigroup had embraced practices of high transparency and high control, it would have suffered a loss of only about $16 million in stock value. That is, Citigroup might have saved about $820 million had it simply offered its customers high transparency and control. In response to this breach, Citigroup spent $250 million on cybersecurity systems and hired an additional 1,000 IT professionals. Yet our coding of its practices reveals that, as recently as 2016, Citi still was not providing high levels of transparency and control. Thus, while its enhanced IT safeguards may be sound, our research shows the company remains at risk should a competitor suffer a breach. (See the sidebar “Company Ranking Methodology.”)</w:t>
      </w:r>
    </w:p>
    <w:p>
      <w:r>
        <w:rPr>
          <w:b w:val="0"/>
          <w:i w:val="0"/>
        </w:rPr>
        <w:t>Looking across the ranking, other firms appear to offer one of these aspects to customers. For example, some firms provide transparency but fail to give customers the ability to act on this information (low control). In our research, this approach was poorly received by customers.</w:t>
      </w:r>
    </w:p>
    <w:p>
      <w:r>
        <w:rPr>
          <w:b w:val="0"/>
          <w:i w:val="0"/>
        </w:rPr>
        <w:t xml:space="preserve">Firms that neither tell customers how their data is used nor offer any control are at the greatest risk of financial harm. Our privacy analysis showed that an overwhelming 80% of </w:t>
      </w:r>
      <w:r>
        <w:rPr>
          <w:b w:val="0"/>
          <w:i/>
        </w:rPr>
        <w:t>Fortune</w:t>
      </w:r>
      <w:r>
        <w:rPr>
          <w:b w:val="0"/>
          <w:i w:val="0"/>
        </w:rPr>
        <w:t xml:space="preserve"> 500 firms fall into this category. In our study, firms that failed to explain their data privacy practices had a drop in stock price 1.5 times larger than firms with high transparency, while firms that provided customers high control had no significant change in their stock price after a data breach.</w:t>
      </w:r>
    </w:p>
    <w:p>
      <w:r>
        <w:rPr>
          <w:b w:val="0"/>
          <w:i w:val="0"/>
        </w:rPr>
        <w:t>Company Ranking Methodology</w:t>
      </w:r>
    </w:p>
    <w:p>
      <w:r>
        <w:rPr>
          <w:b w:val="0"/>
          <w:i w:val="0"/>
        </w:rPr>
        <w:t>We created transparency and control variables with procedures that employed a mix of automation and manual coding of companies’ actual privacy policies.</w:t>
      </w:r>
    </w:p>
    <w:p>
      <w:r>
        <w:rPr>
          <w:b w:val="0"/>
          <w:i w:val="0"/>
        </w:rPr>
        <w:t xml:space="preserve">We first captured all the relevant URLs pertaining to firms’ privacy policies that were in effect on January 1, 2016. We developed a Python code that visited all valid snapshots of each </w:t>
      </w:r>
      <w:r>
        <w:rPr>
          <w:b w:val="0"/>
          <w:i/>
        </w:rPr>
        <w:t>Fortune</w:t>
      </w:r>
      <w:r>
        <w:rPr>
          <w:b w:val="0"/>
          <w:i w:val="0"/>
        </w:rPr>
        <w:t xml:space="preserve"> 500 firm’s privacy policy to extract that closest to our date of interest. To ensure the correct URLs were downloaded and parsed, a random 5% of the URLs were manually checked to find if there were errors in the code, and the errors were corrected. We then resampled the URLs and found no errors. After obtaining the privacy policies, we manually coded transparency and control variables by carefully reading each privacy policy and using a coding schema to create count scores for transparency and control. For the variables that required coding of events, we followed standard procedures for textual coding.</w:t>
      </w:r>
    </w:p>
    <w:p>
      <w:r>
        <w:rPr>
          <w:b w:val="0"/>
          <w:i w:val="0"/>
        </w:rPr>
        <w:t>For the textual coding procedure, we employed two research assistants who were blind to the study hypothesis. Before coding the privacy policies, the two were separately trained in the coding scheme on a sample of privacy policies that were not part of the final sample. One of us checked to ensure the research assistants understood the coding scheme. After obtaining all the privacy policies, each research assistant independently coded them. Agreement between the two research assistants on the coding was greater than 85%. Disagreements in coding were resolved through discussion with us.</w:t>
      </w:r>
    </w:p>
    <w:p>
      <w:r>
        <w:rPr>
          <w:b w:val="0"/>
          <w:i w:val="0"/>
        </w:rPr>
        <w:t>For the transparency variable, we used a count of the dummy variables across multiple elements of the privacy policy that signal openness and willingness to provide information to customers. Specifically, we coded whether the firm (1) explains its opt-out policy, (2) explains how it captures data, (3) explains how it uses data, (4) explains its use of tracking tools, (5) explains the value customers receive from providing their information, (6) explains its data sharing with third parties, (7) explains its data encryption practices, (8) provides contact information for privacy requests, and (9) discusses protections if data is compromised. If a firm’s privacy policy had all nine characteristics, the policy earned a transparency score of nine.</w:t>
      </w:r>
    </w:p>
    <w:p>
      <w:r>
        <w:rPr>
          <w:b w:val="0"/>
          <w:i w:val="0"/>
        </w:rPr>
        <w:t>To create the control variable, we counted the number of opt-out choices in the firm’s privacy policy. Specifically, we coded whether the customer can opt out of (1) marketing communications, (2) saving data usage (for example, search history), (3) storing personal information (for example, credit card number), (4) sharing data with third parties, and (5) tracking. If a firm’s privacy policy had all five characteristics, the policy earned a control score of five. Note that we also counted opt outs that were not on this list but were featured as part of the firm’s privacy policy. Four firms included additional data collection or data-use opt outs beyond our five characteristics. These were firm-specific opt outs that enabled greater customer control but did not warrant separate opt-out categories for the entire sample of firms.</w:t>
      </w:r>
    </w:p>
    <w:p>
      <w:r>
        <w:rPr>
          <w:b w:val="0"/>
          <w:i w:val="0"/>
        </w:rPr>
        <w:t>To create our ranking, we compiled the summed scores of transparency and control for all firms. Firms that had identical scores on both dimensions appear alphabetically in the ranking.</w:t>
      </w:r>
    </w:p>
    <w:p>
      <w:r>
        <w:rPr>
          <w:b w:val="0"/>
          <w:i w:val="0"/>
        </w:rPr>
        <w:t>Ultimately, firms can use data privacy practices to protect themselves from the spillover effects of competitors’ privacy failures, but their efforts to do so need to be meaningful. They must clearly explain to customers the ways in which they will access, use, share, and protect customer information, and it must go hand in hand with giving customers control over these data uses. Failure to do so leaves a firm susceptible to risk from multiple harms.</w:t>
      </w:r>
    </w:p>
    <w:p>
      <w:r>
        <w:rPr>
          <w:b w:val="0"/>
          <w:i/>
        </w:rPr>
        <w:t>Editor’s note: Every ranking or index is just one way to analyze and compare companies or places, based on a specific methodology and data set. At HBR, we believe that a well-designed index can provide useful insights, even though by definition it is a snapshot of a bigger picture. We always urge you to read the methodology carefully.</w:t>
      </w:r>
    </w:p>
    <w:p>
      <w:r>
        <w:rPr>
          <w:b w:val="0"/>
          <w:i w:val="0"/>
        </w:rPr>
        <w:t>TAKEAWAYS</w:t>
      </w:r>
    </w:p>
    <w:p>
      <w:r>
        <w:rPr>
          <w:b w:val="0"/>
          <w:i w:val="0"/>
        </w:rPr>
        <w:t>Data breaches can create significant ripples beyond the violated firm, affecting the valuation of other companies in the industry. But firms are not powerless against these effects.</w:t>
      </w:r>
    </w:p>
    <w:p>
      <w:pPr>
        <w:pStyle w:val="ListBullet"/>
      </w:pPr>
      <w:r>
        <w:rPr>
          <w:b w:val="0"/>
          <w:i w:val="0"/>
        </w:rPr>
        <w:t>To protect themselves from the effects of their own or a rival’s breach, companies can implement two privacy-focused practices that also benefit customers.</w:t>
      </w:r>
    </w:p>
    <w:p>
      <w:pPr>
        <w:pStyle w:val="ListBullet"/>
      </w:pPr>
      <w:r>
        <w:rPr>
          <w:b w:val="0"/>
          <w:i w:val="0"/>
        </w:rPr>
        <w:t>Clearly explain to customers how they are using and sharing their data.</w:t>
      </w:r>
    </w:p>
    <w:p>
      <w:pPr>
        <w:pStyle w:val="ListBullet"/>
      </w:pPr>
      <w:r>
        <w:rPr>
          <w:b w:val="0"/>
          <w:i w:val="0"/>
        </w:rPr>
        <w:t>Give customers control over the use and sharing of their data (including opportunities to opt out).</w:t>
      </w:r>
    </w:p>
    <w:p>
      <w:pPr>
        <w:pStyle w:val="ListBullet"/>
      </w:pPr>
      <w:r>
        <w:rPr>
          <w:b w:val="0"/>
          <w:i w:val="0"/>
        </w:rPr>
        <w:t>Research shows that when customers know they have the ability to change their data-sharing preferences they’re more willing to share information and are more forgiving of data privacy breaches.</w:t>
      </w:r>
    </w:p>
    <w:p>
      <w:r>
        <w:rPr>
          <w:b w:val="0"/>
          <w:i/>
        </w:rPr>
        <w:t>Adapted from “Research: A Strong Privacy Policy Can Save Your Company Millions” on hbr.org, February 15, 2018 (product #H0465E).</w:t>
      </w:r>
    </w:p>
    <w:p>
      <w:pPr>
        <w:pStyle w:val="Heading1"/>
      </w:pPr>
      <w:r>
        <w:rPr>
          <w:b w:val="0"/>
          <w:i w:val="0"/>
        </w:rPr>
        <w:t>5</w:t>
      </w:r>
    </w:p>
    <w:p>
      <w:pPr>
        <w:pStyle w:val="Heading1"/>
      </w:pPr>
      <w:r>
        <w:rPr>
          <w:b w:val="0"/>
          <w:i w:val="0"/>
        </w:rPr>
        <w:t>DO YOU CARE ABOUT PRIVACY AS MUCH AS YOUR CUSTOMERS DO?</w:t>
      </w:r>
    </w:p>
    <w:p>
      <w:r>
        <w:rPr>
          <w:b w:val="0"/>
          <w:i w:val="0"/>
        </w:rPr>
        <w:t>by Thomas C. Redman and Robert M. Waitman</w:t>
      </w:r>
    </w:p>
    <w:p>
      <w:r>
        <w:rPr>
          <w:b w:val="0"/>
          <w:i w:val="0"/>
        </w:rPr>
        <w:t>Companies have had little compelling reason to embed privacy considerations deeply into their larger business strategies. Consumers say they care about privacy, but few have placed any real value on protecting their data. While many privacy laws call for severe penalties, it appears that actual fines will be considerably lower and only the worst offenders will be affected. The costs to fully meet all privacy requirements can also be quite high for most companies.</w:t>
      </w:r>
    </w:p>
    <w:p>
      <w:r>
        <w:rPr>
          <w:b w:val="0"/>
          <w:i w:val="0"/>
        </w:rPr>
        <w:t xml:space="preserve">On the other side of the ledger, sharing consumer data or using it in targeted marketing campaigns, to train algorithms, and so forth, offers outsize potential. Indeed, </w:t>
      </w:r>
      <w:r>
        <w:rPr>
          <w:b w:val="0"/>
          <w:i/>
        </w:rPr>
        <w:t>not</w:t>
      </w:r>
      <w:r>
        <w:rPr>
          <w:b w:val="0"/>
          <w:i w:val="0"/>
        </w:rPr>
        <w:t xml:space="preserve"> exploiting customer data when your competitors are doing so can put you at a significant disadvantage.</w:t>
      </w:r>
    </w:p>
    <w:p>
      <w:r>
        <w:rPr>
          <w:b w:val="0"/>
          <w:i w:val="0"/>
        </w:rPr>
        <w:t>One sound privacy strategy is to maintain a low profile. Name data protection officers, ask customers for consent (as called for by the European Union General Data Protection Regulation, or GDPR), and provide roughly the same levels of privacy protections as your competitors at the minimum possible cost.</w:t>
      </w:r>
    </w:p>
    <w:p>
      <w:r>
        <w:rPr>
          <w:b w:val="0"/>
          <w:i w:val="0"/>
        </w:rPr>
        <w:t xml:space="preserve">That approach, however, may prove shortsighted. A survey conducted by Cisco of 2,601 adults worldwide examined the actions, not just attitudes, of consumers with respect to their data privacy.1 (Robert led the work, Tom advised.) The survey reveals an important new group of people—32% of respondents—who said they care about privacy, are willing to act, </w:t>
      </w:r>
      <w:r>
        <w:rPr>
          <w:b w:val="0"/>
          <w:i/>
        </w:rPr>
        <w:t>and</w:t>
      </w:r>
      <w:r>
        <w:rPr>
          <w:b w:val="0"/>
          <w:i w:val="0"/>
        </w:rPr>
        <w:t xml:space="preserve"> have done so by switching companies or providers over data or data-sharing policies. We call this group </w:t>
      </w:r>
      <w:r>
        <w:rPr>
          <w:b w:val="0"/>
          <w:i/>
        </w:rPr>
        <w:t>privacy actives</w:t>
      </w:r>
      <w:r>
        <w:rPr>
          <w:b w:val="0"/>
          <w:i w:val="0"/>
        </w:rPr>
        <w:t xml:space="preserve"> and, to our best knowledge, this is the first time such a group has been identified.</w:t>
      </w:r>
    </w:p>
    <w:p>
      <w:r>
        <w:rPr>
          <w:b w:val="0"/>
          <w:i w:val="0"/>
        </w:rPr>
        <w:t>The notion that significant numbers of privacy actives even exist should raise antennae at all companies. By understanding this unique group of individuals, whose feelings about privacy are multifaceted and complex, companies can shape their own data and customer privacy practices and better engage, retain, and work with these customers.</w:t>
      </w:r>
    </w:p>
    <w:p>
      <w:r>
        <w:rPr>
          <w:b w:val="0"/>
          <w:i w:val="0"/>
        </w:rPr>
        <w:t>According to the survey, privacy actives tend to be younger, more affluent, and shop more online—a segment of the population that is especially attractive to most companies. They are more than twice as likely (27% versus 11%) to view themselves as early tech adopters, and they are more frequent users of social media.</w:t>
      </w:r>
    </w:p>
    <w:p>
      <w:r>
        <w:rPr>
          <w:b w:val="0"/>
          <w:i w:val="0"/>
        </w:rPr>
        <w:t>Privacy actives see respect for privacy as core to the brands of the companies with which they do business: 90% believe the ways their data is treated reflects how they are treated as customers. Not surprisingly, they also say they will not buy from companies if they don’t trust how their data is used.</w:t>
      </w:r>
    </w:p>
    <w:p>
      <w:r>
        <w:rPr>
          <w:b w:val="0"/>
          <w:i w:val="0"/>
        </w:rPr>
        <w:t xml:space="preserve">But the survey also reveals some counterintuitive findings about privacy actives. The Cisco survey presented multiple scenarios involving respondents’ levels of comfort with sharing their data in exchange for more personalized products or other benefits. Surprisingly, privacy actives were </w:t>
      </w:r>
      <w:r>
        <w:rPr>
          <w:b w:val="0"/>
          <w:i/>
        </w:rPr>
        <w:t>more</w:t>
      </w:r>
      <w:r>
        <w:rPr>
          <w:b w:val="0"/>
          <w:i w:val="0"/>
        </w:rPr>
        <w:t xml:space="preserve"> comfortable with these trade-offs compared with their nonactive counterparts. For instance, when asked if they were willing to provide purchase history in exchange for personalized products and services, 62% of privacy actives were comfortable with the trade-off versus 32% of non–privacy actives. When asked if they were willing to share information from smart home speakers in exchange for health and safety warnings for the entire family, 44% of privacy actives were comfortable versus only 17% of non–privacy actives. Across the board, privacy actives were twice as likely to be comfortable with sharing their information in exchange for a personal or public benefit.</w:t>
      </w:r>
    </w:p>
    <w:p>
      <w:r>
        <w:rPr>
          <w:b w:val="0"/>
          <w:i w:val="0"/>
        </w:rPr>
        <w:t>When asked whether they felt they could protect their privacy today, 67% of privacy actives responded that they could (52% of non–privacy actives agreed). But that still leaves a third of privacy actives who do not feel they can protect their own privacy. The chief complaint of this subgroup is that it is too difficult to figure out what companies are doing with their data. It is impossible to evaluate a trade-off when you don’t know what data will be used for what purposes. According to the survey, 83% of privacy actives read privacy policies. But even the general notice—“By using this site, you agree to our updated Privacy Policy and Terms of Use”—can be unclear to the average consumer, covering anything from “We only use your data so our website responds more quickly to your requests” to “BEWARE! We track your every move and sell your data every chance we get.” A detailed privacy policy or terms-of-use page may be well intentioned, but sorting it out is a lot of work and may not be enough for these important customers.</w:t>
      </w:r>
    </w:p>
    <w:p>
      <w:r>
        <w:rPr>
          <w:b w:val="0"/>
          <w:i w:val="0"/>
        </w:rPr>
        <w:t>So how should you put these findings to work?</w:t>
      </w:r>
    </w:p>
    <w:p>
      <w:r>
        <w:rPr>
          <w:b w:val="0"/>
          <w:i w:val="0"/>
        </w:rPr>
        <w:t>First, these findings indicate that privacy is as much about customer experience as it is about privacy itself. So get the right people involved. We find it telling that companies routinely seek consumers’ feedback regarding their products and services, yet neither one of us can recall ever being asked about privacy. Go directly to your customers to get to know your privacy actives—how many there are, their views on your privacy policies, their openness to your new ideas, and what they view as fair compensation for your use of their data. A good way to start might involve extending current survey vehicles to these questions.</w:t>
      </w:r>
    </w:p>
    <w:p>
      <w:r>
        <w:rPr>
          <w:b w:val="0"/>
          <w:i w:val="0"/>
        </w:rPr>
        <w:t>Second, use your newfound knowledge to engage privacy actives as you explore new ways to use data. They are simultaneously more receptive to new ideas that will help you build your business and more likely to raise the caution flags that will keep you from making big mistakes. And keep in mind that, as you’re engaging these customers, another 29% are concerned about privacy and are willing to act but haven’t done so yet—they’re only one step away from becoming privacy actives themselves. Consider reaching out to these folks now, before they make a change.</w:t>
      </w:r>
    </w:p>
    <w:p>
      <w:r>
        <w:rPr>
          <w:b w:val="0"/>
          <w:i w:val="0"/>
        </w:rPr>
        <w:t>Third, address the transparency gap that privacy actives have called out. Simplify and shorten your privacy policies so people can access, read, and understand them quickly—in no more than two minutes. Clarify the compensation customers and users may expect in exchange for their data, whether in money, discounts, or services, and make it easier to opt in or out.</w:t>
      </w:r>
    </w:p>
    <w:p>
      <w:r>
        <w:rPr>
          <w:b w:val="0"/>
          <w:i w:val="0"/>
        </w:rPr>
        <w:t>Finally, while we expect the privacy landscape to change rapidly and chaotically over the next several years, now is a good time to think long term. Years ago, when Tom worked at Bell Labs, an unknown prognosticator noted that “privacy will be to the Information Age as product safety was to the Industrial Age.” This individual observed that, over time, societies came to expect companies to produce safe products. Both legal and market pressures came to bear. In some cases, these protections may have gone too far—is it really necessary to warn coffee drinkers, “Caution, contents may be hot”? But right or wrong, that is how society voted.</w:t>
      </w:r>
    </w:p>
    <w:p>
      <w:r>
        <w:rPr>
          <w:b w:val="0"/>
          <w:i w:val="0"/>
        </w:rPr>
        <w:t>So ask yourself these questions: Do you think there is wisdom in the prediction? Do you have a different one? How do you want to position your company and its brand with respect to privacy over the long term? As you puzzle through these questions, we think you will see many opportunities in embracing data privacy.</w:t>
      </w:r>
    </w:p>
    <w:p>
      <w:r>
        <w:rPr>
          <w:b w:val="0"/>
          <w:i w:val="0"/>
        </w:rPr>
        <w:t>TAKEAWAYS</w:t>
      </w:r>
    </w:p>
    <w:p>
      <w:r>
        <w:rPr>
          <w:b w:val="0"/>
          <w:i w:val="0"/>
        </w:rPr>
        <w:t xml:space="preserve">Meet a new type of consumer: privacy actives. These people say they care about their privacy, are willing to act, </w:t>
      </w:r>
      <w:r>
        <w:rPr>
          <w:b w:val="0"/>
          <w:i/>
        </w:rPr>
        <w:t>and</w:t>
      </w:r>
      <w:r>
        <w:rPr>
          <w:b w:val="0"/>
          <w:i w:val="0"/>
        </w:rPr>
        <w:t xml:space="preserve"> have demonstrated this by taking concrete action—deleting accounts, letting subscriptions lapse, doing business elsewhere—over data or data-sharing policies. To earn the trust and the business of privacy actives, your organization needs to:</w:t>
      </w:r>
    </w:p>
    <w:p>
      <w:pPr>
        <w:pStyle w:val="ListBullet"/>
      </w:pPr>
      <w:r>
        <w:rPr>
          <w:b w:val="0"/>
          <w:i w:val="0"/>
        </w:rPr>
        <w:t>Recognize that privacy is as much about customer experience as it is about privacy itself.</w:t>
      </w:r>
    </w:p>
    <w:p>
      <w:pPr>
        <w:pStyle w:val="ListBullet"/>
      </w:pPr>
      <w:r>
        <w:rPr>
          <w:b w:val="0"/>
          <w:i w:val="0"/>
        </w:rPr>
        <w:t>Modify surveys you already distribute to get customers’ input about privacy policies and fair use of their data.</w:t>
      </w:r>
    </w:p>
    <w:p>
      <w:pPr>
        <w:pStyle w:val="ListBullet"/>
      </w:pPr>
      <w:r>
        <w:rPr>
          <w:b w:val="0"/>
          <w:i w:val="0"/>
        </w:rPr>
        <w:t>Engage your privacy actives to help you explore new ways to use data. They’ll help you build your business, and they’ll raise red flags before you make big mistakes.</w:t>
      </w:r>
    </w:p>
    <w:p>
      <w:pPr>
        <w:pStyle w:val="ListBullet"/>
      </w:pPr>
      <w:r>
        <w:rPr>
          <w:b w:val="0"/>
          <w:i w:val="0"/>
        </w:rPr>
        <w:t>Simplify and shorten your privacy policies; ideally, make them something users can read in under two minutes. Clarify what compensation consumers may expect in exchange for their data, whether it’s money or an easy way to opt out.</w:t>
      </w:r>
    </w:p>
    <w:p>
      <w:pPr>
        <w:pStyle w:val="Heading3"/>
      </w:pPr>
      <w:r>
        <w:rPr>
          <w:b w:val="0"/>
          <w:i w:val="0"/>
        </w:rPr>
        <w:t>NOTE</w:t>
      </w:r>
    </w:p>
    <w:p>
      <w:pPr>
        <w:pStyle w:val="ListNumber"/>
      </w:pPr>
      <w:r>
        <w:rPr>
          <w:b w:val="0"/>
          <w:i w:val="0"/>
        </w:rPr>
        <w:t xml:space="preserve">1. Cisco, </w:t>
      </w:r>
      <w:r>
        <w:rPr>
          <w:b w:val="0"/>
          <w:i/>
        </w:rPr>
        <w:t>Consumer Privacy Survey</w:t>
      </w:r>
      <w:r>
        <w:rPr>
          <w:b w:val="0"/>
          <w:i w:val="0"/>
        </w:rPr>
        <w:t>, November 2019, https://www.cisco.com/c/dam/en/us/products/collateral/security/cybersecurity-series-2019-cps.pdf.</w:t>
      </w:r>
    </w:p>
    <w:p>
      <w:r>
        <w:rPr>
          <w:b w:val="0"/>
          <w:i/>
        </w:rPr>
        <w:t>Adapted from content posted on hbr.org, January 28, 2020 (product #H05DVH).</w:t>
      </w:r>
    </w:p>
    <w:p>
      <w:pPr>
        <w:pStyle w:val="Heading1"/>
      </w:pPr>
      <w:r>
        <w:rPr>
          <w:b w:val="0"/>
          <w:i w:val="0"/>
        </w:rPr>
        <w:t>6</w:t>
      </w:r>
    </w:p>
    <w:p>
      <w:pPr>
        <w:pStyle w:val="Heading1"/>
      </w:pPr>
      <w:r>
        <w:rPr>
          <w:b w:val="0"/>
          <w:i w:val="0"/>
        </w:rPr>
        <w:t>HOW TO EXERCISE THE POWER YOU DIDN’T ASK FOR</w:t>
      </w:r>
    </w:p>
    <w:p>
      <w:r>
        <w:rPr>
          <w:b w:val="0"/>
          <w:i w:val="0"/>
        </w:rPr>
        <w:t>by Jonathan Zittrain</w:t>
      </w:r>
    </w:p>
    <w:p>
      <w:r>
        <w:rPr>
          <w:b w:val="0"/>
          <w:i w:val="0"/>
        </w:rPr>
        <w:t>I used to be largely indifferent to claims about the use of private data for targeted advertising, even as I worried about privacy more generally. How much of an intrusion was it, really, for a merchant to hit me with a banner ad for dog food instead of cat food, since it had reason to believe I owned a dog? And any users who were sensitive about their personal information could just click on a menu and simply opt out of that kind of tracking.</w:t>
      </w:r>
    </w:p>
    <w:p>
      <w:r>
        <w:rPr>
          <w:b w:val="0"/>
          <w:i w:val="0"/>
        </w:rPr>
        <w:t>But times have changed.</w:t>
      </w:r>
    </w:p>
    <w:p>
      <w:r>
        <w:rPr>
          <w:b w:val="0"/>
          <w:i w:val="0"/>
        </w:rPr>
        <w:t>The digital surveillance economy has ballooned in size and sophistication while keeping most of its day-to-day tracking apparatus out of view. Public reaction has ranged from muted to deeply concerned, with a good portion of those in the concerned camp feeling so overwhelmed by the pervasiveness of their privacy loss that they’re more or less reconciled to it. It’s long past time not only to worry but to act.</w:t>
      </w:r>
    </w:p>
    <w:p>
      <w:r>
        <w:rPr>
          <w:b w:val="0"/>
          <w:i w:val="0"/>
        </w:rPr>
        <w:t xml:space="preserve">Advertising dog food to dog owners remains innocuous, but pushing payday loans to people identified as being emotionally and financially vulnerable is not. Neither is targeted advertising that is used to </w:t>
      </w:r>
      <w:r>
        <w:rPr>
          <w:b w:val="0"/>
          <w:i/>
        </w:rPr>
        <w:t>exclude</w:t>
      </w:r>
      <w:r>
        <w:rPr>
          <w:b w:val="0"/>
          <w:i w:val="0"/>
        </w:rPr>
        <w:t xml:space="preserve"> people. Julia Angwin, Ariana Tobin, and Madeleine Varner found that on Facebook targeting could be used to show housing ads only to white consumers.1 Narrow targeting can also render long-standing mechanisms for detecting market failure and abuse ineffective: State attorneys general or consumer advocates can’t respond to a deceitful ad campaign, for instance, when they don’t see it themselves. Uber took this predicament to cartoon villain extremes when, to avoid sting operations by local regulators, it used data collected from the Uber app to figure out who the officials were and then sent fake information about cars in service to their phones.</w:t>
      </w:r>
    </w:p>
    <w:p>
      <w:r>
        <w:rPr>
          <w:b w:val="0"/>
          <w:i w:val="0"/>
        </w:rPr>
        <w:t xml:space="preserve">These are relatively new problems. Originally, our use of information platforms, whether search engines or social media, wasn’t tailored much to anything about us, except through our own direct choices. Your search results for the query “Are vaccinations safe?” would be the same as mine or, for a term like </w:t>
      </w:r>
      <w:r>
        <w:rPr>
          <w:b w:val="0"/>
          <w:i/>
        </w:rPr>
        <w:t>pizza,</w:t>
      </w:r>
      <w:r>
        <w:rPr>
          <w:b w:val="0"/>
          <w:i w:val="0"/>
        </w:rPr>
        <w:t xml:space="preserve"> varied in a straightforward way, such as by location, offering up nearby restaurants. If you didn’t like what you got, the absence of tailoring suggested that the search platform wasn’t to blame; you simply were seeing a window on the web at large. For a long time that was a credible, even desirable, position for content aggregators to take. And for the most part they themselves weren’t always good at predicting what their own platforms would offer up. It was a roulette wheel, removed from any human agent’s shaping.</w:t>
      </w:r>
    </w:p>
    <w:p>
      <w:r>
        <w:rPr>
          <w:b w:val="0"/>
          <w:i w:val="0"/>
        </w:rPr>
        <w:t>Today that’s not true. The digital world has gone from pull to push: Instead of actively searching for specific things, people read whatever content is in the feeds they see on sites like Facebook and Twitter. And more and more, people get not a range of search results but a single answer from a virtual concierge like Amazon’s Alexa. And it may not be long before such concierges rouse themselves to suggest it’s time to buy a gift for a friend’s birthday (perhaps from a sponsor) or persistently recommend Uber over Lyft when asked to procure a ride (again, thanks to sponsorship).</w:t>
      </w:r>
    </w:p>
    <w:p>
      <w:r>
        <w:rPr>
          <w:b w:val="0"/>
          <w:i w:val="0"/>
        </w:rPr>
        <w:t>Is it still fair for search platforms to say, “Don’t blame me, blame the web!” if a concierge provides the wrong directions to a location or the wrong drug interaction precautions? While we tend not to hold Google and Bing responsible for the accuracy of every link they return on a search, the case may be different when platforms actively pluck out only one answer to a question—or answer a question that wasn’t even asked.</w:t>
      </w:r>
    </w:p>
    <w:p>
      <w:r>
        <w:rPr>
          <w:b w:val="0"/>
          <w:i w:val="0"/>
        </w:rPr>
        <w:t>We’ve also moved to a world where online news feeds—and in some cases concierges’ answers to questions—are aggressively manipulated by third parties trying to gain exposure for their messages. There’s great concern about what happens when those messages are propaganda—that is, false and offered in bad faith, often obscuring their origins. Elections can be swayed, and people physically hurt, by lies. Should the platforms be in the business of deciding what’s true or not, the way that newspapers are? Or does that open the door to content control by a handful of corporate parties—after all, Facebook has access to far more eyeballs than a single newspaper has ever had—or by the governments that regulate them?</w:t>
      </w:r>
    </w:p>
    <w:p>
      <w:r>
        <w:rPr>
          <w:b w:val="0"/>
          <w:i w:val="0"/>
        </w:rPr>
        <w:t>Companies can no longer sit this out, much as they’d like to. As platforms provide highly curated and often single responses to consumers’ queries, they’re likely to face heated questions—and perhaps regulatory scrutiny—about whom they’re favoring or disfavoring. They can’t just shrug and point to a “neutral” algorithm when asked why their results are the way they are. That abdication of responsibility has led to abuse by sophisticated and well-funded propagandists, who often build Astroturf campaigns that are meant to look as if they’re grassroots.</w:t>
      </w:r>
    </w:p>
    <w:p>
      <w:r>
        <w:rPr>
          <w:b w:val="0"/>
          <w:i w:val="0"/>
        </w:rPr>
        <w:t>So what should mediating platforms do?</w:t>
      </w:r>
    </w:p>
    <w:p>
      <w:r>
        <w:rPr>
          <w:b w:val="0"/>
          <w:i w:val="0"/>
        </w:rPr>
        <w:t>An answer lies in recognizing that today’s issues with surveillance and targeting stem from habit and misplaced trust. People share information about themselves without realizing it and are unaware of how it gets used, passed on, and sold. But the remedy of allowing them to opt out of data collection leads to decision fatigue for users, who can articulate few specific preferences about data practices and simply wish not to be taken advantage of.</w:t>
      </w:r>
    </w:p>
    <w:p>
      <w:r>
        <w:rPr>
          <w:b w:val="0"/>
          <w:i w:val="0"/>
        </w:rPr>
        <w:t>Restaurants must meet minimum standards for cleanliness, or (ideally) they’ll be shut down. We don’t ask the public to research food safety before grabbing a bite and then to opt out of the dubious dining establishments. No one would rue being deprived of the choice to eat food contaminated with salmonella. Similar intervention is needed in the digital universe.</w:t>
      </w:r>
    </w:p>
    <w:p>
      <w:r>
        <w:rPr>
          <w:b w:val="0"/>
          <w:i w:val="0"/>
        </w:rPr>
        <w:t>Of course, best practices for the use of personal information online aren’t nearly as clear-cut as those for restaurant cleanliness. After all, much of the personalization that results from online surveillance is truly valued by customers. That’s why we should turn to a different kind of relationship for inspiration: one in which the person gathering and using information is a skilled, hired professional helping the person whose data is in play. That is the context of interactions between doctors and patients, lawyers and clients, and certified financial planners and investors.</w:t>
      </w:r>
    </w:p>
    <w:p>
      <w:r>
        <w:rPr>
          <w:b w:val="0"/>
          <w:i w:val="0"/>
        </w:rPr>
        <w:t>Yale Law School’s Jack Balkin has invoked these examples and proposed that today’s online platforms become “information fiduciaries.” We are among a number of academics who have been working with policy makers and internet companies to map out what sorts of duties a responsible platform could embrace. We’ve found that our proposal has bipartisan appeal in Congress, because it protects consumers and corrects a clear market failure without the need for heavy-handed government intervention.</w:t>
      </w:r>
    </w:p>
    <w:p>
      <w:r>
        <w:rPr>
          <w:b w:val="0"/>
          <w:i/>
        </w:rPr>
        <w:t>Fiduciary</w:t>
      </w:r>
      <w:r>
        <w:rPr>
          <w:b w:val="0"/>
          <w:i w:val="0"/>
        </w:rPr>
        <w:t xml:space="preserve"> has a legalese ring to it, but it’s a long-standing, commonsense notion. The key characteristic of fiduciaries is loyalty: They must act in their charges’ best interests and, when conflicts arise, must put their charges’ interests above their own. That makes them trustworthy. Like doctors, lawyers, and financial advisers, social media platforms and their concierges are given sensitive information by their users, and those users expect a fair shake—whether they’re trying to find out what’s going on in the world or how to get somewhere or do something.</w:t>
      </w:r>
    </w:p>
    <w:p>
      <w:r>
        <w:rPr>
          <w:b w:val="0"/>
          <w:i w:val="0"/>
        </w:rPr>
        <w:t>A fiduciary duty wouldn’t broadly rule out targeted advertising—dog owners would still get dog food ads—but it would preclude predatory advertising, like promotions for payday loans. It would also prevent data from being used for purposes unrelated to the expectations of the people who shared it, as happened with the “personality quiz” survey results that were later used to psychometrically profile voters and then attempt to sway their political opinions.</w:t>
      </w:r>
    </w:p>
    <w:p>
      <w:r>
        <w:rPr>
          <w:b w:val="0"/>
          <w:i w:val="0"/>
        </w:rPr>
        <w:t>This approach would eliminate the need to judge good from bad content, because it would let platforms make decisions based on what their users want, rather than on what society wants for them. Most users want the truth and should be offered it; others may not value accuracy and may prefer colorful and highly opinionated content instead—and when they do, they should get it, perhaps labeled as such. Aggregators like Google News and Facebook are already starting to make such determinations about what to include as “news” and what counts as “everything else.” It may well be that an already-skeptical public only digs in further when these giants offer their judgments, but well-grounded tools could also inform journalists and help prevent propaganda posted on Facebook from spreading into news outlets.</w:t>
      </w:r>
    </w:p>
    <w:p>
      <w:r>
        <w:rPr>
          <w:b w:val="0"/>
          <w:i w:val="0"/>
        </w:rPr>
        <w:t>More generally, the fiduciary approach would bring some coherence to the piecemeal privacy protections that have emerged over the years. The right to know what data has been collected about you, the right to ask that it be corrected or purged, and the right to withhold certain data entirely all jibe with the idea that a powerful company has an obligation to behave in an open, fair way toward consumers and put their interests above its own.</w:t>
      </w:r>
    </w:p>
    <w:p>
      <w:r>
        <w:rPr>
          <w:b w:val="0"/>
          <w:i w:val="0"/>
        </w:rPr>
        <w:t>While restaurant cleanliness can be managed with readily learned best practices (keep the raw chicken on a separate plate), doctors and lawyers face more complicated questions about what their duty to their patients and clients entails (should a patient with a contagious and dangerous disease be allowed to walk out of the office without treatment or follow-up?). But the quandaries of online platforms are even less easy to address. Indeed, one of the few touchstones of data privacy—the concept of “personally identifiable information,” or PII—has become completely blurry, as identifying information can now be gleaned from previously innocuous sources, making nearly every piece of data drawn from someone sensitive.</w:t>
      </w:r>
    </w:p>
    <w:p>
      <w:r>
        <w:rPr>
          <w:b w:val="0"/>
          <w:i w:val="0"/>
        </w:rPr>
        <w:t>Nevertheless, many online practices will always be black-and-white breaches of an information fiduciary’s duty. If Waze told me that the “best route” somewhere just so happened to pass by a particular Burger King, and it gave that answer to get a commission if I ate there, then Waze would be putting its own interests ahead of mine. So would Mark Zuckerberg if hypothetically he tried to orchestrate Facebook feeds so that Election Day alerts went only to people who would reliably vote for his preferred candidate. It would be helpful to take such possibilities entirely off the table now, at the point when no one is earning money from them or prepared to go to bat for them. As for the practices that fall into a grayer area, the information fiduciary approach can be tailored to account for newness and uncertainty as the internet ecosystem continues to evolve.</w:t>
      </w:r>
    </w:p>
    <w:p>
      <w:r>
        <w:rPr>
          <w:b w:val="0"/>
          <w:i w:val="0"/>
        </w:rPr>
        <w:t>Ideally, companies would become fiduciaries by choice, instead of by legal mandate. Balkin and I have proposed how this might come about—with, say, U.S. federal law offering relief from the existing requirements of individual states if companies opt in to fiduciary status.2 That way, fiduciary duties wouldn’t be imposed on companies that don’t want them; they could take their chances, as they already do, with state-level regulation.</w:t>
      </w:r>
    </w:p>
    <w:p>
      <w:r>
        <w:rPr>
          <w:b w:val="0"/>
          <w:i w:val="0"/>
        </w:rPr>
        <w:t>In addition, firms would need to structure themselves so that new practices that raise ethical issues are surfaced, discussed internally, and disclosed externally. This is not as easy as establishing a standard compliance framework, because in a compliance framework the assumption is that what’s right and wrong is known, and managers need only to ensure that employees stay within the lines. Instead the idea should be to encourage employees working on new projects to flag when something could be “lawful but awful” and congratulate—rather than retaliate against—them for calling attention to it. This is a principle of what in medical and some other fields is known as a “just culture,” and it’s supported by the management concept of “psychological safety,” wherein a group is set up in a way that allows people to feel comfortable expressing reservations about what they’re doing. Further, information fiduciary law as it develops could provide some immunity not just to individuals but to firms that in good faith alert the public or regulators to iffy practices. Instead of having investigations into problems by attorneys general or plaintiffs’ lawyers, we should seek to create incentives for bringing problems to light and addressing them industrywide.</w:t>
      </w:r>
    </w:p>
    <w:p>
      <w:r>
        <w:rPr>
          <w:b w:val="0"/>
          <w:i w:val="0"/>
        </w:rPr>
        <w:t>That suggests a third touchstone for an initial implementation of information fiduciary law: Any public body chartered with offering judgments on new issues should be able to make them prospectively rather than retroactively. For example, the IRS can give taxpayers a “private letter ruling” before they commit to one tax strategy or another. On truly novel issues, companies ought to be able to ask public authorities—whether the Federal Trade Commission or a new body chartered specifically to deal with information privacy—for guidance rather than having to make a call in unclear circumstances and then potentially face damages if it turns out to be the wrong one.</w:t>
      </w:r>
    </w:p>
    <w:p>
      <w:r>
        <w:rPr>
          <w:b w:val="0"/>
          <w:i w:val="0"/>
        </w:rPr>
        <w:t>Any approach that prioritizes duty to customers over profit risks trimming margins. That’s why we need to encourage a level playing field, where all major competitors have to show a baseline of respect. But the status quo is simply not acceptable. Though cleaning up their data practices will increase the expenses of the companies who abuse consumers’ privacy, that’s no reason to allow it to continue, any more than we should heed polluters who complain that their margins will suffer if they’re forced to stop dumping contaminants in rivers.</w:t>
      </w:r>
    </w:p>
    <w:p>
      <w:r>
        <w:rPr>
          <w:b w:val="0"/>
          <w:i w:val="0"/>
        </w:rPr>
        <w:t>The problems arising from a surveillance-heavy digital ecosystem are getting more difficult and more ingrained. It’s time to try a comprehensive solution that’s sensitive to complexities, geared toward addressing them as they unfold, and based on duty to the individual consumers whose data might otherwise be used against them.</w:t>
      </w:r>
    </w:p>
    <w:p>
      <w:r>
        <w:rPr>
          <w:b w:val="0"/>
          <w:i w:val="0"/>
        </w:rPr>
        <w:t>TAKEAWAYS</w:t>
      </w:r>
    </w:p>
    <w:p>
      <w:r>
        <w:rPr>
          <w:b w:val="0"/>
          <w:i w:val="0"/>
        </w:rPr>
        <w:t>In the absence of government regulations and widely accepted best practices for the use of personal information, companies should become information fiduciaries. This would mean acting in customers’ best interest and putting their customers’ interests above their own when conflicts arise.</w:t>
      </w:r>
    </w:p>
    <w:p>
      <w:pPr>
        <w:pStyle w:val="ListBullet"/>
      </w:pPr>
      <w:r>
        <w:rPr>
          <w:b w:val="0"/>
          <w:i w:val="0"/>
        </w:rPr>
        <w:t>Ideally, companies will become fiduciaries by choice, not legal mandate.</w:t>
      </w:r>
    </w:p>
    <w:p>
      <w:pPr>
        <w:pStyle w:val="ListBullet"/>
      </w:pPr>
      <w:r>
        <w:rPr>
          <w:b w:val="0"/>
          <w:i w:val="0"/>
        </w:rPr>
        <w:t>The fiduciary approach would give customers the right to know what data has been collected about them, the right to ask that it be corrected or purged, and the right to withhold certain data entirely.</w:t>
      </w:r>
    </w:p>
    <w:p>
      <w:pPr>
        <w:pStyle w:val="ListBullet"/>
      </w:pPr>
      <w:r>
        <w:rPr>
          <w:b w:val="0"/>
          <w:i w:val="0"/>
        </w:rPr>
        <w:t>Instead of the hidden or obscure data harvesting that is now the norm, a fiduciary data gatherer would act more like a skilled hired professional, helping people whose data is in play to share what they are willing to share and no more.</w:t>
      </w:r>
    </w:p>
    <w:p>
      <w:pPr>
        <w:pStyle w:val="ListBullet"/>
      </w:pPr>
      <w:r>
        <w:rPr>
          <w:b w:val="0"/>
          <w:i w:val="0"/>
        </w:rPr>
        <w:t>Information fiduciaries won’t end targeted advertising, but they would prevent data from being used for purposes unrelated to the expectations of the person who shared it in the first place.</w:t>
      </w:r>
    </w:p>
    <w:p>
      <w:pPr>
        <w:pStyle w:val="Heading3"/>
      </w:pPr>
      <w:r>
        <w:rPr>
          <w:b w:val="0"/>
          <w:i w:val="0"/>
        </w:rPr>
        <w:t>NOTES</w:t>
      </w:r>
    </w:p>
    <w:p>
      <w:pPr>
        <w:pStyle w:val="ListNumber"/>
      </w:pPr>
      <w:r>
        <w:rPr>
          <w:b w:val="0"/>
          <w:i w:val="0"/>
        </w:rPr>
        <w:t xml:space="preserve">1. Julia Angwin, Ariana Tobin, and Madeleine Varner, “Facebook (Still) Letting Housing Advertisers Exclude Users by Race,” </w:t>
      </w:r>
      <w:r>
        <w:rPr>
          <w:b w:val="0"/>
          <w:i/>
        </w:rPr>
        <w:t>ProPublica</w:t>
      </w:r>
      <w:r>
        <w:rPr>
          <w:b w:val="0"/>
          <w:i w:val="0"/>
        </w:rPr>
        <w:t>, November 21, 2017, https://www.propublica.org/article/facebook-advertising-discrimination-housing-race-sex-national-origin.</w:t>
      </w:r>
    </w:p>
    <w:p>
      <w:pPr>
        <w:pStyle w:val="ListNumber"/>
      </w:pPr>
      <w:r>
        <w:rPr>
          <w:b w:val="0"/>
          <w:i w:val="0"/>
        </w:rPr>
        <w:t xml:space="preserve">2. Jack M. Balkin and Jonathan Zittrain, “A Grand Bargain to Make Tech Companies Trustworthy,” </w:t>
      </w:r>
      <w:r>
        <w:rPr>
          <w:b w:val="0"/>
          <w:i/>
        </w:rPr>
        <w:t>Atlantic</w:t>
      </w:r>
      <w:r>
        <w:rPr>
          <w:b w:val="0"/>
          <w:i w:val="0"/>
        </w:rPr>
        <w:t>, October 3, 2016, https://www.theatlantic.com/technology/archive/2016/10/information-fiduciary/502346/.</w:t>
      </w:r>
    </w:p>
    <w:p>
      <w:r>
        <w:rPr>
          <w:b w:val="0"/>
          <w:i/>
        </w:rPr>
        <w:t>Adapted from content posted on hbr.org, October 5, 2018 (product #BG1805).</w:t>
      </w:r>
    </w:p>
    <w:p>
      <w:pPr>
        <w:pStyle w:val="Heading1"/>
      </w:pPr>
      <w:r>
        <w:rPr>
          <w:b w:val="0"/>
          <w:i w:val="0"/>
        </w:rPr>
        <w:t>7</w:t>
      </w:r>
    </w:p>
    <w:p>
      <w:pPr>
        <w:pStyle w:val="Heading1"/>
      </w:pPr>
      <w:r>
        <w:rPr>
          <w:b w:val="0"/>
          <w:i w:val="0"/>
        </w:rPr>
        <w:t>TO REGAIN CONSUMERS’ TRUST, MARKETERS NEED TRANSPARENT DATA PRACTICES</w:t>
      </w:r>
    </w:p>
    <w:p>
      <w:r>
        <w:rPr>
          <w:b w:val="0"/>
          <w:i w:val="0"/>
        </w:rPr>
        <w:t>by Kevin Cochrane</w:t>
      </w:r>
    </w:p>
    <w:p>
      <w:r>
        <w:rPr>
          <w:b w:val="0"/>
          <w:i w:val="0"/>
        </w:rPr>
        <w:t>It’s a good time to be a consumer. New digital business models have flipped the customer-brand relationship on its head. No longer do consumers need to do their own background research on a product or company to find what they are looking for. Instead, brands come to us. There are more options and more channels to get what you want than ever before.</w:t>
      </w:r>
    </w:p>
    <w:p>
      <w:r>
        <w:rPr>
          <w:b w:val="0"/>
          <w:i w:val="0"/>
        </w:rPr>
        <w:t>That said, there is always a downside. This seemingly limitless digital economy has brought with it feelings of overexposure. No one likes to feel as if they’re being watched, yet with technology continuing to mature, we have found ourselves entrenched in a marketing machine that has become far too intimate for anyone’s liking.</w:t>
      </w:r>
    </w:p>
    <w:p>
      <w:r>
        <w:rPr>
          <w:b w:val="0"/>
          <w:i w:val="0"/>
        </w:rPr>
        <w:t>The power of digital is so great that brands have started to abuse it. And with this abuse of power has come the erosion of the trust that once existed between businesses and consumers.</w:t>
      </w:r>
    </w:p>
    <w:p>
      <w:r>
        <w:rPr>
          <w:b w:val="0"/>
          <w:i w:val="0"/>
        </w:rPr>
        <w:t>Over the last decade, businesses have built marketing technology stacks to collect and organize data with the hope of more effectively targeting consumers. Driven by the promise of loyal customers and greater revenue, it didn’t take long for marketers to start using consumers’ personal data without their knowledge or consent. What’s more, the practice of buying data from third-party brokers become the norm, making customer and prospect data both stagnant and not earned. This ignited a dark process of monetizing consumers’ digital lives that has quite simply backfired for companies.</w:t>
      </w:r>
    </w:p>
    <w:p>
      <w:r>
        <w:rPr>
          <w:b w:val="0"/>
          <w:i w:val="0"/>
        </w:rPr>
        <w:t>As a result of using this inaccurate data, brands began to bombard consumers with messages that were not actually relevant to their personal interests. Rather than connecting authentically, brands became alienated from the individuals they were trying to reach.</w:t>
      </w:r>
    </w:p>
    <w:p>
      <w:r>
        <w:rPr>
          <w:b w:val="0"/>
          <w:i w:val="0"/>
        </w:rPr>
        <w:t>The research bears this out: Nearly half of consumers say they have left a business’s website and made a purchase elsewhere because the experience was poorly curated.1 Further, 73% of consumers feel they haven’t been engaged in a personalized way.</w:t>
      </w:r>
    </w:p>
    <w:p>
      <w:r>
        <w:rPr>
          <w:b w:val="0"/>
          <w:i w:val="0"/>
        </w:rPr>
        <w:t xml:space="preserve">It’s a tricky situation: Consumers want personalized offers that are relevant to their past behavior and future needs. To execute on this level of personalization, companies must collect large amounts of data. However, consumers want only </w:t>
      </w:r>
      <w:r>
        <w:rPr>
          <w:b w:val="0"/>
          <w:i/>
        </w:rPr>
        <w:t>some</w:t>
      </w:r>
      <w:r>
        <w:rPr>
          <w:b w:val="0"/>
          <w:i w:val="0"/>
        </w:rPr>
        <w:t xml:space="preserve"> of their data used and only in a way that they are comfortable with.</w:t>
      </w:r>
    </w:p>
    <w:p>
      <w:r>
        <w:rPr>
          <w:b w:val="0"/>
          <w:i w:val="0"/>
        </w:rPr>
        <w:t>So, what’s the right way to navigate these complexities?</w:t>
      </w:r>
    </w:p>
    <w:p>
      <w:r>
        <w:rPr>
          <w:b w:val="0"/>
          <w:i w:val="0"/>
        </w:rPr>
        <w:t>When done right, personalized messages can drive real revenue. Research from McKinsey found that personalization can deliver five to eight times the ROI on marketing spend and can lift sales by 10% or more.2 It’s clearly worth it for brands to invest in reconnecting with their customers.</w:t>
      </w:r>
    </w:p>
    <w:p>
      <w:r>
        <w:rPr>
          <w:b w:val="0"/>
          <w:i w:val="0"/>
        </w:rPr>
        <w:t>To initiate a more trustworthy relationship, organizations must start by eliminating internal processes of acquiring third-party data. They must use only data that they have earned through explicit customer consent. Until now, the average consumer was likely unaware that when they “turn on cookies” it means they are agreeing to share their information with dozens—and in some cases hundreds—of affiliated partners. Those days are over.</w:t>
      </w:r>
    </w:p>
    <w:p>
      <w:r>
        <w:rPr>
          <w:b w:val="0"/>
          <w:i w:val="0"/>
        </w:rPr>
        <w:t>Consumers should (and in the future will) have full visibility into how extensively their personal data is being monetized. This is an imperative, as research shows that 79% of consumers will leave a brand if their personal data is used without their knowledge.3 With the European Union’s General Data Protection Regulation (GDPR) officially implemented across businesses, brands have a fresh opportunity to reevaluate data practices, communicate them clearly to customers, stick to their word, and come out stronger on the other side.</w:t>
      </w:r>
    </w:p>
    <w:p>
      <w:r>
        <w:rPr>
          <w:b w:val="0"/>
          <w:i w:val="0"/>
        </w:rPr>
        <w:t>GDPR and stricter privacy laws also mean that marketers will need to incentivize consumers to share their data. Consider the following best practices:</w:t>
      </w:r>
    </w:p>
    <w:p>
      <w:pPr>
        <w:pStyle w:val="ListBullet"/>
      </w:pPr>
      <w:r>
        <w:rPr>
          <w:b w:val="0"/>
          <w:i w:val="0"/>
        </w:rPr>
        <w:t>Explain the benefits that customers will receive. Specific benefits might include more personalized offers, exclusive rewards, or access to a decision-making tool that makes life easier. Netflix is a great example: Without granting access to their personal data, customers would not benefit from Netflix’s robust recommendation engine, which is a powerful way for consumers to discover new content that is highly relevant to their interests.</w:t>
      </w:r>
    </w:p>
    <w:p>
      <w:pPr>
        <w:pStyle w:val="ListBullet"/>
      </w:pPr>
      <w:r>
        <w:rPr>
          <w:b w:val="0"/>
          <w:i w:val="0"/>
        </w:rPr>
        <w:t>Give customers full control over the types of data they share. Of course, certain types of data are more sensitive than others. Perhaps a customer is comfortable sharing their name and date of birth, but would rather not share their home address or mobile phone number. Putting the customer in control and providing flexibility in the types of data they are able to share makes it far more likely that they will offer up at least some personal information.</w:t>
      </w:r>
    </w:p>
    <w:p>
      <w:pPr>
        <w:pStyle w:val="ListBullet"/>
      </w:pPr>
      <w:r>
        <w:rPr>
          <w:b w:val="0"/>
          <w:i w:val="0"/>
        </w:rPr>
        <w:t>Provide tools that easily allow customers to edit their privacy settings. To do this, organizations should consider implementing a digital privacy center where customers can easily understand and manage their data choices. Part of this should be the ability to configure exactly who within an organization has access to data. Additionally, it should include a “download my data” button that quickly and easily allows customers to know the exact information that a company has access to at any given time.</w:t>
      </w:r>
    </w:p>
    <w:p>
      <w:r>
        <w:rPr>
          <w:b w:val="0"/>
          <w:i w:val="0"/>
        </w:rPr>
        <w:t>The final step is maintaining consistency. It’s one thing for a customer to initially agree to data sharing but another for them to feel incentivized to continue to share it. Marketers can keep the relationship strong by adhering to privacy policies and providing consistent, valuable communication. Emerging technologies like artificial intelligence can help with this by building a single view of each customer that outlines all past behavior and communication with the brand. The way I see it, consumers will increasingly limit their brand loyalty to organizations that aid them with daily lifestyle goals. They will invest time and money in fewer but deeper relationships.</w:t>
      </w:r>
    </w:p>
    <w:p>
      <w:r>
        <w:rPr>
          <w:b w:val="0"/>
          <w:i w:val="0"/>
        </w:rPr>
        <w:t>The digital era has fundamentally shifted assumptions for how individuals will do business and engage with companies. And once trust has been lost, it’s nearly impossible for brands to rebuild sustainable, honest relationships with their customers.</w:t>
      </w:r>
    </w:p>
    <w:p>
      <w:r>
        <w:rPr>
          <w:b w:val="0"/>
          <w:i w:val="0"/>
        </w:rPr>
        <w:t>As marketers, we must understand that real people buy from real people. This is why authenticity in marketing messages is so important, especially in the digital age. Transparency, consent, and trust are key to forming a long-lasting brand relationship.</w:t>
      </w:r>
    </w:p>
    <w:p>
      <w:r>
        <w:rPr>
          <w:b w:val="0"/>
          <w:i w:val="0"/>
        </w:rPr>
        <w:t>As the industry becomes increasingly data driven, marketers must avoid becoming too scientific at guiding prescriptive outcomes. Rather, we should use data to relate at scale to individuals and to help guide them to self-discovered personal goals. Let’s work to improve lives, not manipulate them.</w:t>
      </w:r>
    </w:p>
    <w:p>
      <w:r>
        <w:rPr>
          <w:b w:val="0"/>
          <w:i w:val="0"/>
        </w:rPr>
        <w:t>TAKEAWAYS</w:t>
      </w:r>
    </w:p>
    <w:p>
      <w:r>
        <w:rPr>
          <w:b w:val="0"/>
          <w:i w:val="0"/>
        </w:rPr>
        <w:t xml:space="preserve">Targeting customers has never been trickier. They want personalized offers that are relevant to their past behavior and future needs, but to do this, companies must collect large amounts of their data. Yet customers want only </w:t>
      </w:r>
      <w:r>
        <w:rPr>
          <w:b w:val="0"/>
          <w:i/>
        </w:rPr>
        <w:t>some</w:t>
      </w:r>
      <w:r>
        <w:rPr>
          <w:b w:val="0"/>
          <w:i w:val="0"/>
        </w:rPr>
        <w:t xml:space="preserve"> of their data to be gathered and only in a way that they’re comfortable with. How can marketers navigate these complexities and maintain a strong relationship with their customers?</w:t>
      </w:r>
    </w:p>
    <w:p>
      <w:pPr>
        <w:pStyle w:val="ListBullet"/>
      </w:pPr>
      <w:r>
        <w:rPr>
          <w:b w:val="0"/>
          <w:i w:val="0"/>
        </w:rPr>
        <w:t>Companies should start by eliminating internal processes of acquiring third-party data and begin using only the data that they have earned through explicit customer consent.</w:t>
      </w:r>
    </w:p>
    <w:p>
      <w:pPr>
        <w:pStyle w:val="ListBullet"/>
      </w:pPr>
      <w:r>
        <w:rPr>
          <w:b w:val="0"/>
          <w:i w:val="0"/>
        </w:rPr>
        <w:t>Customers should be given full visibility into how extensively their personal data is being monetized.</w:t>
      </w:r>
    </w:p>
    <w:p>
      <w:pPr>
        <w:pStyle w:val="ListBullet"/>
      </w:pPr>
      <w:r>
        <w:rPr>
          <w:b w:val="0"/>
          <w:i w:val="0"/>
        </w:rPr>
        <w:t>Marketers should inspire customers to share their data by explaining the benefits that they will receive, giving customers full control over the types of data they share, and providing tools that easily allow customers to edit their privacy settings.</w:t>
      </w:r>
    </w:p>
    <w:p>
      <w:pPr>
        <w:pStyle w:val="Heading3"/>
      </w:pPr>
      <w:r>
        <w:rPr>
          <w:b w:val="0"/>
          <w:i w:val="0"/>
        </w:rPr>
        <w:t>NOTES</w:t>
      </w:r>
    </w:p>
    <w:p>
      <w:pPr>
        <w:pStyle w:val="ListNumber"/>
      </w:pPr>
      <w:r>
        <w:rPr>
          <w:b w:val="0"/>
          <w:i w:val="0"/>
        </w:rPr>
        <w:t xml:space="preserve">1. Scott Tieman, “There’s Power in Consumer Data. Is Your Brand in Control?,” </w:t>
      </w:r>
      <w:r>
        <w:rPr>
          <w:b w:val="0"/>
          <w:i/>
        </w:rPr>
        <w:t>Adweek</w:t>
      </w:r>
      <w:r>
        <w:rPr>
          <w:b w:val="0"/>
          <w:i w:val="0"/>
        </w:rPr>
        <w:t>, May 13, 2018, http://www.adweek.com/digital/theres-power-in-consumer-data-is-your-brand-in-control/.</w:t>
      </w:r>
    </w:p>
    <w:p>
      <w:pPr>
        <w:pStyle w:val="ListNumber"/>
      </w:pPr>
      <w:r>
        <w:rPr>
          <w:b w:val="0"/>
          <w:i w:val="0"/>
        </w:rPr>
        <w:t>2. Matt Ariker, Alejandro Díaz, Jason Heller, and Jesko Perrey, “Personalizing at Scale,” McKinsey, November 2015, https://www.mckinsey.com/business-functions/marketing-and-sales/our-insights/personalizing-at-scale.</w:t>
      </w:r>
    </w:p>
    <w:p>
      <w:pPr>
        <w:pStyle w:val="ListNumber"/>
      </w:pPr>
      <w:r>
        <w:rPr>
          <w:b w:val="0"/>
          <w:i w:val="0"/>
        </w:rPr>
        <w:t>3. “The 2017 SAP Hybris Consumer Insights Report: 1,000 Consumers Tell You What They Love and Hate About Brands,” 2017, https://news.sap.com/wp-content/blogs.dir/1/files/SAP-Infographic-Consumer-Insight-Report-US_171220.pdf.</w:t>
      </w:r>
    </w:p>
    <w:p>
      <w:r>
        <w:rPr>
          <w:b w:val="0"/>
          <w:i/>
        </w:rPr>
        <w:t>Adapted from content posted on hbr.org, June 13, 2018 (product #H04E2F).</w:t>
      </w:r>
    </w:p>
    <w:p>
      <w:pPr>
        <w:pStyle w:val="Heading1"/>
      </w:pPr>
      <w:r>
        <w:rPr>
          <w:b w:val="0"/>
          <w:i w:val="0"/>
        </w:rPr>
        <w:t>8</w:t>
      </w:r>
    </w:p>
    <w:p>
      <w:pPr>
        <w:pStyle w:val="Heading1"/>
      </w:pPr>
      <w:r>
        <w:rPr>
          <w:b w:val="0"/>
          <w:i w:val="0"/>
        </w:rPr>
        <w:t>HOW BLOCKCHAIN CAN HELP MARKETERS BUILD BETTER RELATIONSHIPS WITH THEIR CUSTOMERS</w:t>
      </w:r>
    </w:p>
    <w:p>
      <w:r>
        <w:rPr>
          <w:b w:val="0"/>
          <w:i w:val="0"/>
        </w:rPr>
        <w:t>by Campbell R. Harvey, Christine Moorman, and Marc Toledo</w:t>
      </w:r>
    </w:p>
    <w:p>
      <w:r>
        <w:rPr>
          <w:b w:val="0"/>
          <w:i w:val="0"/>
        </w:rPr>
        <w:t>Blockchain has important implications for marketing and advertising. But according to The CMO Survey, only 8% of firms rate the use of blockchain in marketing as moderately or very important.1</w:t>
      </w:r>
    </w:p>
    <w:p>
      <w:r>
        <w:rPr>
          <w:b w:val="0"/>
          <w:i w:val="0"/>
        </w:rPr>
        <w:t>Blockchain technology is not well understood and is subject to a lot of hype. This combination creates a natural barrier to entry and has likely caused marketers to take a wait-and-see approach. However, there are many reasons to invest the time now to understand the technology and begin exploring specific marketing applications for your industry. Like digital platforms, social media, martech, fintech, and numerous other innovations, the spoils of blockchain may go to early adopters who commit to ruthless innovation.</w:t>
      </w:r>
    </w:p>
    <w:p>
      <w:r>
        <w:rPr>
          <w:b w:val="0"/>
          <w:i w:val="0"/>
        </w:rPr>
        <w:t>Blockchain’s properties—transparency, immutability, and security—make it reliable and trustworthy for applications such as supply chain management, smart contracts, financial reporting, the Internet of Things, the management of private (such as medical) information, and even electrical grid management. Meanwhile, its transmission model reduces the costs of transactions, enables verification and efficient exchange of ownership, and opens the door to real-time micropayments. Blockchain may make it possible for payment frictions to shrink, intermediaries to fade away, and consumers to own and control their personal information. In this, we see the disruptive potential of blockchain on marketing.</w:t>
      </w:r>
    </w:p>
    <w:p>
      <w:pPr>
        <w:pStyle w:val="Heading2"/>
      </w:pPr>
      <w:r>
        <w:rPr>
          <w:b w:val="0"/>
          <w:i w:val="0"/>
        </w:rPr>
        <w:t>The Marketing Impact of Near-Zero Transaction Costs</w:t>
      </w:r>
    </w:p>
    <w:p>
      <w:r>
        <w:rPr>
          <w:b w:val="0"/>
          <w:i w:val="0"/>
        </w:rPr>
        <w:t>Today, financial transactions have considerable costs. Retailers routinely pay credit card companies 3% payment-processing fees, while gas stations pay even more. Vendors using eBay and Shopify pay listing and sales fees, and consumers pay transaction fees on payment portals like PayPal. All these fees increase the cost of goods and are typically passed on to consumers. With the pervasive use of credit cards and debit cards, many merchants have set minimum purchases for their use to avoid having their profitability destroyed by fees.</w:t>
      </w:r>
    </w:p>
    <w:p>
      <w:r>
        <w:rPr>
          <w:b w:val="0"/>
          <w:i w:val="0"/>
        </w:rPr>
        <w:t>Blockchain technology allows for near-zero transaction costs—even on microtransactions. Financial corporations like Mastercard and Visa already offer the ability to send money in any local currency over a blockchain rather than by swiping a credit card, taking advantage of the technology’s additional layers of security and transparency. On top of that, being able to cut out intermediaries and directly connect the banks at both ends of each transaction can avoid most cross-border fees.</w:t>
      </w:r>
    </w:p>
    <w:p>
      <w:r>
        <w:rPr>
          <w:b w:val="0"/>
          <w:i w:val="0"/>
        </w:rPr>
        <w:t>There are implications for marketers and advertisers as well. Marketers often try to get access to customer data by paying third parties (like Facebook) to share information. But blockchain could allow merchants to use micropayments to motivate consumers to share personal information—directly, without going through an intermediary. For example, a grocery store chain with a mobile app can pay users $1 for installing the app in their phones, plus an extra $1 if they allow it to enable location tracking. Every time they open the app and spend at least a minute on it, the retailer can pay them a few cents’ or loyalty points’ worth of store credit, up to a maximum per day. During that time, they push deals and special offers to the user. Indeed, user-tailored deals open a legitimate mechanism to deliver personalized prices that are a function of the consumer’s profile. This approach has the potential to reduce the fraud and minimize the inaccurate or incomplete information from customers that currently plague these programs.</w:t>
      </w:r>
    </w:p>
    <w:p>
      <w:r>
        <w:rPr>
          <w:b w:val="0"/>
          <w:i w:val="0"/>
        </w:rPr>
        <w:t xml:space="preserve">In the same way, marketers can enable </w:t>
      </w:r>
      <w:r>
        <w:rPr>
          <w:b w:val="0"/>
          <w:i/>
        </w:rPr>
        <w:t>smart contracts</w:t>
      </w:r>
      <w:r>
        <w:rPr>
          <w:b w:val="0"/>
          <w:i w:val="0"/>
        </w:rPr>
        <w:t xml:space="preserve"> (virtual agreements that remove the need for validation, review, or authentication by intermediaries) that users can activate when they subscribe to email newsletters or sign up for a rewards program. Micropayments are deposited directly to the users’ wallets whenever they interact with commercial emails—or with ads, which brings us to our next point.</w:t>
      </w:r>
    </w:p>
    <w:p>
      <w:pPr>
        <w:pStyle w:val="Heading2"/>
      </w:pPr>
      <w:r>
        <w:rPr>
          <w:b w:val="0"/>
          <w:i w:val="0"/>
        </w:rPr>
        <w:t>Ending the Google-Facebook Advertising Duopoly</w:t>
      </w:r>
    </w:p>
    <w:p>
      <w:r>
        <w:rPr>
          <w:b w:val="0"/>
          <w:i w:val="0"/>
        </w:rPr>
        <w:t>A similar model could be used with website ads by compensating consumers for each page view. In 2016, HubSpot published a research study showing that a majority of internet users dislike most forms of pop-ups and mobile ads and see online advertisement as intrusive and negatively disruptive.2 An increasingly common response is to install ad blockers, a trend that is having a major punitive effect on the industry. It is estimated that ad-blocking adoption will cost publishers $35 billion by 2020.3</w:t>
      </w:r>
    </w:p>
    <w:p>
      <w:r>
        <w:rPr>
          <w:b w:val="0"/>
          <w:i w:val="0"/>
        </w:rPr>
        <w:t>Blockchain-enabled technology potentially allows marketers to recapture some of that revenue with a different type of model: Marketers pay consumers directly for their attention and cut out the Google-Facebook layer.</w:t>
      </w:r>
    </w:p>
    <w:p>
      <w:r>
        <w:rPr>
          <w:b w:val="0"/>
          <w:i w:val="0"/>
        </w:rPr>
        <w:t>We believe that the Google-Facebook duopoly in digital advertising will soon be threatened by blockchain technology. While keyword-based search will not disappear completely, it will become much less prominent. Eventually, individuals could control their own online profiles and social graphs.</w:t>
      </w:r>
    </w:p>
    <w:p>
      <w:r>
        <w:rPr>
          <w:b w:val="0"/>
          <w:i w:val="0"/>
        </w:rPr>
        <w:t>With blockchain technology, companies can bypass today’s social media powerhouses by directly interacting with consumers and can share the reward of ad exposure directly with them. In 2016, Google is reported to have generated an average of $73 per active user via ads.4 Of course, the $73 is just an average over nearly one billion active users. It is reasonable to expect that Google brings in much more than $1,000 for certain highly valued demographics. Imagine the marketing possibilities when companies can efficiently transfer these values to consumers via willingly consumed advertising enabled by blockchain technology.</w:t>
      </w:r>
    </w:p>
    <w:p>
      <w:r>
        <w:rPr>
          <w:b w:val="0"/>
          <w:i w:val="0"/>
        </w:rPr>
        <w:t>Blockchain technology can also verify ad delivery and consumer engagement; avoid ad or email overserving, which angers consumers and demotivates them from buying; and prevent follow-me ads that are no longer relevant (such as when consumers have already made a purchase of the company’s or a competitor’s products).</w:t>
      </w:r>
    </w:p>
    <w:p>
      <w:pPr>
        <w:pStyle w:val="Heading2"/>
      </w:pPr>
      <w:r>
        <w:rPr>
          <w:b w:val="0"/>
          <w:i w:val="0"/>
        </w:rPr>
        <w:t>Ending Marketing Fraud and Spam</w:t>
      </w:r>
    </w:p>
    <w:p>
      <w:r>
        <w:rPr>
          <w:b w:val="0"/>
          <w:i w:val="0"/>
        </w:rPr>
        <w:t>Fraud verification via blockchain will also help verify the origin and methodology of marketers. Micropayments will also effectively destroy the current concept of mass phishing spam, which dilutes the effectiveness of marketing for everyone.</w:t>
      </w:r>
    </w:p>
    <w:p>
      <w:r>
        <w:rPr>
          <w:b w:val="0"/>
          <w:i w:val="0"/>
        </w:rPr>
        <w:t>Some 135 billion spam emails are sent every day, currently accounting for 48% of all emails sent. Spammers receive only one reply for every 12.5 million emails sent. A very small blockchain-enabled payment to the recipient of the email will discourage the spammer by increasing the cost of this activity. It should also help companies identify consumers who are interested in the transaction by their willingness to make this exchange.</w:t>
      </w:r>
    </w:p>
    <w:p>
      <w:r>
        <w:rPr>
          <w:b w:val="0"/>
          <w:i w:val="0"/>
        </w:rPr>
        <w:t>Similarly, for the internet, every time a user clicks on a link, there could be a micropayment. In most cases, the user will make a small micropayment (for example, one cent to read a news article). This would defeat the denial-of-service attacks—a cyberattack in which bots hit a website with millions of requests, which causes the website to go down or to provide poor response time.</w:t>
      </w:r>
    </w:p>
    <w:p>
      <w:r>
        <w:rPr>
          <w:b w:val="0"/>
          <w:i w:val="0"/>
        </w:rPr>
        <w:t>Blockchain could also make it difficult for bots to set up fake social media accounts, flood users with deceptive messages, and steal online advertising dollars from big brands. Online authenticity is baked into the blockchain technology. One company that is tackling the problem of social media fraud is Keybase.io, which enables individuals to use blockchain to demonstrate that they are the rightful owners of their various social media accounts. This will make the impact of marketing easier to track and marketing expenditures easier to justify—both are big wins for the profession.</w:t>
      </w:r>
    </w:p>
    <w:p>
      <w:r>
        <w:rPr>
          <w:b w:val="0"/>
          <w:i w:val="0"/>
        </w:rPr>
        <w:t>As of 2016, $7.6 billion (or 56% of total display ad dollars) were lost to fraudulent or deceptive activity, a number that is expected to grow to $10.9 billion. By using blockchain technology to track their ads, marketing teams can retain control over all their automation practices, ensure that marketing spend is focused on ROI-generating activities, and directly measure the impact of marketing down to a per-user, per-mail metric. By tying user behavior and micropayments together, blockchain could solve the attribution problem that has bedeviled marketers for decades.</w:t>
      </w:r>
    </w:p>
    <w:p>
      <w:pPr>
        <w:pStyle w:val="Heading2"/>
      </w:pPr>
      <w:r>
        <w:rPr>
          <w:b w:val="0"/>
          <w:i w:val="0"/>
        </w:rPr>
        <w:t>Remonetizing Media Consumption</w:t>
      </w:r>
    </w:p>
    <w:p>
      <w:r>
        <w:rPr>
          <w:b w:val="0"/>
          <w:i w:val="0"/>
        </w:rPr>
        <w:t>Blockchain-enabled editorial content will likely allow companies to enhance quality control and copyright protection. For instance, (the reinvented) Kodak has created KODAKOne, which will feature a digital ledger documenting who owns the rights to individual images, allowing photographers to assert control over their work. Currently, the theft of online content is a pervasive problem and creators have little recourse to recoup lost monies other than expensive lawsuits. In the future, they will automatically and easily receive payments for content usage.</w:t>
      </w:r>
    </w:p>
    <w:p>
      <w:r>
        <w:rPr>
          <w:b w:val="0"/>
          <w:i w:val="0"/>
        </w:rPr>
        <w:t>In addition, the average person who creates viral content, such as much-watched videos or social posts, could receive compensation for every click. (Currently, these creators receive little or no money unless their work is shown on online channels with subscribers.)</w:t>
      </w:r>
    </w:p>
    <w:p>
      <w:r>
        <w:rPr>
          <w:b w:val="0"/>
          <w:i w:val="0"/>
        </w:rPr>
        <w:t>In all of these scenarios, content creators are empowered to produce relevant work that is valued proportionally to its success.</w:t>
      </w:r>
    </w:p>
    <w:p>
      <w:r>
        <w:rPr>
          <w:b w:val="0"/>
          <w:i w:val="0"/>
        </w:rPr>
        <w:t>Companies like Coupit are getting ready to maximize the impact of that improved content. Its blockchain-based technology allows marketers to become part of loyalty and affiliate programs for opted-in consumers who can trade rewards with each other. Marketers gain visibility and transparency to differentiate between dormant and loyal customers, thereby expanding their strategies to send targeted offers to each group.</w:t>
      </w:r>
    </w:p>
    <w:p>
      <w:r>
        <w:rPr>
          <w:b w:val="0"/>
          <w:i w:val="0"/>
        </w:rPr>
        <w:t>Even when a data aggregator or analytics intermediary is necessary, micropayments will allow companies to bypass ad blocking. Individuals will control the amount of personal information they share and will be directly rewarded for ad exposure, and many privacy concerns will be legitimately appeased.</w:t>
      </w:r>
    </w:p>
    <w:p>
      <w:r>
        <w:rPr>
          <w:b w:val="0"/>
          <w:i w:val="0"/>
        </w:rPr>
        <w:t>One example of this is Brave, a new web browser created by Brendan Eich, cofounder of the Mozilla project and creator of the JavaScript language. Besides offering new levels of privacy and security, Brave is enabling a blockchain-based system aimed at transforming the relationship between users, advertisers, and content creators. Basic Attention Tokens (BATs) will allow publishers to monetize value-added services and capture some of the growth related to advertising, 73% of which is dominated by Facebook and Google.</w:t>
      </w:r>
    </w:p>
    <w:p>
      <w:pPr>
        <w:pStyle w:val="Heading2"/>
      </w:pPr>
      <w:r>
        <w:rPr>
          <w:b w:val="0"/>
          <w:i w:val="0"/>
        </w:rPr>
        <w:t>Better Results for Companies and for Consumers</w:t>
      </w:r>
    </w:p>
    <w:p>
      <w:r>
        <w:rPr>
          <w:b w:val="0"/>
          <w:i w:val="0"/>
        </w:rPr>
        <w:t>As blockchain goes mainstream, all intermediaries will need to adapt their business models. The decision chain will be structurally altered: Individuals will have more control over how they share personal information and how they spend their time interacting with advertisers. Spam and phishing scams will be stopped by their own nature—the more spammers spam, the more unsustainable they become from an economic standpoint. For companies, this could mean higher levels of control over the quality of inbound traffic for all their marketing efforts, as well as a much-needed improved understanding of customers’ behavior.</w:t>
      </w:r>
    </w:p>
    <w:p>
      <w:r>
        <w:rPr>
          <w:b w:val="0"/>
          <w:i w:val="0"/>
        </w:rPr>
        <w:t>On the other hand, exposure to advertisement will not be imposed without a transactional payment to each affected individual. Consumers will also have an incentive to post an accurate social profile online—detailing what they are interested in—because they will get paid for it. Marketers will be paying consumers directly—not the social media middle layer. When targeting high-value customers, the incentives will be accordingly higher.</w:t>
      </w:r>
    </w:p>
    <w:p>
      <w:r>
        <w:rPr>
          <w:b w:val="0"/>
          <w:i w:val="0"/>
        </w:rPr>
        <w:t>Blockchain technology holds the potential for societies to become more trustworthy and empowered, increasing visibility, connecting parties, and rewarding individuals for their contributions to transactions. Marketing and advertising are fundamentally impacted by these changes. Finding ways to design and implement measures to make blockchain-related transformations should be a priority not only for CMOs but also for all strategic, financial, and technological decision makers. Operationally, companies may be able to build new levels of trust with individuals and ultimately connect their products and services with consumers in a manner and at a scale impossible to achieve without blockchain.</w:t>
      </w:r>
    </w:p>
    <w:p>
      <w:r>
        <w:rPr>
          <w:b w:val="0"/>
          <w:i w:val="0"/>
        </w:rPr>
        <w:t>Marketing and technology leaders have the potential to leverage blockchain to reinvent their customer relationships. Early action on this far-reaching technology will put companies in the best position to benefit from what we think will be widespread adoption.</w:t>
      </w:r>
    </w:p>
    <w:p>
      <w:r>
        <w:rPr>
          <w:b w:val="0"/>
          <w:i w:val="0"/>
        </w:rPr>
        <w:t>TAKEAWAYS</w:t>
      </w:r>
    </w:p>
    <w:p>
      <w:r>
        <w:rPr>
          <w:b w:val="0"/>
          <w:i w:val="0"/>
        </w:rPr>
        <w:t>Blockchain could be a game changer for marketers and their customers because the transparency, immutability, and security it offers may make it possible for payment issues to shrink, intermediaries to become obsolete, and consumers to own and control their personal information.</w:t>
      </w:r>
    </w:p>
    <w:p>
      <w:pPr>
        <w:pStyle w:val="ListBullet"/>
      </w:pPr>
      <w:r>
        <w:rPr>
          <w:b w:val="0"/>
          <w:i w:val="0"/>
        </w:rPr>
        <w:t>Blockchain technology allows near-zero transaction costs. Companies could use micropayments to motivate customers to share personal information directly, without going through a third party, or to pay consumers directly each time they view an internet ad, bypassing social media powerhouses.</w:t>
      </w:r>
    </w:p>
    <w:p>
      <w:pPr>
        <w:pStyle w:val="ListBullet"/>
      </w:pPr>
      <w:r>
        <w:rPr>
          <w:b w:val="0"/>
          <w:i w:val="0"/>
        </w:rPr>
        <w:t>Companies can use blockchain to verify ad delivery and consumer engagement, avoiding ad or email overserving and preventing follow-me ads that aren’t relevant.</w:t>
      </w:r>
    </w:p>
    <w:p>
      <w:pPr>
        <w:pStyle w:val="ListBullet"/>
      </w:pPr>
      <w:r>
        <w:rPr>
          <w:b w:val="0"/>
          <w:i w:val="0"/>
        </w:rPr>
        <w:t>Blockchain can end marketing fraud and spam by collecting micropayments from spammers for every email opened and by making it more difficult for bots to set up fake social media accounts.</w:t>
      </w:r>
    </w:p>
    <w:p>
      <w:pPr>
        <w:pStyle w:val="ListBullet"/>
      </w:pPr>
      <w:r>
        <w:rPr>
          <w:b w:val="0"/>
          <w:i w:val="0"/>
        </w:rPr>
        <w:t>Users can retain better control of their own intellectual property with the enhanced quality control and copyright protection blockchain-enabled editorial content offers.</w:t>
      </w:r>
    </w:p>
    <w:p>
      <w:pPr>
        <w:pStyle w:val="Heading3"/>
      </w:pPr>
      <w:r>
        <w:rPr>
          <w:b w:val="0"/>
          <w:i w:val="0"/>
        </w:rPr>
        <w:t>NOTES</w:t>
      </w:r>
    </w:p>
    <w:p>
      <w:pPr>
        <w:pStyle w:val="ListNumber"/>
      </w:pPr>
      <w:r>
        <w:rPr>
          <w:b w:val="0"/>
          <w:i w:val="0"/>
        </w:rPr>
        <w:t>1. The CMO Survey, “Results,” February 2018, https://cmosurvey.org/results/february-2018/.</w:t>
      </w:r>
    </w:p>
    <w:p>
      <w:pPr>
        <w:pStyle w:val="ListNumber"/>
      </w:pPr>
      <w:r>
        <w:rPr>
          <w:b w:val="0"/>
          <w:i w:val="0"/>
        </w:rPr>
        <w:t xml:space="preserve">2. Mimi An, “Why People Block Ads (and What It Means for Marketers and Advertisers),” </w:t>
      </w:r>
      <w:r>
        <w:rPr>
          <w:b w:val="0"/>
          <w:i/>
        </w:rPr>
        <w:t>Hubspot</w:t>
      </w:r>
      <w:r>
        <w:rPr>
          <w:b w:val="0"/>
          <w:i w:val="0"/>
        </w:rPr>
        <w:t>, July 13, 2016, https://blog.hubspot.com/marketing/why-people-block-ads-and-what-it-means-for-marketers-and-advertisers.</w:t>
      </w:r>
    </w:p>
    <w:p>
      <w:pPr>
        <w:pStyle w:val="ListNumber"/>
      </w:pPr>
      <w:r>
        <w:rPr>
          <w:b w:val="0"/>
          <w:i w:val="0"/>
        </w:rPr>
        <w:t xml:space="preserve">3. Jessica Davies, “Uh-Oh: Ad Blocking Forecast to Cost $35 Billion by 2020,” </w:t>
      </w:r>
      <w:r>
        <w:rPr>
          <w:b w:val="0"/>
          <w:i/>
        </w:rPr>
        <w:t>Digiday</w:t>
      </w:r>
      <w:r>
        <w:rPr>
          <w:b w:val="0"/>
          <w:i w:val="0"/>
        </w:rPr>
        <w:t>, June 7, 2016, https://digiday.com/uk/uh-oh-ad-blocking-forecast-cost-35-billion-2020/.</w:t>
      </w:r>
    </w:p>
    <w:p>
      <w:pPr>
        <w:pStyle w:val="ListNumber"/>
      </w:pPr>
      <w:r>
        <w:rPr>
          <w:b w:val="0"/>
          <w:i w:val="0"/>
        </w:rPr>
        <w:t>4. “Google’s Average Revenue per Monthly Active User from 1st Quarter 2015 to 4th Quarter 2016 (in U.S. Dollars),” Statista, May 24, 2017, https://www.statista.com/statistics/306570/google-annualized-advertising-arpu/.</w:t>
      </w:r>
    </w:p>
    <w:p>
      <w:r>
        <w:rPr>
          <w:b w:val="0"/>
          <w:i/>
        </w:rPr>
        <w:t>Adapted from content posted on hbr.org, October 1, 2018 (product #H04K0R).</w:t>
      </w:r>
    </w:p>
    <w:p>
      <w:pPr>
        <w:pStyle w:val="Heading1"/>
      </w:pPr>
      <w:r>
        <w:rPr>
          <w:b w:val="0"/>
          <w:i w:val="0"/>
        </w:rPr>
        <w:t>9</w:t>
      </w:r>
    </w:p>
    <w:p>
      <w:pPr>
        <w:pStyle w:val="Heading1"/>
      </w:pPr>
      <w:r>
        <w:rPr>
          <w:b w:val="0"/>
          <w:i w:val="0"/>
        </w:rPr>
        <w:t>THE DANGERS OF DIGITAL PROTECTIONISM</w:t>
      </w:r>
    </w:p>
    <w:p>
      <w:r>
        <w:rPr>
          <w:b w:val="0"/>
          <w:i w:val="0"/>
        </w:rPr>
        <w:t>by Ziyang Fan and Anil Gupta</w:t>
      </w:r>
    </w:p>
    <w:p>
      <w:r>
        <w:rPr>
          <w:b w:val="0"/>
          <w:i w:val="0"/>
        </w:rPr>
        <w:t>Many governments are rethinking their policies regarding cross-border data flows. Although cross-border data flows grew by a factor of 45 between 2005 and 2014, according to a McKinsey analysis, events since 2014 have pushed the pendulum to swing away from unconstrained data globalization.</w:t>
      </w:r>
    </w:p>
    <w:p>
      <w:r>
        <w:rPr>
          <w:b w:val="0"/>
          <w:i w:val="0"/>
        </w:rPr>
        <w:t>Some policy makers are concerned about individual privacy rights, consumer rights regarding the ownership of data, domestic law enforcement, and cybersecurity. Others are driven by the desire to control or censor online media. Still others hope to create market barriers for global companies—a form of digital protectionism.</w:t>
      </w:r>
    </w:p>
    <w:p>
      <w:r>
        <w:rPr>
          <w:b w:val="0"/>
          <w:i w:val="0"/>
        </w:rPr>
        <w:t>Our view is that too much regulation will create, in effect, data islands, trapping citizens and consumers on those islands and preventing them from enjoying the many benefits of tighter links to the global digital economy. These include access to digital goods and services, being part of global supply chains, accelerating and partaking in the fruits of innovation, and helping citizens access information, entertainment, and connectivity on a worldwide basis.</w:t>
      </w:r>
    </w:p>
    <w:p>
      <w:pPr>
        <w:pStyle w:val="Heading2"/>
      </w:pPr>
      <w:r>
        <w:rPr>
          <w:b w:val="0"/>
          <w:i w:val="0"/>
        </w:rPr>
        <w:t>Data Is Deglobalizing</w:t>
      </w:r>
    </w:p>
    <w:p>
      <w:r>
        <w:rPr>
          <w:b w:val="0"/>
          <w:i w:val="0"/>
        </w:rPr>
        <w:t>Many governments have started to question the merits of the unrestricted approach favored by the United States. Some, such as China and Russia, restrict the transfer of most types of data. For example, China’s Cybersecurity Law, in effect since last year, requires personal information and other important data to be stored within China.</w:t>
      </w:r>
    </w:p>
    <w:p>
      <w:r>
        <w:rPr>
          <w:b w:val="0"/>
          <w:i w:val="0"/>
        </w:rPr>
        <w:t>While China’s approach remains controversial even in China, other governments too are imposing various barriers to cross-border data flows. The most prominent of these is the European Union General Data Protection Regulation (GDPR), which took effect May 25, 2018. Aimed at strengthening EU residents’ ability to protect their personal information, GDPR permits data transfers only to countries deemed as providing adequate data protection. Exceptions are permitted under certain conditions, such as in the context of binding and enforceable corporate rules.</w:t>
      </w:r>
    </w:p>
    <w:p>
      <w:r>
        <w:rPr>
          <w:b w:val="0"/>
          <w:i w:val="0"/>
        </w:rPr>
        <w:t>In India, where the number of digital payments is growing by more than 30% annually, the central bank has ruled that digital payment enablers must ensure that all payment data is stored only on servers within India. Further, inspired by GPDR, a government task force submitted a draft of a broader personal data protection bill. While proposing that a copy of most types of personal data be kept on servers within India, the bill leaves it up to the government to decide which data cannot be transferred out of India at all. The draft bill has generated much debate, including some concern from global technology giants as well as Nasscom, India’s IT industry body.</w:t>
      </w:r>
    </w:p>
    <w:p>
      <w:pPr>
        <w:pStyle w:val="Heading2"/>
      </w:pPr>
      <w:r>
        <w:rPr>
          <w:b w:val="0"/>
          <w:i w:val="0"/>
        </w:rPr>
        <w:t>What Policy Makers Should Consider</w:t>
      </w:r>
    </w:p>
    <w:p>
      <w:r>
        <w:rPr>
          <w:b w:val="0"/>
          <w:i w:val="0"/>
        </w:rPr>
        <w:t>Instead of either extreme—data islands or unfettered data globalization—policy makers should aim for more nuanced solutions. These solutions lie at the intersection of technology development by companies and policy formulation by governments.</w:t>
      </w:r>
    </w:p>
    <w:p>
      <w:r>
        <w:rPr>
          <w:b w:val="0"/>
          <w:i w:val="0"/>
        </w:rPr>
        <w:t>First, policy makers need to adopt a risk-based approach. The flows of extremely sensitive data may need to be strictly controlled. Such data would include most types of personal information including gender, sexual orientation, health record, political orientation, and the like, in which specific bits of data are or can be connected to personal identifying information. For such data, the risks of cross-border sharing far exceed any likely benefits. At the other extreme, cross-border flows of certain types of private or public data, such as well production for a global oil producer or anonymous aggregated statistics, may be better left unfettered. For such data, the benefits of cross-border sharing far exceed any likely risks.</w:t>
      </w:r>
    </w:p>
    <w:p>
      <w:r>
        <w:rPr>
          <w:b w:val="0"/>
          <w:i w:val="0"/>
        </w:rPr>
        <w:t>Second, a federated ecosystem model may be viable in those cases in which, though the data is highly sensitive, the benefits of data sharing are strong. The Beacon Project, spearheaded by the Global Alliance for Genomics and Health, illustrates how a federated model could work: Data sets remain protected within national boundaries, but depending on the level of access granted to an organization, they can be queried individually or in aggregate through the Beacon Network. The World Economic Forum is spearheading Breaking Barriers for Health Data, a project that deploys federated database queries for transferring and processing health care data.</w:t>
      </w:r>
    </w:p>
    <w:p>
      <w:r>
        <w:rPr>
          <w:b w:val="0"/>
          <w:i w:val="0"/>
        </w:rPr>
        <w:t>Third, in some contexts, a multinational company may be permitted to aggregate global data in a secure manner with the condition that a mirror image of the data pertaining to a country’s residents be stored locally. India’s finance ministry has proposed this approach to the central bank. The ministry’s argument is that, unlike strict data localization, a mirroring approach would achieve both goals better—enabling the central bank to access payment data while also enabling Indians to benefit from integration with the global fintech sector.</w:t>
      </w:r>
    </w:p>
    <w:p>
      <w:r>
        <w:rPr>
          <w:b w:val="0"/>
          <w:i w:val="0"/>
        </w:rPr>
        <w:t>Fourth, largely unfettered data flows should be part of regional trade agreements. The Comprehensive and Progressive Agreement for Trans-Pacific Partnership (the former Trans-Pacific Partnership minus the United States) includes explicit and binding language for cross-border data flows. The ongoing NAFTA negotiations also include provisions for the free flow of data. The European Union too is working on new provisions to be incorporated into all future trade pacts, aimed at striking a balance between the right to data protection and free digital trade.</w:t>
      </w:r>
    </w:p>
    <w:p>
      <w:r>
        <w:rPr>
          <w:b w:val="0"/>
          <w:i w:val="0"/>
        </w:rPr>
        <w:t>Fifth, in contexts in which digital trade agreements do not exist and are unlikely in the foreseeable future, develop nonbinding norms and principles, leaving implementation to national governments. Global accounting standards have evolved through such a process. International Financial Reporting Standards (IFRS), a principle-based standard, are followed by over 100 countries. In contrast, the United States follows Generally Accepted Accounting Principles (GAAP), a rule-based standard. Slowly but steadily, the two sets of standards are converging. A similar bottom-up approach could play a role in the governance of cross-border data flows.</w:t>
      </w:r>
    </w:p>
    <w:p>
      <w:r>
        <w:rPr>
          <w:b w:val="0"/>
          <w:i w:val="0"/>
        </w:rPr>
        <w:t>The Asia-Pacific Economic Cooperation (APEC) region, comprising 27 countries, including the United States, illustrates the potential for a bottom-up approach. APEC developed the Cross-Border Privacy Rules system, a principle-based framework for greater privacy protection as well as greater data flows.</w:t>
      </w:r>
    </w:p>
    <w:p>
      <w:r>
        <w:rPr>
          <w:b w:val="0"/>
          <w:i w:val="0"/>
        </w:rPr>
        <w:t>Finally, as blockchain technology becomes more widely implemented, it could underpin some types of cross-border data flows. Blockchain ensures security, is tamper-proof, and enables the tracking of every transaction. Companies are rapidly adopting blockchain technology for the storage and sharing of global supply chain data. For example, some have started developing blockchain-based registries of every certified diamond in the world, enabling the complete tracing of a stone’s movement from the mine to the consumer. Because blockchain relies on a distributed ledger system that is immutable and permanent, regulations to protect personal data will become essential when developing such solutions.</w:t>
      </w:r>
    </w:p>
    <w:p>
      <w:r>
        <w:rPr>
          <w:b w:val="0"/>
          <w:i w:val="0"/>
        </w:rPr>
        <w:t>As every business becomes a data business, the future of globalization rests increasingly on cross-border flows of data rather than goods. Given the large and growing benefits of digital globalization, this is a welcome development. Yet valid concerns about risks to individual privacy and national security cannot be dismissed. Instead of an all-or-nothing approach, more nuanced solutions are likely to be the optimal ones.</w:t>
      </w:r>
    </w:p>
    <w:p>
      <w:r>
        <w:rPr>
          <w:b w:val="0"/>
          <w:i w:val="0"/>
        </w:rPr>
        <w:t>TAKEAWAYS</w:t>
      </w:r>
    </w:p>
    <w:p>
      <w:r>
        <w:rPr>
          <w:b w:val="0"/>
          <w:i w:val="0"/>
        </w:rPr>
        <w:t>Several governments have begun to question the unrestricted cross-border flow of data, but too many regulations could create data islands, trapping consumers on safe islands but cutting them off from the benefits of tighter links to the global digital economy such as access to digital goods and services. Policy makers should aim for more nuanced solutions to avoid the extremes of unfettered data or data islands.</w:t>
      </w:r>
    </w:p>
    <w:p>
      <w:pPr>
        <w:pStyle w:val="ListBullet"/>
      </w:pPr>
      <w:r>
        <w:rPr>
          <w:b w:val="0"/>
          <w:i w:val="0"/>
        </w:rPr>
        <w:t>Policy makers should adopt a risk-based approach that controls the flow of extremely sensitive data, such as most types of personal information. For this data, the risks of cross-border sharing far exceed any likely benefits.</w:t>
      </w:r>
    </w:p>
    <w:p>
      <w:pPr>
        <w:pStyle w:val="ListBullet"/>
      </w:pPr>
      <w:r>
        <w:rPr>
          <w:b w:val="0"/>
          <w:i w:val="0"/>
        </w:rPr>
        <w:t>For data that is highly sensitive but the benefits of sharing are strong, policy makers could create a federated model in which data sets remain protected within national boundaries but could be queried depending on the level of access granted to an organization.</w:t>
      </w:r>
    </w:p>
    <w:p>
      <w:pPr>
        <w:pStyle w:val="ListBullet"/>
      </w:pPr>
      <w:r>
        <w:rPr>
          <w:b w:val="0"/>
          <w:i w:val="0"/>
        </w:rPr>
        <w:t>Policy makers should make largely unfettered data flows part of regional trade agreements. For contexts in which digital trade agreements don’t exist and aren’t likely in the foreseeable future, policy makers should develop nonbinding norms and principles and leave implementation to national governments.</w:t>
      </w:r>
    </w:p>
    <w:p>
      <w:pPr>
        <w:pStyle w:val="ListBullet"/>
      </w:pPr>
      <w:r>
        <w:rPr>
          <w:b w:val="0"/>
          <w:i w:val="0"/>
        </w:rPr>
        <w:t>As blockchain becomes more widely implemented, policy makers should see where that technology replaces the need for cross-border data flow restrictions.</w:t>
      </w:r>
    </w:p>
    <w:p>
      <w:r>
        <w:rPr>
          <w:b w:val="0"/>
          <w:i/>
        </w:rPr>
        <w:t>Authors’ note: The views and opinions expressed in this article are those of the authors alone and not those of the World Economic Forum or the University of Maryland at College Park.</w:t>
      </w:r>
    </w:p>
    <w:p>
      <w:r>
        <w:rPr>
          <w:b w:val="0"/>
          <w:i/>
        </w:rPr>
        <w:t>Adapted from content posted on hbr.org, August 30, 2018 (product #H04IRY).</w:t>
      </w:r>
    </w:p>
    <w:p>
      <w:pPr>
        <w:pStyle w:val="Heading1"/>
      </w:pPr>
      <w:r>
        <w:rPr>
          <w:b w:val="0"/>
          <w:i w:val="0"/>
        </w:rPr>
        <w:t>10</w:t>
      </w:r>
    </w:p>
    <w:p>
      <w:pPr>
        <w:pStyle w:val="Heading1"/>
      </w:pPr>
      <w:r>
        <w:rPr>
          <w:b w:val="0"/>
          <w:i w:val="0"/>
        </w:rPr>
        <w:t>WHY COMPANIES ARE FORMING CYBERSECURITY ALLIANCES</w:t>
      </w:r>
    </w:p>
    <w:p>
      <w:r>
        <w:rPr>
          <w:b w:val="0"/>
          <w:i w:val="0"/>
        </w:rPr>
        <w:t>by Daniel Dobrygowski</w:t>
      </w:r>
    </w:p>
    <w:p>
      <w:r>
        <w:rPr>
          <w:b w:val="0"/>
          <w:i w:val="0"/>
        </w:rPr>
        <w:t>In the physical world, governments are responsible for keeping citizens and corporations safe from enemies. The digital world, so far, has been a little different. When it comes to cybersecurity and cyberattacks, most governments have spent much more time increasing their offensive capabilities than protecting companies and individuals.</w:t>
      </w:r>
    </w:p>
    <w:p>
      <w:r>
        <w:rPr>
          <w:b w:val="0"/>
          <w:i w:val="0"/>
        </w:rPr>
        <w:t>The reason for this is that, until recently, national security officials viewed digital networks as fairly benign and cyberattackers as unlikely threats to safety—or to a country’s sovereignty. However, the advent of cyber-physical systems and the Internet of Things, along with the increasing sophistication of bad actors, has made cyberattacks issues of human safety. But companies have largely been left to fend for themselves.</w:t>
      </w:r>
    </w:p>
    <w:p>
      <w:r>
        <w:rPr>
          <w:b w:val="0"/>
          <w:i w:val="0"/>
        </w:rPr>
        <w:t xml:space="preserve">That’s why, over the last few years, tech-focused companies have begun entering into cybersecurity alliances and pacts with one another. These alliances are a symptom of the breakdown of trust between policy makers and those they’re making polices for. Hundreds of companies—some of them, such as Airbus, Cisco, HP, Microsoft, Siemens, and Telefonica, among the largest in the world—have tried to step into this trust gap by forming groups around goals related to the future of the internet and digital networks. Some of these groups (those I call the </w:t>
      </w:r>
      <w:r>
        <w:rPr>
          <w:b w:val="0"/>
          <w:i/>
        </w:rPr>
        <w:t>operational alliances</w:t>
      </w:r>
      <w:r>
        <w:rPr>
          <w:b w:val="0"/>
          <w:i w:val="0"/>
        </w:rPr>
        <w:t xml:space="preserve">) are mainly practical, sharing intelligence or technical data. Others (the </w:t>
      </w:r>
      <w:r>
        <w:rPr>
          <w:b w:val="0"/>
          <w:i/>
        </w:rPr>
        <w:t>normative alliances</w:t>
      </w:r>
      <w:r>
        <w:rPr>
          <w:b w:val="0"/>
          <w:i w:val="0"/>
        </w:rPr>
        <w:t>) are explicitly aimed at changing the ways companies deal with cybersecurity vulnerabilities and renegotiating the social contract between states and their citizens.</w:t>
      </w:r>
    </w:p>
    <w:p>
      <w:r>
        <w:rPr>
          <w:b w:val="0"/>
          <w:i w:val="0"/>
        </w:rPr>
        <w:t>The operational alliances are built around small groups of companies. Their exchanges of information about cyberattacks and threats try to raise the collective level of cybersecurity, shape overall security practices, and speed the adoption of security technologies. Groups such as the Cyber Threat Alliance, the Global Cyber Alliance, and the Trusted Computing Group (to name a few) represent the range of such alliances.</w:t>
      </w:r>
    </w:p>
    <w:p>
      <w:r>
        <w:rPr>
          <w:b w:val="0"/>
          <w:i w:val="0"/>
        </w:rPr>
        <w:t>For companies with IT or security departments capable of sorting through and acting on cybersecurity data, it often makes sense to become part of a network that can keep a CISO or IT team apprised of looming threats and best practices for mitigating them. The nature of digital networks is that everyone has to share the risks; these alliances help leaders share solutions, too.</w:t>
      </w:r>
    </w:p>
    <w:p>
      <w:r>
        <w:rPr>
          <w:b w:val="0"/>
          <w:i w:val="0"/>
        </w:rPr>
        <w:t>The normative alliances, by contrast, make explicit calls for digital peace, government support for companies under attack, and cooperation to limit the use of private systems and networks against citizens (especially by a nation-state). They try to uphold values like trust and accountability in cybersecurity and to spur collective action in favor of peace and nonaggression—much as agreements between countries do.</w:t>
      </w:r>
    </w:p>
    <w:p>
      <w:r>
        <w:rPr>
          <w:b w:val="0"/>
          <w:i w:val="0"/>
        </w:rPr>
        <w:t>Even so, these alliances vary in how much they presume to dictate corporate or even state behavior. The Charter of Trust, initiated by Siemens in 2018, favors self-regulation on the part of its corporate signatories that, over time, would establish expectations and norms that might apply to nations as well. The Cybersecurity Tech Accord, pioneered by Microsoft and other leading technology companies, aims to build “a safer online world by fostering collaboration among global technology companies”; its members pledge to oppose efforts by nations to attack citizens and enterprises.</w:t>
      </w:r>
    </w:p>
    <w:p>
      <w:r>
        <w:rPr>
          <w:b w:val="0"/>
          <w:i w:val="0"/>
        </w:rPr>
        <w:t>These alliances are ultimately focused on the wider world rather than on individual companies and industries. The companies involved reason that working together gives them the ability to create the kind of safe, peaceful digital environment they need to innovate and protect their customers.</w:t>
      </w:r>
    </w:p>
    <w:p>
      <w:r>
        <w:rPr>
          <w:b w:val="0"/>
          <w:i w:val="0"/>
        </w:rPr>
        <w:t>Yet while virtually every company supports peace, it may not make sense for every company to join one of these alliances. The charters and accords have the potential to put their signatories at odds with at least one national government, if not more. For those companies that operate the infrastructure of the internet, this dynamic already exists. The largest platform companies (like Google, Apple, Microsoft, and Facebook) increasingly find themselves in conflict with one or more major powers on policy or regulatory issues and the targets of sophisticated attacks. It is only by banding together and pushing for peace and security that they will be able to survive the seemingly lawless cyber environment. Companies that similarly will be targets of attacks (or that have customers who are) could see significant positive outcomes by joining these alliances, regardless of whether they confront their attackers.</w:t>
      </w:r>
    </w:p>
    <w:p>
      <w:r>
        <w:rPr>
          <w:b w:val="0"/>
          <w:i w:val="0"/>
        </w:rPr>
        <w:t>Of course, not every company is so systemically important that it needs to take a position on the geopolitics of cybersecurity. Ultimately, it comes down to risk tolerance and capacity. It may be better for these companies to protect themselves as best they can through better cyber hygiene or by joining the operational and information-sharing alliances. These companies may prefer to sit on the sidelines for now, let other companies push the global conversation forward, and benefit from the increases in global security and trust that the alliances are starting to foster.</w:t>
      </w:r>
    </w:p>
    <w:p>
      <w:r>
        <w:rPr>
          <w:b w:val="0"/>
          <w:i w:val="0"/>
        </w:rPr>
        <w:t>There is evidence that such efforts have indeed begun to move the conversation forward for companies and nations. For example, President Emmanuel Macron of France launched the Paris Call for Trust and Security in Cyberspace, a symbolic declaration to improve cybersecurity practices and international standards for the internet. Sixty-seven countries, including the entire European Union, have joined the pledge, along with 358 companies and 139 international and civil society organizations. (The list of signatories includes the World Economic Forum, where I am employed.) At the very least, the call represents an opening for companies and governments that care about security on a global scale to cooperate with a new set of allies.</w:t>
      </w:r>
    </w:p>
    <w:p>
      <w:r>
        <w:rPr>
          <w:b w:val="0"/>
          <w:i w:val="0"/>
        </w:rPr>
        <w:t>That’s not to say cooperation will be easy, or perfect, in the short term. Currently, the most powerful nations are signaling an aversion to cooperation on many fronts, not just in tech. Among the signatories to the Paris call, for example, three countries are noticeably absent: the United States, China, and Russia. Although the United States generally supports multistakeholder internet governance, China and Russia have opted for a more isolationist and state-controlled approach. Russia, in fact, has announced plans to develop the capacity to entirely shut itself off from the global internet, similar to the Great Firewall of China.</w:t>
      </w:r>
    </w:p>
    <w:p>
      <w:r>
        <w:rPr>
          <w:b w:val="0"/>
          <w:i w:val="0"/>
        </w:rPr>
        <w:t>And even in spaces that are meant to foster cooperation among nations, there doesn’t seem to be any patience for it. Given the past and continued shortcomings of state-only efforts to create cyber norms, one would think the benefits of working together are obvious. Instead, there are now two competing cybersecurity-norm efforts at the United Nations (UN): a Russia-sponsored Open-Ended Working Group, which includes China and is open to all interested UN members, and a U.S.-sponsored Group of Governmental Experts, which includes the European Union, Canada, Japan, and Australia.</w:t>
      </w:r>
    </w:p>
    <w:p>
      <w:r>
        <w:rPr>
          <w:b w:val="0"/>
          <w:i w:val="0"/>
        </w:rPr>
        <w:t>Isolation is bound to be self-defeating since digital technologies derive most of their value from wider connectivity. In the worst case, digital isolationism fosters the logic of an arms race, in which state-directed hackers, hiding behind national firewalls, attack companies and governments seemingly with impunity. But no firewall is perfect, and such thinking will inevitably lead to conflict or a digital cold war. At the very least, isolation threatens to derail the benefits we’ve achieved through wider use of the global internet. Companies and individuals, the ones likely to bear the costs of conflict, should therefore continue to work together where they can. Cooperative efforts will keep up the pressure on governments to recognize that they are not the only actors who matter in the digital world.</w:t>
      </w:r>
    </w:p>
    <w:p>
      <w:r>
        <w:rPr>
          <w:b w:val="0"/>
          <w:i w:val="0"/>
        </w:rPr>
        <w:t>Only cooperation can avoid a new age of global isolationism and digital conflict. The World Economic Forum’s Centre for Cybersecurity is working to support new global architectures for security that recognize the reality of the digital world. In this reality, nations are just as important as they’ve ever been; they continue to be the ultimate protectors of their citizens. But civil society and companies are also important as the drivers of human rights and economic prosperity. What’s needed now is cooperation on a larger scale, broader sets of allies working together to build trust and share responsibility, to protect the increasing numbers of citizens who rely on digital networks to survive and thrive.</w:t>
      </w:r>
    </w:p>
    <w:p>
      <w:r>
        <w:rPr>
          <w:b w:val="0"/>
          <w:i w:val="0"/>
        </w:rPr>
        <w:t>TAKEAWAYS</w:t>
      </w:r>
    </w:p>
    <w:p>
      <w:r>
        <w:rPr>
          <w:b w:val="0"/>
          <w:i w:val="0"/>
        </w:rPr>
        <w:t>The advent of cyber-physical systems and the Internet of Things, along with the increasing sophistication of bad actors, has made cyberattacks issues of human safety. Companies, left to fend for themselves by governments, have begun entering into cybersecurity alliances and pacts formed around goals related to the future of the internet and digital networks.</w:t>
      </w:r>
    </w:p>
    <w:p>
      <w:pPr>
        <w:pStyle w:val="ListBullet"/>
      </w:pPr>
      <w:r>
        <w:rPr>
          <w:b w:val="0"/>
          <w:i/>
        </w:rPr>
        <w:t>Operational</w:t>
      </w:r>
      <w:r>
        <w:rPr>
          <w:b w:val="0"/>
          <w:i w:val="0"/>
        </w:rPr>
        <w:t xml:space="preserve"> alliances are built around small groups of companies exchanging tactical and intelligence information, while </w:t>
      </w:r>
      <w:r>
        <w:rPr>
          <w:b w:val="0"/>
          <w:i/>
        </w:rPr>
        <w:t>normative</w:t>
      </w:r>
      <w:r>
        <w:rPr>
          <w:b w:val="0"/>
          <w:i w:val="0"/>
        </w:rPr>
        <w:t xml:space="preserve"> alliances make explicit calls for digital peace, support, and cooperation.</w:t>
      </w:r>
    </w:p>
    <w:p>
      <w:pPr>
        <w:pStyle w:val="ListBullet"/>
      </w:pPr>
      <w:r>
        <w:rPr>
          <w:b w:val="0"/>
          <w:i w:val="0"/>
        </w:rPr>
        <w:t>Alliances are focused on the wider world, rather than individual companies and industries, and work together to create the kind of safe, peaceful digital environment they need to innovate and protect their customers.</w:t>
      </w:r>
    </w:p>
    <w:p>
      <w:pPr>
        <w:pStyle w:val="ListBullet"/>
      </w:pPr>
      <w:r>
        <w:rPr>
          <w:b w:val="0"/>
          <w:i w:val="0"/>
        </w:rPr>
        <w:t>Deciding whether to join comes down to your company’s tolerance and capacity for risk—you may be able to protect yourself through better cyber hygiene or by joining operational and information-sharing alliances.</w:t>
      </w:r>
    </w:p>
    <w:p>
      <w:r>
        <w:rPr>
          <w:b w:val="0"/>
          <w:i/>
        </w:rPr>
        <w:t>Adapted from content posted on hbr.org, September 11, 2019 (product #H055CF).</w:t>
      </w:r>
    </w:p>
    <w:p>
      <w:pPr>
        <w:pStyle w:val="Heading1"/>
      </w:pPr>
      <w:r>
        <w:rPr>
          <w:b w:val="0"/>
          <w:i w:val="0"/>
        </w:rPr>
        <w:t>About the Contributors</w:t>
      </w:r>
    </w:p>
    <w:p>
      <w:r>
        <w:rPr>
          <w:b w:val="0"/>
          <w:i w:val="0"/>
        </w:rPr>
        <w:t>ABHISHEK BORAH is an assistant professor of marketing at INSEAD, with expertise in generating customer insights from unstructured data, computational linguistics, and how firms can manage brand crises such as product recalls and data breaches. He is a Marketing Science Institute (MSI) Young Scholar and has published in premier academic journals in marketing and strategy.</w:t>
      </w:r>
    </w:p>
    <w:p>
      <w:r>
        <w:rPr>
          <w:b w:val="0"/>
          <w:i w:val="0"/>
        </w:rPr>
        <w:t>ANDREW BURT is chief privacy officer and legal engineer at Immuta.</w:t>
      </w:r>
    </w:p>
    <w:p>
      <w:r>
        <w:rPr>
          <w:b w:val="0"/>
          <w:i w:val="0"/>
        </w:rPr>
        <w:t>KEVIN COCHRANE is chief marketing officer of SAP Customer Experience.</w:t>
      </w:r>
    </w:p>
    <w:p>
      <w:r>
        <w:rPr>
          <w:b w:val="0"/>
          <w:i w:val="0"/>
        </w:rPr>
        <w:t>DANIEL DOBRYGOWSKI is head of governance and policy for the World Economic Forum Centre for Cybersecurity, where he advises on strategy, law, and policy around cybersecurity issues. His research areas include privacy, election security, intellectual property, competition law, digital trust, and governance of new and emerging technologies.</w:t>
      </w:r>
    </w:p>
    <w:p>
      <w:r>
        <w:rPr>
          <w:b w:val="0"/>
          <w:i w:val="0"/>
        </w:rPr>
        <w:t>ZIYANG FAN is a lawyer and head of digital trade at the World Economic Forum. Formerly, he was senior legal counsel at Airbnb and assistant general counsel at the U.S. Trade and Development Agency.</w:t>
      </w:r>
    </w:p>
    <w:p>
      <w:r>
        <w:rPr>
          <w:b w:val="0"/>
          <w:i w:val="0"/>
        </w:rPr>
        <w:t xml:space="preserve">ANIL GUPTA is the Michael Dingman Chair in Strategy, Globalization, and Entrepreneurship at the University of Maryland’s Smith School of Business, cofounder of the China India Institute, and coauthor of </w:t>
      </w:r>
      <w:r>
        <w:rPr>
          <w:b w:val="0"/>
          <w:i/>
        </w:rPr>
        <w:t>Getting China and India Right</w:t>
      </w:r>
      <w:r>
        <w:rPr>
          <w:b w:val="0"/>
          <w:i w:val="0"/>
        </w:rPr>
        <w:t>.</w:t>
      </w:r>
    </w:p>
    <w:p>
      <w:r>
        <w:rPr>
          <w:b w:val="0"/>
          <w:i w:val="0"/>
        </w:rPr>
        <w:t>CAMPBELL R. HARVEY is professor of finance and the J. Paul Sticht Professor of International Business at the Fuqua School of Business, Duke University. He served as the 2016 president of the American Finance Association. He is investment strategy adviser to Man Group PLC and partner and senior adviser to Research Affiliates LLC. Over the last five years, he has taught the blockchain course Innovation and Cryptoventures at Duke University.</w:t>
      </w:r>
    </w:p>
    <w:p>
      <w:r>
        <w:rPr>
          <w:b w:val="0"/>
          <w:i w:val="0"/>
        </w:rPr>
        <w:t>LESLIE K. JOHN is a Marvin Bower Associate Professor of Business Administration at Harvard Business School.</w:t>
      </w:r>
    </w:p>
    <w:p>
      <w:r>
        <w:rPr>
          <w:b w:val="0"/>
          <w:i w:val="0"/>
        </w:rPr>
        <w:t xml:space="preserve">KELLY D. MARTIN is professor of marketing and Dean’s Distinguished Research Fellow at Colorado State University. She is incoming co-editor in chief of the </w:t>
      </w:r>
      <w:r>
        <w:rPr>
          <w:b w:val="0"/>
          <w:i/>
        </w:rPr>
        <w:t>Journal of Public Policy &amp; Marketing</w:t>
      </w:r>
      <w:r>
        <w:rPr>
          <w:b w:val="0"/>
          <w:i w:val="0"/>
        </w:rPr>
        <w:t xml:space="preserve"> and co-director of the Center for Marketing and Social Impact at Colorado State University. She has published research on data privacy and ethics in academic journals and in the book </w:t>
      </w:r>
      <w:r>
        <w:rPr>
          <w:b w:val="0"/>
          <w:i/>
        </w:rPr>
        <w:t>The Intelligent Marketer’s Guide to Data Privacy</w:t>
      </w:r>
      <w:r>
        <w:rPr>
          <w:b w:val="0"/>
          <w:i w:val="0"/>
        </w:rPr>
        <w:t>.</w:t>
      </w:r>
    </w:p>
    <w:p>
      <w:r>
        <w:rPr>
          <w:b w:val="0"/>
          <w:i w:val="0"/>
        </w:rPr>
        <w:t xml:space="preserve">CHRISTINE MOORMAN is the T. Austin Finch Senior Professor of Business Administration at the Fuqua School of Business, Duke University, editor in chief of </w:t>
      </w:r>
      <w:r>
        <w:rPr>
          <w:b w:val="0"/>
          <w:i/>
        </w:rPr>
        <w:t>Journal of Marketing</w:t>
      </w:r>
      <w:r>
        <w:rPr>
          <w:b w:val="0"/>
          <w:i w:val="0"/>
        </w:rPr>
        <w:t>, and director of the CMO Survey.</w:t>
      </w:r>
    </w:p>
    <w:p>
      <w:r>
        <w:rPr>
          <w:b w:val="0"/>
          <w:i w:val="0"/>
        </w:rPr>
        <w:t>TIMOTHY MOREY is vice president of strategy at frog, a global design and strategy firm. He leads a team of strategy practitioners who work alongside frog’s designers and technologists to ensure the successful commercialization of products, services, and experiences. Tim speaks and publishes on strategy, innovation, and design. His research and article “Customer Data: Designing for Transparency and Trust” was a finalist for the 2015 HBR McKinsey Award.</w:t>
      </w:r>
    </w:p>
    <w:p>
      <w:r>
        <w:rPr>
          <w:b w:val="0"/>
          <w:i w:val="0"/>
        </w:rPr>
        <w:t>ROBERT W. PALMATIER is professor of marketing, the John C. Narver Chair of Business Administration at the Foster School of Business, University of Washington. He is founder and research director of the Sales and Marketing Strategy Institute (SAMSinstitute.com), a global organization focused on linking business and academics for knowledge. His research has appeared in a number of journals, and he has published books on topics including marketing strategy, privacy, relationship marketing, and customer engagement.</w:t>
      </w:r>
    </w:p>
    <w:p>
      <w:r>
        <w:rPr>
          <w:b w:val="0"/>
          <w:i w:val="0"/>
        </w:rPr>
        <w:t>THOMAS C. REDMAN, “the Data Doc,” is president of Data Quality Solutions. He helps companies and people, including startups, multinationals, executives, and leaders at all levels, chart their courses to data-driven futures. He places special emphasis on quality, analytics, and organizational capabilities.</w:t>
      </w:r>
    </w:p>
    <w:p>
      <w:r>
        <w:rPr>
          <w:b w:val="0"/>
          <w:i w:val="0"/>
        </w:rPr>
        <w:t>MAURICE E. STUCKE is cofounder of Konkurrenz Group and a professor of law at the University of Tennessee.</w:t>
      </w:r>
    </w:p>
    <w:p>
      <w:r>
        <w:rPr>
          <w:b w:val="0"/>
          <w:i w:val="0"/>
        </w:rPr>
        <w:t>MARC TOLEDO is a senior associate at PwC, where he focuses on blockchain and digital transformation. He is a Duke MBA graduate, and in his previous work at the World Bank and Apple he led large projects related to cybersecurity, machine learning, and artificial intelligence.</w:t>
      </w:r>
    </w:p>
    <w:p>
      <w:r>
        <w:rPr>
          <w:b w:val="0"/>
          <w:i w:val="0"/>
        </w:rPr>
        <w:t>ROBERT M. WAITMAN is director of Privacy Insights and Innovation at Cisco Systems. He leads Cisco’s Privacy Research Program and influences executives and other leaders on the economics of privacy.</w:t>
      </w:r>
    </w:p>
    <w:p>
      <w:r>
        <w:rPr>
          <w:b w:val="0"/>
          <w:i w:val="0"/>
        </w:rPr>
        <w:t>JONATHAN ZITTRAIN is a professor at Harvard Law School, Harvard’s John F. Kennedy School of Government, and Harvard’s School of Engineering and Applied Sciences. He is faculty director of the Berkman Klein Center for Internet and Society.</w:t>
      </w:r>
    </w:p>
    <w:p>
      <w:pPr>
        <w:pStyle w:val="Heading1"/>
      </w:pPr>
      <w:r>
        <w:rPr>
          <w:b w:val="0"/>
          <w:i w:val="0"/>
        </w:rPr>
        <w:t>Index</w:t>
      </w:r>
    </w:p>
    <w:p>
      <w:pPr>
        <w:pStyle w:val="ListBullet"/>
      </w:pPr>
      <w:r>
        <w:rPr>
          <w:b w:val="0"/>
          <w:i w:val="0"/>
        </w:rPr>
        <w:t>abuse, of consumer data, 90–91</w:t>
      </w:r>
    </w:p>
    <w:p>
      <w:pPr>
        <w:pStyle w:val="ListBullet"/>
      </w:pPr>
      <w:r>
        <w:rPr>
          <w:b w:val="0"/>
          <w:i w:val="0"/>
        </w:rPr>
        <w:t>ad blockers, 101, 105</w:t>
      </w:r>
    </w:p>
    <w:p>
      <w:pPr>
        <w:pStyle w:val="ListBullet"/>
      </w:pPr>
      <w:r>
        <w:rPr>
          <w:b w:val="0"/>
          <w:i w:val="0"/>
        </w:rPr>
        <w:t>advertising</w:t>
      </w:r>
    </w:p>
    <w:p>
      <w:pPr>
        <w:pStyle w:val="ListBullet"/>
      </w:pPr>
      <w:r>
        <w:rPr>
          <w:b w:val="0"/>
          <w:i w:val="0"/>
        </w:rPr>
        <w:t>ending the Google-Facebook advertising duopoly, 101–102</w:t>
      </w:r>
    </w:p>
    <w:p>
      <w:pPr>
        <w:pStyle w:val="ListBullet"/>
      </w:pPr>
      <w:r>
        <w:rPr>
          <w:b w:val="0"/>
          <w:i w:val="0"/>
        </w:rPr>
        <w:t>predatory, 80–81</w:t>
      </w:r>
    </w:p>
    <w:p>
      <w:pPr>
        <w:pStyle w:val="ListBullet"/>
      </w:pPr>
      <w:r>
        <w:rPr>
          <w:b w:val="0"/>
          <w:i/>
        </w:rPr>
        <w:t>See also</w:t>
      </w:r>
      <w:r>
        <w:rPr>
          <w:b w:val="0"/>
          <w:i w:val="0"/>
        </w:rPr>
        <w:t xml:space="preserve"> targeted advertising</w:t>
      </w:r>
    </w:p>
    <w:p>
      <w:pPr>
        <w:pStyle w:val="ListBullet"/>
      </w:pPr>
      <w:r>
        <w:rPr>
          <w:b w:val="0"/>
          <w:i w:val="0"/>
        </w:rPr>
        <w:t>algorithms, 16, 32</w:t>
      </w:r>
    </w:p>
    <w:p>
      <w:pPr>
        <w:pStyle w:val="ListBullet"/>
      </w:pPr>
      <w:r>
        <w:rPr>
          <w:b w:val="0"/>
          <w:i w:val="0"/>
        </w:rPr>
        <w:t>Amazon</w:t>
      </w:r>
    </w:p>
    <w:p>
      <w:pPr>
        <w:pStyle w:val="ListBullet"/>
      </w:pPr>
      <w:r>
        <w:rPr>
          <w:b w:val="0"/>
          <w:i w:val="0"/>
        </w:rPr>
        <w:t>Alexa, xiii, 2, 77</w:t>
      </w:r>
    </w:p>
    <w:p>
      <w:pPr>
        <w:pStyle w:val="ListBullet"/>
      </w:pPr>
      <w:r>
        <w:rPr>
          <w:b w:val="0"/>
          <w:i w:val="0"/>
        </w:rPr>
        <w:t>as data-opoly, 32–33</w:t>
      </w:r>
    </w:p>
    <w:p>
      <w:pPr>
        <w:pStyle w:val="ListBullet"/>
      </w:pPr>
      <w:r>
        <w:rPr>
          <w:b w:val="0"/>
          <w:i w:val="0"/>
        </w:rPr>
        <w:t>European action against, 33</w:t>
      </w:r>
    </w:p>
    <w:p>
      <w:pPr>
        <w:pStyle w:val="ListBullet"/>
      </w:pPr>
      <w:r>
        <w:rPr>
          <w:b w:val="0"/>
          <w:i w:val="0"/>
        </w:rPr>
        <w:t>social concerns about, 42</w:t>
      </w:r>
    </w:p>
    <w:p>
      <w:pPr>
        <w:pStyle w:val="ListBullet"/>
      </w:pPr>
      <w:r>
        <w:rPr>
          <w:b w:val="0"/>
          <w:i w:val="0"/>
        </w:rPr>
        <w:t>anonymity, unintended inferences and, 48</w:t>
      </w:r>
    </w:p>
    <w:p>
      <w:pPr>
        <w:pStyle w:val="ListBullet"/>
      </w:pPr>
      <w:r>
        <w:rPr>
          <w:b w:val="0"/>
          <w:i w:val="0"/>
        </w:rPr>
        <w:t>anonymized data, 22</w:t>
      </w:r>
    </w:p>
    <w:p>
      <w:pPr>
        <w:pStyle w:val="ListBullet"/>
      </w:pPr>
      <w:r>
        <w:rPr>
          <w:b w:val="0"/>
          <w:i w:val="0"/>
        </w:rPr>
        <w:t>antitrust</w:t>
      </w:r>
    </w:p>
    <w:p>
      <w:pPr>
        <w:pStyle w:val="ListBullet"/>
      </w:pPr>
      <w:r>
        <w:rPr>
          <w:b w:val="0"/>
          <w:i w:val="0"/>
        </w:rPr>
        <w:t>enforcement against data-opolies, 33–35, 45</w:t>
      </w:r>
    </w:p>
    <w:p>
      <w:pPr>
        <w:pStyle w:val="ListBullet"/>
      </w:pPr>
      <w:r>
        <w:rPr>
          <w:b w:val="0"/>
          <w:i w:val="0"/>
        </w:rPr>
        <w:t>historical concerns of, 42</w:t>
      </w:r>
    </w:p>
    <w:p>
      <w:pPr>
        <w:pStyle w:val="ListBullet"/>
      </w:pPr>
      <w:r>
        <w:rPr>
          <w:b w:val="0"/>
          <w:i w:val="0"/>
        </w:rPr>
        <w:t>Apple</w:t>
      </w:r>
    </w:p>
    <w:p>
      <w:pPr>
        <w:pStyle w:val="ListBullet"/>
      </w:pPr>
      <w:r>
        <w:rPr>
          <w:b w:val="0"/>
          <w:i w:val="0"/>
        </w:rPr>
        <w:t>apps selling user information obtained on Facebook, 14–15</w:t>
      </w:r>
    </w:p>
    <w:p>
      <w:pPr>
        <w:pStyle w:val="ListBullet"/>
      </w:pPr>
      <w:r>
        <w:rPr>
          <w:b w:val="0"/>
          <w:i w:val="0"/>
        </w:rPr>
        <w:t>conflict with major powers, 124</w:t>
      </w:r>
    </w:p>
    <w:p>
      <w:pPr>
        <w:pStyle w:val="ListBullet"/>
      </w:pPr>
      <w:r>
        <w:rPr>
          <w:b w:val="0"/>
          <w:i w:val="0"/>
        </w:rPr>
        <w:t>as data-opoly, 32</w:t>
      </w:r>
    </w:p>
    <w:p>
      <w:pPr>
        <w:pStyle w:val="ListBullet"/>
      </w:pPr>
      <w:r>
        <w:rPr>
          <w:b w:val="0"/>
          <w:i w:val="0"/>
        </w:rPr>
        <w:t>European actions against, 33</w:t>
      </w:r>
    </w:p>
    <w:p>
      <w:pPr>
        <w:pStyle w:val="ListBullet"/>
      </w:pPr>
      <w:r>
        <w:rPr>
          <w:b w:val="0"/>
          <w:i w:val="0"/>
        </w:rPr>
        <w:t>social concerns about products’ effect on children, 42–43</w:t>
      </w:r>
    </w:p>
    <w:p>
      <w:pPr>
        <w:pStyle w:val="ListBullet"/>
      </w:pPr>
      <w:r>
        <w:rPr>
          <w:b w:val="0"/>
          <w:i w:val="0"/>
        </w:rPr>
        <w:t>artificial intelligence (AI)</w:t>
      </w:r>
    </w:p>
    <w:p>
      <w:pPr>
        <w:pStyle w:val="ListBullet"/>
      </w:pPr>
      <w:r>
        <w:rPr>
          <w:b w:val="0"/>
          <w:i w:val="0"/>
        </w:rPr>
        <w:t>generation of behavioral profiles and, 16, 20</w:t>
      </w:r>
    </w:p>
    <w:p>
      <w:pPr>
        <w:pStyle w:val="ListBullet"/>
      </w:pPr>
      <w:r>
        <w:rPr>
          <w:b w:val="0"/>
          <w:i w:val="0"/>
        </w:rPr>
        <w:t>personal data and, 2</w:t>
      </w:r>
    </w:p>
    <w:p>
      <w:pPr>
        <w:pStyle w:val="ListBullet"/>
      </w:pPr>
      <w:r>
        <w:rPr>
          <w:b w:val="0"/>
          <w:i w:val="0"/>
        </w:rPr>
        <w:t>backlash, regulatory, and abuse of, xii–xiii</w:t>
      </w:r>
    </w:p>
    <w:p>
      <w:pPr>
        <w:pStyle w:val="ListBullet"/>
      </w:pPr>
      <w:r>
        <w:rPr>
          <w:b w:val="0"/>
          <w:i w:val="0"/>
        </w:rPr>
        <w:t>Balkin, Jack, 26, 80, 83</w:t>
      </w:r>
    </w:p>
    <w:p>
      <w:pPr>
        <w:pStyle w:val="ListBullet"/>
      </w:pPr>
      <w:r>
        <w:rPr>
          <w:b w:val="0"/>
          <w:i w:val="0"/>
        </w:rPr>
        <w:t>Basic Attention Tokens (BATs), 105–106</w:t>
      </w:r>
    </w:p>
    <w:p>
      <w:pPr>
        <w:pStyle w:val="ListBullet"/>
      </w:pPr>
      <w:r>
        <w:rPr>
          <w:b w:val="0"/>
          <w:i w:val="0"/>
        </w:rPr>
        <w:t xml:space="preserve">Beacon Project, 114–115. </w:t>
      </w:r>
      <w:r>
        <w:rPr>
          <w:b w:val="0"/>
          <w:i/>
        </w:rPr>
        <w:t>See also</w:t>
      </w:r>
      <w:r>
        <w:rPr>
          <w:b w:val="0"/>
          <w:i w:val="0"/>
        </w:rPr>
        <w:t xml:space="preserve"> government regulation</w:t>
      </w:r>
    </w:p>
    <w:p>
      <w:pPr>
        <w:pStyle w:val="ListBullet"/>
      </w:pPr>
      <w:r>
        <w:rPr>
          <w:b w:val="0"/>
          <w:i w:val="0"/>
        </w:rPr>
        <w:t>behavioral profiles</w:t>
      </w:r>
    </w:p>
    <w:p>
      <w:pPr>
        <w:pStyle w:val="ListBullet"/>
      </w:pPr>
      <w:r>
        <w:rPr>
          <w:b w:val="0"/>
          <w:i w:val="0"/>
        </w:rPr>
        <w:t>artificial intelligence–generated, 16, 20</w:t>
      </w:r>
    </w:p>
    <w:p>
      <w:pPr>
        <w:pStyle w:val="ListBullet"/>
      </w:pPr>
      <w:r>
        <w:rPr>
          <w:b w:val="0"/>
          <w:i w:val="0"/>
        </w:rPr>
        <w:t>creation of, using personal data, 16</w:t>
      </w:r>
    </w:p>
    <w:p>
      <w:pPr>
        <w:pStyle w:val="ListBullet"/>
      </w:pPr>
      <w:r>
        <w:rPr>
          <w:b w:val="0"/>
          <w:i w:val="0"/>
        </w:rPr>
        <w:t>benefits of data sharing, 10–11</w:t>
      </w:r>
    </w:p>
    <w:p>
      <w:pPr>
        <w:pStyle w:val="ListBullet"/>
      </w:pPr>
      <w:r>
        <w:rPr>
          <w:b w:val="0"/>
          <w:i w:val="0"/>
        </w:rPr>
        <w:t>big data, convergence of privacy and cybersecurity and, 48, 51–52</w:t>
      </w:r>
    </w:p>
    <w:p>
      <w:pPr>
        <w:pStyle w:val="ListBullet"/>
      </w:pPr>
      <w:r>
        <w:rPr>
          <w:b w:val="0"/>
          <w:i w:val="0"/>
        </w:rPr>
        <w:t>blockchain</w:t>
      </w:r>
    </w:p>
    <w:p>
      <w:pPr>
        <w:pStyle w:val="ListBullet"/>
      </w:pPr>
      <w:r>
        <w:rPr>
          <w:b w:val="0"/>
          <w:i w:val="0"/>
        </w:rPr>
        <w:t>protecting product for content producers, 104–106, 108</w:t>
      </w:r>
    </w:p>
    <w:p>
      <w:pPr>
        <w:pStyle w:val="ListBullet"/>
      </w:pPr>
      <w:r>
        <w:rPr>
          <w:b w:val="0"/>
          <w:i w:val="0"/>
        </w:rPr>
        <w:t>replacing need for restricting cross-border data flows, 116–117, 119</w:t>
      </w:r>
    </w:p>
    <w:p>
      <w:pPr>
        <w:pStyle w:val="ListBullet"/>
      </w:pPr>
      <w:r>
        <w:rPr>
          <w:b w:val="0"/>
          <w:i w:val="0"/>
        </w:rPr>
        <w:t>supply chain data and, 117</w:t>
      </w:r>
    </w:p>
    <w:p>
      <w:pPr>
        <w:pStyle w:val="ListBullet"/>
      </w:pPr>
      <w:r>
        <w:rPr>
          <w:b w:val="0"/>
          <w:i w:val="0"/>
        </w:rPr>
        <w:t>blockchain, use in marketing, 97–109</w:t>
      </w:r>
    </w:p>
    <w:p>
      <w:pPr>
        <w:pStyle w:val="ListBullet"/>
      </w:pPr>
      <w:r>
        <w:rPr>
          <w:b w:val="0"/>
          <w:i w:val="0"/>
        </w:rPr>
        <w:t>blockchain applications, 98</w:t>
      </w:r>
    </w:p>
    <w:p>
      <w:pPr>
        <w:pStyle w:val="ListBullet"/>
      </w:pPr>
      <w:r>
        <w:rPr>
          <w:b w:val="0"/>
          <w:i w:val="0"/>
        </w:rPr>
        <w:t>ending Google-Facebook advertising duopoly, 101–102</w:t>
      </w:r>
    </w:p>
    <w:p>
      <w:pPr>
        <w:pStyle w:val="ListBullet"/>
      </w:pPr>
      <w:r>
        <w:rPr>
          <w:b w:val="0"/>
          <w:i w:val="0"/>
        </w:rPr>
        <w:t>ending marketing fraud and spam, 102–104, 106</w:t>
      </w:r>
    </w:p>
    <w:p>
      <w:pPr>
        <w:pStyle w:val="ListBullet"/>
      </w:pPr>
      <w:r>
        <w:rPr>
          <w:b w:val="0"/>
          <w:i w:val="0"/>
        </w:rPr>
        <w:t>marketing impact of near-zero transaction costs, 99–100, 108</w:t>
      </w:r>
    </w:p>
    <w:p>
      <w:pPr>
        <w:pStyle w:val="ListBullet"/>
      </w:pPr>
      <w:r>
        <w:rPr>
          <w:b w:val="0"/>
          <w:i w:val="0"/>
        </w:rPr>
        <w:t>remonetizing media consumption, 104–106</w:t>
      </w:r>
    </w:p>
    <w:p>
      <w:pPr>
        <w:pStyle w:val="ListBullet"/>
      </w:pPr>
      <w:r>
        <w:rPr>
          <w:b w:val="0"/>
          <w:i w:val="0"/>
        </w:rPr>
        <w:t>results for companies and consumers, 106–107</w:t>
      </w:r>
    </w:p>
    <w:p>
      <w:pPr>
        <w:pStyle w:val="ListBullet"/>
      </w:pPr>
      <w:r>
        <w:rPr>
          <w:b w:val="0"/>
          <w:i w:val="0"/>
        </w:rPr>
        <w:t>Borah, Abhishek, 53–66</w:t>
      </w:r>
    </w:p>
    <w:p>
      <w:pPr>
        <w:pStyle w:val="ListBullet"/>
      </w:pPr>
      <w:r>
        <w:rPr>
          <w:b w:val="0"/>
          <w:i w:val="0"/>
        </w:rPr>
        <w:t>bots</w:t>
      </w:r>
    </w:p>
    <w:p>
      <w:pPr>
        <w:pStyle w:val="ListBullet"/>
      </w:pPr>
      <w:r>
        <w:rPr>
          <w:b w:val="0"/>
          <w:i w:val="0"/>
        </w:rPr>
        <w:t>blockchain and blocking fake social media accounts by, 103, 108</w:t>
      </w:r>
    </w:p>
    <w:p>
      <w:pPr>
        <w:pStyle w:val="ListBullet"/>
      </w:pPr>
      <w:r>
        <w:rPr>
          <w:b w:val="0"/>
          <w:i w:val="0"/>
        </w:rPr>
        <w:t>mitigating risk of, 23</w:t>
      </w:r>
    </w:p>
    <w:p>
      <w:pPr>
        <w:pStyle w:val="ListBullet"/>
      </w:pPr>
      <w:r>
        <w:rPr>
          <w:b w:val="0"/>
          <w:i w:val="0"/>
        </w:rPr>
        <w:t>browsing history, monetization of, 14</w:t>
      </w:r>
    </w:p>
    <w:p>
      <w:pPr>
        <w:pStyle w:val="ListBullet"/>
      </w:pPr>
      <w:r>
        <w:rPr>
          <w:b w:val="0"/>
          <w:i w:val="0"/>
        </w:rPr>
        <w:t>Burt, Andrew, 47–52</w:t>
      </w:r>
    </w:p>
    <w:p>
      <w:pPr>
        <w:pStyle w:val="ListBullet"/>
      </w:pPr>
      <w:r>
        <w:rPr>
          <w:b w:val="0"/>
          <w:i w:val="0"/>
        </w:rPr>
        <w:t>California Consumer Privacy Act (CCPA), xii, 25</w:t>
      </w:r>
    </w:p>
    <w:p>
      <w:pPr>
        <w:pStyle w:val="ListBullet"/>
      </w:pPr>
      <w:r>
        <w:rPr>
          <w:b w:val="0"/>
          <w:i w:val="0"/>
        </w:rPr>
        <w:t>Cambridge Analytica scandal, 25, 31–32, 49</w:t>
      </w:r>
    </w:p>
    <w:p>
      <w:pPr>
        <w:pStyle w:val="ListBullet"/>
      </w:pPr>
      <w:r>
        <w:rPr>
          <w:b w:val="0"/>
          <w:i w:val="0"/>
        </w:rPr>
        <w:t>Chakravorti, Bhaskar, 21–24</w:t>
      </w:r>
    </w:p>
    <w:p>
      <w:pPr>
        <w:pStyle w:val="ListBullet"/>
      </w:pPr>
      <w:r>
        <w:rPr>
          <w:b w:val="0"/>
          <w:i w:val="0"/>
        </w:rPr>
        <w:t>China</w:t>
      </w:r>
    </w:p>
    <w:p>
      <w:pPr>
        <w:pStyle w:val="ListBullet"/>
      </w:pPr>
      <w:r>
        <w:rPr>
          <w:b w:val="0"/>
          <w:i w:val="0"/>
        </w:rPr>
        <w:t>Great Firewall of, 126</w:t>
      </w:r>
    </w:p>
    <w:p>
      <w:pPr>
        <w:pStyle w:val="ListBullet"/>
      </w:pPr>
      <w:r>
        <w:rPr>
          <w:b w:val="0"/>
          <w:i w:val="0"/>
        </w:rPr>
        <w:t>Paris Call for Trust and Security in Cyberspace and, 125, 126</w:t>
      </w:r>
    </w:p>
    <w:p>
      <w:pPr>
        <w:pStyle w:val="ListBullet"/>
      </w:pPr>
      <w:r>
        <w:rPr>
          <w:b w:val="0"/>
          <w:i w:val="0"/>
        </w:rPr>
        <w:t>restrictions on data transfer, 112–113</w:t>
      </w:r>
    </w:p>
    <w:p>
      <w:pPr>
        <w:pStyle w:val="ListBullet"/>
      </w:pPr>
      <w:r>
        <w:rPr>
          <w:b w:val="0"/>
          <w:i w:val="0"/>
        </w:rPr>
        <w:t>Citigroup, 60, 61</w:t>
      </w:r>
    </w:p>
    <w:p>
      <w:pPr>
        <w:pStyle w:val="ListBullet"/>
      </w:pPr>
      <w:r>
        <w:rPr>
          <w:b w:val="0"/>
          <w:i w:val="0"/>
        </w:rPr>
        <w:t>CMOs (chief marketing officers)</w:t>
      </w:r>
    </w:p>
    <w:p>
      <w:pPr>
        <w:pStyle w:val="ListBullet"/>
      </w:pPr>
      <w:r>
        <w:rPr>
          <w:b w:val="0"/>
          <w:i w:val="0"/>
        </w:rPr>
        <w:t>blockchain technology and, 107</w:t>
      </w:r>
    </w:p>
    <w:p>
      <w:pPr>
        <w:pStyle w:val="ListBullet"/>
      </w:pPr>
      <w:r>
        <w:rPr>
          <w:b w:val="0"/>
          <w:i w:val="0"/>
        </w:rPr>
        <w:t>survey of, 97</w:t>
      </w:r>
    </w:p>
    <w:p>
      <w:pPr>
        <w:pStyle w:val="ListBullet"/>
      </w:pPr>
      <w:r>
        <w:rPr>
          <w:b w:val="0"/>
          <w:i/>
        </w:rPr>
        <w:t>See also</w:t>
      </w:r>
      <w:r>
        <w:rPr>
          <w:b w:val="0"/>
          <w:i w:val="0"/>
        </w:rPr>
        <w:t xml:space="preserve"> marketing</w:t>
      </w:r>
    </w:p>
    <w:p>
      <w:pPr>
        <w:pStyle w:val="ListBullet"/>
      </w:pPr>
      <w:r>
        <w:rPr>
          <w:b w:val="0"/>
          <w:i w:val="0"/>
        </w:rPr>
        <w:t>Cochrane, Kevin, 89–96</w:t>
      </w:r>
    </w:p>
    <w:p>
      <w:pPr>
        <w:pStyle w:val="ListBullet"/>
      </w:pPr>
      <w:r>
        <w:rPr>
          <w:b w:val="0"/>
          <w:i w:val="0"/>
        </w:rPr>
        <w:t>compensation for use of personal data, 22, 38, 72, 74</w:t>
      </w:r>
    </w:p>
    <w:p>
      <w:pPr>
        <w:pStyle w:val="ListBullet"/>
      </w:pPr>
      <w:r>
        <w:rPr>
          <w:b w:val="0"/>
          <w:i w:val="0"/>
        </w:rPr>
        <w:t>competition</w:t>
      </w:r>
    </w:p>
    <w:p>
      <w:pPr>
        <w:pStyle w:val="ListBullet"/>
      </w:pPr>
      <w:r>
        <w:rPr>
          <w:b w:val="0"/>
          <w:i w:val="0"/>
        </w:rPr>
        <w:t>effect of regulation on, 27</w:t>
      </w:r>
    </w:p>
    <w:p>
      <w:pPr>
        <w:pStyle w:val="ListBullet"/>
      </w:pPr>
      <w:r>
        <w:rPr>
          <w:b w:val="0"/>
          <w:i w:val="0"/>
        </w:rPr>
        <w:t>monopoly power and, 43</w:t>
      </w:r>
    </w:p>
    <w:p>
      <w:pPr>
        <w:pStyle w:val="ListBullet"/>
      </w:pPr>
      <w:r>
        <w:rPr>
          <w:b w:val="0"/>
          <w:i w:val="0"/>
        </w:rPr>
        <w:t>personal data collection and, 36</w:t>
      </w:r>
    </w:p>
    <w:p>
      <w:pPr>
        <w:pStyle w:val="ListBullet"/>
      </w:pPr>
      <w:r>
        <w:rPr>
          <w:b w:val="0"/>
          <w:i w:val="0"/>
        </w:rPr>
        <w:t xml:space="preserve">competitive effects, data breaches and, 54, 55. </w:t>
      </w:r>
      <w:r>
        <w:rPr>
          <w:b w:val="0"/>
          <w:i/>
        </w:rPr>
        <w:t>See also</w:t>
      </w:r>
      <w:r>
        <w:rPr>
          <w:b w:val="0"/>
          <w:i w:val="0"/>
        </w:rPr>
        <w:t xml:space="preserve"> data breaches</w:t>
      </w:r>
    </w:p>
    <w:p>
      <w:pPr>
        <w:pStyle w:val="ListBullet"/>
      </w:pPr>
      <w:r>
        <w:rPr>
          <w:b w:val="0"/>
          <w:i w:val="0"/>
        </w:rPr>
        <w:t>consent</w:t>
      </w:r>
    </w:p>
    <w:p>
      <w:pPr>
        <w:pStyle w:val="ListBullet"/>
      </w:pPr>
      <w:r>
        <w:rPr>
          <w:b w:val="0"/>
          <w:i w:val="0"/>
        </w:rPr>
        <w:t>asking consumers for privacy policy, 68</w:t>
      </w:r>
    </w:p>
    <w:p>
      <w:pPr>
        <w:pStyle w:val="ListBullet"/>
      </w:pPr>
      <w:r>
        <w:rPr>
          <w:b w:val="0"/>
          <w:i w:val="0"/>
        </w:rPr>
        <w:t>informed, 3</w:t>
      </w:r>
    </w:p>
    <w:p>
      <w:pPr>
        <w:pStyle w:val="ListBullet"/>
      </w:pPr>
      <w:r>
        <w:rPr>
          <w:b w:val="0"/>
          <w:i w:val="0"/>
        </w:rPr>
        <w:t>opt-in, 24, 28</w:t>
      </w:r>
    </w:p>
    <w:p>
      <w:pPr>
        <w:pStyle w:val="ListBullet"/>
      </w:pPr>
      <w:r>
        <w:rPr>
          <w:b w:val="0"/>
          <w:i w:val="0"/>
        </w:rPr>
        <w:t>role in protecting privacy, 50, 52</w:t>
      </w:r>
    </w:p>
    <w:p>
      <w:pPr>
        <w:pStyle w:val="ListBullet"/>
      </w:pPr>
      <w:r>
        <w:rPr>
          <w:b w:val="0"/>
          <w:i w:val="0"/>
        </w:rPr>
        <w:t>uninformed, 1–30</w:t>
      </w:r>
    </w:p>
    <w:p>
      <w:pPr>
        <w:pStyle w:val="ListBullet"/>
      </w:pPr>
      <w:r>
        <w:rPr>
          <w:b w:val="0"/>
          <w:i w:val="0"/>
        </w:rPr>
        <w:t>consumer trust</w:t>
      </w:r>
    </w:p>
    <w:p>
      <w:pPr>
        <w:pStyle w:val="ListBullet"/>
      </w:pPr>
      <w:r>
        <w:rPr>
          <w:b w:val="0"/>
          <w:i w:val="0"/>
        </w:rPr>
        <w:t>abuse of customer data and, xii–xiii</w:t>
      </w:r>
    </w:p>
    <w:p>
      <w:pPr>
        <w:pStyle w:val="ListBullet"/>
      </w:pPr>
      <w:r>
        <w:rPr>
          <w:b w:val="0"/>
          <w:i w:val="0"/>
        </w:rPr>
        <w:t>building, xiii–xv</w:t>
      </w:r>
    </w:p>
    <w:p>
      <w:pPr>
        <w:pStyle w:val="ListBullet"/>
      </w:pPr>
      <w:r>
        <w:rPr>
          <w:b w:val="0"/>
          <w:i w:val="0"/>
        </w:rPr>
        <w:t>as competitive advantage, xi–xvii</w:t>
      </w:r>
    </w:p>
    <w:p>
      <w:pPr>
        <w:pStyle w:val="ListBullet"/>
      </w:pPr>
      <w:r>
        <w:rPr>
          <w:b w:val="0"/>
          <w:i w:val="0"/>
        </w:rPr>
        <w:t>data-opolies and loss of, 40</w:t>
      </w:r>
    </w:p>
    <w:p>
      <w:pPr>
        <w:pStyle w:val="ListBullet"/>
      </w:pPr>
      <w:r>
        <w:rPr>
          <w:b w:val="0"/>
          <w:i w:val="0"/>
        </w:rPr>
        <w:t>as emotional evaluation, xv</w:t>
      </w:r>
    </w:p>
    <w:p>
      <w:pPr>
        <w:pStyle w:val="ListBullet"/>
      </w:pPr>
      <w:r>
        <w:rPr>
          <w:b w:val="0"/>
          <w:i w:val="0"/>
        </w:rPr>
        <w:t>going beyond legally required minimum, xv</w:t>
      </w:r>
    </w:p>
    <w:p>
      <w:pPr>
        <w:pStyle w:val="ListBullet"/>
      </w:pPr>
      <w:r>
        <w:rPr>
          <w:b w:val="0"/>
          <w:i w:val="0"/>
        </w:rPr>
        <w:t>measuring, xiii</w:t>
      </w:r>
    </w:p>
    <w:p>
      <w:pPr>
        <w:pStyle w:val="ListBullet"/>
      </w:pPr>
      <w:r>
        <w:rPr>
          <w:b w:val="0"/>
          <w:i w:val="0"/>
        </w:rPr>
        <w:t>normative cybersecurity alliances and, 123</w:t>
      </w:r>
    </w:p>
    <w:p>
      <w:pPr>
        <w:pStyle w:val="ListBullet"/>
      </w:pPr>
      <w:r>
        <w:rPr>
          <w:b w:val="0"/>
          <w:i w:val="0"/>
        </w:rPr>
        <w:t>transparent data practices and, 89–96</w:t>
      </w:r>
    </w:p>
    <w:p>
      <w:pPr>
        <w:pStyle w:val="ListBullet"/>
      </w:pPr>
      <w:r>
        <w:rPr>
          <w:b w:val="0"/>
          <w:i w:val="0"/>
        </w:rPr>
        <w:t>cookies, 14, 91–92</w:t>
      </w:r>
    </w:p>
    <w:p>
      <w:pPr>
        <w:pStyle w:val="ListBullet"/>
      </w:pPr>
      <w:r>
        <w:rPr>
          <w:b w:val="0"/>
          <w:i w:val="0"/>
        </w:rPr>
        <w:t>copyright protection, blockchain and, 104</w:t>
      </w:r>
    </w:p>
    <w:p>
      <w:pPr>
        <w:pStyle w:val="ListBullet"/>
      </w:pPr>
      <w:r>
        <w:rPr>
          <w:b w:val="0"/>
          <w:i w:val="0"/>
        </w:rPr>
        <w:t>Costco, 58, 59</w:t>
      </w:r>
    </w:p>
    <w:p>
      <w:pPr>
        <w:pStyle w:val="ListBullet"/>
      </w:pPr>
      <w:r>
        <w:rPr>
          <w:b w:val="0"/>
          <w:i w:val="0"/>
        </w:rPr>
        <w:t>costs</w:t>
      </w:r>
    </w:p>
    <w:p>
      <w:pPr>
        <w:pStyle w:val="ListBullet"/>
      </w:pPr>
      <w:r>
        <w:rPr>
          <w:b w:val="0"/>
          <w:i w:val="0"/>
        </w:rPr>
        <w:t>of data-opolies on third parties, 40–41</w:t>
      </w:r>
    </w:p>
    <w:p>
      <w:pPr>
        <w:pStyle w:val="ListBullet"/>
      </w:pPr>
      <w:r>
        <w:rPr>
          <w:b w:val="0"/>
          <w:i w:val="0"/>
        </w:rPr>
        <w:t>of data privacy, 7, 67</w:t>
      </w:r>
    </w:p>
    <w:p>
      <w:pPr>
        <w:pStyle w:val="ListBullet"/>
      </w:pPr>
      <w:r>
        <w:rPr>
          <w:b w:val="0"/>
          <w:i w:val="0"/>
        </w:rPr>
        <w:t>of enforcing privacy regulation, 20</w:t>
      </w:r>
    </w:p>
    <w:p>
      <w:pPr>
        <w:pStyle w:val="ListBullet"/>
      </w:pPr>
      <w:r>
        <w:rPr>
          <w:b w:val="0"/>
          <w:i w:val="0"/>
        </w:rPr>
        <w:t>overvaluing immediate and underweighting future, 5–6</w:t>
      </w:r>
    </w:p>
    <w:p>
      <w:pPr>
        <w:pStyle w:val="ListBullet"/>
      </w:pPr>
      <w:r>
        <w:rPr>
          <w:b w:val="0"/>
          <w:i w:val="0"/>
        </w:rPr>
        <w:t>of restricting information flow, 20</w:t>
      </w:r>
    </w:p>
    <w:p>
      <w:pPr>
        <w:pStyle w:val="ListBullet"/>
      </w:pPr>
      <w:r>
        <w:rPr>
          <w:b w:val="0"/>
          <w:i/>
        </w:rPr>
        <w:t>See also</w:t>
      </w:r>
      <w:r>
        <w:rPr>
          <w:b w:val="0"/>
          <w:i w:val="0"/>
        </w:rPr>
        <w:t xml:space="preserve"> transaction costs</w:t>
      </w:r>
    </w:p>
    <w:p>
      <w:pPr>
        <w:pStyle w:val="ListBullet"/>
      </w:pPr>
      <w:r>
        <w:rPr>
          <w:b w:val="0"/>
          <w:i w:val="0"/>
        </w:rPr>
        <w:t>cross-border data flows, 111–119</w:t>
      </w:r>
    </w:p>
    <w:p>
      <w:pPr>
        <w:pStyle w:val="ListBullet"/>
      </w:pPr>
      <w:r>
        <w:rPr>
          <w:b w:val="0"/>
          <w:i w:val="0"/>
        </w:rPr>
        <w:t>policy restricting/regulating, 114–119</w:t>
      </w:r>
    </w:p>
    <w:p>
      <w:pPr>
        <w:pStyle w:val="ListBullet"/>
      </w:pPr>
      <w:r>
        <w:rPr>
          <w:b w:val="0"/>
          <w:i w:val="0"/>
        </w:rPr>
        <w:t>customer communication</w:t>
      </w:r>
    </w:p>
    <w:p>
      <w:pPr>
        <w:pStyle w:val="ListBullet"/>
      </w:pPr>
      <w:r>
        <w:rPr>
          <w:b w:val="0"/>
          <w:i w:val="0"/>
        </w:rPr>
        <w:t>consistency of, 93–94</w:t>
      </w:r>
    </w:p>
    <w:p>
      <w:pPr>
        <w:pStyle w:val="ListBullet"/>
      </w:pPr>
      <w:r>
        <w:rPr>
          <w:b w:val="0"/>
          <w:i w:val="0"/>
        </w:rPr>
        <w:t xml:space="preserve">via privacy policies, 57, 65–66. </w:t>
      </w:r>
      <w:r>
        <w:rPr>
          <w:b w:val="0"/>
          <w:i/>
        </w:rPr>
        <w:t>See also</w:t>
      </w:r>
      <w:r>
        <w:rPr>
          <w:b w:val="0"/>
          <w:i w:val="0"/>
        </w:rPr>
        <w:t xml:space="preserve"> privacy policies</w:t>
      </w:r>
    </w:p>
    <w:p>
      <w:pPr>
        <w:pStyle w:val="ListBullet"/>
      </w:pPr>
      <w:r>
        <w:rPr>
          <w:b w:val="0"/>
          <w:i w:val="0"/>
        </w:rPr>
        <w:t>customer experience, privacy and, 71, 73</w:t>
      </w:r>
    </w:p>
    <w:p>
      <w:pPr>
        <w:pStyle w:val="ListBullet"/>
      </w:pPr>
      <w:r>
        <w:rPr>
          <w:b w:val="0"/>
          <w:i w:val="0"/>
        </w:rPr>
        <w:t>customers, profit and prioritization of duty to, 84–85</w:t>
      </w:r>
    </w:p>
    <w:p>
      <w:pPr>
        <w:pStyle w:val="ListBullet"/>
      </w:pPr>
      <w:r>
        <w:rPr>
          <w:b w:val="0"/>
          <w:i w:val="0"/>
        </w:rPr>
        <w:t>cyberattacks, 53, 121–122</w:t>
      </w:r>
    </w:p>
    <w:p>
      <w:pPr>
        <w:pStyle w:val="ListBullet"/>
      </w:pPr>
      <w:r>
        <w:rPr>
          <w:b w:val="0"/>
          <w:i w:val="0"/>
        </w:rPr>
        <w:t>cybersecurity, 22</w:t>
      </w:r>
    </w:p>
    <w:p>
      <w:pPr>
        <w:pStyle w:val="ListBullet"/>
      </w:pPr>
      <w:r>
        <w:rPr>
          <w:b w:val="0"/>
          <w:i w:val="0"/>
        </w:rPr>
        <w:t>privacy and, 47–52</w:t>
      </w:r>
    </w:p>
    <w:p>
      <w:pPr>
        <w:pStyle w:val="ListBullet"/>
      </w:pPr>
      <w:r>
        <w:rPr>
          <w:b w:val="0"/>
          <w:i w:val="0"/>
        </w:rPr>
        <w:t>cybersecurity alliances</w:t>
      </w:r>
    </w:p>
    <w:p>
      <w:pPr>
        <w:pStyle w:val="ListBullet"/>
      </w:pPr>
      <w:r>
        <w:rPr>
          <w:b w:val="0"/>
          <w:i w:val="0"/>
        </w:rPr>
        <w:t>companies forming, 121–129</w:t>
      </w:r>
    </w:p>
    <w:p>
      <w:pPr>
        <w:pStyle w:val="ListBullet"/>
      </w:pPr>
      <w:r>
        <w:rPr>
          <w:b w:val="0"/>
          <w:i w:val="0"/>
        </w:rPr>
        <w:t>nations and, 125–127</w:t>
      </w:r>
    </w:p>
    <w:p>
      <w:pPr>
        <w:pStyle w:val="ListBullet"/>
      </w:pPr>
      <w:r>
        <w:rPr>
          <w:b w:val="0"/>
          <w:i w:val="0"/>
        </w:rPr>
        <w:t>normative, 122, 123–124, 128</w:t>
      </w:r>
    </w:p>
    <w:p>
      <w:pPr>
        <w:pStyle w:val="ListBullet"/>
      </w:pPr>
      <w:r>
        <w:rPr>
          <w:b w:val="0"/>
          <w:i w:val="0"/>
        </w:rPr>
        <w:t>operational, 122–123, 128</w:t>
      </w:r>
    </w:p>
    <w:p>
      <w:pPr>
        <w:pStyle w:val="ListBullet"/>
      </w:pPr>
      <w:r>
        <w:rPr>
          <w:b w:val="0"/>
          <w:i w:val="0"/>
        </w:rPr>
        <w:t>reasons for firms not to join, 124–125, 129</w:t>
      </w:r>
    </w:p>
    <w:p>
      <w:pPr>
        <w:pStyle w:val="ListBullet"/>
      </w:pPr>
      <w:r>
        <w:rPr>
          <w:b w:val="0"/>
          <w:i w:val="0"/>
        </w:rPr>
        <w:t>damages, liability, 26, 27</w:t>
      </w:r>
    </w:p>
    <w:p>
      <w:pPr>
        <w:pStyle w:val="ListBullet"/>
      </w:pPr>
      <w:r>
        <w:rPr>
          <w:b w:val="0"/>
          <w:i w:val="0"/>
        </w:rPr>
        <w:t>data, aggregated vs. personal, 23</w:t>
      </w:r>
    </w:p>
    <w:p>
      <w:pPr>
        <w:pStyle w:val="ListBullet"/>
      </w:pPr>
      <w:r>
        <w:rPr>
          <w:b w:val="0"/>
          <w:i w:val="0"/>
        </w:rPr>
        <w:t>data, deglobalization of, 112–113</w:t>
      </w:r>
    </w:p>
    <w:p>
      <w:pPr>
        <w:pStyle w:val="ListBullet"/>
      </w:pPr>
      <w:r>
        <w:rPr>
          <w:b w:val="0"/>
          <w:i w:val="0"/>
        </w:rPr>
        <w:t>data breaches, xii, 50</w:t>
      </w:r>
    </w:p>
    <w:p>
      <w:pPr>
        <w:pStyle w:val="ListBullet"/>
      </w:pPr>
      <w:r>
        <w:rPr>
          <w:b w:val="0"/>
          <w:i w:val="0"/>
        </w:rPr>
        <w:t>Anthem, 55</w:t>
      </w:r>
    </w:p>
    <w:p>
      <w:pPr>
        <w:pStyle w:val="ListBullet"/>
      </w:pPr>
      <w:r>
        <w:rPr>
          <w:b w:val="0"/>
          <w:i w:val="0"/>
        </w:rPr>
        <w:t>Citigroup, 61</w:t>
      </w:r>
    </w:p>
    <w:p>
      <w:pPr>
        <w:pStyle w:val="ListBullet"/>
      </w:pPr>
      <w:r>
        <w:rPr>
          <w:b w:val="0"/>
          <w:i w:val="0"/>
        </w:rPr>
        <w:t>data-opolies and implications of, 37–38</w:t>
      </w:r>
    </w:p>
    <w:p>
      <w:pPr>
        <w:pStyle w:val="ListBullet"/>
      </w:pPr>
      <w:r>
        <w:rPr>
          <w:b w:val="0"/>
          <w:i w:val="0"/>
        </w:rPr>
        <w:t>Facebook, xiii</w:t>
      </w:r>
    </w:p>
    <w:p>
      <w:pPr>
        <w:pStyle w:val="ListBullet"/>
      </w:pPr>
      <w:r>
        <w:rPr>
          <w:b w:val="0"/>
          <w:i w:val="0"/>
        </w:rPr>
        <w:t>harm to firm rivals due to spillover effects, 53, 54–55, 65</w:t>
      </w:r>
    </w:p>
    <w:p>
      <w:pPr>
        <w:pStyle w:val="ListBullet"/>
      </w:pPr>
      <w:r>
        <w:rPr>
          <w:b w:val="0"/>
          <w:i w:val="0"/>
        </w:rPr>
        <w:t>help for firms because of competitive effects, 54, 55</w:t>
      </w:r>
    </w:p>
    <w:p>
      <w:pPr>
        <w:pStyle w:val="ListBullet"/>
      </w:pPr>
      <w:r>
        <w:rPr>
          <w:b w:val="0"/>
          <w:i w:val="0"/>
        </w:rPr>
        <w:t>Marriott, 50</w:t>
      </w:r>
    </w:p>
    <w:p>
      <w:pPr>
        <w:pStyle w:val="ListBullet"/>
      </w:pPr>
      <w:r>
        <w:rPr>
          <w:b w:val="0"/>
          <w:i w:val="0"/>
        </w:rPr>
        <w:t>number of customers affected and effects on firm rivals, 55–56</w:t>
      </w:r>
    </w:p>
    <w:p>
      <w:pPr>
        <w:pStyle w:val="ListBullet"/>
      </w:pPr>
      <w:r>
        <w:rPr>
          <w:b w:val="0"/>
          <w:i w:val="0"/>
        </w:rPr>
        <w:t>Nvidia, 54–55</w:t>
      </w:r>
    </w:p>
    <w:p>
      <w:pPr>
        <w:pStyle w:val="ListBullet"/>
      </w:pPr>
      <w:r>
        <w:rPr>
          <w:b w:val="0"/>
          <w:i w:val="0"/>
        </w:rPr>
        <w:t>privacy policy and lack of financial harm from, 54</w:t>
      </w:r>
    </w:p>
    <w:p>
      <w:pPr>
        <w:pStyle w:val="ListBullet"/>
      </w:pPr>
      <w:r>
        <w:rPr>
          <w:b w:val="0"/>
          <w:i w:val="0"/>
        </w:rPr>
        <w:t>providing information on, 25, 28</w:t>
      </w:r>
    </w:p>
    <w:p>
      <w:pPr>
        <w:pStyle w:val="ListBullet"/>
      </w:pPr>
      <w:r>
        <w:rPr>
          <w:b w:val="0"/>
          <w:i w:val="0"/>
        </w:rPr>
        <w:t>strategies to protect firms against, 56</w:t>
      </w:r>
    </w:p>
    <w:p>
      <w:pPr>
        <w:pStyle w:val="ListBullet"/>
      </w:pPr>
      <w:r>
        <w:rPr>
          <w:b w:val="0"/>
          <w:i w:val="0"/>
        </w:rPr>
        <w:t>data brokers, xii, 15</w:t>
      </w:r>
    </w:p>
    <w:p>
      <w:pPr>
        <w:pStyle w:val="ListBullet"/>
      </w:pPr>
      <w:r>
        <w:rPr>
          <w:b w:val="0"/>
          <w:i w:val="0"/>
        </w:rPr>
        <w:t>data governance, 21–24</w:t>
      </w:r>
    </w:p>
    <w:p>
      <w:pPr>
        <w:pStyle w:val="ListBullet"/>
      </w:pPr>
      <w:r>
        <w:rPr>
          <w:b w:val="0"/>
          <w:i w:val="0"/>
        </w:rPr>
        <w:t>data-harvesting practices</w:t>
      </w:r>
    </w:p>
    <w:p>
      <w:pPr>
        <w:pStyle w:val="ListBullet"/>
      </w:pPr>
      <w:r>
        <w:rPr>
          <w:b w:val="0"/>
          <w:i w:val="0"/>
        </w:rPr>
        <w:t>Facebook and, 4</w:t>
      </w:r>
    </w:p>
    <w:p>
      <w:pPr>
        <w:pStyle w:val="ListBullet"/>
      </w:pPr>
      <w:r>
        <w:rPr>
          <w:b w:val="0"/>
          <w:i w:val="0"/>
        </w:rPr>
        <w:t>restrictions on, 25, 29</w:t>
      </w:r>
    </w:p>
    <w:p>
      <w:pPr>
        <w:pStyle w:val="ListBullet"/>
      </w:pPr>
      <w:r>
        <w:rPr>
          <w:b w:val="0"/>
          <w:i w:val="0"/>
        </w:rPr>
        <w:t>data islands, 112, 114, 118</w:t>
      </w:r>
    </w:p>
    <w:p>
      <w:pPr>
        <w:pStyle w:val="ListBullet"/>
      </w:pPr>
      <w:r>
        <w:rPr>
          <w:b w:val="0"/>
          <w:i w:val="0"/>
        </w:rPr>
        <w:t>data-opolies, 31–46</w:t>
      </w:r>
    </w:p>
    <w:p>
      <w:pPr>
        <w:pStyle w:val="ListBullet"/>
      </w:pPr>
      <w:r>
        <w:rPr>
          <w:b w:val="0"/>
          <w:i w:val="0"/>
        </w:rPr>
        <w:t>behavioral discrimination and, 39</w:t>
      </w:r>
    </w:p>
    <w:p>
      <w:pPr>
        <w:pStyle w:val="ListBullet"/>
      </w:pPr>
      <w:r>
        <w:rPr>
          <w:b w:val="0"/>
          <w:i w:val="0"/>
        </w:rPr>
        <w:t>Cambridge Analytica scandal and, 31–32</w:t>
      </w:r>
    </w:p>
    <w:p>
      <w:pPr>
        <w:pStyle w:val="ListBullet"/>
      </w:pPr>
      <w:r>
        <w:rPr>
          <w:b w:val="0"/>
          <w:i w:val="0"/>
        </w:rPr>
        <w:t>costs on third parties and, 40–41</w:t>
      </w:r>
    </w:p>
    <w:p>
      <w:pPr>
        <w:pStyle w:val="ListBullet"/>
      </w:pPr>
      <w:r>
        <w:rPr>
          <w:b w:val="0"/>
          <w:i w:val="0"/>
        </w:rPr>
        <w:t>data policy violation and, 37–38</w:t>
      </w:r>
    </w:p>
    <w:p>
      <w:pPr>
        <w:pStyle w:val="ListBullet"/>
      </w:pPr>
      <w:r>
        <w:rPr>
          <w:b w:val="0"/>
          <w:i w:val="0"/>
        </w:rPr>
        <w:t>Europe’s action against, 33–34</w:t>
      </w:r>
    </w:p>
    <w:p>
      <w:pPr>
        <w:pStyle w:val="ListBullet"/>
      </w:pPr>
      <w:r>
        <w:rPr>
          <w:b w:val="0"/>
          <w:i w:val="0"/>
        </w:rPr>
        <w:t>flow of data through, 32–33</w:t>
      </w:r>
    </w:p>
    <w:p>
      <w:pPr>
        <w:pStyle w:val="ListBullet"/>
      </w:pPr>
      <w:r>
        <w:rPr>
          <w:b w:val="0"/>
          <w:i w:val="0"/>
        </w:rPr>
        <w:t>global antitrust enforcement and, 45</w:t>
      </w:r>
    </w:p>
    <w:p>
      <w:pPr>
        <w:pStyle w:val="ListBullet"/>
      </w:pPr>
      <w:r>
        <w:rPr>
          <w:b w:val="0"/>
          <w:i w:val="0"/>
        </w:rPr>
        <w:t>harm from, 35–44</w:t>
      </w:r>
    </w:p>
    <w:p>
      <w:pPr>
        <w:pStyle w:val="ListBullet"/>
      </w:pPr>
      <w:r>
        <w:rPr>
          <w:b w:val="0"/>
          <w:i w:val="0"/>
        </w:rPr>
        <w:t>less innovation in markets dominated by, 41–42, 46</w:t>
      </w:r>
    </w:p>
    <w:p>
      <w:pPr>
        <w:pStyle w:val="ListBullet"/>
      </w:pPr>
      <w:r>
        <w:rPr>
          <w:b w:val="0"/>
          <w:i w:val="0"/>
        </w:rPr>
        <w:t>limiting power of, 44–45</w:t>
      </w:r>
    </w:p>
    <w:p>
      <w:pPr>
        <w:pStyle w:val="ListBullet"/>
      </w:pPr>
      <w:r>
        <w:rPr>
          <w:b w:val="0"/>
          <w:i w:val="0"/>
        </w:rPr>
        <w:t>loss of trust and, 40</w:t>
      </w:r>
    </w:p>
    <w:p>
      <w:pPr>
        <w:pStyle w:val="ListBullet"/>
      </w:pPr>
      <w:r>
        <w:rPr>
          <w:b w:val="0"/>
          <w:i w:val="0"/>
        </w:rPr>
        <w:t>lower-quality products with less privacy and, 36</w:t>
      </w:r>
    </w:p>
    <w:p>
      <w:pPr>
        <w:pStyle w:val="ListBullet"/>
      </w:pPr>
      <w:r>
        <w:rPr>
          <w:b w:val="0"/>
          <w:i w:val="0"/>
        </w:rPr>
        <w:t>political concerns, 43–44</w:t>
      </w:r>
    </w:p>
    <w:p>
      <w:pPr>
        <w:pStyle w:val="ListBullet"/>
      </w:pPr>
      <w:r>
        <w:rPr>
          <w:b w:val="0"/>
          <w:i w:val="0"/>
        </w:rPr>
        <w:t>security risks and, 36–38, 46</w:t>
      </w:r>
    </w:p>
    <w:p>
      <w:pPr>
        <w:pStyle w:val="ListBullet"/>
      </w:pPr>
      <w:r>
        <w:rPr>
          <w:b w:val="0"/>
          <w:i w:val="0"/>
        </w:rPr>
        <w:t>social and moral concerns, 42–43</w:t>
      </w:r>
    </w:p>
    <w:p>
      <w:pPr>
        <w:pStyle w:val="ListBullet"/>
      </w:pPr>
      <w:r>
        <w:rPr>
          <w:b w:val="0"/>
          <w:i w:val="0"/>
        </w:rPr>
        <w:t>surveillance and security risks and, 36–38, 46</w:t>
      </w:r>
    </w:p>
    <w:p>
      <w:pPr>
        <w:pStyle w:val="ListBullet"/>
      </w:pPr>
      <w:r>
        <w:rPr>
          <w:b w:val="0"/>
          <w:i w:val="0"/>
        </w:rPr>
        <w:t>U.S. antitrust and, 33–35</w:t>
      </w:r>
    </w:p>
    <w:p>
      <w:pPr>
        <w:pStyle w:val="ListBullet"/>
      </w:pPr>
      <w:r>
        <w:rPr>
          <w:b w:val="0"/>
          <w:i w:val="0"/>
        </w:rPr>
        <w:t>wealth transfer to, 38–39, 46</w:t>
      </w:r>
    </w:p>
    <w:p>
      <w:pPr>
        <w:pStyle w:val="ListBullet"/>
      </w:pPr>
      <w:r>
        <w:rPr>
          <w:b w:val="0"/>
          <w:i w:val="0"/>
        </w:rPr>
        <w:t xml:space="preserve">digital agency, 21. </w:t>
      </w:r>
      <w:r>
        <w:rPr>
          <w:b w:val="0"/>
          <w:i/>
        </w:rPr>
        <w:t>See also</w:t>
      </w:r>
      <w:r>
        <w:rPr>
          <w:b w:val="0"/>
          <w:i w:val="0"/>
        </w:rPr>
        <w:t xml:space="preserve"> data governance</w:t>
      </w:r>
    </w:p>
    <w:p>
      <w:pPr>
        <w:pStyle w:val="ListBullet"/>
      </w:pPr>
      <w:r>
        <w:rPr>
          <w:b w:val="0"/>
          <w:i w:val="0"/>
        </w:rPr>
        <w:t>digital isolationism, 126–127</w:t>
      </w:r>
    </w:p>
    <w:p>
      <w:pPr>
        <w:pStyle w:val="ListBullet"/>
      </w:pPr>
      <w:r>
        <w:rPr>
          <w:b w:val="0"/>
          <w:i w:val="0"/>
        </w:rPr>
        <w:t>digital payments, 113</w:t>
      </w:r>
    </w:p>
    <w:p>
      <w:pPr>
        <w:pStyle w:val="ListBullet"/>
      </w:pPr>
      <w:r>
        <w:rPr>
          <w:b w:val="0"/>
          <w:i w:val="0"/>
        </w:rPr>
        <w:t>digital peace, 123, 124</w:t>
      </w:r>
    </w:p>
    <w:p>
      <w:pPr>
        <w:pStyle w:val="ListBullet"/>
      </w:pPr>
      <w:r>
        <w:rPr>
          <w:b w:val="0"/>
          <w:i w:val="0"/>
        </w:rPr>
        <w:t>digital protectionism, dangers of, 111–119</w:t>
      </w:r>
    </w:p>
    <w:p>
      <w:pPr>
        <w:pStyle w:val="ListBullet"/>
      </w:pPr>
      <w:r>
        <w:rPr>
          <w:b w:val="0"/>
          <w:i w:val="0"/>
        </w:rPr>
        <w:t>data is deglobalizing, 112–113</w:t>
      </w:r>
    </w:p>
    <w:p>
      <w:pPr>
        <w:pStyle w:val="ListBullet"/>
      </w:pPr>
      <w:r>
        <w:rPr>
          <w:b w:val="0"/>
          <w:i w:val="0"/>
        </w:rPr>
        <w:t>what policy makers should consider, 114–117, 118</w:t>
      </w:r>
    </w:p>
    <w:p>
      <w:pPr>
        <w:pStyle w:val="ListBullet"/>
      </w:pPr>
      <w:r>
        <w:rPr>
          <w:b w:val="0"/>
          <w:i w:val="0"/>
        </w:rPr>
        <w:t xml:space="preserve">digital surveillance, xii, 76. </w:t>
      </w:r>
      <w:r>
        <w:rPr>
          <w:b w:val="0"/>
          <w:i/>
        </w:rPr>
        <w:t>See also</w:t>
      </w:r>
      <w:r>
        <w:rPr>
          <w:b w:val="0"/>
          <w:i w:val="0"/>
        </w:rPr>
        <w:t xml:space="preserve"> surveillance economy</w:t>
      </w:r>
    </w:p>
    <w:p>
      <w:pPr>
        <w:pStyle w:val="ListBullet"/>
      </w:pPr>
      <w:r>
        <w:rPr>
          <w:b w:val="0"/>
          <w:i w:val="0"/>
        </w:rPr>
        <w:t>Dobrygowski, Daniel, 121–129</w:t>
      </w:r>
    </w:p>
    <w:p>
      <w:pPr>
        <w:pStyle w:val="ListBullet"/>
      </w:pPr>
      <w:r>
        <w:rPr>
          <w:b w:val="0"/>
          <w:i w:val="0"/>
        </w:rPr>
        <w:t>endowment effect, 7–8</w:t>
      </w:r>
    </w:p>
    <w:p>
      <w:pPr>
        <w:pStyle w:val="ListBullet"/>
      </w:pPr>
      <w:r>
        <w:rPr>
          <w:b w:val="0"/>
          <w:i w:val="0"/>
        </w:rPr>
        <w:t>European Union</w:t>
      </w:r>
    </w:p>
    <w:p>
      <w:pPr>
        <w:pStyle w:val="ListBullet"/>
      </w:pPr>
      <w:r>
        <w:rPr>
          <w:b w:val="0"/>
          <w:i w:val="0"/>
        </w:rPr>
        <w:t>actions against data-opolies, 33–35</w:t>
      </w:r>
    </w:p>
    <w:p>
      <w:pPr>
        <w:pStyle w:val="ListBullet"/>
      </w:pPr>
      <w:r>
        <w:rPr>
          <w:b w:val="0"/>
          <w:i w:val="0"/>
        </w:rPr>
        <w:t>General Data Protection Regulation, xi, 24, 68, 92, 113</w:t>
      </w:r>
    </w:p>
    <w:p>
      <w:pPr>
        <w:pStyle w:val="ListBullet"/>
      </w:pPr>
      <w:r>
        <w:rPr>
          <w:b w:val="0"/>
          <w:i w:val="0"/>
        </w:rPr>
        <w:t>Paris Call for Trust and Security in Cyberspace, 125–126</w:t>
      </w:r>
    </w:p>
    <w:p>
      <w:pPr>
        <w:pStyle w:val="ListBullet"/>
      </w:pPr>
      <w:r>
        <w:rPr>
          <w:b w:val="0"/>
          <w:i w:val="0"/>
        </w:rPr>
        <w:t>provisions to make data flows part of future trade pacts, 115–116</w:t>
      </w:r>
    </w:p>
    <w:p>
      <w:pPr>
        <w:pStyle w:val="ListBullet"/>
      </w:pPr>
      <w:r>
        <w:rPr>
          <w:b w:val="0"/>
          <w:i w:val="0"/>
        </w:rPr>
        <w:t>experience, customer privacy and, 71, 73</w:t>
      </w:r>
    </w:p>
    <w:p>
      <w:pPr>
        <w:pStyle w:val="ListBullet"/>
      </w:pPr>
      <w:r>
        <w:rPr>
          <w:b w:val="0"/>
          <w:i w:val="0"/>
        </w:rPr>
        <w:t>experiences, personalized, use of consumer data for targeted marketing, xii</w:t>
      </w:r>
    </w:p>
    <w:p>
      <w:pPr>
        <w:pStyle w:val="ListBullet"/>
      </w:pPr>
      <w:r>
        <w:rPr>
          <w:b w:val="0"/>
          <w:i w:val="0"/>
        </w:rPr>
        <w:t>Facebook</w:t>
      </w:r>
    </w:p>
    <w:p>
      <w:pPr>
        <w:pStyle w:val="ListBullet"/>
      </w:pPr>
      <w:r>
        <w:rPr>
          <w:b w:val="0"/>
          <w:i w:val="0"/>
        </w:rPr>
        <w:t>advertising duopoly with Google, 101–102, 106</w:t>
      </w:r>
    </w:p>
    <w:p>
      <w:pPr>
        <w:pStyle w:val="ListBullet"/>
      </w:pPr>
      <w:r>
        <w:rPr>
          <w:b w:val="0"/>
          <w:i w:val="0"/>
        </w:rPr>
        <w:t>apps selling user information obtained on, 14–15</w:t>
      </w:r>
    </w:p>
    <w:p>
      <w:pPr>
        <w:pStyle w:val="ListBullet"/>
      </w:pPr>
      <w:r>
        <w:rPr>
          <w:b w:val="0"/>
          <w:i w:val="0"/>
        </w:rPr>
        <w:t>Cambridge Analytica and, 25, 32, 49</w:t>
      </w:r>
    </w:p>
    <w:p>
      <w:pPr>
        <w:pStyle w:val="ListBullet"/>
      </w:pPr>
      <w:r>
        <w:rPr>
          <w:b w:val="0"/>
          <w:i w:val="0"/>
        </w:rPr>
        <w:t>conflict with major powers, 124</w:t>
      </w:r>
    </w:p>
    <w:p>
      <w:pPr>
        <w:pStyle w:val="ListBullet"/>
      </w:pPr>
      <w:r>
        <w:rPr>
          <w:b w:val="0"/>
          <w:i w:val="0"/>
        </w:rPr>
        <w:t>content control and, 78</w:t>
      </w:r>
    </w:p>
    <w:p>
      <w:pPr>
        <w:pStyle w:val="ListBullet"/>
      </w:pPr>
      <w:r>
        <w:rPr>
          <w:b w:val="0"/>
          <w:i w:val="0"/>
        </w:rPr>
        <w:t>data breaches, xiii</w:t>
      </w:r>
    </w:p>
    <w:p>
      <w:pPr>
        <w:pStyle w:val="ListBullet"/>
      </w:pPr>
      <w:r>
        <w:rPr>
          <w:b w:val="0"/>
          <w:i w:val="0"/>
        </w:rPr>
        <w:t>data collection and, 4</w:t>
      </w:r>
    </w:p>
    <w:p>
      <w:pPr>
        <w:pStyle w:val="ListBullet"/>
      </w:pPr>
      <w:r>
        <w:rPr>
          <w:b w:val="0"/>
          <w:i w:val="0"/>
        </w:rPr>
        <w:t>as data-opoly, 32–33</w:t>
      </w:r>
    </w:p>
    <w:p>
      <w:pPr>
        <w:pStyle w:val="ListBullet"/>
      </w:pPr>
      <w:r>
        <w:rPr>
          <w:b w:val="0"/>
          <w:i w:val="0"/>
        </w:rPr>
        <w:t>desire to disclose and, 12</w:t>
      </w:r>
    </w:p>
    <w:p>
      <w:pPr>
        <w:pStyle w:val="ListBullet"/>
      </w:pPr>
      <w:r>
        <w:rPr>
          <w:b w:val="0"/>
          <w:i w:val="0"/>
        </w:rPr>
        <w:t>emotional contagion study, 43–44</w:t>
      </w:r>
    </w:p>
    <w:p>
      <w:pPr>
        <w:pStyle w:val="ListBullet"/>
      </w:pPr>
      <w:r>
        <w:rPr>
          <w:b w:val="0"/>
          <w:i w:val="0"/>
        </w:rPr>
        <w:t>European actions against, 33–34</w:t>
      </w:r>
    </w:p>
    <w:p>
      <w:pPr>
        <w:pStyle w:val="ListBullet"/>
      </w:pPr>
      <w:r>
        <w:rPr>
          <w:b w:val="0"/>
          <w:i w:val="0"/>
        </w:rPr>
        <w:t>“free” consumer products on, 35</w:t>
      </w:r>
    </w:p>
    <w:p>
      <w:pPr>
        <w:pStyle w:val="ListBullet"/>
      </w:pPr>
      <w:r>
        <w:rPr>
          <w:b w:val="0"/>
          <w:i w:val="0"/>
        </w:rPr>
        <w:t>monetization of likes, 14</w:t>
      </w:r>
    </w:p>
    <w:p>
      <w:pPr>
        <w:pStyle w:val="ListBullet"/>
      </w:pPr>
      <w:r>
        <w:rPr>
          <w:b w:val="0"/>
          <w:i w:val="0"/>
        </w:rPr>
        <w:t>political concerns about, 82–83</w:t>
      </w:r>
    </w:p>
    <w:p>
      <w:pPr>
        <w:pStyle w:val="ListBullet"/>
      </w:pPr>
      <w:r>
        <w:rPr>
          <w:b w:val="0"/>
          <w:i w:val="0"/>
        </w:rPr>
        <w:t>Portal, xiii</w:t>
      </w:r>
    </w:p>
    <w:p>
      <w:pPr>
        <w:pStyle w:val="ListBullet"/>
      </w:pPr>
      <w:r>
        <w:rPr>
          <w:b w:val="0"/>
          <w:i w:val="0"/>
        </w:rPr>
        <w:t>pushing content in feeds, 77</w:t>
      </w:r>
    </w:p>
    <w:p>
      <w:pPr>
        <w:pStyle w:val="ListBullet"/>
      </w:pPr>
      <w:r>
        <w:rPr>
          <w:b w:val="0"/>
          <w:i w:val="0"/>
        </w:rPr>
        <w:t>social concerns about, 42, 43</w:t>
      </w:r>
    </w:p>
    <w:p>
      <w:pPr>
        <w:pStyle w:val="ListBullet"/>
      </w:pPr>
      <w:r>
        <w:rPr>
          <w:b w:val="0"/>
          <w:i w:val="0"/>
        </w:rPr>
        <w:t>surveillance economy and, 18</w:t>
      </w:r>
    </w:p>
    <w:p>
      <w:pPr>
        <w:pStyle w:val="ListBullet"/>
      </w:pPr>
      <w:r>
        <w:rPr>
          <w:b w:val="0"/>
          <w:i w:val="0"/>
        </w:rPr>
        <w:t>targeted advertising and exclusion of classes of people, 76</w:t>
      </w:r>
    </w:p>
    <w:p>
      <w:pPr>
        <w:pStyle w:val="ListBullet"/>
      </w:pPr>
      <w:r>
        <w:rPr>
          <w:b w:val="0"/>
          <w:i w:val="0"/>
        </w:rPr>
        <w:t>as third-party data broker, 100</w:t>
      </w:r>
    </w:p>
    <w:p>
      <w:pPr>
        <w:pStyle w:val="ListBullet"/>
      </w:pPr>
      <w:r>
        <w:rPr>
          <w:b w:val="0"/>
          <w:i w:val="0"/>
        </w:rPr>
        <w:t>use by Russia to interfere in 2016 U.S. presidential election, 32</w:t>
      </w:r>
    </w:p>
    <w:p>
      <w:pPr>
        <w:pStyle w:val="ListBullet"/>
      </w:pPr>
      <w:r>
        <w:rPr>
          <w:b w:val="0"/>
          <w:i w:val="0"/>
        </w:rPr>
        <w:t>use of privacy defaults, 8</w:t>
      </w:r>
    </w:p>
    <w:p>
      <w:pPr>
        <w:pStyle w:val="ListBullet"/>
      </w:pPr>
      <w:r>
        <w:rPr>
          <w:b w:val="0"/>
          <w:i w:val="0"/>
        </w:rPr>
        <w:t>facial recognition software, 2</w:t>
      </w:r>
    </w:p>
    <w:p>
      <w:pPr>
        <w:pStyle w:val="ListBullet"/>
      </w:pPr>
      <w:r>
        <w:rPr>
          <w:b w:val="0"/>
          <w:i w:val="0"/>
        </w:rPr>
        <w:t>Fan, Ziyang, 111–119</w:t>
      </w:r>
    </w:p>
    <w:p>
      <w:pPr>
        <w:pStyle w:val="ListBullet"/>
      </w:pPr>
      <w:r>
        <w:rPr>
          <w:b w:val="0"/>
          <w:i w:val="0"/>
        </w:rPr>
        <w:t>Federal Trade Commission, 34, 84</w:t>
      </w:r>
    </w:p>
    <w:p>
      <w:pPr>
        <w:pStyle w:val="ListBullet"/>
      </w:pPr>
      <w:r>
        <w:rPr>
          <w:b w:val="0"/>
          <w:i w:val="0"/>
        </w:rPr>
        <w:t>federated ecosystem model for data sharing, 114–115, 118</w:t>
      </w:r>
    </w:p>
    <w:p>
      <w:pPr>
        <w:pStyle w:val="ListBullet"/>
      </w:pPr>
      <w:r>
        <w:rPr>
          <w:b w:val="0"/>
          <w:i w:val="0"/>
        </w:rPr>
        <w:t>fiduciaries, information, 80–86</w:t>
      </w:r>
    </w:p>
    <w:p>
      <w:pPr>
        <w:pStyle w:val="ListBullet"/>
      </w:pPr>
      <w:r>
        <w:rPr>
          <w:b w:val="0"/>
          <w:i w:val="0"/>
        </w:rPr>
        <w:t>firms</w:t>
      </w:r>
    </w:p>
    <w:p>
      <w:pPr>
        <w:pStyle w:val="ListBullet"/>
      </w:pPr>
      <w:r>
        <w:rPr>
          <w:b w:val="0"/>
          <w:i w:val="0"/>
        </w:rPr>
        <w:t>bombarding consumers with messages not relevant to interests, 90–91</w:t>
      </w:r>
    </w:p>
    <w:p>
      <w:pPr>
        <w:pStyle w:val="ListBullet"/>
      </w:pPr>
      <w:r>
        <w:rPr>
          <w:b w:val="0"/>
          <w:i w:val="0"/>
        </w:rPr>
        <w:t>formation of cybersecurity alliances by, 121–129</w:t>
      </w:r>
    </w:p>
    <w:p>
      <w:pPr>
        <w:pStyle w:val="ListBullet"/>
      </w:pPr>
      <w:r>
        <w:rPr>
          <w:b w:val="0"/>
          <w:i w:val="0"/>
        </w:rPr>
        <w:t>incentivizing sharing of personal data, 92–94</w:t>
      </w:r>
    </w:p>
    <w:p>
      <w:pPr>
        <w:pStyle w:val="ListBullet"/>
      </w:pPr>
      <w:r>
        <w:rPr>
          <w:b w:val="0"/>
          <w:i/>
        </w:rPr>
        <w:t>Fortune</w:t>
      </w:r>
      <w:r>
        <w:rPr>
          <w:b w:val="0"/>
          <w:i w:val="0"/>
        </w:rPr>
        <w:t xml:space="preserve"> 500 firms with transparent privacy policies, 58–64</w:t>
      </w:r>
    </w:p>
    <w:p>
      <w:pPr>
        <w:pStyle w:val="ListBullet"/>
      </w:pPr>
      <w:r>
        <w:rPr>
          <w:b w:val="0"/>
          <w:i w:val="0"/>
        </w:rPr>
        <w:t>company ranking methodology, 62–64</w:t>
      </w:r>
    </w:p>
    <w:p>
      <w:pPr>
        <w:pStyle w:val="ListBullet"/>
      </w:pPr>
      <w:r>
        <w:rPr>
          <w:b w:val="0"/>
          <w:i w:val="0"/>
        </w:rPr>
        <w:t>fraud verification via blockchain, 102, 103–104, 108</w:t>
      </w:r>
    </w:p>
    <w:p>
      <w:pPr>
        <w:pStyle w:val="ListBullet"/>
      </w:pPr>
      <w:r>
        <w:rPr>
          <w:b w:val="0"/>
          <w:i w:val="0"/>
        </w:rPr>
        <w:t>General Data Protection Regulation (GDPR), xii, 24, 68, 92, 113</w:t>
      </w:r>
    </w:p>
    <w:p>
      <w:pPr>
        <w:pStyle w:val="ListBullet"/>
      </w:pPr>
      <w:r>
        <w:rPr>
          <w:b w:val="0"/>
          <w:i w:val="0"/>
        </w:rPr>
        <w:t>Google, 8</w:t>
      </w:r>
    </w:p>
    <w:p>
      <w:pPr>
        <w:pStyle w:val="ListBullet"/>
      </w:pPr>
      <w:r>
        <w:rPr>
          <w:b w:val="0"/>
          <w:i w:val="0"/>
        </w:rPr>
        <w:t>advertising duopoly with Facebook, 101–102, 106</w:t>
      </w:r>
    </w:p>
    <w:p>
      <w:pPr>
        <w:pStyle w:val="ListBullet"/>
      </w:pPr>
      <w:r>
        <w:rPr>
          <w:b w:val="0"/>
          <w:i w:val="0"/>
        </w:rPr>
        <w:t>conflict with major powers, 124</w:t>
      </w:r>
    </w:p>
    <w:p>
      <w:pPr>
        <w:pStyle w:val="ListBullet"/>
      </w:pPr>
      <w:r>
        <w:rPr>
          <w:b w:val="0"/>
          <w:i w:val="0"/>
        </w:rPr>
        <w:t>as data-opoly, 32–33</w:t>
      </w:r>
    </w:p>
    <w:p>
      <w:pPr>
        <w:pStyle w:val="ListBullet"/>
      </w:pPr>
      <w:r>
        <w:rPr>
          <w:b w:val="0"/>
          <w:i w:val="0"/>
        </w:rPr>
        <w:t>EC shopping case, 33, 34, 42</w:t>
      </w:r>
    </w:p>
    <w:p>
      <w:pPr>
        <w:pStyle w:val="ListBullet"/>
      </w:pPr>
      <w:r>
        <w:rPr>
          <w:b w:val="0"/>
          <w:i w:val="0"/>
        </w:rPr>
        <w:t>European action against, 33, 34, 42</w:t>
      </w:r>
    </w:p>
    <w:p>
      <w:pPr>
        <w:pStyle w:val="ListBullet"/>
      </w:pPr>
      <w:r>
        <w:rPr>
          <w:b w:val="0"/>
          <w:i w:val="0"/>
        </w:rPr>
        <w:t>fined by European Commission, 33</w:t>
      </w:r>
    </w:p>
    <w:p>
      <w:pPr>
        <w:pStyle w:val="ListBullet"/>
      </w:pPr>
      <w:r>
        <w:rPr>
          <w:b w:val="0"/>
          <w:i w:val="0"/>
        </w:rPr>
        <w:t>“free” consumer products on, 35</w:t>
      </w:r>
    </w:p>
    <w:p>
      <w:pPr>
        <w:pStyle w:val="ListBullet"/>
      </w:pPr>
      <w:r>
        <w:rPr>
          <w:b w:val="0"/>
          <w:i w:val="0"/>
        </w:rPr>
        <w:t>revenue per active user via ads, 102</w:t>
      </w:r>
    </w:p>
    <w:p>
      <w:pPr>
        <w:pStyle w:val="ListBullet"/>
      </w:pPr>
      <w:r>
        <w:rPr>
          <w:b w:val="0"/>
          <w:i w:val="0"/>
        </w:rPr>
        <w:t>social concerns about, 42, 43</w:t>
      </w:r>
    </w:p>
    <w:p>
      <w:pPr>
        <w:pStyle w:val="ListBullet"/>
      </w:pPr>
      <w:r>
        <w:rPr>
          <w:b w:val="0"/>
          <w:i w:val="0"/>
        </w:rPr>
        <w:t>use by Russia to interfere in 2016 U.S. presidential election, 32</w:t>
      </w:r>
    </w:p>
    <w:p>
      <w:pPr>
        <w:pStyle w:val="ListBullet"/>
      </w:pPr>
      <w:r>
        <w:rPr>
          <w:b w:val="0"/>
          <w:i w:val="0"/>
        </w:rPr>
        <w:t>government, covert surveillance and tapping into data-opoly’s personal data collection, 37</w:t>
      </w:r>
    </w:p>
    <w:p>
      <w:pPr>
        <w:pStyle w:val="ListBullet"/>
      </w:pPr>
      <w:r>
        <w:rPr>
          <w:b w:val="0"/>
          <w:i w:val="0"/>
        </w:rPr>
        <w:t>government capture, of data-opolies, 37</w:t>
      </w:r>
    </w:p>
    <w:p>
      <w:pPr>
        <w:pStyle w:val="ListBullet"/>
      </w:pPr>
      <w:r>
        <w:rPr>
          <w:b w:val="0"/>
          <w:i w:val="0"/>
        </w:rPr>
        <w:t>government regulation</w:t>
      </w:r>
    </w:p>
    <w:p>
      <w:pPr>
        <w:pStyle w:val="ListBullet"/>
      </w:pPr>
      <w:r>
        <w:rPr>
          <w:b w:val="0"/>
          <w:i w:val="0"/>
        </w:rPr>
        <w:t>of digital surveillance, xii</w:t>
      </w:r>
    </w:p>
    <w:p>
      <w:pPr>
        <w:pStyle w:val="ListBullet"/>
      </w:pPr>
      <w:r>
        <w:rPr>
          <w:b w:val="0"/>
          <w:i w:val="0"/>
        </w:rPr>
        <w:t>guidance for, 20–29</w:t>
      </w:r>
    </w:p>
    <w:p>
      <w:pPr>
        <w:pStyle w:val="ListBullet"/>
      </w:pPr>
      <w:r>
        <w:rPr>
          <w:b w:val="0"/>
          <w:i w:val="0"/>
        </w:rPr>
        <w:t>of personal data collection, xv, xvi, 19–20</w:t>
      </w:r>
    </w:p>
    <w:p>
      <w:pPr>
        <w:pStyle w:val="ListBullet"/>
      </w:pPr>
      <w:r>
        <w:rPr>
          <w:b w:val="0"/>
          <w:i w:val="0"/>
        </w:rPr>
        <w:t>strict liability for use of personal data, 26–27</w:t>
      </w:r>
    </w:p>
    <w:p>
      <w:pPr>
        <w:pStyle w:val="ListBullet"/>
      </w:pPr>
      <w:r>
        <w:rPr>
          <w:b w:val="0"/>
          <w:i w:val="0"/>
        </w:rPr>
        <w:t>Gupta, Anil, 111–119</w:t>
      </w:r>
    </w:p>
    <w:p>
      <w:pPr>
        <w:pStyle w:val="ListBullet"/>
      </w:pPr>
      <w:r>
        <w:rPr>
          <w:b w:val="0"/>
          <w:i w:val="0"/>
        </w:rPr>
        <w:t>Harvey, Campbell R., 97–109</w:t>
      </w:r>
    </w:p>
    <w:p>
      <w:pPr>
        <w:pStyle w:val="ListBullet"/>
      </w:pPr>
      <w:r>
        <w:rPr>
          <w:b w:val="0"/>
          <w:i w:val="0"/>
        </w:rPr>
        <w:t>HCA Holdings, 60, 61</w:t>
      </w:r>
    </w:p>
    <w:p>
      <w:pPr>
        <w:pStyle w:val="ListBullet"/>
      </w:pPr>
      <w:r>
        <w:rPr>
          <w:b w:val="0"/>
          <w:i w:val="0"/>
        </w:rPr>
        <w:t>health data, sharing, 114–115</w:t>
      </w:r>
    </w:p>
    <w:p>
      <w:pPr>
        <w:pStyle w:val="ListBullet"/>
      </w:pPr>
      <w:r>
        <w:rPr>
          <w:b w:val="0"/>
          <w:i w:val="0"/>
        </w:rPr>
        <w:t>HP, 58, 59</w:t>
      </w:r>
    </w:p>
    <w:p>
      <w:pPr>
        <w:pStyle w:val="ListBullet"/>
      </w:pPr>
      <w:r>
        <w:rPr>
          <w:b w:val="0"/>
          <w:i w:val="0"/>
        </w:rPr>
        <w:t>identity theft, beliefs about risk of, 9</w:t>
      </w:r>
    </w:p>
    <w:p>
      <w:pPr>
        <w:pStyle w:val="ListBullet"/>
      </w:pPr>
      <w:r>
        <w:rPr>
          <w:b w:val="0"/>
          <w:i w:val="0"/>
        </w:rPr>
        <w:t>India</w:t>
      </w:r>
    </w:p>
    <w:p>
      <w:pPr>
        <w:pStyle w:val="ListBullet"/>
      </w:pPr>
      <w:r>
        <w:rPr>
          <w:b w:val="0"/>
          <w:i w:val="0"/>
        </w:rPr>
        <w:t>aggregation of global data by central bank, 115</w:t>
      </w:r>
    </w:p>
    <w:p>
      <w:pPr>
        <w:pStyle w:val="ListBullet"/>
      </w:pPr>
      <w:r>
        <w:rPr>
          <w:b w:val="0"/>
          <w:i w:val="0"/>
        </w:rPr>
        <w:t>use of digital payments, 113</w:t>
      </w:r>
    </w:p>
    <w:p>
      <w:pPr>
        <w:pStyle w:val="ListBullet"/>
      </w:pPr>
      <w:r>
        <w:rPr>
          <w:b w:val="0"/>
          <w:i w:val="0"/>
        </w:rPr>
        <w:t>information fiduciaries, 26, 80–86</w:t>
      </w:r>
    </w:p>
    <w:p>
      <w:pPr>
        <w:pStyle w:val="ListBullet"/>
      </w:pPr>
      <w:r>
        <w:rPr>
          <w:b w:val="0"/>
          <w:i w:val="0"/>
        </w:rPr>
        <w:t>establishing, 83–84, 86</w:t>
      </w:r>
    </w:p>
    <w:p>
      <w:pPr>
        <w:pStyle w:val="ListBullet"/>
      </w:pPr>
      <w:r>
        <w:rPr>
          <w:b w:val="0"/>
          <w:i w:val="0"/>
        </w:rPr>
        <w:t>privacy protections and, 81–82</w:t>
      </w:r>
    </w:p>
    <w:p>
      <w:pPr>
        <w:pStyle w:val="ListBullet"/>
      </w:pPr>
      <w:r>
        <w:rPr>
          <w:b w:val="0"/>
          <w:i w:val="0"/>
        </w:rPr>
        <w:t>targeted advertising and, 80, 86</w:t>
      </w:r>
    </w:p>
    <w:p>
      <w:pPr>
        <w:pStyle w:val="ListBullet"/>
      </w:pPr>
      <w:r>
        <w:rPr>
          <w:b w:val="0"/>
          <w:i w:val="0"/>
        </w:rPr>
        <w:t xml:space="preserve">informed consent, data privacy and, 3. </w:t>
      </w:r>
      <w:r>
        <w:rPr>
          <w:b w:val="0"/>
          <w:i/>
        </w:rPr>
        <w:t>See also</w:t>
      </w:r>
      <w:r>
        <w:rPr>
          <w:b w:val="0"/>
          <w:i w:val="0"/>
        </w:rPr>
        <w:t xml:space="preserve"> consent</w:t>
      </w:r>
    </w:p>
    <w:p>
      <w:pPr>
        <w:pStyle w:val="ListBullet"/>
      </w:pPr>
      <w:r>
        <w:rPr>
          <w:b w:val="0"/>
          <w:i w:val="0"/>
        </w:rPr>
        <w:t>innovation, data-opolies and less, 41–42</w:t>
      </w:r>
    </w:p>
    <w:p>
      <w:pPr>
        <w:pStyle w:val="ListBullet"/>
      </w:pPr>
      <w:r>
        <w:rPr>
          <w:b w:val="0"/>
          <w:i w:val="0"/>
        </w:rPr>
        <w:t>internet, surveillance economy and, 2, 13–18</w:t>
      </w:r>
    </w:p>
    <w:p>
      <w:pPr>
        <w:pStyle w:val="ListBullet"/>
      </w:pPr>
      <w:r>
        <w:rPr>
          <w:b w:val="0"/>
          <w:i w:val="0"/>
        </w:rPr>
        <w:t>Internet of Things, 2, 39, 98, 122, 128</w:t>
      </w:r>
    </w:p>
    <w:p>
      <w:pPr>
        <w:pStyle w:val="ListBullet"/>
      </w:pPr>
      <w:r>
        <w:rPr>
          <w:b w:val="0"/>
          <w:i w:val="0"/>
        </w:rPr>
        <w:t>John, Leslie K., 1–30</w:t>
      </w:r>
    </w:p>
    <w:p>
      <w:pPr>
        <w:pStyle w:val="ListBullet"/>
      </w:pPr>
      <w:r>
        <w:rPr>
          <w:b w:val="0"/>
          <w:i w:val="0"/>
        </w:rPr>
        <w:t>Keybase.io, 103</w:t>
      </w:r>
    </w:p>
    <w:p>
      <w:pPr>
        <w:pStyle w:val="ListBullet"/>
      </w:pPr>
      <w:r>
        <w:rPr>
          <w:b w:val="0"/>
          <w:i w:val="0"/>
        </w:rPr>
        <w:t>Kodak, KODAKOne, 104</w:t>
      </w:r>
    </w:p>
    <w:p>
      <w:pPr>
        <w:pStyle w:val="ListBullet"/>
      </w:pPr>
      <w:r>
        <w:rPr>
          <w:b w:val="0"/>
          <w:i w:val="0"/>
        </w:rPr>
        <w:t>liability, for use of personal data, 26–27</w:t>
      </w:r>
    </w:p>
    <w:p>
      <w:pPr>
        <w:pStyle w:val="ListBullet"/>
      </w:pPr>
      <w:r>
        <w:rPr>
          <w:b w:val="0"/>
          <w:i w:val="0"/>
        </w:rPr>
        <w:t>location services, tracking and, 1–2</w:t>
      </w:r>
    </w:p>
    <w:p>
      <w:pPr>
        <w:pStyle w:val="ListBullet"/>
      </w:pPr>
      <w:r>
        <w:rPr>
          <w:b w:val="0"/>
          <w:i w:val="0"/>
        </w:rPr>
        <w:t>machine learning</w:t>
      </w:r>
    </w:p>
    <w:p>
      <w:pPr>
        <w:pStyle w:val="ListBullet"/>
      </w:pPr>
      <w:r>
        <w:rPr>
          <w:b w:val="0"/>
          <w:i w:val="0"/>
        </w:rPr>
        <w:t>convergence of privacy and cybersecurity and, 48, 51–52</w:t>
      </w:r>
    </w:p>
    <w:p>
      <w:pPr>
        <w:pStyle w:val="ListBullet"/>
      </w:pPr>
      <w:r>
        <w:rPr>
          <w:b w:val="0"/>
          <w:i w:val="0"/>
        </w:rPr>
        <w:t>personal data and, 2, 20</w:t>
      </w:r>
    </w:p>
    <w:p>
      <w:pPr>
        <w:pStyle w:val="ListBullet"/>
      </w:pPr>
      <w:r>
        <w:rPr>
          <w:b w:val="0"/>
          <w:i w:val="0"/>
        </w:rPr>
        <w:t>marketing</w:t>
      </w:r>
    </w:p>
    <w:p>
      <w:pPr>
        <w:pStyle w:val="ListBullet"/>
      </w:pPr>
      <w:r>
        <w:rPr>
          <w:b w:val="0"/>
          <w:i w:val="0"/>
        </w:rPr>
        <w:t>authenticity in, 94</w:t>
      </w:r>
    </w:p>
    <w:p>
      <w:pPr>
        <w:pStyle w:val="ListBullet"/>
      </w:pPr>
      <w:r>
        <w:rPr>
          <w:b w:val="0"/>
          <w:i w:val="0"/>
        </w:rPr>
        <w:t>blockchain ending fraud in, 108</w:t>
      </w:r>
    </w:p>
    <w:p>
      <w:pPr>
        <w:pStyle w:val="ListBullet"/>
      </w:pPr>
      <w:r>
        <w:rPr>
          <w:b w:val="0"/>
          <w:i w:val="0"/>
        </w:rPr>
        <w:t>personal data and targeted, xi, xii, 6</w:t>
      </w:r>
    </w:p>
    <w:p>
      <w:pPr>
        <w:pStyle w:val="ListBullet"/>
      </w:pPr>
      <w:r>
        <w:rPr>
          <w:b w:val="0"/>
          <w:i/>
        </w:rPr>
        <w:t>See also</w:t>
      </w:r>
      <w:r>
        <w:rPr>
          <w:b w:val="0"/>
          <w:i w:val="0"/>
        </w:rPr>
        <w:t xml:space="preserve"> blockchain, use in marketing</w:t>
      </w:r>
    </w:p>
    <w:p>
      <w:pPr>
        <w:pStyle w:val="ListBullet"/>
      </w:pPr>
      <w:r>
        <w:rPr>
          <w:b w:val="0"/>
          <w:i w:val="0"/>
        </w:rPr>
        <w:t>market power</w:t>
      </w:r>
    </w:p>
    <w:p>
      <w:pPr>
        <w:pStyle w:val="ListBullet"/>
      </w:pPr>
      <w:r>
        <w:rPr>
          <w:b w:val="0"/>
          <w:i w:val="0"/>
        </w:rPr>
        <w:t>data-opolies and increased, 39</w:t>
      </w:r>
    </w:p>
    <w:p>
      <w:pPr>
        <w:pStyle w:val="ListBullet"/>
      </w:pPr>
      <w:r>
        <w:rPr>
          <w:b w:val="0"/>
          <w:i w:val="0"/>
        </w:rPr>
        <w:t>exploitation of personal data for, 33</w:t>
      </w:r>
    </w:p>
    <w:p>
      <w:pPr>
        <w:pStyle w:val="ListBullet"/>
      </w:pPr>
      <w:r>
        <w:rPr>
          <w:b w:val="0"/>
          <w:i w:val="0"/>
        </w:rPr>
        <w:t>Martin, Kelly D., 53–66</w:t>
      </w:r>
    </w:p>
    <w:p>
      <w:pPr>
        <w:pStyle w:val="ListBullet"/>
      </w:pPr>
      <w:r>
        <w:rPr>
          <w:b w:val="0"/>
          <w:i w:val="0"/>
        </w:rPr>
        <w:t>media consumption, blockchain and remonetizing, 104–106</w:t>
      </w:r>
    </w:p>
    <w:p>
      <w:pPr>
        <w:pStyle w:val="ListBullet"/>
      </w:pPr>
      <w:r>
        <w:rPr>
          <w:b w:val="0"/>
          <w:i w:val="0"/>
        </w:rPr>
        <w:t>micropayments, blockchain and, 98, 100, 102, 105, 106</w:t>
      </w:r>
    </w:p>
    <w:p>
      <w:pPr>
        <w:pStyle w:val="ListBullet"/>
      </w:pPr>
      <w:r>
        <w:rPr>
          <w:b w:val="0"/>
          <w:i w:val="0"/>
        </w:rPr>
        <w:t>Microsoft, 23, 124</w:t>
      </w:r>
    </w:p>
    <w:p>
      <w:pPr>
        <w:pStyle w:val="ListBullet"/>
      </w:pPr>
      <w:r>
        <w:rPr>
          <w:b w:val="0"/>
          <w:i w:val="0"/>
        </w:rPr>
        <w:t>monetization of personal data, 14, 90, 92, 95</w:t>
      </w:r>
    </w:p>
    <w:p>
      <w:pPr>
        <w:pStyle w:val="ListBullet"/>
      </w:pPr>
      <w:r>
        <w:rPr>
          <w:b w:val="0"/>
          <w:i w:val="0"/>
        </w:rPr>
        <w:t>Moorman, Christine, 97–109</w:t>
      </w:r>
    </w:p>
    <w:p>
      <w:pPr>
        <w:pStyle w:val="ListBullet"/>
      </w:pPr>
      <w:r>
        <w:rPr>
          <w:b w:val="0"/>
          <w:i w:val="0"/>
        </w:rPr>
        <w:t>Morey, Timothy, xi–xvii</w:t>
      </w:r>
    </w:p>
    <w:p>
      <w:pPr>
        <w:pStyle w:val="ListBullet"/>
      </w:pPr>
      <w:r>
        <w:rPr>
          <w:b w:val="0"/>
          <w:i w:val="0"/>
        </w:rPr>
        <w:t>Morgan Stanley, 60, 61</w:t>
      </w:r>
    </w:p>
    <w:p>
      <w:pPr>
        <w:pStyle w:val="ListBullet"/>
      </w:pPr>
      <w:r>
        <w:rPr>
          <w:b w:val="0"/>
          <w:i w:val="0"/>
        </w:rPr>
        <w:t>normative cybersecurity alliances, 122, 123–124, 128</w:t>
      </w:r>
    </w:p>
    <w:p>
      <w:pPr>
        <w:pStyle w:val="ListBullet"/>
      </w:pPr>
      <w:r>
        <w:rPr>
          <w:b w:val="0"/>
          <w:i w:val="0"/>
        </w:rPr>
        <w:t>online content, blockchain and protection of, 104–106, 108</w:t>
      </w:r>
    </w:p>
    <w:p>
      <w:pPr>
        <w:pStyle w:val="ListBullet"/>
      </w:pPr>
      <w:r>
        <w:rPr>
          <w:b w:val="0"/>
          <w:i w:val="0"/>
        </w:rPr>
        <w:t>online terms of use, consumer agreement to, 17</w:t>
      </w:r>
    </w:p>
    <w:p>
      <w:pPr>
        <w:pStyle w:val="ListBullet"/>
      </w:pPr>
      <w:r>
        <w:rPr>
          <w:b w:val="0"/>
          <w:i w:val="0"/>
        </w:rPr>
        <w:t>operational cybersecurity alliances, 122–123, 128</w:t>
      </w:r>
    </w:p>
    <w:p>
      <w:pPr>
        <w:pStyle w:val="ListBullet"/>
      </w:pPr>
      <w:r>
        <w:rPr>
          <w:b w:val="0"/>
          <w:i w:val="0"/>
        </w:rPr>
        <w:t xml:space="preserve">opt-in consent, 24, 28. </w:t>
      </w:r>
      <w:r>
        <w:rPr>
          <w:b w:val="0"/>
          <w:i/>
        </w:rPr>
        <w:t>See also</w:t>
      </w:r>
      <w:r>
        <w:rPr>
          <w:b w:val="0"/>
          <w:i w:val="0"/>
        </w:rPr>
        <w:t xml:space="preserve"> consent</w:t>
      </w:r>
    </w:p>
    <w:p>
      <w:pPr>
        <w:pStyle w:val="ListBullet"/>
      </w:pPr>
      <w:r>
        <w:rPr>
          <w:b w:val="0"/>
          <w:i w:val="0"/>
        </w:rPr>
        <w:t>opt-out choices, consumer sense of control and decision making and, 4–5, 8, 9–10, 17, 63–64</w:t>
      </w:r>
    </w:p>
    <w:p>
      <w:pPr>
        <w:pStyle w:val="ListBullet"/>
      </w:pPr>
      <w:r>
        <w:rPr>
          <w:b w:val="0"/>
          <w:i w:val="0"/>
        </w:rPr>
        <w:t>opt-out policy, control over use and sharing of personal data, 56, 66</w:t>
      </w:r>
    </w:p>
    <w:p>
      <w:pPr>
        <w:pStyle w:val="ListBullet"/>
      </w:pPr>
      <w:r>
        <w:rPr>
          <w:b w:val="0"/>
          <w:i w:val="0"/>
        </w:rPr>
        <w:t>Palmatier, Robert W., 53–66</w:t>
      </w:r>
    </w:p>
    <w:p>
      <w:pPr>
        <w:pStyle w:val="ListBullet"/>
      </w:pPr>
      <w:r>
        <w:rPr>
          <w:b w:val="0"/>
          <w:i w:val="0"/>
        </w:rPr>
        <w:t>personalization</w:t>
      </w:r>
    </w:p>
    <w:p>
      <w:pPr>
        <w:pStyle w:val="ListBullet"/>
      </w:pPr>
      <w:r>
        <w:rPr>
          <w:b w:val="0"/>
          <w:i w:val="0"/>
        </w:rPr>
        <w:t>consumer desire for, 91, 92, 95</w:t>
      </w:r>
    </w:p>
    <w:p>
      <w:pPr>
        <w:pStyle w:val="ListBullet"/>
      </w:pPr>
      <w:r>
        <w:rPr>
          <w:b w:val="0"/>
          <w:i w:val="0"/>
        </w:rPr>
        <w:t>increased revenue from, 91</w:t>
      </w:r>
    </w:p>
    <w:p>
      <w:pPr>
        <w:pStyle w:val="ListBullet"/>
      </w:pPr>
      <w:r>
        <w:rPr>
          <w:b w:val="0"/>
          <w:i w:val="0"/>
        </w:rPr>
        <w:t>personalized experiences, use of consumer data for targeted marketing, xii</w:t>
      </w:r>
    </w:p>
    <w:p>
      <w:pPr>
        <w:pStyle w:val="ListBullet"/>
      </w:pPr>
      <w:r>
        <w:rPr>
          <w:b w:val="0"/>
          <w:i w:val="0"/>
        </w:rPr>
        <w:t>personally identifiable information (PII), 82</w:t>
      </w:r>
    </w:p>
    <w:p>
      <w:pPr>
        <w:pStyle w:val="ListBullet"/>
      </w:pPr>
      <w:r>
        <w:rPr>
          <w:b w:val="0"/>
          <w:i w:val="0"/>
        </w:rPr>
        <w:t>phishing spam, 102, 106</w:t>
      </w:r>
    </w:p>
    <w:p>
      <w:pPr>
        <w:pStyle w:val="ListBullet"/>
      </w:pPr>
      <w:r>
        <w:rPr>
          <w:b w:val="0"/>
          <w:i w:val="0"/>
        </w:rPr>
        <w:t>policy makers</w:t>
      </w:r>
    </w:p>
    <w:p>
      <w:pPr>
        <w:pStyle w:val="ListBullet"/>
      </w:pPr>
      <w:r>
        <w:rPr>
          <w:b w:val="0"/>
          <w:i w:val="0"/>
        </w:rPr>
        <w:t>concern about data flows, 111–112</w:t>
      </w:r>
    </w:p>
    <w:p>
      <w:pPr>
        <w:pStyle w:val="ListBullet"/>
      </w:pPr>
      <w:r>
        <w:rPr>
          <w:b w:val="0"/>
          <w:i w:val="0"/>
        </w:rPr>
        <w:t>issues to consider in regulating data flows, 114–117, 118</w:t>
      </w:r>
    </w:p>
    <w:p>
      <w:pPr>
        <w:pStyle w:val="ListBullet"/>
      </w:pPr>
      <w:r>
        <w:rPr>
          <w:b w:val="0"/>
          <w:i w:val="0"/>
        </w:rPr>
        <w:t>predatory advertising, 80–81, 86</w:t>
      </w:r>
    </w:p>
    <w:p>
      <w:pPr>
        <w:pStyle w:val="ListBullet"/>
      </w:pPr>
      <w:r>
        <w:rPr>
          <w:b w:val="0"/>
          <w:i w:val="0"/>
        </w:rPr>
        <w:t>privacy actives, xv, 68–69, 73</w:t>
      </w:r>
    </w:p>
    <w:p>
      <w:pPr>
        <w:pStyle w:val="ListBullet"/>
      </w:pPr>
      <w:r>
        <w:rPr>
          <w:b w:val="0"/>
          <w:i w:val="0"/>
        </w:rPr>
        <w:t>comfort in sharing data, 69–70</w:t>
      </w:r>
    </w:p>
    <w:p>
      <w:pPr>
        <w:pStyle w:val="ListBullet"/>
      </w:pPr>
      <w:r>
        <w:rPr>
          <w:b w:val="0"/>
          <w:i w:val="0"/>
        </w:rPr>
        <w:t>demographics of, 69</w:t>
      </w:r>
    </w:p>
    <w:p>
      <w:pPr>
        <w:pStyle w:val="ListBullet"/>
      </w:pPr>
      <w:r>
        <w:rPr>
          <w:b w:val="0"/>
          <w:i w:val="0"/>
        </w:rPr>
        <w:t>firms’ engaging, 71, 73</w:t>
      </w:r>
    </w:p>
    <w:p>
      <w:pPr>
        <w:pStyle w:val="ListBullet"/>
      </w:pPr>
      <w:r>
        <w:rPr>
          <w:b w:val="0"/>
          <w:i w:val="0"/>
        </w:rPr>
        <w:t>privacy policies and, 70</w:t>
      </w:r>
    </w:p>
    <w:p>
      <w:pPr>
        <w:pStyle w:val="ListBullet"/>
      </w:pPr>
      <w:r>
        <w:rPr>
          <w:b w:val="0"/>
          <w:i w:val="0"/>
        </w:rPr>
        <w:t>sense of ability to protect own privacy, 70</w:t>
      </w:r>
    </w:p>
    <w:p>
      <w:pPr>
        <w:pStyle w:val="ListBullet"/>
      </w:pPr>
      <w:r>
        <w:rPr>
          <w:b w:val="0"/>
          <w:i w:val="0"/>
        </w:rPr>
        <w:t>transparency gap and, 71–72</w:t>
      </w:r>
    </w:p>
    <w:p>
      <w:pPr>
        <w:pStyle w:val="ListBullet"/>
      </w:pPr>
      <w:r>
        <w:rPr>
          <w:b w:val="0"/>
          <w:i w:val="0"/>
        </w:rPr>
        <w:t>privacy controls, impatience and failure to adopt, 6</w:t>
      </w:r>
    </w:p>
    <w:p>
      <w:pPr>
        <w:pStyle w:val="ListBullet"/>
      </w:pPr>
      <w:r>
        <w:rPr>
          <w:b w:val="0"/>
          <w:i w:val="0"/>
        </w:rPr>
        <w:t>privacy defaults, 7–8</w:t>
      </w:r>
    </w:p>
    <w:p>
      <w:pPr>
        <w:pStyle w:val="ListBullet"/>
      </w:pPr>
      <w:r>
        <w:rPr>
          <w:b w:val="0"/>
          <w:i w:val="0"/>
        </w:rPr>
        <w:t>privacy policies, 53–66</w:t>
      </w:r>
    </w:p>
    <w:p>
      <w:pPr>
        <w:pStyle w:val="ListBullet"/>
      </w:pPr>
      <w:r>
        <w:rPr>
          <w:b w:val="0"/>
          <w:i w:val="0"/>
        </w:rPr>
        <w:t>data breach effects and, 53–56</w:t>
      </w:r>
    </w:p>
    <w:p>
      <w:pPr>
        <w:pStyle w:val="ListBullet"/>
      </w:pPr>
      <w:r>
        <w:rPr>
          <w:b w:val="0"/>
          <w:i w:val="0"/>
        </w:rPr>
        <w:t>decision making and, 56–58, 65–66</w:t>
      </w:r>
    </w:p>
    <w:p>
      <w:pPr>
        <w:pStyle w:val="ListBullet"/>
      </w:pPr>
      <w:r>
        <w:rPr>
          <w:b w:val="0"/>
          <w:i/>
        </w:rPr>
        <w:t>Fortune</w:t>
      </w:r>
      <w:r>
        <w:rPr>
          <w:b w:val="0"/>
          <w:i w:val="0"/>
        </w:rPr>
        <w:t xml:space="preserve"> 500 companies with transparent, 58–64</w:t>
      </w:r>
    </w:p>
    <w:p>
      <w:pPr>
        <w:pStyle w:val="ListBullet"/>
      </w:pPr>
      <w:r>
        <w:rPr>
          <w:b w:val="0"/>
          <w:i w:val="0"/>
        </w:rPr>
        <w:t>mitigating effects of data breaches and empowering customers, 56–57</w:t>
      </w:r>
    </w:p>
    <w:p>
      <w:pPr>
        <w:pStyle w:val="ListBullet"/>
      </w:pPr>
      <w:r>
        <w:rPr>
          <w:b w:val="0"/>
          <w:i w:val="0"/>
        </w:rPr>
        <w:t>read by privacy actives, 70</w:t>
      </w:r>
    </w:p>
    <w:p>
      <w:pPr>
        <w:pStyle w:val="ListBullet"/>
      </w:pPr>
      <w:r>
        <w:rPr>
          <w:b w:val="0"/>
          <w:i w:val="0"/>
        </w:rPr>
        <w:t>reasons to study, 57</w:t>
      </w:r>
    </w:p>
    <w:p>
      <w:pPr>
        <w:pStyle w:val="ListBullet"/>
      </w:pPr>
      <w:r>
        <w:rPr>
          <w:b w:val="0"/>
          <w:i w:val="0"/>
        </w:rPr>
        <w:t>simplifying and shortening, 71–72, 74</w:t>
      </w:r>
    </w:p>
    <w:p>
      <w:pPr>
        <w:pStyle w:val="ListBullet"/>
      </w:pPr>
      <w:r>
        <w:rPr>
          <w:b w:val="0"/>
          <w:i w:val="0"/>
        </w:rPr>
        <w:t>privacy protections</w:t>
      </w:r>
    </w:p>
    <w:p>
      <w:pPr>
        <w:pStyle w:val="ListBullet"/>
      </w:pPr>
      <w:r>
        <w:rPr>
          <w:b w:val="0"/>
          <w:i w:val="0"/>
        </w:rPr>
        <w:t>data-opolies and, 36</w:t>
      </w:r>
    </w:p>
    <w:p>
      <w:pPr>
        <w:pStyle w:val="ListBullet"/>
      </w:pPr>
      <w:r>
        <w:rPr>
          <w:b w:val="0"/>
          <w:i w:val="0"/>
        </w:rPr>
        <w:t>information fiduciaries and, 81–82</w:t>
      </w:r>
    </w:p>
    <w:p>
      <w:pPr>
        <w:pStyle w:val="ListBullet"/>
      </w:pPr>
      <w:r>
        <w:rPr>
          <w:b w:val="0"/>
          <w:i w:val="0"/>
        </w:rPr>
        <w:t>privacy settings, editing, 93, 95</w:t>
      </w:r>
    </w:p>
    <w:p>
      <w:pPr>
        <w:pStyle w:val="ListBullet"/>
      </w:pPr>
      <w:r>
        <w:rPr>
          <w:b w:val="0"/>
          <w:i w:val="0"/>
        </w:rPr>
        <w:t>privacy strategies, 68</w:t>
      </w:r>
    </w:p>
    <w:p>
      <w:pPr>
        <w:pStyle w:val="ListBullet"/>
      </w:pPr>
      <w:r>
        <w:rPr>
          <w:b w:val="0"/>
          <w:i w:val="0"/>
        </w:rPr>
        <w:t>product safety regulations, 18–19, 26, 28</w:t>
      </w:r>
    </w:p>
    <w:p>
      <w:pPr>
        <w:pStyle w:val="ListBullet"/>
      </w:pPr>
      <w:r>
        <w:rPr>
          <w:b w:val="0"/>
          <w:i w:val="0"/>
        </w:rPr>
        <w:t xml:space="preserve">quizzes, free online, 5, 15, 81. </w:t>
      </w:r>
      <w:r>
        <w:rPr>
          <w:b w:val="0"/>
          <w:i/>
        </w:rPr>
        <w:t>See also</w:t>
      </w:r>
      <w:r>
        <w:rPr>
          <w:b w:val="0"/>
          <w:i w:val="0"/>
        </w:rPr>
        <w:t xml:space="preserve"> data breaches</w:t>
      </w:r>
    </w:p>
    <w:p>
      <w:pPr>
        <w:pStyle w:val="ListBullet"/>
      </w:pPr>
      <w:r>
        <w:rPr>
          <w:b w:val="0"/>
          <w:i w:val="0"/>
        </w:rPr>
        <w:t>Redman, Thomas C., 67–74</w:t>
      </w:r>
    </w:p>
    <w:p>
      <w:pPr>
        <w:pStyle w:val="ListBullet"/>
      </w:pPr>
      <w:r>
        <w:rPr>
          <w:b w:val="0"/>
          <w:i w:val="0"/>
        </w:rPr>
        <w:t>regional trade agreements, data flows and, 115–116, 118</w:t>
      </w:r>
    </w:p>
    <w:p>
      <w:pPr>
        <w:pStyle w:val="ListBullet"/>
      </w:pPr>
      <w:r>
        <w:rPr>
          <w:b w:val="0"/>
          <w:i w:val="0"/>
        </w:rPr>
        <w:t xml:space="preserve">regulation. </w:t>
      </w:r>
      <w:r>
        <w:rPr>
          <w:b w:val="0"/>
          <w:i/>
        </w:rPr>
        <w:t>See</w:t>
      </w:r>
      <w:r>
        <w:rPr>
          <w:b w:val="0"/>
          <w:i w:val="0"/>
        </w:rPr>
        <w:t xml:space="preserve"> government regulation</w:t>
      </w:r>
    </w:p>
    <w:p>
      <w:pPr>
        <w:pStyle w:val="ListBullet"/>
      </w:pPr>
      <w:r>
        <w:rPr>
          <w:b w:val="0"/>
          <w:i w:val="0"/>
        </w:rPr>
        <w:t>risk-based approach to regulating data flows, 114, 118</w:t>
      </w:r>
    </w:p>
    <w:p>
      <w:pPr>
        <w:pStyle w:val="ListBullet"/>
      </w:pPr>
      <w:r>
        <w:rPr>
          <w:b w:val="0"/>
          <w:i w:val="0"/>
        </w:rPr>
        <w:t>Russia</w:t>
      </w:r>
    </w:p>
    <w:p>
      <w:pPr>
        <w:pStyle w:val="ListBullet"/>
      </w:pPr>
      <w:r>
        <w:rPr>
          <w:b w:val="0"/>
          <w:i w:val="0"/>
        </w:rPr>
        <w:t>Paris Call for Trust and Security in Cyberspace and, 125, 126</w:t>
      </w:r>
    </w:p>
    <w:p>
      <w:pPr>
        <w:pStyle w:val="ListBullet"/>
      </w:pPr>
      <w:r>
        <w:rPr>
          <w:b w:val="0"/>
          <w:i w:val="0"/>
        </w:rPr>
        <w:t>restrictions on data transfer, 112</w:t>
      </w:r>
    </w:p>
    <w:p>
      <w:pPr>
        <w:pStyle w:val="ListBullet"/>
      </w:pPr>
      <w:r>
        <w:rPr>
          <w:b w:val="0"/>
          <w:i w:val="0"/>
        </w:rPr>
        <w:t>use of Facebook, Google, a nd Twitter to interfere in 2016 U.S. presidential election, 32</w:t>
      </w:r>
    </w:p>
    <w:p>
      <w:pPr>
        <w:pStyle w:val="ListBullet"/>
      </w:pPr>
      <w:r>
        <w:rPr>
          <w:b w:val="0"/>
          <w:i w:val="0"/>
        </w:rPr>
        <w:t>search engines</w:t>
      </w:r>
    </w:p>
    <w:p>
      <w:pPr>
        <w:pStyle w:val="ListBullet"/>
      </w:pPr>
      <w:r>
        <w:rPr>
          <w:b w:val="0"/>
          <w:i w:val="0"/>
        </w:rPr>
        <w:t>learning users’ preferences, 35</w:t>
      </w:r>
    </w:p>
    <w:p>
      <w:pPr>
        <w:pStyle w:val="ListBullet"/>
      </w:pPr>
      <w:r>
        <w:rPr>
          <w:b w:val="0"/>
          <w:i w:val="0"/>
        </w:rPr>
        <w:t>use of personal data, 76–79</w:t>
      </w:r>
    </w:p>
    <w:p>
      <w:pPr>
        <w:pStyle w:val="ListBullet"/>
      </w:pPr>
      <w:r>
        <w:rPr>
          <w:b w:val="0"/>
          <w:i w:val="0"/>
        </w:rPr>
        <w:t xml:space="preserve">security. </w:t>
      </w:r>
      <w:r>
        <w:rPr>
          <w:b w:val="0"/>
          <w:i/>
        </w:rPr>
        <w:t>See</w:t>
      </w:r>
      <w:r>
        <w:rPr>
          <w:b w:val="0"/>
          <w:i w:val="0"/>
        </w:rPr>
        <w:t xml:space="preserve"> cybersecurity</w:t>
      </w:r>
    </w:p>
    <w:p>
      <w:pPr>
        <w:pStyle w:val="ListBullet"/>
      </w:pPr>
      <w:r>
        <w:rPr>
          <w:b w:val="0"/>
          <w:i w:val="0"/>
        </w:rPr>
        <w:t>sharing consumer data, incentivizing, 92–94, 95</w:t>
      </w:r>
    </w:p>
    <w:p>
      <w:pPr>
        <w:pStyle w:val="ListBullet"/>
      </w:pPr>
      <w:r>
        <w:rPr>
          <w:b w:val="0"/>
          <w:i w:val="0"/>
        </w:rPr>
        <w:t>Siemens, 123–124</w:t>
      </w:r>
    </w:p>
    <w:p>
      <w:pPr>
        <w:pStyle w:val="ListBullet"/>
      </w:pPr>
      <w:r>
        <w:rPr>
          <w:b w:val="0"/>
          <w:i w:val="0"/>
        </w:rPr>
        <w:t xml:space="preserve">smart contracts, 98, 100. </w:t>
      </w:r>
      <w:r>
        <w:rPr>
          <w:b w:val="0"/>
          <w:i/>
        </w:rPr>
        <w:t>See also</w:t>
      </w:r>
      <w:r>
        <w:rPr>
          <w:b w:val="0"/>
          <w:i w:val="0"/>
        </w:rPr>
        <w:t xml:space="preserve"> blockchain, use in marketing</w:t>
      </w:r>
    </w:p>
    <w:p>
      <w:pPr>
        <w:pStyle w:val="ListBullet"/>
      </w:pPr>
      <w:r>
        <w:rPr>
          <w:b w:val="0"/>
          <w:i w:val="0"/>
        </w:rPr>
        <w:t>smartphones, location tracking on, 1–2</w:t>
      </w:r>
    </w:p>
    <w:p>
      <w:pPr>
        <w:pStyle w:val="ListBullet"/>
      </w:pPr>
      <w:r>
        <w:rPr>
          <w:b w:val="0"/>
          <w:i w:val="0"/>
        </w:rPr>
        <w:t>social media</w:t>
      </w:r>
    </w:p>
    <w:p>
      <w:pPr>
        <w:pStyle w:val="ListBullet"/>
      </w:pPr>
      <w:r>
        <w:rPr>
          <w:b w:val="0"/>
          <w:i w:val="0"/>
        </w:rPr>
        <w:t>blockchain and fraud on, 103, 108</w:t>
      </w:r>
    </w:p>
    <w:p>
      <w:pPr>
        <w:pStyle w:val="ListBullet"/>
      </w:pPr>
      <w:r>
        <w:rPr>
          <w:b w:val="0"/>
          <w:i w:val="0"/>
        </w:rPr>
        <w:t>false boundaries, 11, 12–13</w:t>
      </w:r>
    </w:p>
    <w:p>
      <w:pPr>
        <w:pStyle w:val="ListBullet"/>
      </w:pPr>
      <w:r>
        <w:rPr>
          <w:b w:val="0"/>
          <w:i w:val="0"/>
        </w:rPr>
        <w:t>heightening desire to disclose, 11–12</w:t>
      </w:r>
    </w:p>
    <w:p>
      <w:pPr>
        <w:pStyle w:val="ListBullet"/>
      </w:pPr>
      <w:r>
        <w:rPr>
          <w:b w:val="0"/>
          <w:i w:val="0"/>
        </w:rPr>
        <w:t>spam emails, blockchain technology ending, 102–104, 106</w:t>
      </w:r>
    </w:p>
    <w:p>
      <w:pPr>
        <w:pStyle w:val="ListBullet"/>
      </w:pPr>
      <w:r>
        <w:rPr>
          <w:b w:val="0"/>
          <w:i w:val="0"/>
        </w:rPr>
        <w:t>spillover effects, data breaches and, 53, 54–55, 65</w:t>
      </w:r>
    </w:p>
    <w:p>
      <w:pPr>
        <w:pStyle w:val="ListBullet"/>
      </w:pPr>
      <w:r>
        <w:rPr>
          <w:b w:val="0"/>
          <w:i w:val="0"/>
        </w:rPr>
        <w:t>standards for storage, movement, and access to personal data, 22</w:t>
      </w:r>
    </w:p>
    <w:p>
      <w:pPr>
        <w:pStyle w:val="ListBullet"/>
      </w:pPr>
      <w:r>
        <w:rPr>
          <w:b w:val="0"/>
          <w:i w:val="0"/>
        </w:rPr>
        <w:t>stock prices</w:t>
      </w:r>
    </w:p>
    <w:p>
      <w:pPr>
        <w:pStyle w:val="ListBullet"/>
      </w:pPr>
      <w:r>
        <w:rPr>
          <w:b w:val="0"/>
          <w:i w:val="0"/>
        </w:rPr>
        <w:t>effect of data breaches on, 55, 56</w:t>
      </w:r>
    </w:p>
    <w:p>
      <w:pPr>
        <w:pStyle w:val="ListBullet"/>
      </w:pPr>
      <w:r>
        <w:rPr>
          <w:b w:val="0"/>
          <w:i w:val="0"/>
        </w:rPr>
        <w:t>transparent privacy policy as buffer during data breaches, 58, 61</w:t>
      </w:r>
    </w:p>
    <w:p>
      <w:pPr>
        <w:pStyle w:val="ListBullet"/>
      </w:pPr>
      <w:r>
        <w:rPr>
          <w:b w:val="0"/>
          <w:i w:val="0"/>
        </w:rPr>
        <w:t>Stucke, Maurice E., 31–46</w:t>
      </w:r>
    </w:p>
    <w:p>
      <w:pPr>
        <w:pStyle w:val="ListBullet"/>
      </w:pPr>
      <w:r>
        <w:rPr>
          <w:b w:val="0"/>
          <w:i w:val="0"/>
        </w:rPr>
        <w:t>surveillance economy</w:t>
      </w:r>
    </w:p>
    <w:p>
      <w:pPr>
        <w:pStyle w:val="ListBullet"/>
      </w:pPr>
      <w:r>
        <w:rPr>
          <w:b w:val="0"/>
          <w:i w:val="0"/>
        </w:rPr>
        <w:t>complexity of, 13–18</w:t>
      </w:r>
    </w:p>
    <w:p>
      <w:pPr>
        <w:pStyle w:val="ListBullet"/>
      </w:pPr>
      <w:r>
        <w:rPr>
          <w:b w:val="0"/>
          <w:i w:val="0"/>
        </w:rPr>
        <w:t>internet as, 2</w:t>
      </w:r>
    </w:p>
    <w:p>
      <w:pPr>
        <w:pStyle w:val="ListBullet"/>
      </w:pPr>
      <w:r>
        <w:rPr>
          <w:b w:val="0"/>
          <w:i w:val="0"/>
        </w:rPr>
        <w:t>targeted advertising</w:t>
      </w:r>
    </w:p>
    <w:p>
      <w:pPr>
        <w:pStyle w:val="ListBullet"/>
      </w:pPr>
      <w:r>
        <w:rPr>
          <w:b w:val="0"/>
          <w:i w:val="0"/>
        </w:rPr>
        <w:t>consumer data use for personalized experiences and, xii</w:t>
      </w:r>
    </w:p>
    <w:p>
      <w:pPr>
        <w:pStyle w:val="ListBullet"/>
      </w:pPr>
      <w:r>
        <w:rPr>
          <w:b w:val="0"/>
          <w:i w:val="0"/>
        </w:rPr>
        <w:t>information fiduciaries and, 80, 86</w:t>
      </w:r>
    </w:p>
    <w:p>
      <w:pPr>
        <w:pStyle w:val="ListBullet"/>
      </w:pPr>
      <w:r>
        <w:rPr>
          <w:b w:val="0"/>
          <w:i w:val="0"/>
        </w:rPr>
        <w:t>personal data and, 6</w:t>
      </w:r>
    </w:p>
    <w:p>
      <w:pPr>
        <w:pStyle w:val="ListBullet"/>
      </w:pPr>
      <w:r>
        <w:rPr>
          <w:b w:val="0"/>
          <w:i w:val="0"/>
        </w:rPr>
        <w:t>private data and, 75–76</w:t>
      </w:r>
    </w:p>
    <w:p>
      <w:pPr>
        <w:pStyle w:val="ListBullet"/>
      </w:pPr>
      <w:r>
        <w:rPr>
          <w:b w:val="0"/>
          <w:i w:val="0"/>
        </w:rPr>
        <w:t>techlash, 3–4</w:t>
      </w:r>
    </w:p>
    <w:p>
      <w:pPr>
        <w:pStyle w:val="ListBullet"/>
      </w:pPr>
      <w:r>
        <w:rPr>
          <w:b w:val="0"/>
          <w:i w:val="0"/>
        </w:rPr>
        <w:t>third parties</w:t>
      </w:r>
    </w:p>
    <w:p>
      <w:pPr>
        <w:pStyle w:val="ListBullet"/>
      </w:pPr>
      <w:r>
        <w:rPr>
          <w:b w:val="0"/>
          <w:i w:val="0"/>
        </w:rPr>
        <w:t>data-opolies and costs on, 40–41</w:t>
      </w:r>
    </w:p>
    <w:p>
      <w:pPr>
        <w:pStyle w:val="ListBullet"/>
      </w:pPr>
      <w:r>
        <w:rPr>
          <w:b w:val="0"/>
          <w:i w:val="0"/>
        </w:rPr>
        <w:t>manipulation of online news feeds by, 78</w:t>
      </w:r>
    </w:p>
    <w:p>
      <w:pPr>
        <w:pStyle w:val="ListBullet"/>
      </w:pPr>
      <w:r>
        <w:rPr>
          <w:b w:val="0"/>
          <w:i w:val="0"/>
        </w:rPr>
        <w:t>third-party data, 22, 90, 91–92, 95</w:t>
      </w:r>
    </w:p>
    <w:p>
      <w:pPr>
        <w:pStyle w:val="ListBullet"/>
      </w:pPr>
      <w:r>
        <w:rPr>
          <w:b w:val="0"/>
          <w:i w:val="0"/>
        </w:rPr>
        <w:t>third-party data sharing, 9, 14</w:t>
      </w:r>
    </w:p>
    <w:p>
      <w:pPr>
        <w:pStyle w:val="ListBullet"/>
      </w:pPr>
      <w:r>
        <w:rPr>
          <w:b w:val="0"/>
          <w:i w:val="0"/>
        </w:rPr>
        <w:t>Toledo, Marc, 97–109</w:t>
      </w:r>
    </w:p>
    <w:p>
      <w:pPr>
        <w:pStyle w:val="ListBullet"/>
      </w:pPr>
      <w:r>
        <w:rPr>
          <w:b w:val="0"/>
          <w:i w:val="0"/>
        </w:rPr>
        <w:t>transaction costs</w:t>
      </w:r>
    </w:p>
    <w:p>
      <w:pPr>
        <w:pStyle w:val="ListBullet"/>
      </w:pPr>
      <w:r>
        <w:rPr>
          <w:b w:val="0"/>
          <w:i w:val="0"/>
        </w:rPr>
        <w:t>blockchain and, 99–100</w:t>
      </w:r>
    </w:p>
    <w:p>
      <w:pPr>
        <w:pStyle w:val="ListBullet"/>
      </w:pPr>
      <w:r>
        <w:rPr>
          <w:b w:val="0"/>
          <w:i w:val="0"/>
        </w:rPr>
        <w:t>blockchain and near-zero, 108</w:t>
      </w:r>
    </w:p>
    <w:p>
      <w:pPr>
        <w:pStyle w:val="ListBullet"/>
      </w:pPr>
      <w:r>
        <w:rPr>
          <w:b w:val="0"/>
          <w:i w:val="0"/>
        </w:rPr>
        <w:t>of negotiating with multiple parties, 23</w:t>
      </w:r>
    </w:p>
    <w:p>
      <w:pPr>
        <w:pStyle w:val="ListBullet"/>
      </w:pPr>
      <w:r>
        <w:rPr>
          <w:b w:val="0"/>
          <w:i w:val="0"/>
        </w:rPr>
        <w:t>transparency gap, addressing, 71–72</w:t>
      </w:r>
    </w:p>
    <w:p>
      <w:pPr>
        <w:pStyle w:val="ListBullet"/>
      </w:pPr>
      <w:r>
        <w:rPr>
          <w:b w:val="0"/>
          <w:i w:val="0"/>
        </w:rPr>
        <w:t>transparent data practices, consumer trust and, xiii–xiv, 89–96</w:t>
      </w:r>
    </w:p>
    <w:p>
      <w:pPr>
        <w:pStyle w:val="ListBullet"/>
      </w:pPr>
      <w:r>
        <w:rPr>
          <w:b w:val="0"/>
          <w:i w:val="0"/>
        </w:rPr>
        <w:t>transparent privacy policies</w:t>
      </w:r>
    </w:p>
    <w:p>
      <w:pPr>
        <w:pStyle w:val="ListBullet"/>
      </w:pPr>
      <w:r>
        <w:rPr>
          <w:b w:val="0"/>
          <w:i w:val="0"/>
        </w:rPr>
        <w:t>decision making about personal data and, 56–58, 65–66</w:t>
      </w:r>
    </w:p>
    <w:p>
      <w:pPr>
        <w:pStyle w:val="ListBullet"/>
      </w:pPr>
      <w:r>
        <w:rPr>
          <w:b w:val="0"/>
          <w:i/>
        </w:rPr>
        <w:t>Fortune</w:t>
      </w:r>
      <w:r>
        <w:rPr>
          <w:b w:val="0"/>
          <w:i w:val="0"/>
        </w:rPr>
        <w:t xml:space="preserve"> 500 firms with, 58–64</w:t>
      </w:r>
    </w:p>
    <w:p>
      <w:pPr>
        <w:pStyle w:val="ListBullet"/>
      </w:pPr>
      <w:r>
        <w:rPr>
          <w:b w:val="0"/>
          <w:i w:val="0"/>
        </w:rPr>
        <w:t xml:space="preserve">trust. </w:t>
      </w:r>
      <w:r>
        <w:rPr>
          <w:b w:val="0"/>
          <w:i/>
        </w:rPr>
        <w:t>See</w:t>
      </w:r>
      <w:r>
        <w:rPr>
          <w:b w:val="0"/>
          <w:i w:val="0"/>
        </w:rPr>
        <w:t xml:space="preserve"> consumer trust</w:t>
      </w:r>
    </w:p>
    <w:p>
      <w:pPr>
        <w:pStyle w:val="ListBullet"/>
      </w:pPr>
      <w:r>
        <w:rPr>
          <w:b w:val="0"/>
          <w:i w:val="0"/>
        </w:rPr>
        <w:t>Twitter</w:t>
      </w:r>
    </w:p>
    <w:p>
      <w:pPr>
        <w:pStyle w:val="ListBullet"/>
      </w:pPr>
      <w:r>
        <w:rPr>
          <w:b w:val="0"/>
          <w:i w:val="0"/>
        </w:rPr>
        <w:t>pushing content in feeds, 77</w:t>
      </w:r>
    </w:p>
    <w:p>
      <w:pPr>
        <w:pStyle w:val="ListBullet"/>
      </w:pPr>
      <w:r>
        <w:rPr>
          <w:b w:val="0"/>
          <w:i w:val="0"/>
        </w:rPr>
        <w:t>use by Russia to interfere in 2016 U.S. presidential election, 32</w:t>
      </w:r>
    </w:p>
    <w:p>
      <w:pPr>
        <w:pStyle w:val="ListBullet"/>
      </w:pPr>
      <w:r>
        <w:rPr>
          <w:b w:val="0"/>
          <w:i w:val="0"/>
        </w:rPr>
        <w:t>Uber, 8, 76</w:t>
      </w:r>
    </w:p>
    <w:p>
      <w:pPr>
        <w:pStyle w:val="ListBullet"/>
      </w:pPr>
      <w:r>
        <w:rPr>
          <w:b w:val="0"/>
          <w:i w:val="0"/>
        </w:rPr>
        <w:t>unintended inferences, 48–49</w:t>
      </w:r>
    </w:p>
    <w:p>
      <w:pPr>
        <w:pStyle w:val="ListBullet"/>
      </w:pPr>
      <w:r>
        <w:rPr>
          <w:b w:val="0"/>
          <w:i w:val="0"/>
        </w:rPr>
        <w:t>United Nations, competing cybersecurity-norm efforts, 126</w:t>
      </w:r>
    </w:p>
    <w:p>
      <w:pPr>
        <w:pStyle w:val="ListBullet"/>
      </w:pPr>
      <w:r>
        <w:rPr>
          <w:b w:val="0"/>
          <w:i w:val="0"/>
        </w:rPr>
        <w:t>United States</w:t>
      </w:r>
    </w:p>
    <w:p>
      <w:pPr>
        <w:pStyle w:val="ListBullet"/>
      </w:pPr>
      <w:r>
        <w:rPr>
          <w:b w:val="0"/>
          <w:i w:val="0"/>
        </w:rPr>
        <w:t>data-opolies and antitrust in, 33–35</w:t>
      </w:r>
    </w:p>
    <w:p>
      <w:pPr>
        <w:pStyle w:val="ListBullet"/>
      </w:pPr>
      <w:r>
        <w:rPr>
          <w:b w:val="0"/>
          <w:i w:val="0"/>
        </w:rPr>
        <w:t>Group of Governmental Experts, 126</w:t>
      </w:r>
    </w:p>
    <w:p>
      <w:pPr>
        <w:pStyle w:val="ListBullet"/>
      </w:pPr>
      <w:r>
        <w:rPr>
          <w:b w:val="0"/>
          <w:i w:val="0"/>
        </w:rPr>
        <w:t>Paris Call for Trust and Security in Cyberspace and, 126</w:t>
      </w:r>
    </w:p>
    <w:p>
      <w:pPr>
        <w:pStyle w:val="ListBullet"/>
      </w:pPr>
      <w:r>
        <w:rPr>
          <w:b w:val="0"/>
          <w:i w:val="0"/>
        </w:rPr>
        <w:t>value</w:t>
      </w:r>
    </w:p>
    <w:p>
      <w:pPr>
        <w:pStyle w:val="ListBullet"/>
      </w:pPr>
      <w:r>
        <w:rPr>
          <w:b w:val="0"/>
          <w:i w:val="0"/>
        </w:rPr>
        <w:t>of consumer data, 19, 22</w:t>
      </w:r>
    </w:p>
    <w:p>
      <w:pPr>
        <w:pStyle w:val="ListBullet"/>
      </w:pPr>
      <w:r>
        <w:rPr>
          <w:b w:val="0"/>
          <w:i w:val="0"/>
        </w:rPr>
        <w:t>of data privacy, 19, 67</w:t>
      </w:r>
    </w:p>
    <w:p>
      <w:pPr>
        <w:pStyle w:val="ListBullet"/>
      </w:pPr>
      <w:r>
        <w:rPr>
          <w:b w:val="0"/>
          <w:i w:val="0"/>
        </w:rPr>
        <w:t>in exchange for customer data, xiv–xv</w:t>
      </w:r>
    </w:p>
    <w:p>
      <w:pPr>
        <w:pStyle w:val="ListBullet"/>
      </w:pPr>
      <w:r>
        <w:rPr>
          <w:b w:val="0"/>
          <w:i w:val="0"/>
        </w:rPr>
        <w:t>of immediate and future costs and benefits, 5–6</w:t>
      </w:r>
    </w:p>
    <w:p>
      <w:pPr>
        <w:pStyle w:val="ListBullet"/>
      </w:pPr>
      <w:r>
        <w:rPr>
          <w:b w:val="0"/>
          <w:i w:val="0"/>
        </w:rPr>
        <w:t>Venmo, 8, 12</w:t>
      </w:r>
    </w:p>
    <w:p>
      <w:pPr>
        <w:pStyle w:val="ListBullet"/>
      </w:pPr>
      <w:r>
        <w:rPr>
          <w:b w:val="0"/>
          <w:i w:val="0"/>
        </w:rPr>
        <w:t>Verizon, 58, 59</w:t>
      </w:r>
    </w:p>
    <w:p>
      <w:pPr>
        <w:pStyle w:val="ListBullet"/>
      </w:pPr>
      <w:r>
        <w:rPr>
          <w:b w:val="0"/>
          <w:i w:val="0"/>
        </w:rPr>
        <w:t>Waitman, Robert M., 67–74</w:t>
      </w:r>
    </w:p>
    <w:p>
      <w:pPr>
        <w:pStyle w:val="ListBullet"/>
      </w:pPr>
      <w:r>
        <w:rPr>
          <w:b w:val="0"/>
          <w:i w:val="0"/>
        </w:rPr>
        <w:t>World Economic Forum, 115, 125</w:t>
      </w:r>
    </w:p>
    <w:p>
      <w:pPr>
        <w:pStyle w:val="ListBullet"/>
      </w:pPr>
      <w:r>
        <w:rPr>
          <w:b w:val="0"/>
          <w:i w:val="0"/>
        </w:rPr>
        <w:t>Centre for Cybersecurity, 127</w:t>
      </w:r>
    </w:p>
    <w:p>
      <w:pPr>
        <w:pStyle w:val="ListBullet"/>
      </w:pPr>
      <w:r>
        <w:rPr>
          <w:b w:val="0"/>
          <w:i w:val="0"/>
        </w:rPr>
        <w:t xml:space="preserve">Yahoo data breach, 50. </w:t>
      </w:r>
      <w:r>
        <w:rPr>
          <w:b w:val="0"/>
          <w:i/>
        </w:rPr>
        <w:t>See also</w:t>
      </w:r>
      <w:r>
        <w:rPr>
          <w:b w:val="0"/>
          <w:i w:val="0"/>
        </w:rPr>
        <w:t xml:space="preserve"> data breaches</w:t>
      </w:r>
    </w:p>
    <w:p>
      <w:pPr>
        <w:pStyle w:val="ListBullet"/>
      </w:pPr>
      <w:r>
        <w:rPr>
          <w:b w:val="0"/>
          <w:i w:val="0"/>
        </w:rPr>
        <w:t>Zittrain, Jonathan, 26, 75–87</w:t>
      </w:r>
    </w:p>
    <w:p>
      <w:pPr>
        <w:jc w:val="center"/>
      </w:pPr>
      <w:r>
        <w:drawing>
          <wp:inline xmlns:a="http://schemas.openxmlformats.org/drawingml/2006/main" xmlns:pic="http://schemas.openxmlformats.org/drawingml/2006/picture">
            <wp:extent cx="6324600" cy="8890000"/>
            <wp:docPr id="105" name="Picture 105"/>
            <wp:cNvGraphicFramePr>
              <a:graphicFrameLocks noChangeAspect="1"/>
            </wp:cNvGraphicFramePr>
            <a:graphic>
              <a:graphicData uri="http://schemas.openxmlformats.org/drawingml/2006/picture">
                <pic:pic>
                  <pic:nvPicPr>
                    <pic:cNvPr id="0" name="epub_img_1526960583240057371.jpg"/>
                    <pic:cNvPicPr/>
                  </pic:nvPicPr>
                  <pic:blipFill>
                    <a:blip r:embed="rId75"/>
                    <a:stretch>
                      <a:fillRect/>
                    </a:stretch>
                  </pic:blipFill>
                  <pic:spPr>
                    <a:xfrm>
                      <a:off x="0" y="0"/>
                      <a:ext cx="6324600" cy="8890000"/>
                    </a:xfrm>
                    <a:prstGeom prst="rect"/>
                  </pic:spPr>
                </pic:pic>
              </a:graphicData>
            </a:graphic>
          </wp:inline>
        </w:drawing>
      </w:r>
    </w:p>
    <w:p>
      <w:pPr>
        <w:jc w:val="center"/>
      </w:pPr>
      <w:r>
        <w:drawing>
          <wp:inline xmlns:a="http://schemas.openxmlformats.org/drawingml/2006/main" xmlns:pic="http://schemas.openxmlformats.org/drawingml/2006/picture">
            <wp:extent cx="5930900" cy="8890000"/>
            <wp:docPr id="106" name="Picture 106"/>
            <wp:cNvGraphicFramePr>
              <a:graphicFrameLocks noChangeAspect="1"/>
            </wp:cNvGraphicFramePr>
            <a:graphic>
              <a:graphicData uri="http://schemas.openxmlformats.org/drawingml/2006/picture">
                <pic:pic>
                  <pic:nvPicPr>
                    <pic:cNvPr id="0" name="epub_img_7441356833883062829.jpg"/>
                    <pic:cNvPicPr/>
                  </pic:nvPicPr>
                  <pic:blipFill>
                    <a:blip r:embed="rId26"/>
                    <a:stretch>
                      <a:fillRect/>
                    </a:stretch>
                  </pic:blipFill>
                  <pic:spPr>
                    <a:xfrm>
                      <a:off x="0" y="0"/>
                      <a:ext cx="5930900" cy="8890000"/>
                    </a:xfrm>
                    <a:prstGeom prst="rect"/>
                  </pic:spPr>
                </pic:pic>
              </a:graphicData>
            </a:graphic>
          </wp:inline>
        </w:drawing>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 Id="rId69" Type="http://schemas.openxmlformats.org/officeDocument/2006/relationships/image" Target="media/image61.jpg"/><Relationship Id="rId70" Type="http://schemas.openxmlformats.org/officeDocument/2006/relationships/image" Target="media/image62.jpg"/><Relationship Id="rId71" Type="http://schemas.openxmlformats.org/officeDocument/2006/relationships/image" Target="media/image63.jpg"/><Relationship Id="rId72" Type="http://schemas.openxmlformats.org/officeDocument/2006/relationships/image" Target="media/image64.jpg"/><Relationship Id="rId73" Type="http://schemas.openxmlformats.org/officeDocument/2006/relationships/image" Target="media/image65.jpg"/><Relationship Id="rId74" Type="http://schemas.openxmlformats.org/officeDocument/2006/relationships/image" Target="media/image66.jpg"/><Relationship Id="rId75" Type="http://schemas.openxmlformats.org/officeDocument/2006/relationships/image" Target="media/image6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